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A3092" w14:textId="09285CB4" w:rsidR="007756DE" w:rsidRDefault="00F61D1E" w:rsidP="001F0211">
      <w:pPr>
        <w:pStyle w:val="Pagedecouverture"/>
        <w:rPr>
          <w:noProof/>
        </w:rPr>
      </w:pPr>
      <w:r>
        <w:rPr>
          <w:noProof/>
        </w:rPr>
        <w:pict w14:anchorId="3D9C2C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5E0189A-25A1-4FC7-8908-12FE58E009B0" style="width:455.15pt;height:403.2pt">
            <v:imagedata r:id="rId12" o:title=""/>
          </v:shape>
        </w:pict>
      </w:r>
    </w:p>
    <w:p w14:paraId="1AB5315A" w14:textId="30B20100" w:rsidR="008A50D4" w:rsidRDefault="008A50D4" w:rsidP="00843ACF">
      <w:pPr>
        <w:rPr>
          <w:noProof/>
        </w:rPr>
        <w:sectPr w:rsidR="008A50D4" w:rsidSect="00F14618">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14:paraId="1C034885" w14:textId="77777777" w:rsidR="006052EE" w:rsidRDefault="006052EE" w:rsidP="00445C9D">
      <w:pPr>
        <w:pStyle w:val="Exposdesmotifstitre"/>
        <w:rPr>
          <w:noProof/>
        </w:rPr>
      </w:pPr>
      <w:r w:rsidRPr="006F770D">
        <w:rPr>
          <w:noProof/>
        </w:rPr>
        <w:lastRenderedPageBreak/>
        <w:t>EXPLANATORY MEMORANDUM</w:t>
      </w:r>
    </w:p>
    <w:p w14:paraId="4501C96B" w14:textId="4E995852" w:rsidR="006052EE" w:rsidRPr="006F770D" w:rsidRDefault="006052EE" w:rsidP="000B709E">
      <w:pPr>
        <w:pStyle w:val="Heading1"/>
        <w:numPr>
          <w:ilvl w:val="0"/>
          <w:numId w:val="37"/>
        </w:numPr>
        <w:rPr>
          <w:noProof/>
        </w:rPr>
      </w:pPr>
      <w:r w:rsidRPr="006F770D">
        <w:rPr>
          <w:noProof/>
        </w:rPr>
        <w:t>CONTEXT OF THE PROPOSAL</w:t>
      </w:r>
    </w:p>
    <w:p w14:paraId="7098E310" w14:textId="77777777" w:rsidR="0025341A" w:rsidRPr="00616539" w:rsidRDefault="0025341A" w:rsidP="004830AF">
      <w:pPr>
        <w:pStyle w:val="Bullet0"/>
        <w:numPr>
          <w:ilvl w:val="0"/>
          <w:numId w:val="24"/>
        </w:numPr>
        <w:rPr>
          <w:b/>
          <w:bCs/>
          <w:noProof/>
        </w:rPr>
      </w:pPr>
      <w:r w:rsidRPr="00616539">
        <w:rPr>
          <w:b/>
          <w:bCs/>
          <w:noProof/>
        </w:rPr>
        <w:t>Reasons for and objectives of the proposal</w:t>
      </w:r>
    </w:p>
    <w:p w14:paraId="344BCACF" w14:textId="77777777" w:rsidR="00BF07A9" w:rsidRPr="00E853B8" w:rsidRDefault="00BF07A9" w:rsidP="00BF07A9">
      <w:pPr>
        <w:rPr>
          <w:rFonts w:eastAsia="Calibri"/>
          <w:noProof/>
        </w:rPr>
      </w:pPr>
      <w:r w:rsidRPr="07C29C66">
        <w:rPr>
          <w:rFonts w:eastAsia="Calibri"/>
          <w:noProof/>
        </w:rPr>
        <w:t xml:space="preserve">The EU </w:t>
      </w:r>
      <w:r w:rsidR="004D5429">
        <w:rPr>
          <w:rFonts w:eastAsia="Calibri"/>
          <w:noProof/>
        </w:rPr>
        <w:t>e</w:t>
      </w:r>
      <w:r w:rsidRPr="07C29C66">
        <w:rPr>
          <w:rFonts w:eastAsia="Calibri"/>
          <w:noProof/>
        </w:rPr>
        <w:t xml:space="preserve">missions </w:t>
      </w:r>
      <w:r w:rsidR="004D5429">
        <w:rPr>
          <w:rFonts w:eastAsia="Calibri"/>
          <w:noProof/>
        </w:rPr>
        <w:t>t</w:t>
      </w:r>
      <w:r w:rsidRPr="07C29C66">
        <w:rPr>
          <w:rFonts w:eastAsia="Calibri"/>
          <w:noProof/>
        </w:rPr>
        <w:t xml:space="preserve">rading </w:t>
      </w:r>
      <w:r w:rsidR="004D5429">
        <w:rPr>
          <w:rFonts w:eastAsia="Calibri"/>
          <w:noProof/>
        </w:rPr>
        <w:t>s</w:t>
      </w:r>
      <w:r w:rsidRPr="07C29C66">
        <w:rPr>
          <w:rFonts w:eastAsia="Calibri"/>
          <w:noProof/>
        </w:rPr>
        <w:t xml:space="preserve">ystem (EU ETS) is the cornerstone of </w:t>
      </w:r>
      <w:r>
        <w:rPr>
          <w:rFonts w:eastAsia="Calibri"/>
          <w:noProof/>
        </w:rPr>
        <w:t xml:space="preserve">the </w:t>
      </w:r>
      <w:r w:rsidRPr="07C29C66">
        <w:rPr>
          <w:rFonts w:eastAsia="Calibri"/>
          <w:noProof/>
        </w:rPr>
        <w:t>EU</w:t>
      </w:r>
      <w:r>
        <w:rPr>
          <w:rFonts w:eastAsia="Calibri"/>
          <w:noProof/>
        </w:rPr>
        <w:t>’s</w:t>
      </w:r>
      <w:r w:rsidRPr="07C29C66">
        <w:rPr>
          <w:rFonts w:eastAsia="Calibri"/>
          <w:noProof/>
        </w:rPr>
        <w:t xml:space="preserve"> climate policy</w:t>
      </w:r>
      <w:r>
        <w:rPr>
          <w:rFonts w:eastAsia="Calibri"/>
          <w:noProof/>
        </w:rPr>
        <w:t>, driving decarbonisation, competitiveness and resilience</w:t>
      </w:r>
      <w:r w:rsidRPr="07C29C66">
        <w:rPr>
          <w:rFonts w:eastAsia="Calibri"/>
          <w:noProof/>
        </w:rPr>
        <w:t xml:space="preserve">. Directive 2003/87/EC (the ‘ETS Directive’) lays down the rules for greenhouse gas </w:t>
      </w:r>
      <w:r w:rsidR="00F523C5">
        <w:rPr>
          <w:rFonts w:eastAsia="Calibri"/>
          <w:noProof/>
        </w:rPr>
        <w:t>(GHG)</w:t>
      </w:r>
      <w:r w:rsidRPr="07C29C66">
        <w:rPr>
          <w:rFonts w:eastAsia="Calibri"/>
          <w:noProof/>
        </w:rPr>
        <w:t xml:space="preserve"> emission allowance trading within the EU. The </w:t>
      </w:r>
      <w:r w:rsidR="00D237CE">
        <w:rPr>
          <w:rFonts w:eastAsia="Calibri"/>
          <w:noProof/>
        </w:rPr>
        <w:t>m</w:t>
      </w:r>
      <w:r w:rsidRPr="07C29C66">
        <w:rPr>
          <w:rFonts w:eastAsia="Calibri"/>
          <w:noProof/>
        </w:rPr>
        <w:t xml:space="preserve">arket </w:t>
      </w:r>
      <w:r w:rsidR="00D237CE">
        <w:rPr>
          <w:rFonts w:eastAsia="Calibri"/>
          <w:noProof/>
        </w:rPr>
        <w:t>s</w:t>
      </w:r>
      <w:r w:rsidRPr="07C29C66">
        <w:rPr>
          <w:rFonts w:eastAsia="Calibri"/>
          <w:noProof/>
        </w:rPr>
        <w:t xml:space="preserve">tability </w:t>
      </w:r>
      <w:r w:rsidR="00D237CE">
        <w:rPr>
          <w:rFonts w:eastAsia="Calibri"/>
          <w:noProof/>
        </w:rPr>
        <w:t>r</w:t>
      </w:r>
      <w:r w:rsidRPr="07C29C66">
        <w:rPr>
          <w:rFonts w:eastAsia="Calibri"/>
          <w:noProof/>
        </w:rPr>
        <w:t xml:space="preserve">eserve (MSR) for the EU </w:t>
      </w:r>
      <w:r w:rsidRPr="24AF06D3">
        <w:rPr>
          <w:rFonts w:eastAsia="Calibri"/>
          <w:noProof/>
        </w:rPr>
        <w:t>ETS</w:t>
      </w:r>
      <w:r w:rsidRPr="07C29C66">
        <w:rPr>
          <w:rFonts w:eastAsia="Calibri"/>
          <w:noProof/>
        </w:rPr>
        <w:t xml:space="preserve"> was established by Decision (EU) 2015/1814 (the ‘MSR Decision’)</w:t>
      </w:r>
      <w:r w:rsidR="00D93F38">
        <w:rPr>
          <w:rStyle w:val="FootnoteReference"/>
          <w:rFonts w:eastAsia="Calibri"/>
          <w:noProof/>
        </w:rPr>
        <w:footnoteReference w:id="1"/>
      </w:r>
      <w:r>
        <w:rPr>
          <w:rFonts w:eastAsia="Calibri"/>
          <w:noProof/>
        </w:rPr>
        <w:t xml:space="preserve"> </w:t>
      </w:r>
      <w:r w:rsidRPr="009A644D">
        <w:rPr>
          <w:rFonts w:eastAsia="Calibri"/>
          <w:noProof/>
        </w:rPr>
        <w:t>to make the EU ETS more resilient in relation to supply-demand imbalances</w:t>
      </w:r>
      <w:r w:rsidRPr="07C29C66">
        <w:rPr>
          <w:rFonts w:eastAsia="Calibri"/>
          <w:noProof/>
        </w:rPr>
        <w:t xml:space="preserve">. </w:t>
      </w:r>
      <w:r w:rsidRPr="005131C6">
        <w:rPr>
          <w:rFonts w:eastAsia="Calibri"/>
          <w:noProof/>
        </w:rPr>
        <w:t>Regulation (EU) 2015/757 of the European Parliament and of the Council of 29 April 2015 on the monitoring, reporting and verification of greenhouse gas emissions from maritime transport</w:t>
      </w:r>
      <w:r>
        <w:rPr>
          <w:rStyle w:val="FootnoteReference"/>
          <w:rFonts w:eastAsia="Calibri"/>
          <w:noProof/>
        </w:rPr>
        <w:footnoteReference w:id="2"/>
      </w:r>
      <w:r w:rsidR="00FE18B8">
        <w:rPr>
          <w:rFonts w:eastAsia="Calibri"/>
          <w:noProof/>
        </w:rPr>
        <w:t xml:space="preserve"> (the MRV Maritime</w:t>
      </w:r>
      <w:r w:rsidR="006D22D9">
        <w:rPr>
          <w:rFonts w:eastAsia="Calibri"/>
          <w:noProof/>
        </w:rPr>
        <w:t xml:space="preserve"> Regulation)</w:t>
      </w:r>
      <w:r>
        <w:rPr>
          <w:rFonts w:eastAsia="Calibri"/>
          <w:noProof/>
        </w:rPr>
        <w:t xml:space="preserve"> completes the set of legislative acts regulating the EU ETS.</w:t>
      </w:r>
      <w:r w:rsidR="004063D1">
        <w:rPr>
          <w:rFonts w:eastAsia="Calibri"/>
          <w:noProof/>
        </w:rPr>
        <w:t xml:space="preserve"> </w:t>
      </w:r>
    </w:p>
    <w:p w14:paraId="5AB0338D" w14:textId="77777777" w:rsidR="00BF07A9" w:rsidRPr="00E853B8" w:rsidRDefault="00BF07A9" w:rsidP="00BF07A9">
      <w:pPr>
        <w:rPr>
          <w:rFonts w:eastAsia="Calibri"/>
          <w:noProof/>
        </w:rPr>
      </w:pPr>
      <w:r w:rsidRPr="1717013D">
        <w:rPr>
          <w:rFonts w:eastAsia="Calibri"/>
          <w:noProof/>
        </w:rPr>
        <w:t>Regulation (EU) 2021/1119 of the European Parliament and of the Council (the European Climate Law)</w:t>
      </w:r>
      <w:r>
        <w:rPr>
          <w:rStyle w:val="FootnoteReference"/>
          <w:rFonts w:eastAsia="Calibri"/>
          <w:noProof/>
        </w:rPr>
        <w:footnoteReference w:id="3"/>
      </w:r>
      <w:r w:rsidRPr="1717013D">
        <w:rPr>
          <w:rFonts w:eastAsia="Calibri"/>
          <w:noProof/>
        </w:rPr>
        <w:t xml:space="preserve"> set a legally binding economy-wide target of </w:t>
      </w:r>
      <w:r w:rsidR="006346F8">
        <w:rPr>
          <w:rFonts w:eastAsia="Calibri"/>
          <w:noProof/>
        </w:rPr>
        <w:t>achieving</w:t>
      </w:r>
      <w:r w:rsidRPr="1717013D">
        <w:rPr>
          <w:rFonts w:eastAsia="Calibri"/>
          <w:noProof/>
        </w:rPr>
        <w:t xml:space="preserve"> net</w:t>
      </w:r>
      <w:r w:rsidR="004A3AAA">
        <w:rPr>
          <w:rFonts w:eastAsia="Calibri"/>
          <w:noProof/>
        </w:rPr>
        <w:t>-</w:t>
      </w:r>
      <w:r w:rsidRPr="1717013D">
        <w:rPr>
          <w:rFonts w:eastAsia="Calibri"/>
          <w:noProof/>
        </w:rPr>
        <w:t xml:space="preserve">zero </w:t>
      </w:r>
      <w:r w:rsidR="004A3AAA">
        <w:rPr>
          <w:rFonts w:eastAsia="Calibri"/>
          <w:noProof/>
        </w:rPr>
        <w:t>GHG</w:t>
      </w:r>
      <w:r w:rsidRPr="1717013D">
        <w:rPr>
          <w:rFonts w:eastAsia="Calibri"/>
          <w:noProof/>
        </w:rPr>
        <w:t xml:space="preserve"> emissions by 2050. The ETS Directive and the MSR Decision were </w:t>
      </w:r>
      <w:r>
        <w:rPr>
          <w:rFonts w:eastAsia="Calibri"/>
          <w:noProof/>
        </w:rPr>
        <w:t>amended</w:t>
      </w:r>
      <w:r w:rsidRPr="1717013D">
        <w:rPr>
          <w:rFonts w:eastAsia="Calibri"/>
          <w:noProof/>
        </w:rPr>
        <w:t xml:space="preserve"> in 2023 by Directive</w:t>
      </w:r>
      <w:r w:rsidR="004A3AAA">
        <w:rPr>
          <w:rFonts w:eastAsia="Calibri"/>
          <w:noProof/>
        </w:rPr>
        <w:t>s</w:t>
      </w:r>
      <w:r w:rsidRPr="1717013D">
        <w:rPr>
          <w:rFonts w:eastAsia="Calibri"/>
          <w:noProof/>
        </w:rPr>
        <w:t xml:space="preserve"> (EU) 2023/958 and (EU) 2023/959</w:t>
      </w:r>
      <w:r>
        <w:rPr>
          <w:rStyle w:val="FootnoteReference"/>
          <w:rFonts w:eastAsia="Calibri"/>
          <w:noProof/>
        </w:rPr>
        <w:footnoteReference w:id="4"/>
      </w:r>
      <w:r w:rsidRPr="1717013D">
        <w:rPr>
          <w:rFonts w:eastAsia="Calibri"/>
          <w:noProof/>
        </w:rPr>
        <w:t xml:space="preserve"> as part of </w:t>
      </w:r>
      <w:r>
        <w:rPr>
          <w:rFonts w:eastAsia="Calibri"/>
          <w:noProof/>
        </w:rPr>
        <w:t>the</w:t>
      </w:r>
      <w:r w:rsidRPr="1717013D">
        <w:rPr>
          <w:rFonts w:eastAsia="Calibri"/>
          <w:noProof/>
        </w:rPr>
        <w:t xml:space="preserve"> ‘Fit for 55’ package</w:t>
      </w:r>
      <w:r w:rsidR="00BE7AE4">
        <w:rPr>
          <w:rFonts w:eastAsia="Calibri"/>
          <w:noProof/>
        </w:rPr>
        <w:t>, which aimed to</w:t>
      </w:r>
      <w:r w:rsidRPr="007F4A3C">
        <w:rPr>
          <w:rFonts w:eastAsia="Calibri"/>
          <w:noProof/>
        </w:rPr>
        <w:t xml:space="preserve"> </w:t>
      </w:r>
      <w:r w:rsidR="00BE7AE4" w:rsidRPr="1717013D">
        <w:rPr>
          <w:rFonts w:eastAsia="Calibri"/>
          <w:noProof/>
        </w:rPr>
        <w:t>mak</w:t>
      </w:r>
      <w:r w:rsidR="00BE7AE4">
        <w:rPr>
          <w:rFonts w:eastAsia="Calibri"/>
          <w:noProof/>
        </w:rPr>
        <w:t>e</w:t>
      </w:r>
      <w:r w:rsidRPr="1717013D">
        <w:rPr>
          <w:rFonts w:eastAsia="Calibri"/>
          <w:noProof/>
        </w:rPr>
        <w:t xml:space="preserve"> all sectors of the EU’s economy fit to meet the intermediate 2030 target</w:t>
      </w:r>
      <w:r w:rsidRPr="007F4A3C">
        <w:rPr>
          <w:rFonts w:eastAsia="Calibri"/>
          <w:noProof/>
        </w:rPr>
        <w:t xml:space="preserve"> </w:t>
      </w:r>
      <w:r w:rsidRPr="1717013D">
        <w:rPr>
          <w:rFonts w:eastAsia="Calibri"/>
          <w:noProof/>
        </w:rPr>
        <w:t xml:space="preserve">of reducing net </w:t>
      </w:r>
      <w:r w:rsidR="007A0DD3">
        <w:rPr>
          <w:rFonts w:eastAsia="Calibri"/>
          <w:noProof/>
        </w:rPr>
        <w:t>GHG</w:t>
      </w:r>
      <w:r w:rsidRPr="1717013D">
        <w:rPr>
          <w:rFonts w:eastAsia="Calibri"/>
          <w:noProof/>
        </w:rPr>
        <w:t xml:space="preserve"> emissions by at least 55% by 2030, compared to 1990 levels. </w:t>
      </w:r>
    </w:p>
    <w:p w14:paraId="34B68596" w14:textId="77777777" w:rsidR="00BF07A9" w:rsidRDefault="00BF07A9" w:rsidP="00BF07A9">
      <w:pPr>
        <w:rPr>
          <w:rFonts w:eastAsia="Calibri"/>
          <w:noProof/>
        </w:rPr>
      </w:pPr>
      <w:r w:rsidRPr="00C3690F">
        <w:rPr>
          <w:rFonts w:eastAsia="Calibri"/>
          <w:noProof/>
        </w:rPr>
        <w:t xml:space="preserve">The world today looks different than a few years ago. </w:t>
      </w:r>
      <w:r w:rsidR="00EE4CB9">
        <w:rPr>
          <w:rFonts w:eastAsia="Calibri"/>
          <w:noProof/>
        </w:rPr>
        <w:t>Russia’s war of ag</w:t>
      </w:r>
      <w:r w:rsidR="00212938">
        <w:rPr>
          <w:rFonts w:eastAsia="Calibri"/>
          <w:noProof/>
        </w:rPr>
        <w:t>g</w:t>
      </w:r>
      <w:r w:rsidR="00EE4CB9">
        <w:rPr>
          <w:rFonts w:eastAsia="Calibri"/>
          <w:noProof/>
        </w:rPr>
        <w:t xml:space="preserve">ression against </w:t>
      </w:r>
      <w:r w:rsidR="009D6FAF" w:rsidRPr="00C3690F">
        <w:rPr>
          <w:rFonts w:eastAsia="Calibri"/>
          <w:noProof/>
        </w:rPr>
        <w:t>Ukraine</w:t>
      </w:r>
      <w:r w:rsidR="009D6FAF">
        <w:rPr>
          <w:rFonts w:eastAsia="Calibri"/>
          <w:noProof/>
        </w:rPr>
        <w:t xml:space="preserve"> and the c</w:t>
      </w:r>
      <w:r w:rsidR="00170581" w:rsidRPr="00C3690F">
        <w:rPr>
          <w:rFonts w:eastAsia="Calibri"/>
          <w:noProof/>
        </w:rPr>
        <w:t xml:space="preserve">onflict </w:t>
      </w:r>
      <w:r w:rsidR="5F9E26C0" w:rsidRPr="5C8E092B">
        <w:rPr>
          <w:rFonts w:eastAsia="Calibri"/>
          <w:noProof/>
        </w:rPr>
        <w:t>in</w:t>
      </w:r>
      <w:r w:rsidRPr="00C3690F">
        <w:rPr>
          <w:rFonts w:eastAsia="Calibri"/>
          <w:noProof/>
        </w:rPr>
        <w:t xml:space="preserve"> the Middle East confront the EU once again with rising energy prices</w:t>
      </w:r>
      <w:r w:rsidRPr="00CE0F9B">
        <w:rPr>
          <w:rFonts w:eastAsia="Calibri"/>
          <w:noProof/>
        </w:rPr>
        <w:t>, damaging the industrial competitiveness of the European industry</w:t>
      </w:r>
      <w:r w:rsidRPr="00C3690F">
        <w:rPr>
          <w:rFonts w:eastAsia="Calibri"/>
          <w:noProof/>
        </w:rPr>
        <w:t xml:space="preserve">. Simultaneously, climate change is intensifying, with extreme weather events in Europe becoming more frequent and severe. To face these challenges, </w:t>
      </w:r>
      <w:r>
        <w:rPr>
          <w:rFonts w:eastAsia="Calibri"/>
          <w:noProof/>
        </w:rPr>
        <w:t>the EU</w:t>
      </w:r>
      <w:r w:rsidRPr="00C3690F">
        <w:rPr>
          <w:rFonts w:eastAsia="Calibri"/>
          <w:noProof/>
        </w:rPr>
        <w:t xml:space="preserve"> need</w:t>
      </w:r>
      <w:r>
        <w:rPr>
          <w:rFonts w:eastAsia="Calibri"/>
          <w:noProof/>
        </w:rPr>
        <w:t>s</w:t>
      </w:r>
      <w:r w:rsidRPr="00C3690F">
        <w:rPr>
          <w:rFonts w:eastAsia="Calibri"/>
          <w:noProof/>
        </w:rPr>
        <w:t xml:space="preserve"> to invest in homegrown and clean energy</w:t>
      </w:r>
      <w:r w:rsidRPr="006E3EC5">
        <w:rPr>
          <w:rFonts w:eastAsia="Calibri"/>
          <w:noProof/>
        </w:rPr>
        <w:t xml:space="preserve"> and continue decarbonisation</w:t>
      </w:r>
      <w:r>
        <w:rPr>
          <w:rFonts w:eastAsia="Calibri"/>
          <w:noProof/>
        </w:rPr>
        <w:t xml:space="preserve"> </w:t>
      </w:r>
      <w:r w:rsidRPr="00C3690F">
        <w:rPr>
          <w:rFonts w:eastAsia="Calibri"/>
          <w:noProof/>
        </w:rPr>
        <w:t xml:space="preserve">to reduce </w:t>
      </w:r>
      <w:r>
        <w:rPr>
          <w:rFonts w:eastAsia="Calibri"/>
          <w:noProof/>
        </w:rPr>
        <w:t>its</w:t>
      </w:r>
      <w:r w:rsidRPr="00C3690F">
        <w:rPr>
          <w:rFonts w:eastAsia="Calibri"/>
          <w:noProof/>
        </w:rPr>
        <w:t xml:space="preserve"> dependencies and strengthen industrial competitiveness</w:t>
      </w:r>
      <w:r w:rsidR="000529F1">
        <w:rPr>
          <w:rFonts w:eastAsia="Calibri"/>
          <w:noProof/>
        </w:rPr>
        <w:t>,</w:t>
      </w:r>
      <w:r w:rsidR="000529F1" w:rsidRPr="000529F1">
        <w:rPr>
          <w:rFonts w:eastAsia="Calibri"/>
          <w:noProof/>
        </w:rPr>
        <w:t xml:space="preserve"> while promoting a just and socially fair transition for all</w:t>
      </w:r>
      <w:r w:rsidRPr="00C3690F">
        <w:rPr>
          <w:rFonts w:eastAsia="Calibri"/>
          <w:noProof/>
        </w:rPr>
        <w:t xml:space="preserve">. This </w:t>
      </w:r>
      <w:r>
        <w:rPr>
          <w:rFonts w:eastAsia="Calibri"/>
          <w:noProof/>
        </w:rPr>
        <w:t>was already</w:t>
      </w:r>
      <w:r w:rsidRPr="00C3690F">
        <w:rPr>
          <w:rFonts w:eastAsia="Calibri"/>
          <w:noProof/>
        </w:rPr>
        <w:t xml:space="preserve"> </w:t>
      </w:r>
      <w:r w:rsidRPr="00C3690F">
        <w:rPr>
          <w:rFonts w:eastAsia="Calibri"/>
          <w:noProof/>
        </w:rPr>
        <w:lastRenderedPageBreak/>
        <w:t>set out in the Competitiveness Compass</w:t>
      </w:r>
      <w:r w:rsidR="00674668">
        <w:rPr>
          <w:rStyle w:val="FootnoteReference"/>
          <w:rFonts w:eastAsia="Calibri"/>
          <w:noProof/>
        </w:rPr>
        <w:footnoteReference w:id="5"/>
      </w:r>
      <w:r w:rsidRPr="00C3690F">
        <w:rPr>
          <w:rFonts w:eastAsia="Calibri"/>
          <w:noProof/>
        </w:rPr>
        <w:t xml:space="preserve"> and the Clean Industrial Deal</w:t>
      </w:r>
      <w:r w:rsidR="00BF58BE">
        <w:rPr>
          <w:rStyle w:val="FootnoteReference"/>
          <w:rFonts w:eastAsia="Calibri"/>
          <w:noProof/>
        </w:rPr>
        <w:footnoteReference w:id="6"/>
      </w:r>
      <w:r w:rsidR="009240F8">
        <w:rPr>
          <w:rFonts w:eastAsia="Calibri"/>
          <w:noProof/>
        </w:rPr>
        <w:t xml:space="preserve"> which were</w:t>
      </w:r>
      <w:r>
        <w:rPr>
          <w:rFonts w:eastAsia="Calibri"/>
          <w:noProof/>
        </w:rPr>
        <w:t xml:space="preserve"> adopted in 2025</w:t>
      </w:r>
      <w:r w:rsidR="009240F8">
        <w:rPr>
          <w:rFonts w:eastAsia="Calibri"/>
          <w:noProof/>
        </w:rPr>
        <w:t>.</w:t>
      </w:r>
      <w:r w:rsidRPr="00C3690F">
        <w:rPr>
          <w:rFonts w:eastAsia="Calibri"/>
          <w:noProof/>
        </w:rPr>
        <w:t xml:space="preserve"> </w:t>
      </w:r>
      <w:r w:rsidR="009240F8">
        <w:rPr>
          <w:rFonts w:eastAsia="Calibri"/>
          <w:noProof/>
        </w:rPr>
        <w:t>T</w:t>
      </w:r>
      <w:r w:rsidRPr="00C3690F">
        <w:rPr>
          <w:rFonts w:eastAsia="Calibri"/>
          <w:noProof/>
        </w:rPr>
        <w:t xml:space="preserve">he rapidly changing geopolitical context makes this even more relevant. </w:t>
      </w:r>
    </w:p>
    <w:p w14:paraId="592F8B68" w14:textId="77777777" w:rsidR="00BF07A9" w:rsidRDefault="00BF07A9" w:rsidP="00BF07A9">
      <w:pPr>
        <w:rPr>
          <w:rFonts w:eastAsia="Calibri"/>
          <w:noProof/>
        </w:rPr>
      </w:pPr>
      <w:r w:rsidRPr="775B584D">
        <w:rPr>
          <w:rFonts w:eastAsia="Calibri"/>
          <w:noProof/>
        </w:rPr>
        <w:t>The EU has adopted a legally binding climate target of 90% reduction in net GHG emissions for 2040</w:t>
      </w:r>
      <w:r w:rsidR="00FF4F52">
        <w:rPr>
          <w:rStyle w:val="FootnoteReference"/>
          <w:rFonts w:eastAsia="Calibri"/>
          <w:noProof/>
        </w:rPr>
        <w:footnoteReference w:id="7"/>
      </w:r>
      <w:r w:rsidRPr="775B584D">
        <w:rPr>
          <w:rFonts w:eastAsia="Calibri"/>
          <w:noProof/>
        </w:rPr>
        <w:t>. The 2040 climate target provides the necessary predictability and stability for investments in the EU</w:t>
      </w:r>
      <w:r w:rsidR="00B838F6">
        <w:rPr>
          <w:rFonts w:eastAsia="Calibri"/>
          <w:noProof/>
        </w:rPr>
        <w:t>’</w:t>
      </w:r>
      <w:r w:rsidRPr="775B584D">
        <w:rPr>
          <w:rFonts w:eastAsia="Calibri"/>
          <w:noProof/>
        </w:rPr>
        <w:t>s clean energy transition and for driving industrial competitiveness</w:t>
      </w:r>
      <w:r>
        <w:rPr>
          <w:rFonts w:eastAsia="Calibri"/>
          <w:noProof/>
        </w:rPr>
        <w:t>, taking</w:t>
      </w:r>
      <w:r w:rsidRPr="775B584D">
        <w:rPr>
          <w:rFonts w:eastAsia="Calibri"/>
          <w:noProof/>
        </w:rPr>
        <w:t xml:space="preserve"> full account of the current economic, security and geopolitical landscape</w:t>
      </w:r>
      <w:r w:rsidR="00D343BB">
        <w:rPr>
          <w:rFonts w:eastAsia="Calibri"/>
          <w:noProof/>
        </w:rPr>
        <w:t>,</w:t>
      </w:r>
      <w:r w:rsidRPr="775B584D">
        <w:rPr>
          <w:rFonts w:eastAsia="Calibri"/>
          <w:noProof/>
        </w:rPr>
        <w:t xml:space="preserve"> in alignment with the EU</w:t>
      </w:r>
      <w:r w:rsidR="000D173A">
        <w:rPr>
          <w:rFonts w:eastAsia="Calibri"/>
          <w:noProof/>
        </w:rPr>
        <w:t>’s</w:t>
      </w:r>
      <w:r w:rsidRPr="775B584D">
        <w:rPr>
          <w:rFonts w:eastAsia="Calibri"/>
          <w:noProof/>
        </w:rPr>
        <w:t xml:space="preserve"> Competitiveness Compass</w:t>
      </w:r>
      <w:r w:rsidRPr="775B584D">
        <w:rPr>
          <w:rStyle w:val="FootnoteReference"/>
          <w:rFonts w:eastAsia="Calibri"/>
          <w:noProof/>
        </w:rPr>
        <w:footnoteReference w:id="8"/>
      </w:r>
      <w:r w:rsidRPr="775B584D">
        <w:rPr>
          <w:rFonts w:eastAsia="Calibri"/>
          <w:noProof/>
        </w:rPr>
        <w:t xml:space="preserve">, </w:t>
      </w:r>
      <w:r w:rsidR="000D173A">
        <w:rPr>
          <w:rFonts w:eastAsia="Calibri"/>
          <w:noProof/>
        </w:rPr>
        <w:t xml:space="preserve">the </w:t>
      </w:r>
      <w:r w:rsidRPr="775B584D">
        <w:rPr>
          <w:rFonts w:eastAsia="Calibri"/>
          <w:noProof/>
        </w:rPr>
        <w:t>Clean Industrial Deal</w:t>
      </w:r>
      <w:r w:rsidRPr="775B584D">
        <w:rPr>
          <w:rStyle w:val="FootnoteReference"/>
          <w:rFonts w:eastAsia="Calibri"/>
          <w:noProof/>
        </w:rPr>
        <w:footnoteReference w:id="9"/>
      </w:r>
      <w:r w:rsidRPr="775B584D">
        <w:rPr>
          <w:rFonts w:eastAsia="Calibri"/>
          <w:noProof/>
        </w:rPr>
        <w:t xml:space="preserve"> and AccelerateEU</w:t>
      </w:r>
      <w:r w:rsidRPr="775B584D">
        <w:rPr>
          <w:rStyle w:val="FootnoteReference"/>
          <w:rFonts w:eastAsia="Calibri"/>
          <w:noProof/>
        </w:rPr>
        <w:footnoteReference w:id="10"/>
      </w:r>
      <w:r w:rsidRPr="775B584D">
        <w:rPr>
          <w:rFonts w:eastAsia="Calibri"/>
          <w:noProof/>
        </w:rPr>
        <w:t xml:space="preserve">. </w:t>
      </w:r>
      <w:r w:rsidRPr="0F869E45">
        <w:rPr>
          <w:rFonts w:eastAsia="Calibri"/>
          <w:noProof/>
        </w:rPr>
        <w:t xml:space="preserve">To </w:t>
      </w:r>
      <w:r w:rsidR="00D343BB">
        <w:rPr>
          <w:rFonts w:eastAsia="Calibri"/>
          <w:noProof/>
        </w:rPr>
        <w:t>achieve</w:t>
      </w:r>
      <w:r w:rsidRPr="0F869E45">
        <w:rPr>
          <w:rFonts w:eastAsia="Calibri"/>
          <w:noProof/>
        </w:rPr>
        <w:t xml:space="preserve"> the new economy-wide 2040 climate target, Article 4(4) of the European Climate Law requires the climate and energy acquis to be revised and updated.</w:t>
      </w:r>
      <w:r w:rsidR="008A47C3">
        <w:rPr>
          <w:rFonts w:eastAsia="Calibri"/>
          <w:noProof/>
        </w:rPr>
        <w:t xml:space="preserve"> </w:t>
      </w:r>
    </w:p>
    <w:p w14:paraId="1003EC4D" w14:textId="77777777" w:rsidR="00BF07A9" w:rsidRDefault="00102200" w:rsidP="00BF07A9">
      <w:pPr>
        <w:rPr>
          <w:rFonts w:eastAsia="Calibri"/>
          <w:noProof/>
        </w:rPr>
      </w:pPr>
      <w:r>
        <w:rPr>
          <w:rFonts w:eastAsia="Calibri"/>
          <w:noProof/>
        </w:rPr>
        <w:t>I</w:t>
      </w:r>
      <w:r w:rsidR="00BF07A9">
        <w:rPr>
          <w:noProof/>
        </w:rPr>
        <w:t>n its conclusions of 19 March 2026</w:t>
      </w:r>
      <w:r w:rsidR="00BF07A9" w:rsidRPr="1717013D">
        <w:rPr>
          <w:rStyle w:val="FootnoteReference"/>
          <w:noProof/>
        </w:rPr>
        <w:footnoteReference w:id="11"/>
      </w:r>
      <w:r w:rsidR="00BF07A9">
        <w:rPr>
          <w:noProof/>
        </w:rPr>
        <w:t xml:space="preserve"> the Council invited the Commission to present a review of the EU ETS by July 2026 at the latest, to reduce the volatility of the carbon price and mitigate its impact on electricity prices, including related supply chain costs, and on diversion of activities, while preserving the essential role of the ETS in the climate and energy transition through a market-based price signal for carbon emissions that drives investment and innovation. The Council, the Parliament and the European Commission, signed the </w:t>
      </w:r>
      <w:r w:rsidR="00B838F6">
        <w:rPr>
          <w:noProof/>
        </w:rPr>
        <w:t>‘</w:t>
      </w:r>
      <w:r w:rsidR="00BF07A9">
        <w:rPr>
          <w:noProof/>
        </w:rPr>
        <w:t>One Europe, One Market</w:t>
      </w:r>
      <w:r w:rsidR="00B838F6">
        <w:rPr>
          <w:noProof/>
        </w:rPr>
        <w:t>’</w:t>
      </w:r>
      <w:r w:rsidR="00BF07A9">
        <w:rPr>
          <w:noProof/>
        </w:rPr>
        <w:t xml:space="preserve"> roadmap </w:t>
      </w:r>
      <w:r w:rsidR="00700B03">
        <w:rPr>
          <w:noProof/>
        </w:rPr>
        <w:t>in April 2026</w:t>
      </w:r>
      <w:r w:rsidR="00BF07A9">
        <w:rPr>
          <w:noProof/>
        </w:rPr>
        <w:t xml:space="preserve"> setting Q1 2027 as target for </w:t>
      </w:r>
      <w:r w:rsidR="00D343BB">
        <w:rPr>
          <w:noProof/>
        </w:rPr>
        <w:t xml:space="preserve">agreeing on </w:t>
      </w:r>
      <w:r w:rsidR="00BF07A9">
        <w:rPr>
          <w:noProof/>
        </w:rPr>
        <w:t>the review of the EU ETS.</w:t>
      </w:r>
      <w:r w:rsidR="00BF07A9" w:rsidRPr="1717013D">
        <w:rPr>
          <w:rStyle w:val="FootnoteReference"/>
          <w:noProof/>
        </w:rPr>
        <w:footnoteReference w:id="12"/>
      </w:r>
    </w:p>
    <w:p w14:paraId="018CFF72" w14:textId="77777777" w:rsidR="00BF07A9" w:rsidRPr="007E4375" w:rsidRDefault="00BF07A9" w:rsidP="00BF07A9">
      <w:pPr>
        <w:pBdr>
          <w:top w:val="nil"/>
          <w:left w:val="nil"/>
          <w:bottom w:val="nil"/>
          <w:right w:val="nil"/>
          <w:between w:val="nil"/>
          <w:bar w:val="nil"/>
        </w:pBdr>
        <w:spacing w:before="0" w:after="240"/>
        <w:rPr>
          <w:rFonts w:eastAsia="Calibri"/>
          <w:noProof/>
        </w:rPr>
      </w:pPr>
      <w:r w:rsidRPr="0037405C">
        <w:rPr>
          <w:rFonts w:eastAsia="Calibri"/>
          <w:noProof/>
        </w:rPr>
        <w:t xml:space="preserve">The present review of the EU ETS is the first part of a package of proposals to contribute to Europe’s economic resilience and competitiveness and </w:t>
      </w:r>
      <w:r w:rsidR="00FF028A" w:rsidRPr="0037405C">
        <w:rPr>
          <w:rFonts w:eastAsia="Calibri"/>
          <w:noProof/>
        </w:rPr>
        <w:t xml:space="preserve">achieve </w:t>
      </w:r>
      <w:r w:rsidRPr="0037405C">
        <w:rPr>
          <w:rFonts w:eastAsia="Calibri"/>
          <w:noProof/>
        </w:rPr>
        <w:t xml:space="preserve">the economy-wide 2040 climate target. Thus, the objective of this proposal is to ensure that the EU ETS continues to </w:t>
      </w:r>
      <w:r w:rsidR="004B1606" w:rsidRPr="0037405C">
        <w:rPr>
          <w:rFonts w:eastAsia="Calibri"/>
          <w:noProof/>
        </w:rPr>
        <w:t>support the achieve</w:t>
      </w:r>
      <w:r w:rsidR="6494E5C9" w:rsidRPr="0037405C">
        <w:rPr>
          <w:rFonts w:eastAsia="Calibri"/>
          <w:noProof/>
        </w:rPr>
        <w:t>me</w:t>
      </w:r>
      <w:r w:rsidR="004B1606" w:rsidRPr="0037405C">
        <w:rPr>
          <w:rFonts w:eastAsia="Calibri"/>
          <w:noProof/>
        </w:rPr>
        <w:t>nt of</w:t>
      </w:r>
      <w:r w:rsidRPr="0037405C">
        <w:rPr>
          <w:rFonts w:eastAsia="Calibri"/>
          <w:noProof/>
        </w:rPr>
        <w:t xml:space="preserve"> economy-wide carbon neutrality by 2050 in a market- and rule-based, technology</w:t>
      </w:r>
      <w:r w:rsidR="00E92B47" w:rsidRPr="0037405C">
        <w:rPr>
          <w:rFonts w:eastAsia="Calibri"/>
          <w:noProof/>
        </w:rPr>
        <w:t>-</w:t>
      </w:r>
      <w:r w:rsidRPr="0037405C">
        <w:rPr>
          <w:rFonts w:eastAsia="Calibri"/>
          <w:noProof/>
        </w:rPr>
        <w:t xml:space="preserve">neutral and economically cost-effective manner, while fostering simplification, strengthening its role as an innovation and investment engine driving competitiveness, </w:t>
      </w:r>
      <w:r w:rsidR="00585626">
        <w:rPr>
          <w:rFonts w:eastAsia="Calibri"/>
          <w:noProof/>
        </w:rPr>
        <w:t>as well as</w:t>
      </w:r>
      <w:r w:rsidRPr="0037405C">
        <w:rPr>
          <w:rFonts w:eastAsia="Calibri"/>
          <w:noProof/>
        </w:rPr>
        <w:t xml:space="preserve"> rewarding economic first-movers and frontrunners and providing more support </w:t>
      </w:r>
      <w:r w:rsidR="00F85EB8" w:rsidRPr="0037405C">
        <w:rPr>
          <w:rFonts w:eastAsia="Calibri"/>
          <w:noProof/>
        </w:rPr>
        <w:t xml:space="preserve">to help </w:t>
      </w:r>
      <w:r w:rsidRPr="0037405C">
        <w:rPr>
          <w:rFonts w:eastAsia="Calibri"/>
          <w:noProof/>
        </w:rPr>
        <w:t xml:space="preserve">industry </w:t>
      </w:r>
      <w:r w:rsidR="00F85EB8" w:rsidRPr="0037405C">
        <w:rPr>
          <w:rFonts w:eastAsia="Calibri"/>
          <w:noProof/>
        </w:rPr>
        <w:t>make</w:t>
      </w:r>
      <w:r w:rsidRPr="0037405C">
        <w:rPr>
          <w:rFonts w:eastAsia="Calibri"/>
          <w:noProof/>
        </w:rPr>
        <w:t xml:space="preserve"> the transition. </w:t>
      </w:r>
    </w:p>
    <w:p w14:paraId="1930781B" w14:textId="77777777" w:rsidR="00BF07A9" w:rsidRPr="00A866C7" w:rsidRDefault="00BF07A9" w:rsidP="00BF07A9">
      <w:pPr>
        <w:rPr>
          <w:rFonts w:eastAsia="Times New Roman"/>
          <w:noProof/>
          <w:color w:val="000000"/>
          <w:bdr w:val="nil"/>
          <w:lang w:eastAsia="fr-BE"/>
        </w:rPr>
      </w:pPr>
      <w:r w:rsidRPr="00A866C7">
        <w:rPr>
          <w:rFonts w:eastAsia="Times New Roman"/>
          <w:noProof/>
          <w:color w:val="000000"/>
          <w:bdr w:val="nil"/>
          <w:lang w:eastAsia="fr-BE"/>
        </w:rPr>
        <w:t>The EU ETS has demonstrated its effectiveness, as ETS sectors have reduced their emissions by over 50% since 2005</w:t>
      </w:r>
      <w:r>
        <w:rPr>
          <w:rFonts w:eastAsia="Times New Roman"/>
          <w:noProof/>
          <w:color w:val="000000"/>
          <w:bdr w:val="nil"/>
          <w:lang w:eastAsia="fr-BE"/>
        </w:rPr>
        <w:t>, while the economy has continued to grow</w:t>
      </w:r>
      <w:r w:rsidRPr="00A866C7">
        <w:rPr>
          <w:rFonts w:eastAsia="Times New Roman"/>
          <w:noProof/>
          <w:color w:val="000000"/>
          <w:bdr w:val="nil"/>
          <w:lang w:eastAsia="fr-BE"/>
        </w:rPr>
        <w:t xml:space="preserve">. </w:t>
      </w:r>
      <w:r>
        <w:rPr>
          <w:rFonts w:eastAsia="Calibri"/>
          <w:noProof/>
        </w:rPr>
        <w:t>T</w:t>
      </w:r>
      <w:r w:rsidRPr="6C1996A5">
        <w:rPr>
          <w:rFonts w:eastAsia="Calibri"/>
          <w:noProof/>
        </w:rPr>
        <w:t>he</w:t>
      </w:r>
      <w:r>
        <w:rPr>
          <w:rFonts w:eastAsia="Calibri"/>
          <w:noProof/>
        </w:rPr>
        <w:t xml:space="preserve"> EU</w:t>
      </w:r>
      <w:r w:rsidRPr="6C1996A5">
        <w:rPr>
          <w:rFonts w:eastAsia="Calibri"/>
          <w:noProof/>
        </w:rPr>
        <w:t xml:space="preserve"> ETS </w:t>
      </w:r>
      <w:r>
        <w:rPr>
          <w:rFonts w:eastAsia="Calibri"/>
          <w:noProof/>
        </w:rPr>
        <w:t xml:space="preserve">is an essential driver </w:t>
      </w:r>
      <w:r w:rsidR="00F85EB8">
        <w:rPr>
          <w:rFonts w:eastAsia="Calibri"/>
          <w:noProof/>
        </w:rPr>
        <w:t xml:space="preserve">of </w:t>
      </w:r>
      <w:r>
        <w:rPr>
          <w:rFonts w:eastAsia="Calibri"/>
          <w:noProof/>
        </w:rPr>
        <w:t>clean electrification. E</w:t>
      </w:r>
      <w:r w:rsidRPr="00152E15">
        <w:rPr>
          <w:rFonts w:eastAsia="Calibri"/>
          <w:noProof/>
        </w:rPr>
        <w:t xml:space="preserve">missions from electricity and heat production </w:t>
      </w:r>
      <w:r w:rsidR="00F85EB8">
        <w:rPr>
          <w:rFonts w:eastAsia="Calibri"/>
          <w:noProof/>
        </w:rPr>
        <w:t xml:space="preserve">have </w:t>
      </w:r>
      <w:r w:rsidRPr="00152E15">
        <w:rPr>
          <w:rFonts w:eastAsia="Calibri"/>
          <w:noProof/>
        </w:rPr>
        <w:t xml:space="preserve">dropped by 58% while capacity </w:t>
      </w:r>
      <w:r w:rsidR="00700BCA">
        <w:rPr>
          <w:rFonts w:eastAsia="Calibri"/>
          <w:noProof/>
        </w:rPr>
        <w:t xml:space="preserve">has </w:t>
      </w:r>
      <w:r w:rsidRPr="00152E15">
        <w:rPr>
          <w:rFonts w:eastAsia="Calibri"/>
          <w:noProof/>
        </w:rPr>
        <w:t>expanded by 24% since 199</w:t>
      </w:r>
      <w:r>
        <w:rPr>
          <w:rFonts w:eastAsia="Calibri"/>
          <w:noProof/>
        </w:rPr>
        <w:t xml:space="preserve">0, </w:t>
      </w:r>
      <w:r w:rsidRPr="6C1996A5">
        <w:rPr>
          <w:rFonts w:eastAsia="Calibri"/>
          <w:noProof/>
        </w:rPr>
        <w:t>incentivising</w:t>
      </w:r>
      <w:r w:rsidR="007438D4">
        <w:rPr>
          <w:rFonts w:eastAsia="Calibri"/>
          <w:noProof/>
        </w:rPr>
        <w:t xml:space="preserve"> the </w:t>
      </w:r>
      <w:r w:rsidR="007438D4">
        <w:rPr>
          <w:rFonts w:eastAsia="Times New Roman"/>
          <w:noProof/>
          <w:color w:val="000000"/>
          <w:bdr w:val="nil"/>
          <w:lang w:val="en-US" w:eastAsia="fr-BE"/>
        </w:rPr>
        <w:t>deployment of h</w:t>
      </w:r>
      <w:r w:rsidR="007438D4" w:rsidRPr="007438D4">
        <w:rPr>
          <w:rFonts w:eastAsia="Times New Roman"/>
          <w:noProof/>
          <w:color w:val="000000"/>
          <w:bdr w:val="nil"/>
          <w:lang w:val="en-US" w:eastAsia="fr-BE"/>
        </w:rPr>
        <w:t>omegrown</w:t>
      </w:r>
      <w:r w:rsidR="007438D4">
        <w:rPr>
          <w:rFonts w:eastAsia="Times New Roman"/>
          <w:noProof/>
          <w:color w:val="000000"/>
          <w:bdr w:val="nil"/>
          <w:lang w:val="en-US" w:eastAsia="fr-BE"/>
        </w:rPr>
        <w:t>,</w:t>
      </w:r>
      <w:r w:rsidR="007438D4" w:rsidRPr="007438D4">
        <w:rPr>
          <w:rFonts w:eastAsia="Times New Roman"/>
          <w:noProof/>
          <w:color w:val="000000"/>
          <w:bdr w:val="nil"/>
          <w:lang w:val="en-US" w:eastAsia="fr-BE"/>
        </w:rPr>
        <w:t xml:space="preserve"> clean energy</w:t>
      </w:r>
      <w:r w:rsidR="007438D4">
        <w:rPr>
          <w:rFonts w:eastAsia="Times New Roman"/>
          <w:noProof/>
          <w:color w:val="000000"/>
          <w:bdr w:val="nil"/>
          <w:lang w:val="en-US" w:eastAsia="fr-BE"/>
        </w:rPr>
        <w:t xml:space="preserve"> sources</w:t>
      </w:r>
      <w:r w:rsidRPr="6C1996A5">
        <w:rPr>
          <w:rFonts w:eastAsia="Calibri"/>
          <w:noProof/>
        </w:rPr>
        <w:t xml:space="preserve"> </w:t>
      </w:r>
      <w:r w:rsidR="007438D4">
        <w:rPr>
          <w:rFonts w:eastAsia="Calibri"/>
          <w:noProof/>
        </w:rPr>
        <w:t xml:space="preserve">such as </w:t>
      </w:r>
      <w:r w:rsidRPr="6C1996A5">
        <w:rPr>
          <w:rFonts w:eastAsia="Calibri"/>
          <w:noProof/>
        </w:rPr>
        <w:t>renewables</w:t>
      </w:r>
      <w:r>
        <w:rPr>
          <w:rFonts w:eastAsia="Calibri"/>
          <w:noProof/>
        </w:rPr>
        <w:t>, benefitting</w:t>
      </w:r>
      <w:r w:rsidRPr="6C1996A5">
        <w:rPr>
          <w:rFonts w:eastAsia="Calibri"/>
          <w:noProof/>
        </w:rPr>
        <w:t xml:space="preserve"> clean </w:t>
      </w:r>
      <w:r w:rsidRPr="6C1996A5">
        <w:rPr>
          <w:rFonts w:eastAsia="Calibri"/>
          <w:noProof/>
        </w:rPr>
        <w:lastRenderedPageBreak/>
        <w:t>producers</w:t>
      </w:r>
      <w:r>
        <w:rPr>
          <w:rFonts w:eastAsia="Calibri"/>
          <w:noProof/>
        </w:rPr>
        <w:t xml:space="preserve"> and boosting </w:t>
      </w:r>
      <w:r w:rsidRPr="00152E15">
        <w:rPr>
          <w:rFonts w:eastAsia="Calibri"/>
          <w:noProof/>
        </w:rPr>
        <w:t>industrial competitiveness</w:t>
      </w:r>
      <w:r>
        <w:rPr>
          <w:rFonts w:eastAsia="Calibri"/>
          <w:noProof/>
        </w:rPr>
        <w:t xml:space="preserve"> and resilience</w:t>
      </w:r>
      <w:r w:rsidRPr="00152E15">
        <w:rPr>
          <w:rFonts w:eastAsia="Calibri"/>
          <w:noProof/>
        </w:rPr>
        <w:t>.</w:t>
      </w:r>
      <w:r>
        <w:rPr>
          <w:rFonts w:eastAsia="Calibri"/>
          <w:noProof/>
        </w:rPr>
        <w:t xml:space="preserve"> </w:t>
      </w:r>
      <w:r w:rsidR="00700BCA">
        <w:rPr>
          <w:rFonts w:eastAsia="Calibri"/>
          <w:noProof/>
        </w:rPr>
        <w:t xml:space="preserve">Furthermore, </w:t>
      </w:r>
      <w:r w:rsidR="00700BCA">
        <w:rPr>
          <w:rFonts w:eastAsia="Times New Roman"/>
          <w:noProof/>
          <w:color w:val="000000"/>
          <w:bdr w:val="nil"/>
          <w:lang w:eastAsia="fr-BE"/>
        </w:rPr>
        <w:t>t</w:t>
      </w:r>
      <w:r w:rsidRPr="00A866C7">
        <w:rPr>
          <w:rFonts w:eastAsia="Times New Roman"/>
          <w:noProof/>
          <w:color w:val="000000"/>
          <w:bdr w:val="nil"/>
          <w:lang w:eastAsia="fr-BE"/>
        </w:rPr>
        <w:t>ogether with the Carbon Border Adjustment Mechanism</w:t>
      </w:r>
      <w:r w:rsidR="00ED2FB2">
        <w:rPr>
          <w:rFonts w:eastAsia="Times New Roman"/>
          <w:noProof/>
          <w:color w:val="000000"/>
          <w:bdr w:val="nil"/>
          <w:lang w:eastAsia="fr-BE"/>
        </w:rPr>
        <w:t xml:space="preserve"> (CBAM)</w:t>
      </w:r>
      <w:r w:rsidRPr="00A866C7">
        <w:rPr>
          <w:rFonts w:eastAsia="Times New Roman"/>
          <w:noProof/>
          <w:color w:val="000000"/>
          <w:bdr w:val="nil"/>
          <w:lang w:eastAsia="fr-BE"/>
        </w:rPr>
        <w:t>, the ETS has helped to persuade many other countries to set up their own carbon pricing schemes. The World Bank estimates that today</w:t>
      </w:r>
      <w:r w:rsidR="009104ED">
        <w:rPr>
          <w:rFonts w:eastAsia="Times New Roman"/>
          <w:noProof/>
          <w:color w:val="000000"/>
          <w:bdr w:val="nil"/>
          <w:lang w:eastAsia="fr-BE"/>
        </w:rPr>
        <w:t>,</w:t>
      </w:r>
      <w:r w:rsidRPr="00A866C7">
        <w:rPr>
          <w:rFonts w:eastAsia="Times New Roman"/>
          <w:noProof/>
          <w:color w:val="000000"/>
          <w:bdr w:val="nil"/>
          <w:lang w:eastAsia="fr-BE"/>
        </w:rPr>
        <w:t xml:space="preserve"> around 30% of global emissions are covered by carbon pricing, and this share is growing. </w:t>
      </w:r>
    </w:p>
    <w:p w14:paraId="737C666B" w14:textId="77777777" w:rsidR="00BF07A9" w:rsidRDefault="00BF07A9" w:rsidP="00BF07A9">
      <w:pPr>
        <w:rPr>
          <w:rFonts w:eastAsia="Times New Roman"/>
          <w:noProof/>
          <w:color w:val="000000"/>
          <w:bdr w:val="nil"/>
          <w:lang w:eastAsia="fr-BE"/>
        </w:rPr>
      </w:pPr>
      <w:r>
        <w:rPr>
          <w:rFonts w:eastAsia="Times New Roman"/>
          <w:noProof/>
          <w:color w:val="000000"/>
          <w:bdr w:val="nil"/>
          <w:lang w:eastAsia="fr-BE"/>
        </w:rPr>
        <w:t>T</w:t>
      </w:r>
      <w:r w:rsidRPr="00A866C7">
        <w:rPr>
          <w:rFonts w:eastAsia="Times New Roman"/>
          <w:noProof/>
          <w:color w:val="000000"/>
          <w:bdr w:val="nil"/>
          <w:lang w:eastAsia="fr-BE"/>
        </w:rPr>
        <w:t xml:space="preserve">he EU ETS should continue driving economic modernisation and </w:t>
      </w:r>
      <w:r>
        <w:rPr>
          <w:rFonts w:eastAsia="Times New Roman"/>
          <w:noProof/>
          <w:color w:val="000000"/>
          <w:bdr w:val="nil"/>
          <w:lang w:eastAsia="fr-BE"/>
        </w:rPr>
        <w:t>decarbonisation</w:t>
      </w:r>
      <w:r w:rsidRPr="00A866C7">
        <w:rPr>
          <w:rFonts w:eastAsia="Times New Roman"/>
          <w:noProof/>
          <w:color w:val="000000"/>
          <w:bdr w:val="nil"/>
          <w:lang w:eastAsia="fr-BE"/>
        </w:rPr>
        <w:t xml:space="preserve">. At the same time, the transition towards climate neutrality requires </w:t>
      </w:r>
      <w:r w:rsidR="00FD7359">
        <w:rPr>
          <w:rFonts w:eastAsia="Times New Roman"/>
          <w:noProof/>
          <w:color w:val="000000"/>
          <w:bdr w:val="nil"/>
          <w:lang w:eastAsia="fr-BE"/>
        </w:rPr>
        <w:t>strong</w:t>
      </w:r>
      <w:r w:rsidRPr="00A866C7">
        <w:rPr>
          <w:rFonts w:eastAsia="Times New Roman"/>
          <w:noProof/>
          <w:color w:val="000000"/>
          <w:bdr w:val="nil"/>
          <w:lang w:eastAsia="fr-BE"/>
        </w:rPr>
        <w:t xml:space="preserve"> support for Europe’s industrial and clean tech sectors. </w:t>
      </w:r>
      <w:r w:rsidRPr="00E853B8">
        <w:rPr>
          <w:rFonts w:eastAsia="Calibri"/>
          <w:noProof/>
          <w:szCs w:val="24"/>
        </w:rPr>
        <w:t xml:space="preserve">The 2023 review </w:t>
      </w:r>
      <w:r>
        <w:rPr>
          <w:rFonts w:eastAsia="Calibri"/>
          <w:noProof/>
          <w:szCs w:val="24"/>
        </w:rPr>
        <w:t>of the EU ETS</w:t>
      </w:r>
      <w:r w:rsidRPr="00E853B8">
        <w:rPr>
          <w:rFonts w:eastAsia="Calibri"/>
          <w:noProof/>
          <w:szCs w:val="24"/>
        </w:rPr>
        <w:t xml:space="preserve"> introduced several review clauses to assess </w:t>
      </w:r>
      <w:r w:rsidR="007E0607">
        <w:rPr>
          <w:rFonts w:eastAsia="Calibri"/>
          <w:noProof/>
          <w:szCs w:val="24"/>
        </w:rPr>
        <w:t xml:space="preserve">the appropriateness </w:t>
      </w:r>
      <w:r w:rsidR="009937EC">
        <w:rPr>
          <w:rFonts w:eastAsia="Calibri"/>
          <w:noProof/>
          <w:szCs w:val="24"/>
        </w:rPr>
        <w:t xml:space="preserve">of </w:t>
      </w:r>
      <w:r w:rsidRPr="00E853B8">
        <w:rPr>
          <w:rFonts w:eastAsia="Calibri"/>
          <w:noProof/>
          <w:szCs w:val="24"/>
        </w:rPr>
        <w:t>potential adjustments to the system on aviation, maritime and stationary installations in 2026, under Article</w:t>
      </w:r>
      <w:r w:rsidR="007423DC">
        <w:rPr>
          <w:rFonts w:eastAsia="Calibri"/>
          <w:noProof/>
          <w:szCs w:val="24"/>
        </w:rPr>
        <w:t>s</w:t>
      </w:r>
      <w:r w:rsidRPr="00E853B8">
        <w:rPr>
          <w:rFonts w:eastAsia="Calibri"/>
          <w:noProof/>
          <w:szCs w:val="24"/>
        </w:rPr>
        <w:t xml:space="preserve"> 3gg, 28b and 30</w:t>
      </w:r>
      <w:r w:rsidR="007423DC">
        <w:rPr>
          <w:rFonts w:eastAsia="Calibri"/>
          <w:noProof/>
          <w:szCs w:val="24"/>
        </w:rPr>
        <w:t xml:space="preserve"> of the ETS Directive</w:t>
      </w:r>
      <w:r w:rsidRPr="00E853B8">
        <w:rPr>
          <w:rFonts w:eastAsia="Calibri"/>
          <w:noProof/>
          <w:szCs w:val="24"/>
        </w:rPr>
        <w:t xml:space="preserve">. </w:t>
      </w:r>
      <w:r w:rsidRPr="00E853B8" w:rsidDel="00595D95">
        <w:rPr>
          <w:rFonts w:eastAsia="Calibri"/>
          <w:noProof/>
          <w:szCs w:val="24"/>
        </w:rPr>
        <w:t xml:space="preserve">In addition, Article 3 of the MSR Decision </w:t>
      </w:r>
      <w:r w:rsidR="007423DC">
        <w:rPr>
          <w:rFonts w:eastAsia="Calibri"/>
          <w:noProof/>
          <w:szCs w:val="24"/>
        </w:rPr>
        <w:t>imposes</w:t>
      </w:r>
      <w:r w:rsidR="007423DC" w:rsidRPr="00E853B8" w:rsidDel="00595D95">
        <w:rPr>
          <w:rFonts w:eastAsia="Calibri"/>
          <w:noProof/>
          <w:szCs w:val="24"/>
        </w:rPr>
        <w:t xml:space="preserve"> </w:t>
      </w:r>
      <w:r w:rsidRPr="00E853B8" w:rsidDel="00595D95">
        <w:rPr>
          <w:rFonts w:eastAsia="Calibri"/>
          <w:noProof/>
          <w:szCs w:val="24"/>
        </w:rPr>
        <w:t xml:space="preserve">a legal obligation </w:t>
      </w:r>
      <w:r w:rsidR="007423DC">
        <w:rPr>
          <w:rFonts w:eastAsia="Calibri"/>
          <w:noProof/>
          <w:szCs w:val="24"/>
        </w:rPr>
        <w:t>to</w:t>
      </w:r>
      <w:r w:rsidR="007423DC" w:rsidRPr="00E853B8" w:rsidDel="00595D95">
        <w:rPr>
          <w:rFonts w:eastAsia="Calibri"/>
          <w:noProof/>
          <w:szCs w:val="24"/>
        </w:rPr>
        <w:t xml:space="preserve"> </w:t>
      </w:r>
      <w:r w:rsidRPr="00E853B8" w:rsidDel="00595D95">
        <w:rPr>
          <w:rFonts w:eastAsia="Calibri"/>
          <w:noProof/>
          <w:szCs w:val="24"/>
        </w:rPr>
        <w:t xml:space="preserve">review </w:t>
      </w:r>
      <w:r w:rsidR="0071023E">
        <w:rPr>
          <w:rFonts w:eastAsia="Calibri"/>
          <w:noProof/>
          <w:szCs w:val="24"/>
        </w:rPr>
        <w:t>that Decision</w:t>
      </w:r>
      <w:r w:rsidRPr="00E853B8" w:rsidDel="00595D95">
        <w:rPr>
          <w:rFonts w:eastAsia="Calibri"/>
          <w:noProof/>
          <w:szCs w:val="24"/>
        </w:rPr>
        <w:t xml:space="preserve">, with the next review due in 2026. </w:t>
      </w:r>
      <w:r>
        <w:rPr>
          <w:rFonts w:eastAsia="Calibri"/>
          <w:noProof/>
          <w:szCs w:val="24"/>
        </w:rPr>
        <w:t xml:space="preserve">This proposal introduces the relevant measures resulting from the impact assessment </w:t>
      </w:r>
      <w:r w:rsidR="007A0C48">
        <w:rPr>
          <w:rFonts w:eastAsia="Calibri"/>
          <w:noProof/>
          <w:szCs w:val="24"/>
        </w:rPr>
        <w:t xml:space="preserve">carried out to </w:t>
      </w:r>
      <w:r>
        <w:rPr>
          <w:rFonts w:eastAsia="Calibri"/>
          <w:noProof/>
          <w:szCs w:val="24"/>
        </w:rPr>
        <w:t xml:space="preserve">address those review clauses. </w:t>
      </w:r>
      <w:r>
        <w:rPr>
          <w:rFonts w:eastAsia="Times New Roman"/>
          <w:noProof/>
          <w:color w:val="000000"/>
          <w:bdr w:val="nil"/>
          <w:lang w:eastAsia="fr-BE"/>
        </w:rPr>
        <w:t>It preserves</w:t>
      </w:r>
      <w:r w:rsidRPr="00A866C7">
        <w:rPr>
          <w:rFonts w:eastAsia="Times New Roman"/>
          <w:noProof/>
          <w:color w:val="000000"/>
          <w:bdr w:val="nil"/>
          <w:lang w:eastAsia="fr-BE"/>
        </w:rPr>
        <w:t xml:space="preserve"> the </w:t>
      </w:r>
      <w:r>
        <w:rPr>
          <w:rFonts w:eastAsia="Times New Roman"/>
          <w:noProof/>
          <w:color w:val="000000"/>
          <w:bdr w:val="nil"/>
          <w:lang w:eastAsia="fr-BE"/>
        </w:rPr>
        <w:t xml:space="preserve">core </w:t>
      </w:r>
      <w:r w:rsidRPr="00A866C7">
        <w:rPr>
          <w:rFonts w:eastAsia="Times New Roman"/>
          <w:noProof/>
          <w:color w:val="000000"/>
          <w:bdr w:val="nil"/>
          <w:lang w:eastAsia="fr-BE"/>
        </w:rPr>
        <w:t>strength</w:t>
      </w:r>
      <w:r>
        <w:rPr>
          <w:rFonts w:eastAsia="Times New Roman"/>
          <w:noProof/>
          <w:color w:val="000000"/>
          <w:bdr w:val="nil"/>
          <w:lang w:eastAsia="fr-BE"/>
        </w:rPr>
        <w:t>s</w:t>
      </w:r>
      <w:r w:rsidRPr="00A866C7">
        <w:rPr>
          <w:rFonts w:eastAsia="Times New Roman"/>
          <w:noProof/>
          <w:color w:val="000000"/>
          <w:bdr w:val="nil"/>
          <w:lang w:eastAsia="fr-BE"/>
        </w:rPr>
        <w:t xml:space="preserve"> of the carbon market </w:t>
      </w:r>
      <w:r>
        <w:rPr>
          <w:rFonts w:eastAsia="Times New Roman"/>
          <w:noProof/>
          <w:color w:val="000000"/>
          <w:bdr w:val="nil"/>
          <w:lang w:eastAsia="fr-BE"/>
        </w:rPr>
        <w:t xml:space="preserve">and its price signal </w:t>
      </w:r>
      <w:r w:rsidRPr="00970D67">
        <w:rPr>
          <w:rFonts w:eastAsia="Times New Roman"/>
          <w:noProof/>
          <w:color w:val="000000"/>
          <w:bdr w:val="nil"/>
          <w:lang w:eastAsia="fr-BE"/>
        </w:rPr>
        <w:t>as a driver for investments</w:t>
      </w:r>
      <w:r>
        <w:rPr>
          <w:rFonts w:eastAsia="Times New Roman"/>
          <w:noProof/>
          <w:color w:val="000000"/>
          <w:bdr w:val="nil"/>
          <w:lang w:eastAsia="fr-BE"/>
        </w:rPr>
        <w:t xml:space="preserve">, </w:t>
      </w:r>
      <w:r w:rsidRPr="00A866C7">
        <w:rPr>
          <w:rFonts w:eastAsia="Times New Roman"/>
          <w:noProof/>
          <w:color w:val="000000"/>
          <w:bdr w:val="nil"/>
          <w:lang w:eastAsia="fr-BE"/>
        </w:rPr>
        <w:t xml:space="preserve">while adapting its design and introducing targeted simplifications to reduce administrative burden and make the system more effective. </w:t>
      </w:r>
    </w:p>
    <w:p w14:paraId="06720E93" w14:textId="77777777" w:rsidR="00F73C30" w:rsidRPr="00823F44" w:rsidRDefault="00F73C30" w:rsidP="00BF07A9">
      <w:pPr>
        <w:rPr>
          <w:rFonts w:eastAsia="Calibri"/>
          <w:noProof/>
          <w:szCs w:val="24"/>
        </w:rPr>
      </w:pPr>
      <w:r w:rsidRPr="00F73C30">
        <w:rPr>
          <w:rFonts w:eastAsia="Calibri"/>
          <w:noProof/>
          <w:szCs w:val="24"/>
        </w:rPr>
        <w:t>The leading role of the EU ETS to achieve economic modernisation and decarbonisation is recognised by the importance of its linking agreements with close partners such as Switzerland, pursuant to Council Decision (EU) 2018/219 of 23 January 2018, and the UK with whom negotiations are under progress. Those agreements are key instruments to avoid carbon and distortion of competition.</w:t>
      </w:r>
    </w:p>
    <w:p w14:paraId="60A5C44A" w14:textId="77777777" w:rsidR="00BF07A9" w:rsidRPr="00823F44" w:rsidRDefault="00BF07A9" w:rsidP="00BF07A9">
      <w:pPr>
        <w:rPr>
          <w:rFonts w:eastAsia="Times New Roman"/>
          <w:noProof/>
          <w:color w:val="000000"/>
          <w:u w:val="single"/>
          <w:bdr w:val="nil"/>
          <w:lang w:eastAsia="fr-BE"/>
        </w:rPr>
      </w:pPr>
      <w:r w:rsidRPr="00823F44">
        <w:rPr>
          <w:rFonts w:eastAsia="Times New Roman"/>
          <w:noProof/>
          <w:color w:val="000000"/>
          <w:u w:val="single"/>
          <w:bdr w:val="nil"/>
          <w:lang w:eastAsia="fr-BE"/>
        </w:rPr>
        <w:t>Ensuring a predictable carbon market for ETS sectors</w:t>
      </w:r>
    </w:p>
    <w:p w14:paraId="52682F23" w14:textId="77777777" w:rsidR="00BF07A9" w:rsidRDefault="00BF07A9" w:rsidP="00BF07A9">
      <w:pPr>
        <w:rPr>
          <w:rFonts w:eastAsia="Times New Roman"/>
          <w:noProof/>
          <w:color w:val="000000"/>
          <w:bdr w:val="nil"/>
          <w:lang w:eastAsia="fr-BE"/>
        </w:rPr>
      </w:pPr>
      <w:r>
        <w:rPr>
          <w:rFonts w:eastAsia="Times New Roman"/>
          <w:noProof/>
          <w:color w:val="000000"/>
          <w:bdr w:val="nil"/>
          <w:lang w:eastAsia="fr-BE"/>
        </w:rPr>
        <w:t>The revision should align</w:t>
      </w:r>
      <w:r w:rsidRPr="0053601B">
        <w:rPr>
          <w:rFonts w:eastAsia="Times New Roman"/>
          <w:noProof/>
          <w:color w:val="000000"/>
          <w:bdr w:val="nil"/>
          <w:lang w:eastAsia="fr-BE"/>
        </w:rPr>
        <w:t xml:space="preserve"> the</w:t>
      </w:r>
      <w:r>
        <w:rPr>
          <w:rFonts w:eastAsia="Times New Roman"/>
          <w:noProof/>
          <w:color w:val="000000"/>
          <w:bdr w:val="nil"/>
          <w:lang w:eastAsia="fr-BE"/>
        </w:rPr>
        <w:t xml:space="preserve"> EU</w:t>
      </w:r>
      <w:r w:rsidRPr="0053601B">
        <w:rPr>
          <w:rFonts w:eastAsia="Times New Roman"/>
          <w:noProof/>
          <w:color w:val="000000"/>
          <w:bdr w:val="nil"/>
          <w:lang w:eastAsia="fr-BE"/>
        </w:rPr>
        <w:t xml:space="preserve"> ETS with the 2040 and 2050 climate targets, </w:t>
      </w:r>
      <w:r w:rsidR="00122561">
        <w:rPr>
          <w:rFonts w:eastAsia="Times New Roman"/>
          <w:noProof/>
          <w:color w:val="000000"/>
          <w:bdr w:val="nil"/>
          <w:lang w:eastAsia="fr-BE"/>
        </w:rPr>
        <w:t>enabling</w:t>
      </w:r>
      <w:r w:rsidRPr="0053601B">
        <w:rPr>
          <w:rFonts w:eastAsia="Times New Roman"/>
          <w:noProof/>
          <w:color w:val="000000"/>
          <w:bdr w:val="nil"/>
          <w:lang w:eastAsia="fr-BE"/>
        </w:rPr>
        <w:t xml:space="preserve"> </w:t>
      </w:r>
      <w:r>
        <w:rPr>
          <w:rFonts w:eastAsia="Times New Roman"/>
          <w:noProof/>
          <w:color w:val="000000"/>
          <w:bdr w:val="nil"/>
          <w:lang w:eastAsia="fr-BE"/>
        </w:rPr>
        <w:t>a more gradual decarbonisation pathway</w:t>
      </w:r>
      <w:r w:rsidR="00120F57">
        <w:rPr>
          <w:rFonts w:eastAsia="Times New Roman"/>
          <w:noProof/>
          <w:color w:val="000000"/>
          <w:bdr w:val="nil"/>
          <w:lang w:eastAsia="fr-BE"/>
        </w:rPr>
        <w:t>.</w:t>
      </w:r>
      <w:r>
        <w:rPr>
          <w:rFonts w:eastAsia="Times New Roman"/>
          <w:noProof/>
          <w:color w:val="000000"/>
          <w:bdr w:val="nil"/>
          <w:lang w:eastAsia="fr-BE"/>
        </w:rPr>
        <w:t xml:space="preserve"> </w:t>
      </w:r>
      <w:r w:rsidR="00120F57">
        <w:rPr>
          <w:rFonts w:eastAsia="Times New Roman"/>
          <w:noProof/>
          <w:color w:val="000000"/>
          <w:bdr w:val="nil"/>
          <w:lang w:eastAsia="fr-BE"/>
        </w:rPr>
        <w:t>It should also</w:t>
      </w:r>
      <w:r>
        <w:rPr>
          <w:rFonts w:eastAsia="Times New Roman"/>
          <w:noProof/>
          <w:color w:val="000000"/>
          <w:bdr w:val="nil"/>
          <w:lang w:eastAsia="fr-BE"/>
        </w:rPr>
        <w:t xml:space="preserve"> and take</w:t>
      </w:r>
      <w:r w:rsidRPr="00802B32">
        <w:rPr>
          <w:rFonts w:eastAsia="Times New Roman"/>
          <w:noProof/>
          <w:color w:val="000000"/>
          <w:bdr w:val="nil"/>
          <w:lang w:eastAsia="fr-BE"/>
        </w:rPr>
        <w:t xml:space="preserve"> into account the agreement found in the amendment of the European Climate Law</w:t>
      </w:r>
      <w:r>
        <w:rPr>
          <w:rFonts w:eastAsia="Times New Roman"/>
          <w:noProof/>
          <w:color w:val="000000"/>
          <w:bdr w:val="nil"/>
          <w:lang w:eastAsia="fr-BE"/>
        </w:rPr>
        <w:t xml:space="preserve">, including to integrate </w:t>
      </w:r>
      <w:r w:rsidRPr="00802B32">
        <w:rPr>
          <w:rFonts w:eastAsia="Times New Roman"/>
          <w:noProof/>
          <w:color w:val="000000"/>
          <w:bdr w:val="nil"/>
          <w:lang w:eastAsia="fr-BE"/>
        </w:rPr>
        <w:t>permanent carbon removals</w:t>
      </w:r>
      <w:r>
        <w:rPr>
          <w:rFonts w:eastAsia="Times New Roman"/>
          <w:noProof/>
          <w:color w:val="000000"/>
          <w:bdr w:val="nil"/>
          <w:lang w:eastAsia="fr-BE"/>
        </w:rPr>
        <w:t>, taking into account residual hard-to-abate</w:t>
      </w:r>
      <w:r>
        <w:rPr>
          <w:rStyle w:val="FootnoteReference"/>
          <w:rFonts w:eastAsia="Calibri"/>
          <w:noProof/>
        </w:rPr>
        <w:footnoteReference w:id="13"/>
      </w:r>
      <w:r>
        <w:rPr>
          <w:rFonts w:eastAsia="Times New Roman"/>
          <w:noProof/>
          <w:color w:val="000000"/>
          <w:bdr w:val="nil"/>
          <w:lang w:eastAsia="fr-BE"/>
        </w:rPr>
        <w:t xml:space="preserve"> emissions notably in energy intensive industries (EIIs)</w:t>
      </w:r>
      <w:r w:rsidR="00527CC9">
        <w:rPr>
          <w:rFonts w:eastAsia="Times New Roman"/>
          <w:noProof/>
          <w:color w:val="000000"/>
          <w:bdr w:val="nil"/>
          <w:lang w:eastAsia="fr-BE"/>
        </w:rPr>
        <w:t>,</w:t>
      </w:r>
      <w:r>
        <w:rPr>
          <w:rFonts w:eastAsia="Times New Roman"/>
          <w:noProof/>
          <w:color w:val="000000"/>
          <w:bdr w:val="nil"/>
          <w:lang w:eastAsia="fr-BE"/>
        </w:rPr>
        <w:t xml:space="preserve"> and fostering the deployment and availability of th</w:t>
      </w:r>
      <w:r w:rsidR="00527CC9">
        <w:rPr>
          <w:rFonts w:eastAsia="Times New Roman"/>
          <w:noProof/>
          <w:color w:val="000000"/>
          <w:bdr w:val="nil"/>
          <w:lang w:eastAsia="fr-BE"/>
        </w:rPr>
        <w:t>o</w:t>
      </w:r>
      <w:r>
        <w:rPr>
          <w:rFonts w:eastAsia="Times New Roman"/>
          <w:noProof/>
          <w:color w:val="000000"/>
          <w:bdr w:val="nil"/>
          <w:lang w:eastAsia="fr-BE"/>
        </w:rPr>
        <w:t xml:space="preserve">se technologies at the required scale, kickstarting the market. </w:t>
      </w:r>
    </w:p>
    <w:p w14:paraId="01E52CE8" w14:textId="77777777" w:rsidR="00BF07A9" w:rsidRPr="00E853B8" w:rsidRDefault="00BF07A9" w:rsidP="00BF07A9">
      <w:pPr>
        <w:rPr>
          <w:rFonts w:eastAsia="Calibri"/>
          <w:noProof/>
        </w:rPr>
      </w:pPr>
      <w:r w:rsidRPr="6C1996A5">
        <w:rPr>
          <w:rFonts w:eastAsia="Times New Roman"/>
          <w:noProof/>
          <w:color w:val="000000"/>
          <w:bdr w:val="nil"/>
          <w:lang w:eastAsia="fr-BE"/>
        </w:rPr>
        <w:t xml:space="preserve">The </w:t>
      </w:r>
      <w:r w:rsidRPr="4DEBB2C6">
        <w:rPr>
          <w:rFonts w:eastAsia="Times New Roman"/>
          <w:noProof/>
          <w:color w:val="000000" w:themeColor="text1"/>
          <w:lang w:eastAsia="fr-BE"/>
        </w:rPr>
        <w:t>European Climate Law</w:t>
      </w:r>
      <w:r w:rsidRPr="6C1996A5">
        <w:rPr>
          <w:rFonts w:eastAsia="Times New Roman"/>
          <w:noProof/>
          <w:color w:val="000000"/>
          <w:bdr w:val="nil"/>
          <w:lang w:eastAsia="fr-BE"/>
        </w:rPr>
        <w:t xml:space="preserve"> </w:t>
      </w:r>
      <w:r>
        <w:rPr>
          <w:rFonts w:eastAsia="Times New Roman"/>
          <w:noProof/>
          <w:color w:val="000000"/>
          <w:bdr w:val="nil"/>
          <w:lang w:eastAsia="fr-BE"/>
        </w:rPr>
        <w:t xml:space="preserve">also </w:t>
      </w:r>
      <w:r w:rsidRPr="6C1996A5">
        <w:rPr>
          <w:rFonts w:eastAsia="Times New Roman"/>
          <w:noProof/>
          <w:color w:val="000000"/>
          <w:bdr w:val="nil"/>
          <w:lang w:eastAsia="fr-BE"/>
        </w:rPr>
        <w:t xml:space="preserve">includes a possibility to use a limited quantity of high-quality international credits to make an adequate contribution towards the </w:t>
      </w:r>
      <w:r>
        <w:rPr>
          <w:rFonts w:eastAsia="Times New Roman"/>
          <w:noProof/>
          <w:color w:val="000000"/>
          <w:bdr w:val="nil"/>
          <w:lang w:eastAsia="fr-BE"/>
        </w:rPr>
        <w:t xml:space="preserve">economy-wide </w:t>
      </w:r>
      <w:r w:rsidRPr="6C1996A5">
        <w:rPr>
          <w:rFonts w:eastAsia="Times New Roman"/>
          <w:noProof/>
          <w:color w:val="000000"/>
          <w:bdr w:val="nil"/>
          <w:lang w:eastAsia="fr-BE"/>
        </w:rPr>
        <w:t>2040 target, starting in 2036. Th</w:t>
      </w:r>
      <w:r w:rsidR="006205C5">
        <w:rPr>
          <w:rFonts w:eastAsia="Times New Roman"/>
          <w:noProof/>
          <w:color w:val="000000"/>
          <w:bdr w:val="nil"/>
          <w:lang w:eastAsia="fr-BE"/>
        </w:rPr>
        <w:t>ey can</w:t>
      </w:r>
      <w:r w:rsidRPr="6C1996A5">
        <w:rPr>
          <w:rFonts w:eastAsia="Times New Roman"/>
          <w:noProof/>
          <w:color w:val="000000"/>
          <w:bdr w:val="nil"/>
          <w:lang w:eastAsia="fr-BE"/>
        </w:rPr>
        <w:t xml:space="preserve"> amount up to 5% of 1990 EU net GHG emissions, corresponding to a domestic reduction </w:t>
      </w:r>
      <w:r w:rsidR="00D26A42">
        <w:rPr>
          <w:rFonts w:eastAsia="Times New Roman"/>
          <w:noProof/>
          <w:color w:val="000000"/>
          <w:bdr w:val="nil"/>
          <w:lang w:eastAsia="fr-BE"/>
        </w:rPr>
        <w:t>in</w:t>
      </w:r>
      <w:r w:rsidR="00D26A42" w:rsidRPr="6C1996A5">
        <w:rPr>
          <w:rFonts w:eastAsia="Times New Roman"/>
          <w:noProof/>
          <w:color w:val="000000"/>
          <w:bdr w:val="nil"/>
          <w:lang w:eastAsia="fr-BE"/>
        </w:rPr>
        <w:t xml:space="preserve"> </w:t>
      </w:r>
      <w:r w:rsidRPr="6C1996A5">
        <w:rPr>
          <w:rFonts w:eastAsia="Times New Roman"/>
          <w:noProof/>
          <w:color w:val="000000"/>
          <w:bdr w:val="nil"/>
          <w:lang w:eastAsia="fr-BE"/>
        </w:rPr>
        <w:t xml:space="preserve">net GHG emissions of at least 85% compared to 1990 levels by 2040. </w:t>
      </w:r>
      <w:r w:rsidRPr="6C1996A5">
        <w:rPr>
          <w:rFonts w:eastAsia="Times New Roman"/>
          <w:noProof/>
          <w:color w:val="000000"/>
          <w:bdr w:val="nil"/>
          <w:lang w:val="en-US" w:eastAsia="fr-BE"/>
        </w:rPr>
        <w:t>A pilot period may be considered</w:t>
      </w:r>
      <w:r w:rsidRPr="4DEBB2C6">
        <w:rPr>
          <w:rFonts w:eastAsia="Times New Roman"/>
          <w:noProof/>
          <w:color w:val="000000" w:themeColor="text1"/>
          <w:lang w:val="en-US" w:eastAsia="fr-BE"/>
        </w:rPr>
        <w:t xml:space="preserve"> for 2031-</w:t>
      </w:r>
      <w:r w:rsidR="00BB2D18">
        <w:rPr>
          <w:rFonts w:eastAsia="Times New Roman"/>
          <w:noProof/>
          <w:color w:val="000000" w:themeColor="text1"/>
          <w:lang w:val="en-US" w:eastAsia="fr-BE"/>
        </w:rPr>
        <w:t>20</w:t>
      </w:r>
      <w:r w:rsidRPr="4DEBB2C6">
        <w:rPr>
          <w:rFonts w:eastAsia="Times New Roman"/>
          <w:noProof/>
          <w:color w:val="000000" w:themeColor="text1"/>
          <w:lang w:val="en-US" w:eastAsia="fr-BE"/>
        </w:rPr>
        <w:t>35</w:t>
      </w:r>
      <w:r w:rsidRPr="6C1996A5">
        <w:rPr>
          <w:rFonts w:eastAsia="Times New Roman"/>
          <w:noProof/>
          <w:color w:val="000000"/>
          <w:bdr w:val="nil"/>
          <w:lang w:val="en-US" w:eastAsia="fr-BE"/>
        </w:rPr>
        <w:t>.</w:t>
      </w:r>
      <w:r w:rsidRPr="4DEBB2C6">
        <w:rPr>
          <w:rFonts w:eastAsia="Times New Roman"/>
          <w:noProof/>
          <w:color w:val="000000" w:themeColor="text1"/>
          <w:lang w:val="en-US" w:eastAsia="fr-BE"/>
        </w:rPr>
        <w:t xml:space="preserve"> </w:t>
      </w:r>
      <w:r w:rsidRPr="6C1996A5">
        <w:rPr>
          <w:rFonts w:eastAsia="Calibri"/>
          <w:noProof/>
        </w:rPr>
        <w:t xml:space="preserve">International credits should be integrated into the future climate legislation in a way that achieves high ambition in a cost-efficient way. The use of credits should support both the EU and </w:t>
      </w:r>
      <w:r w:rsidR="00BB2D18">
        <w:rPr>
          <w:rFonts w:eastAsia="Calibri"/>
          <w:noProof/>
        </w:rPr>
        <w:t>non-EU</w:t>
      </w:r>
      <w:r w:rsidR="00BB2D18" w:rsidRPr="6C1996A5">
        <w:rPr>
          <w:rFonts w:eastAsia="Calibri"/>
          <w:noProof/>
        </w:rPr>
        <w:t xml:space="preserve"> </w:t>
      </w:r>
      <w:r w:rsidRPr="6C1996A5">
        <w:rPr>
          <w:rFonts w:eastAsia="Calibri"/>
          <w:noProof/>
        </w:rPr>
        <w:t xml:space="preserve">countries in achieving GHG reductions compatible with the Paris Agreement. </w:t>
      </w:r>
      <w:r w:rsidR="005474CB" w:rsidRPr="005474CB">
        <w:rPr>
          <w:rFonts w:eastAsia="Calibri"/>
          <w:noProof/>
        </w:rPr>
        <w:t>The specific deployment of international credits will be based on a thorough impact assessment and subject to the development of Union law setting robust and high integrity criteria and other safeguards. This proposal takes into account the purchase of these international credits to complement domestic action, translating into additional domestic emission space for ETS sectors</w:t>
      </w:r>
      <w:r w:rsidR="005474CB">
        <w:rPr>
          <w:rFonts w:eastAsia="Calibri"/>
          <w:noProof/>
        </w:rPr>
        <w:t>.</w:t>
      </w:r>
    </w:p>
    <w:p w14:paraId="4FF875EE" w14:textId="77777777" w:rsidR="00BF07A9" w:rsidRPr="008A0395" w:rsidRDefault="00BF07A9" w:rsidP="00BF07A9">
      <w:pPr>
        <w:rPr>
          <w:rFonts w:eastAsia="Calibri"/>
          <w:noProof/>
        </w:rPr>
      </w:pPr>
      <w:r w:rsidRPr="00D94910">
        <w:rPr>
          <w:rFonts w:eastAsia="Calibri"/>
          <w:noProof/>
          <w:szCs w:val="24"/>
        </w:rPr>
        <w:t xml:space="preserve">The </w:t>
      </w:r>
      <w:r>
        <w:rPr>
          <w:rFonts w:eastAsia="Calibri"/>
          <w:noProof/>
          <w:szCs w:val="24"/>
        </w:rPr>
        <w:t>MSR</w:t>
      </w:r>
      <w:r w:rsidRPr="00D94910">
        <w:rPr>
          <w:rFonts w:eastAsia="Calibri"/>
          <w:noProof/>
          <w:szCs w:val="24"/>
        </w:rPr>
        <w:t xml:space="preserve"> rules under the </w:t>
      </w:r>
      <w:r>
        <w:rPr>
          <w:rFonts w:eastAsia="Calibri"/>
          <w:noProof/>
          <w:szCs w:val="24"/>
        </w:rPr>
        <w:t xml:space="preserve">EU </w:t>
      </w:r>
      <w:r w:rsidRPr="00D94910">
        <w:rPr>
          <w:rFonts w:eastAsia="Calibri"/>
          <w:noProof/>
          <w:szCs w:val="24"/>
        </w:rPr>
        <w:t>ETS aim to tackle structural supply-demand imbalances between the available allowances to emit CO</w:t>
      </w:r>
      <w:r w:rsidRPr="00262D0A">
        <w:rPr>
          <w:rFonts w:eastAsia="Calibri"/>
          <w:noProof/>
          <w:szCs w:val="24"/>
          <w:vertAlign w:val="subscript"/>
        </w:rPr>
        <w:t>2</w:t>
      </w:r>
      <w:r w:rsidRPr="00D94910">
        <w:rPr>
          <w:rFonts w:eastAsia="Calibri"/>
          <w:noProof/>
          <w:szCs w:val="24"/>
        </w:rPr>
        <w:t xml:space="preserve"> and the emissions of the </w:t>
      </w:r>
      <w:r w:rsidR="001274F1">
        <w:rPr>
          <w:rFonts w:eastAsia="Calibri"/>
          <w:noProof/>
          <w:szCs w:val="24"/>
        </w:rPr>
        <w:t>companies</w:t>
      </w:r>
      <w:r w:rsidRPr="00D94910">
        <w:rPr>
          <w:rFonts w:eastAsia="Calibri"/>
          <w:noProof/>
          <w:szCs w:val="24"/>
        </w:rPr>
        <w:t xml:space="preserve"> covered. </w:t>
      </w:r>
      <w:r w:rsidR="002844A1">
        <w:rPr>
          <w:rFonts w:eastAsia="Calibri"/>
          <w:noProof/>
          <w:szCs w:val="24"/>
        </w:rPr>
        <w:t>A principle</w:t>
      </w:r>
      <w:r>
        <w:rPr>
          <w:rFonts w:eastAsia="Calibri"/>
          <w:noProof/>
          <w:szCs w:val="24"/>
        </w:rPr>
        <w:t xml:space="preserve"> underl</w:t>
      </w:r>
      <w:r w:rsidR="002844A1">
        <w:rPr>
          <w:rFonts w:eastAsia="Calibri"/>
          <w:noProof/>
          <w:szCs w:val="24"/>
        </w:rPr>
        <w:t>ying</w:t>
      </w:r>
      <w:r>
        <w:rPr>
          <w:rFonts w:eastAsia="Calibri"/>
          <w:noProof/>
          <w:szCs w:val="24"/>
        </w:rPr>
        <w:t xml:space="preserve"> the system</w:t>
      </w:r>
      <w:r w:rsidR="002844A1">
        <w:rPr>
          <w:rFonts w:eastAsia="Calibri"/>
          <w:noProof/>
          <w:szCs w:val="24"/>
        </w:rPr>
        <w:t>’s</w:t>
      </w:r>
      <w:r>
        <w:rPr>
          <w:rFonts w:eastAsia="Calibri"/>
          <w:noProof/>
          <w:szCs w:val="24"/>
        </w:rPr>
        <w:t xml:space="preserve"> design</w:t>
      </w:r>
      <w:r w:rsidR="002844A1">
        <w:rPr>
          <w:rFonts w:eastAsia="Calibri"/>
          <w:noProof/>
          <w:szCs w:val="24"/>
        </w:rPr>
        <w:t xml:space="preserve"> is that </w:t>
      </w:r>
      <w:r w:rsidR="0090402B">
        <w:rPr>
          <w:rFonts w:eastAsia="Calibri"/>
          <w:noProof/>
          <w:szCs w:val="24"/>
        </w:rPr>
        <w:t>the market will gradually become smaller. As a result</w:t>
      </w:r>
      <w:r>
        <w:rPr>
          <w:rFonts w:eastAsia="Calibri"/>
          <w:noProof/>
          <w:szCs w:val="24"/>
        </w:rPr>
        <w:t xml:space="preserve">, </w:t>
      </w:r>
      <w:r w:rsidRPr="00B21232">
        <w:rPr>
          <w:rFonts w:eastAsia="Calibri"/>
          <w:noProof/>
          <w:szCs w:val="24"/>
        </w:rPr>
        <w:t xml:space="preserve">the EU ETS’s contribution to </w:t>
      </w:r>
      <w:r>
        <w:rPr>
          <w:rFonts w:eastAsia="Calibri"/>
          <w:noProof/>
          <w:szCs w:val="24"/>
        </w:rPr>
        <w:t>cost-effective</w:t>
      </w:r>
      <w:r w:rsidRPr="00B21232">
        <w:rPr>
          <w:rFonts w:eastAsia="Calibri"/>
          <w:noProof/>
          <w:szCs w:val="24"/>
        </w:rPr>
        <w:t xml:space="preserve"> emission reductions may be hampered by increased market inefficiencies. </w:t>
      </w:r>
      <w:r>
        <w:rPr>
          <w:rFonts w:eastAsia="Calibri"/>
          <w:noProof/>
        </w:rPr>
        <w:t xml:space="preserve">This proposal therefore also reviews the MSR more </w:t>
      </w:r>
      <w:r>
        <w:rPr>
          <w:rFonts w:eastAsia="Calibri"/>
          <w:noProof/>
        </w:rPr>
        <w:lastRenderedPageBreak/>
        <w:t xml:space="preserve">comprehensively, complementing </w:t>
      </w:r>
      <w:r w:rsidR="00341113">
        <w:rPr>
          <w:rFonts w:eastAsia="Calibri"/>
          <w:noProof/>
        </w:rPr>
        <w:t xml:space="preserve">the </w:t>
      </w:r>
      <w:r>
        <w:rPr>
          <w:rFonts w:eastAsia="Calibri"/>
          <w:noProof/>
        </w:rPr>
        <w:t>Commission</w:t>
      </w:r>
      <w:r w:rsidR="00341113">
        <w:rPr>
          <w:rFonts w:eastAsia="Calibri"/>
          <w:noProof/>
        </w:rPr>
        <w:t>’s</w:t>
      </w:r>
      <w:r>
        <w:rPr>
          <w:rFonts w:eastAsia="Calibri"/>
          <w:noProof/>
        </w:rPr>
        <w:t xml:space="preserve"> proposal of 1 April 2026</w:t>
      </w:r>
      <w:r>
        <w:rPr>
          <w:rStyle w:val="FootnoteReference"/>
          <w:rFonts w:eastAsia="Calibri"/>
          <w:noProof/>
        </w:rPr>
        <w:footnoteReference w:id="14"/>
      </w:r>
      <w:r>
        <w:rPr>
          <w:rFonts w:eastAsia="Calibri"/>
          <w:noProof/>
        </w:rPr>
        <w:t>, to continue to ensure market stability, predictability and a smooth carbon price development.</w:t>
      </w:r>
    </w:p>
    <w:p w14:paraId="09D10767" w14:textId="77777777" w:rsidR="00BF07A9" w:rsidRPr="00823F44" w:rsidRDefault="00BF07A9" w:rsidP="00BF07A9">
      <w:pPr>
        <w:pBdr>
          <w:bar w:val="nil"/>
        </w:pBdr>
        <w:rPr>
          <w:rFonts w:eastAsia="Times New Roman"/>
          <w:noProof/>
          <w:color w:val="000000"/>
          <w:u w:val="single"/>
          <w:bdr w:val="nil"/>
          <w:lang w:val="en-US" w:eastAsia="fr-BE"/>
        </w:rPr>
      </w:pPr>
      <w:r w:rsidRPr="00823F44">
        <w:rPr>
          <w:rFonts w:eastAsia="Times New Roman"/>
          <w:noProof/>
          <w:color w:val="000000"/>
          <w:u w:val="single"/>
          <w:bdr w:val="nil"/>
          <w:lang w:val="en-US" w:eastAsia="fr-BE"/>
        </w:rPr>
        <w:t>Making the EU ETS a stronger innovation and investment engine driving competitiveness</w:t>
      </w:r>
    </w:p>
    <w:p w14:paraId="3315C007" w14:textId="77777777" w:rsidR="00BF07A9" w:rsidRPr="00E853B8" w:rsidRDefault="00BF07A9" w:rsidP="00BF07A9">
      <w:pPr>
        <w:pBdr>
          <w:bar w:val="nil"/>
        </w:pBdr>
        <w:rPr>
          <w:rFonts w:eastAsia="Calibri"/>
          <w:noProof/>
          <w:color w:val="000000" w:themeColor="text1"/>
          <w:lang w:val="en-US" w:eastAsia="fr-BE"/>
        </w:rPr>
      </w:pPr>
      <w:r w:rsidRPr="000E3C4F">
        <w:rPr>
          <w:rFonts w:eastAsia="Times New Roman"/>
          <w:noProof/>
          <w:color w:val="000000"/>
          <w:bdr w:val="nil"/>
          <w:lang w:val="en-US" w:eastAsia="fr-BE"/>
        </w:rPr>
        <w:t>A crucial objective of th</w:t>
      </w:r>
      <w:r>
        <w:rPr>
          <w:rFonts w:eastAsia="Times New Roman"/>
          <w:noProof/>
          <w:color w:val="000000"/>
          <w:bdr w:val="nil"/>
          <w:lang w:val="en-US" w:eastAsia="fr-BE"/>
        </w:rPr>
        <w:t xml:space="preserve">e proposal </w:t>
      </w:r>
      <w:r w:rsidRPr="000E3C4F">
        <w:rPr>
          <w:rFonts w:eastAsia="Times New Roman"/>
          <w:noProof/>
          <w:color w:val="000000"/>
          <w:bdr w:val="nil"/>
          <w:lang w:val="en-US" w:eastAsia="fr-BE"/>
        </w:rPr>
        <w:t xml:space="preserve">is to </w:t>
      </w:r>
      <w:r>
        <w:rPr>
          <w:rFonts w:eastAsia="Times New Roman"/>
          <w:noProof/>
          <w:color w:val="000000"/>
          <w:bdr w:val="nil"/>
          <w:lang w:val="en-US" w:eastAsia="fr-BE"/>
        </w:rPr>
        <w:t>substantially</w:t>
      </w:r>
      <w:r w:rsidRPr="000E3C4F">
        <w:rPr>
          <w:rFonts w:eastAsia="Times New Roman"/>
          <w:noProof/>
          <w:color w:val="000000"/>
          <w:bdr w:val="nil"/>
          <w:lang w:val="en-US" w:eastAsia="fr-BE"/>
        </w:rPr>
        <w:t xml:space="preserve"> increase investments in our energy system and industry. </w:t>
      </w:r>
      <w:r>
        <w:rPr>
          <w:rFonts w:eastAsia="Times New Roman"/>
          <w:noProof/>
          <w:color w:val="000000"/>
          <w:bdr w:val="nil"/>
          <w:lang w:val="en-US" w:eastAsia="fr-BE"/>
        </w:rPr>
        <w:t>Europe’s</w:t>
      </w:r>
      <w:r w:rsidRPr="000E3C4F">
        <w:rPr>
          <w:rFonts w:eastAsia="Times New Roman"/>
          <w:noProof/>
          <w:color w:val="000000"/>
          <w:bdr w:val="nil"/>
          <w:lang w:val="en-US" w:eastAsia="fr-BE"/>
        </w:rPr>
        <w:t xml:space="preserve"> capacity to generate clean, homegrown and affordable energy, in particular electricity, </w:t>
      </w:r>
      <w:r>
        <w:rPr>
          <w:rFonts w:eastAsia="Times New Roman"/>
          <w:noProof/>
          <w:color w:val="000000"/>
          <w:bdr w:val="nil"/>
          <w:lang w:val="en-US" w:eastAsia="fr-BE"/>
        </w:rPr>
        <w:t>should</w:t>
      </w:r>
      <w:r w:rsidRPr="000E3C4F">
        <w:rPr>
          <w:rFonts w:eastAsia="Times New Roman"/>
          <w:noProof/>
          <w:color w:val="000000"/>
          <w:bdr w:val="nil"/>
          <w:lang w:val="en-US" w:eastAsia="fr-BE"/>
        </w:rPr>
        <w:t xml:space="preserve"> be increased, replacing current expenditure on imported fossil fuels with capital investment in economic modernisation.</w:t>
      </w:r>
      <w:r>
        <w:rPr>
          <w:rFonts w:eastAsia="Times New Roman"/>
          <w:noProof/>
          <w:color w:val="000000"/>
          <w:bdr w:val="nil"/>
          <w:lang w:val="en-US" w:eastAsia="fr-BE"/>
        </w:rPr>
        <w:t xml:space="preserve"> </w:t>
      </w:r>
      <w:r w:rsidRPr="7B727CF6">
        <w:rPr>
          <w:rFonts w:eastAsia="Times New Roman"/>
          <w:noProof/>
          <w:color w:val="000000"/>
          <w:bdr w:val="nil"/>
          <w:lang w:val="en-US" w:eastAsia="fr-BE"/>
        </w:rPr>
        <w:t xml:space="preserve">Over the coming decade and to achieve climate neutrality by 2050, industry has to go through a significant transformation to </w:t>
      </w:r>
      <w:r w:rsidRPr="7B727CF6">
        <w:rPr>
          <w:rFonts w:eastAsia="Times New Roman"/>
          <w:noProof/>
          <w:color w:val="000000" w:themeColor="text1"/>
          <w:lang w:val="en-US" w:eastAsia="fr-BE"/>
        </w:rPr>
        <w:t xml:space="preserve">modernise, </w:t>
      </w:r>
      <w:r w:rsidRPr="7B727CF6">
        <w:rPr>
          <w:rFonts w:eastAsia="Times New Roman"/>
          <w:noProof/>
          <w:color w:val="000000"/>
          <w:bdr w:val="nil"/>
          <w:lang w:val="en-US" w:eastAsia="fr-BE"/>
        </w:rPr>
        <w:t>decarbonise and switch to cleaner and more energy</w:t>
      </w:r>
      <w:r w:rsidR="0078314B">
        <w:rPr>
          <w:rFonts w:eastAsia="Times New Roman"/>
          <w:noProof/>
          <w:color w:val="000000"/>
          <w:bdr w:val="nil"/>
          <w:lang w:val="en-US" w:eastAsia="fr-BE"/>
        </w:rPr>
        <w:t>-</w:t>
      </w:r>
      <w:r w:rsidRPr="7B727CF6">
        <w:rPr>
          <w:rFonts w:eastAsia="Times New Roman"/>
          <w:noProof/>
          <w:color w:val="000000"/>
          <w:bdr w:val="nil"/>
          <w:lang w:val="en-US" w:eastAsia="fr-BE"/>
        </w:rPr>
        <w:t xml:space="preserve">efficient </w:t>
      </w:r>
      <w:r w:rsidRPr="00076B1C">
        <w:rPr>
          <w:noProof/>
        </w:rPr>
        <w:t>technologies</w:t>
      </w:r>
      <w:r w:rsidRPr="7B727CF6">
        <w:rPr>
          <w:rFonts w:eastAsia="Times New Roman"/>
          <w:noProof/>
          <w:color w:val="000000"/>
          <w:bdr w:val="nil"/>
          <w:lang w:val="en-US" w:eastAsia="fr-BE"/>
        </w:rPr>
        <w:t xml:space="preserve">, </w:t>
      </w:r>
      <w:r w:rsidR="00123A4D">
        <w:rPr>
          <w:rFonts w:eastAsia="Times New Roman"/>
          <w:noProof/>
          <w:color w:val="000000"/>
          <w:bdr w:val="nil"/>
          <w:lang w:val="en-US" w:eastAsia="fr-BE"/>
        </w:rPr>
        <w:t>for example by</w:t>
      </w:r>
      <w:r w:rsidR="00123A4D" w:rsidRPr="7B727CF6">
        <w:rPr>
          <w:rFonts w:eastAsia="Times New Roman"/>
          <w:noProof/>
          <w:color w:val="000000"/>
          <w:bdr w:val="nil"/>
          <w:lang w:val="en-US" w:eastAsia="fr-BE"/>
        </w:rPr>
        <w:t xml:space="preserve"> electrif</w:t>
      </w:r>
      <w:r w:rsidR="00123A4D">
        <w:rPr>
          <w:rFonts w:eastAsia="Times New Roman"/>
          <w:noProof/>
          <w:color w:val="000000"/>
          <w:bdr w:val="nil"/>
          <w:lang w:val="en-US" w:eastAsia="fr-BE"/>
        </w:rPr>
        <w:t>ying</w:t>
      </w:r>
      <w:r w:rsidRPr="7B727CF6">
        <w:rPr>
          <w:rFonts w:eastAsia="Times New Roman"/>
          <w:noProof/>
          <w:color w:val="000000"/>
          <w:bdr w:val="nil"/>
          <w:lang w:val="en-US" w:eastAsia="fr-BE"/>
        </w:rPr>
        <w:t xml:space="preserve">, </w:t>
      </w:r>
      <w:r w:rsidR="00231E6E" w:rsidRPr="7B727CF6">
        <w:rPr>
          <w:rFonts w:eastAsia="Times New Roman"/>
          <w:noProof/>
          <w:color w:val="000000"/>
          <w:bdr w:val="nil"/>
          <w:lang w:val="en-US" w:eastAsia="fr-BE"/>
        </w:rPr>
        <w:t>us</w:t>
      </w:r>
      <w:r w:rsidR="00231E6E">
        <w:rPr>
          <w:rFonts w:eastAsia="Times New Roman"/>
          <w:noProof/>
          <w:color w:val="000000"/>
          <w:bdr w:val="nil"/>
          <w:lang w:val="en-US" w:eastAsia="fr-BE"/>
        </w:rPr>
        <w:t>ing</w:t>
      </w:r>
      <w:r w:rsidRPr="7B727CF6">
        <w:rPr>
          <w:rFonts w:eastAsia="Times New Roman"/>
          <w:noProof/>
          <w:color w:val="000000" w:themeColor="text1"/>
          <w:lang w:val="en-US" w:eastAsia="fr-BE"/>
        </w:rPr>
        <w:t xml:space="preserve"> </w:t>
      </w:r>
      <w:r w:rsidRPr="7B727CF6">
        <w:rPr>
          <w:rFonts w:eastAsia="Times New Roman"/>
          <w:noProof/>
          <w:color w:val="000000"/>
          <w:bdr w:val="nil"/>
          <w:lang w:val="en-US" w:eastAsia="fr-BE"/>
        </w:rPr>
        <w:t xml:space="preserve">hydrogen from renewable sources, deploying </w:t>
      </w:r>
      <w:r w:rsidRPr="00076B1C">
        <w:rPr>
          <w:noProof/>
        </w:rPr>
        <w:t>carbon capture</w:t>
      </w:r>
      <w:r w:rsidR="0089799E">
        <w:rPr>
          <w:noProof/>
        </w:rPr>
        <w:t>,</w:t>
      </w:r>
      <w:r w:rsidRPr="00076B1C">
        <w:rPr>
          <w:noProof/>
        </w:rPr>
        <w:t xml:space="preserve"> utilisation and storage (</w:t>
      </w:r>
      <w:r w:rsidRPr="7B727CF6">
        <w:rPr>
          <w:rFonts w:eastAsia="Times New Roman"/>
          <w:noProof/>
          <w:color w:val="000000"/>
          <w:bdr w:val="nil"/>
          <w:lang w:val="en-US" w:eastAsia="fr-BE"/>
        </w:rPr>
        <w:t>CCU</w:t>
      </w:r>
      <w:r w:rsidRPr="7B727CF6">
        <w:rPr>
          <w:rFonts w:eastAsia="Times New Roman"/>
          <w:noProof/>
          <w:color w:val="000000" w:themeColor="text1"/>
          <w:lang w:val="en-US" w:eastAsia="fr-BE"/>
        </w:rPr>
        <w:t>S)</w:t>
      </w:r>
      <w:r w:rsidRPr="7B727CF6">
        <w:rPr>
          <w:rFonts w:eastAsia="Times New Roman"/>
          <w:noProof/>
          <w:color w:val="000000"/>
          <w:bdr w:val="nil"/>
          <w:lang w:val="en-US" w:eastAsia="fr-BE"/>
        </w:rPr>
        <w:t xml:space="preserve">, </w:t>
      </w:r>
      <w:r w:rsidR="0089799E">
        <w:rPr>
          <w:rFonts w:eastAsia="Times New Roman"/>
          <w:noProof/>
          <w:color w:val="000000"/>
          <w:bdr w:val="nil"/>
          <w:lang w:val="en-US" w:eastAsia="fr-BE"/>
        </w:rPr>
        <w:t>and</w:t>
      </w:r>
      <w:r w:rsidRPr="7B727CF6">
        <w:rPr>
          <w:rFonts w:eastAsia="Times New Roman"/>
          <w:noProof/>
          <w:color w:val="000000"/>
          <w:bdr w:val="nil"/>
          <w:lang w:val="en-US" w:eastAsia="fr-BE"/>
        </w:rPr>
        <w:t xml:space="preserve"> generating carbon removals. At the same time, </w:t>
      </w:r>
      <w:r w:rsidR="0089799E">
        <w:rPr>
          <w:rFonts w:eastAsia="Times New Roman"/>
          <w:noProof/>
          <w:color w:val="000000"/>
          <w:bdr w:val="nil"/>
          <w:lang w:val="en-US" w:eastAsia="fr-BE"/>
        </w:rPr>
        <w:t>EU industry</w:t>
      </w:r>
      <w:r w:rsidR="0089799E" w:rsidRPr="7B727CF6" w:rsidDel="001005CC">
        <w:rPr>
          <w:rFonts w:eastAsia="Times New Roman"/>
          <w:noProof/>
          <w:color w:val="000000"/>
          <w:bdr w:val="nil"/>
          <w:lang w:val="en-US" w:eastAsia="fr-BE"/>
        </w:rPr>
        <w:t xml:space="preserve"> </w:t>
      </w:r>
      <w:r w:rsidRPr="7B727CF6">
        <w:rPr>
          <w:rFonts w:eastAsia="Times New Roman"/>
          <w:noProof/>
          <w:color w:val="000000"/>
          <w:bdr w:val="nil"/>
          <w:lang w:val="en-US" w:eastAsia="fr-BE"/>
        </w:rPr>
        <w:t>needs to remain competitive in a global market and ensure quality jobs</w:t>
      </w:r>
      <w:r w:rsidR="00805CAC">
        <w:rPr>
          <w:rFonts w:eastAsia="Times New Roman"/>
          <w:noProof/>
          <w:color w:val="000000"/>
          <w:bdr w:val="nil"/>
          <w:lang w:val="en-US" w:eastAsia="fr-BE"/>
        </w:rPr>
        <w:t>,</w:t>
      </w:r>
      <w:r w:rsidRPr="7B727CF6">
        <w:rPr>
          <w:rFonts w:eastAsia="Times New Roman"/>
          <w:noProof/>
          <w:color w:val="000000"/>
          <w:bdr w:val="nil"/>
          <w:lang w:val="en-US" w:eastAsia="fr-BE"/>
        </w:rPr>
        <w:t xml:space="preserve"> </w:t>
      </w:r>
      <w:r w:rsidR="00805CAC">
        <w:rPr>
          <w:rFonts w:eastAsia="Times New Roman"/>
          <w:noProof/>
          <w:color w:val="000000"/>
          <w:bdr w:val="nil"/>
          <w:lang w:val="en-US" w:eastAsia="fr-BE"/>
        </w:rPr>
        <w:t>in line</w:t>
      </w:r>
      <w:r w:rsidR="00805CAC" w:rsidRPr="7B727CF6">
        <w:rPr>
          <w:rFonts w:eastAsia="Times New Roman"/>
          <w:noProof/>
          <w:color w:val="000000"/>
          <w:bdr w:val="nil"/>
          <w:lang w:val="en-US" w:eastAsia="fr-BE"/>
        </w:rPr>
        <w:t xml:space="preserve"> </w:t>
      </w:r>
      <w:r w:rsidRPr="7B727CF6">
        <w:rPr>
          <w:rFonts w:eastAsia="Times New Roman"/>
          <w:noProof/>
          <w:color w:val="000000"/>
          <w:bdr w:val="nil"/>
          <w:lang w:val="en-US" w:eastAsia="fr-BE"/>
        </w:rPr>
        <w:t xml:space="preserve">with the objectives of the Clean Industrial Deal. This transformation requires stepping up investments substantially. </w:t>
      </w:r>
      <w:r w:rsidR="0085526C" w:rsidRPr="0085526C">
        <w:rPr>
          <w:rFonts w:eastAsia="Times New Roman"/>
          <w:noProof/>
          <w:color w:val="000000"/>
          <w:bdr w:val="nil"/>
          <w:lang w:val="en-US" w:eastAsia="fr-BE"/>
        </w:rPr>
        <w:t xml:space="preserve">This includes a skilled workforce capable of deploying the </w:t>
      </w:r>
      <w:r w:rsidR="00757E34" w:rsidRPr="0085526C">
        <w:rPr>
          <w:rFonts w:eastAsia="Times New Roman"/>
          <w:noProof/>
          <w:color w:val="000000"/>
          <w:bdr w:val="nil"/>
          <w:lang w:val="en-US" w:eastAsia="fr-BE"/>
        </w:rPr>
        <w:t>technologies needed</w:t>
      </w:r>
      <w:r w:rsidR="0085526C" w:rsidRPr="0085526C">
        <w:rPr>
          <w:rFonts w:eastAsia="Times New Roman"/>
          <w:noProof/>
          <w:color w:val="000000"/>
          <w:bdr w:val="nil"/>
          <w:lang w:val="en-US" w:eastAsia="fr-BE"/>
        </w:rPr>
        <w:t xml:space="preserve"> in relevant ETS sectors.</w:t>
      </w:r>
    </w:p>
    <w:p w14:paraId="64749C91" w14:textId="77777777" w:rsidR="00BF07A9" w:rsidRDefault="00BF07A9" w:rsidP="00BF07A9">
      <w:pPr>
        <w:spacing w:before="240" w:after="240"/>
        <w:rPr>
          <w:rFonts w:eastAsia="Times New Roman"/>
          <w:noProof/>
        </w:rPr>
      </w:pPr>
      <w:r>
        <w:rPr>
          <w:rFonts w:eastAsia="Times New Roman"/>
          <w:noProof/>
          <w:color w:val="000000"/>
          <w:bdr w:val="nil"/>
          <w:lang w:val="en-US" w:eastAsia="fr-BE"/>
        </w:rPr>
        <w:t xml:space="preserve">For this, a predictable ETS price signal and targeted use of its revenues are essential. </w:t>
      </w:r>
      <w:r w:rsidRPr="1717013D">
        <w:rPr>
          <w:rFonts w:eastAsia="Times New Roman"/>
          <w:noProof/>
        </w:rPr>
        <w:t>The EU ETS is a key financing mechanism for the green transition. Since 2013</w:t>
      </w:r>
      <w:r w:rsidR="00C7321F">
        <w:rPr>
          <w:rFonts w:eastAsia="Times New Roman"/>
          <w:noProof/>
        </w:rPr>
        <w:t>,</w:t>
      </w:r>
      <w:r w:rsidRPr="1717013D">
        <w:rPr>
          <w:rFonts w:eastAsia="Times New Roman"/>
          <w:noProof/>
        </w:rPr>
        <w:t xml:space="preserve"> it has raised over </w:t>
      </w:r>
      <w:r w:rsidR="00C7321F">
        <w:rPr>
          <w:rFonts w:eastAsia="Times New Roman"/>
          <w:noProof/>
        </w:rPr>
        <w:t xml:space="preserve">EUR </w:t>
      </w:r>
      <w:r w:rsidRPr="1717013D">
        <w:rPr>
          <w:rFonts w:eastAsia="Times New Roman"/>
          <w:noProof/>
        </w:rPr>
        <w:t>270 billion, with approximately 75% allocated to Member States</w:t>
      </w:r>
      <w:r>
        <w:rPr>
          <w:rFonts w:eastAsia="Times New Roman"/>
          <w:noProof/>
        </w:rPr>
        <w:t xml:space="preserve">, </w:t>
      </w:r>
      <w:r w:rsidRPr="00A813C3">
        <w:rPr>
          <w:rFonts w:eastAsia="Times New Roman"/>
          <w:noProof/>
        </w:rPr>
        <w:t>and given free allocation</w:t>
      </w:r>
      <w:r w:rsidR="009E1C62">
        <w:rPr>
          <w:rFonts w:eastAsia="Times New Roman"/>
          <w:noProof/>
        </w:rPr>
        <w:t>s</w:t>
      </w:r>
      <w:r w:rsidRPr="00A813C3">
        <w:rPr>
          <w:rFonts w:eastAsia="Times New Roman"/>
          <w:noProof/>
        </w:rPr>
        <w:t xml:space="preserve"> worth EUR 255 billion</w:t>
      </w:r>
      <w:r w:rsidRPr="1717013D">
        <w:rPr>
          <w:rFonts w:eastAsia="Times New Roman"/>
          <w:noProof/>
        </w:rPr>
        <w:t xml:space="preserve">. To maximise </w:t>
      </w:r>
      <w:r w:rsidR="008D1453">
        <w:rPr>
          <w:rFonts w:eastAsia="Times New Roman"/>
          <w:noProof/>
        </w:rPr>
        <w:t>the</w:t>
      </w:r>
      <w:r w:rsidR="005772DF">
        <w:rPr>
          <w:rFonts w:eastAsia="Times New Roman"/>
          <w:noProof/>
        </w:rPr>
        <w:t xml:space="preserve"> system’s</w:t>
      </w:r>
      <w:r w:rsidRPr="1717013D">
        <w:rPr>
          <w:rFonts w:eastAsia="Times New Roman"/>
          <w:noProof/>
        </w:rPr>
        <w:t xml:space="preserve"> climate impact, revenues must be spent strategically on measures that accelerate decarbonisation and enhance industrial competitiveness. Since June 2023, Member States have been required to spend 100% of ETS revenues on climate and energy purposes and to ensure visibility of this spending. However, transparency and effectiveness remain insufficient. Current spending patterns reveal critical gaps: only a small fraction of revenues around 5%</w:t>
      </w:r>
      <w:r w:rsidR="0099721B">
        <w:rPr>
          <w:rFonts w:eastAsia="Times New Roman"/>
          <w:noProof/>
        </w:rPr>
        <w:t>,</w:t>
      </w:r>
      <w:r w:rsidRPr="1717013D">
        <w:rPr>
          <w:rFonts w:eastAsia="Times New Roman"/>
          <w:noProof/>
        </w:rPr>
        <w:t xml:space="preserve"> </w:t>
      </w:r>
      <w:r>
        <w:rPr>
          <w:rFonts w:eastAsia="Times New Roman"/>
          <w:noProof/>
        </w:rPr>
        <w:t>directly</w:t>
      </w:r>
      <w:r w:rsidRPr="1717013D">
        <w:rPr>
          <w:rFonts w:eastAsia="Times New Roman"/>
          <w:noProof/>
        </w:rPr>
        <w:t xml:space="preserve"> supports industrial decarbonisation</w:t>
      </w:r>
      <w:r>
        <w:rPr>
          <w:rFonts w:eastAsia="Times New Roman"/>
          <w:noProof/>
        </w:rPr>
        <w:t xml:space="preserve"> </w:t>
      </w:r>
      <w:r w:rsidRPr="00F42F0F">
        <w:rPr>
          <w:rFonts w:eastAsia="Times New Roman"/>
          <w:noProof/>
        </w:rPr>
        <w:t>in sectors such as steel, chemicals and fertili</w:t>
      </w:r>
      <w:r w:rsidR="0099721B">
        <w:rPr>
          <w:rFonts w:eastAsia="Times New Roman"/>
          <w:noProof/>
        </w:rPr>
        <w:t>s</w:t>
      </w:r>
      <w:r w:rsidRPr="00F42F0F">
        <w:rPr>
          <w:rFonts w:eastAsia="Times New Roman"/>
          <w:noProof/>
        </w:rPr>
        <w:t>ers. Together</w:t>
      </w:r>
      <w:r w:rsidR="0099721B">
        <w:rPr>
          <w:rFonts w:eastAsia="Times New Roman"/>
          <w:noProof/>
        </w:rPr>
        <w:t>,</w:t>
      </w:r>
      <w:r w:rsidRPr="00F42F0F">
        <w:rPr>
          <w:rFonts w:eastAsia="Times New Roman"/>
          <w:noProof/>
        </w:rPr>
        <w:t xml:space="preserve"> the industrial sectors are</w:t>
      </w:r>
      <w:r w:rsidRPr="1717013D">
        <w:rPr>
          <w:rFonts w:eastAsia="Times New Roman"/>
          <w:noProof/>
        </w:rPr>
        <w:t xml:space="preserve"> responsible for </w:t>
      </w:r>
      <w:r w:rsidR="00CB01A0">
        <w:rPr>
          <w:rFonts w:eastAsia="Times New Roman"/>
          <w:noProof/>
        </w:rPr>
        <w:t xml:space="preserve">about </w:t>
      </w:r>
      <w:r>
        <w:rPr>
          <w:rFonts w:eastAsia="Times New Roman"/>
          <w:noProof/>
        </w:rPr>
        <w:t>47</w:t>
      </w:r>
      <w:r w:rsidRPr="1717013D">
        <w:rPr>
          <w:rFonts w:eastAsia="Times New Roman"/>
          <w:noProof/>
        </w:rPr>
        <w:t>% of EU</w:t>
      </w:r>
      <w:r>
        <w:rPr>
          <w:rFonts w:eastAsia="Times New Roman"/>
          <w:noProof/>
        </w:rPr>
        <w:t xml:space="preserve"> ETS</w:t>
      </w:r>
      <w:r w:rsidRPr="1717013D">
        <w:rPr>
          <w:rFonts w:eastAsia="Times New Roman"/>
          <w:noProof/>
        </w:rPr>
        <w:t xml:space="preserve"> emissions</w:t>
      </w:r>
      <w:r>
        <w:rPr>
          <w:rFonts w:eastAsia="Times New Roman"/>
          <w:noProof/>
        </w:rPr>
        <w:t xml:space="preserve">. </w:t>
      </w:r>
      <w:r w:rsidRPr="1717013D">
        <w:rPr>
          <w:rFonts w:eastAsia="Times New Roman"/>
          <w:noProof/>
        </w:rPr>
        <w:t xml:space="preserve">Additionally, some investments risk undermining climate neutrality by perpetuating dependencies on carbon-intensive technologies, such as fossil fuel infrastructure, which could lead to long-term lock-in effects. </w:t>
      </w:r>
      <w:r w:rsidRPr="0042150B">
        <w:rPr>
          <w:rFonts w:eastAsia="Times New Roman"/>
          <w:noProof/>
        </w:rPr>
        <w:t xml:space="preserve">ETS revenues </w:t>
      </w:r>
      <w:r>
        <w:rPr>
          <w:rFonts w:eastAsia="Times New Roman"/>
          <w:noProof/>
        </w:rPr>
        <w:t xml:space="preserve">should be reinvested </w:t>
      </w:r>
      <w:r w:rsidRPr="0042150B">
        <w:rPr>
          <w:rFonts w:eastAsia="Times New Roman"/>
          <w:noProof/>
        </w:rPr>
        <w:t xml:space="preserve">in innovation, clean tech and industrial decarbonisation </w:t>
      </w:r>
      <w:r>
        <w:rPr>
          <w:rFonts w:eastAsia="Times New Roman"/>
          <w:noProof/>
        </w:rPr>
        <w:t xml:space="preserve">of ETS sectors </w:t>
      </w:r>
      <w:r w:rsidRPr="0042150B">
        <w:rPr>
          <w:rFonts w:eastAsia="Times New Roman"/>
          <w:noProof/>
        </w:rPr>
        <w:t xml:space="preserve">at a much </w:t>
      </w:r>
      <w:r>
        <w:rPr>
          <w:rFonts w:eastAsia="Times New Roman"/>
          <w:noProof/>
        </w:rPr>
        <w:t>larger</w:t>
      </w:r>
      <w:r w:rsidRPr="0042150B">
        <w:rPr>
          <w:rFonts w:eastAsia="Times New Roman"/>
          <w:noProof/>
        </w:rPr>
        <w:t xml:space="preserve"> scale, </w:t>
      </w:r>
      <w:r w:rsidR="00CB01A0">
        <w:rPr>
          <w:rFonts w:eastAsia="Times New Roman"/>
          <w:noProof/>
        </w:rPr>
        <w:t xml:space="preserve">at </w:t>
      </w:r>
      <w:r w:rsidRPr="0042150B">
        <w:rPr>
          <w:rFonts w:eastAsia="Times New Roman"/>
          <w:noProof/>
        </w:rPr>
        <w:t>both EU and national level</w:t>
      </w:r>
      <w:r>
        <w:rPr>
          <w:rFonts w:eastAsia="Times New Roman"/>
          <w:noProof/>
        </w:rPr>
        <w:t xml:space="preserve">, </w:t>
      </w:r>
      <w:r w:rsidRPr="0042150B">
        <w:rPr>
          <w:rFonts w:eastAsia="Times New Roman"/>
          <w:noProof/>
        </w:rPr>
        <w:t>to reward the frontrunners in the transition and incentivi</w:t>
      </w:r>
      <w:r w:rsidR="00CB01A0">
        <w:rPr>
          <w:rFonts w:eastAsia="Times New Roman"/>
          <w:noProof/>
        </w:rPr>
        <w:t>s</w:t>
      </w:r>
      <w:r w:rsidRPr="0042150B">
        <w:rPr>
          <w:rFonts w:eastAsia="Times New Roman"/>
          <w:noProof/>
        </w:rPr>
        <w:t>e the industrial backbone of Europe.</w:t>
      </w:r>
      <w:r>
        <w:rPr>
          <w:rFonts w:eastAsia="Times New Roman"/>
          <w:noProof/>
        </w:rPr>
        <w:t xml:space="preserve"> </w:t>
      </w:r>
      <w:r w:rsidRPr="008F32B8">
        <w:rPr>
          <w:rFonts w:eastAsia="Times New Roman"/>
          <w:noProof/>
        </w:rPr>
        <w:t>Improved</w:t>
      </w:r>
      <w:r w:rsidR="00CB01A0" w:rsidRPr="008F32B8">
        <w:rPr>
          <w:rFonts w:eastAsia="Times New Roman"/>
          <w:noProof/>
        </w:rPr>
        <w:t xml:space="preserve"> </w:t>
      </w:r>
      <w:r w:rsidRPr="008F32B8">
        <w:rPr>
          <w:rFonts w:eastAsia="Times New Roman"/>
          <w:noProof/>
        </w:rPr>
        <w:t xml:space="preserve">spending should be accompanied by </w:t>
      </w:r>
      <w:r w:rsidR="00CB01A0">
        <w:rPr>
          <w:rFonts w:eastAsia="Times New Roman"/>
          <w:noProof/>
        </w:rPr>
        <w:t>greater</w:t>
      </w:r>
      <w:r w:rsidR="00CB01A0" w:rsidRPr="008F32B8">
        <w:rPr>
          <w:rFonts w:eastAsia="Times New Roman"/>
          <w:noProof/>
        </w:rPr>
        <w:t xml:space="preserve"> </w:t>
      </w:r>
      <w:r w:rsidRPr="008F32B8">
        <w:rPr>
          <w:rFonts w:eastAsia="Times New Roman"/>
          <w:noProof/>
        </w:rPr>
        <w:t>visibility of the use of revenues, which is now limited.</w:t>
      </w:r>
    </w:p>
    <w:p w14:paraId="68A74037" w14:textId="77777777" w:rsidR="00BF07A9" w:rsidRPr="00823F44" w:rsidRDefault="00BF07A9" w:rsidP="00BF07A9">
      <w:pPr>
        <w:spacing w:before="240" w:after="240"/>
        <w:rPr>
          <w:rFonts w:eastAsia="Times New Roman"/>
          <w:noProof/>
        </w:rPr>
      </w:pPr>
      <w:r w:rsidRPr="04E7AACC">
        <w:rPr>
          <w:rFonts w:eastAsia="Calibri"/>
          <w:noProof/>
        </w:rPr>
        <w:t>The carbon price signal</w:t>
      </w:r>
      <w:r w:rsidRPr="2D69C86B">
        <w:rPr>
          <w:rFonts w:eastAsia="Calibri"/>
          <w:noProof/>
        </w:rPr>
        <w:t xml:space="preserve"> provides an incentive for industrial decarbonisation</w:t>
      </w:r>
      <w:r w:rsidRPr="04E7AACC">
        <w:rPr>
          <w:rFonts w:eastAsia="Calibri"/>
          <w:noProof/>
        </w:rPr>
        <w:t xml:space="preserve">, and together with </w:t>
      </w:r>
      <w:r w:rsidR="00CB01A0">
        <w:rPr>
          <w:rFonts w:eastAsia="Calibri"/>
          <w:noProof/>
        </w:rPr>
        <w:t xml:space="preserve">the system of </w:t>
      </w:r>
      <w:r w:rsidRPr="04E7AACC">
        <w:rPr>
          <w:rFonts w:eastAsia="Calibri"/>
          <w:noProof/>
        </w:rPr>
        <w:t xml:space="preserve">free allocation and the CBAM there is protection against carbon leakage. In addition, carbon pricing works hand in hand with regulatory measures such as targets and requirements </w:t>
      </w:r>
      <w:r w:rsidR="00CB01A0">
        <w:rPr>
          <w:rFonts w:eastAsia="Calibri"/>
          <w:noProof/>
        </w:rPr>
        <w:t>related to</w:t>
      </w:r>
      <w:r w:rsidR="00CB01A0" w:rsidRPr="04E7AACC">
        <w:rPr>
          <w:rFonts w:eastAsia="Calibri"/>
          <w:noProof/>
        </w:rPr>
        <w:t xml:space="preserve"> </w:t>
      </w:r>
      <w:r w:rsidRPr="04E7AACC">
        <w:rPr>
          <w:rFonts w:eastAsia="Calibri"/>
          <w:noProof/>
        </w:rPr>
        <w:t xml:space="preserve">energy efficiency, </w:t>
      </w:r>
      <w:r w:rsidR="007438D4">
        <w:rPr>
          <w:rFonts w:eastAsia="Times New Roman"/>
          <w:noProof/>
          <w:color w:val="000000"/>
          <w:bdr w:val="nil"/>
          <w:lang w:val="en-US" w:eastAsia="fr-BE"/>
        </w:rPr>
        <w:t>h</w:t>
      </w:r>
      <w:r w:rsidR="007438D4" w:rsidRPr="007438D4">
        <w:rPr>
          <w:rFonts w:eastAsia="Times New Roman"/>
          <w:noProof/>
          <w:color w:val="000000"/>
          <w:bdr w:val="nil"/>
          <w:lang w:val="en-US" w:eastAsia="fr-BE"/>
        </w:rPr>
        <w:t>omegrown clean energy</w:t>
      </w:r>
      <w:r w:rsidR="007438D4">
        <w:rPr>
          <w:rFonts w:eastAsia="Times New Roman"/>
          <w:noProof/>
          <w:color w:val="000000"/>
          <w:bdr w:val="nil"/>
          <w:lang w:val="en-US" w:eastAsia="fr-BE"/>
        </w:rPr>
        <w:t xml:space="preserve"> sources</w:t>
      </w:r>
      <w:r w:rsidR="007438D4" w:rsidRPr="04E7AACC">
        <w:rPr>
          <w:rFonts w:eastAsia="Calibri"/>
          <w:noProof/>
        </w:rPr>
        <w:t xml:space="preserve"> </w:t>
      </w:r>
      <w:r w:rsidR="00B71B7A">
        <w:rPr>
          <w:rFonts w:eastAsia="Calibri"/>
          <w:noProof/>
        </w:rPr>
        <w:t xml:space="preserve">such as </w:t>
      </w:r>
      <w:r w:rsidRPr="04E7AACC">
        <w:rPr>
          <w:rFonts w:eastAsia="Calibri"/>
          <w:noProof/>
        </w:rPr>
        <w:t xml:space="preserve">renewable energy or decarbonised </w:t>
      </w:r>
      <w:r w:rsidR="00491F76">
        <w:rPr>
          <w:rFonts w:eastAsia="Calibri"/>
          <w:noProof/>
        </w:rPr>
        <w:t>transport</w:t>
      </w:r>
      <w:r w:rsidR="00491F76" w:rsidRPr="04E7AACC">
        <w:rPr>
          <w:rFonts w:eastAsia="Calibri"/>
          <w:noProof/>
        </w:rPr>
        <w:t xml:space="preserve"> </w:t>
      </w:r>
      <w:r w:rsidRPr="04E7AACC">
        <w:rPr>
          <w:rFonts w:eastAsia="Calibri"/>
          <w:noProof/>
        </w:rPr>
        <w:t xml:space="preserve">and industry. In many sectors (e.g. steel, cement or chemicals), however, </w:t>
      </w:r>
      <w:r>
        <w:rPr>
          <w:rFonts w:eastAsia="Calibri"/>
          <w:noProof/>
        </w:rPr>
        <w:t>free allocation</w:t>
      </w:r>
      <w:r w:rsidRPr="04E7AACC">
        <w:rPr>
          <w:rFonts w:eastAsia="Calibri"/>
          <w:noProof/>
        </w:rPr>
        <w:t xml:space="preserve"> (together with the regulatory framework) has not been </w:t>
      </w:r>
      <w:r>
        <w:rPr>
          <w:rFonts w:eastAsia="Calibri"/>
          <w:noProof/>
        </w:rPr>
        <w:t>conducive</w:t>
      </w:r>
      <w:r w:rsidRPr="04E7AACC">
        <w:rPr>
          <w:rFonts w:eastAsia="Calibri"/>
          <w:noProof/>
        </w:rPr>
        <w:t xml:space="preserve"> to driv</w:t>
      </w:r>
      <w:r>
        <w:rPr>
          <w:rFonts w:eastAsia="Calibri"/>
          <w:noProof/>
        </w:rPr>
        <w:t>ing</w:t>
      </w:r>
      <w:r w:rsidRPr="04E7AACC">
        <w:rPr>
          <w:rFonts w:eastAsia="Calibri"/>
          <w:noProof/>
        </w:rPr>
        <w:t xml:space="preserve"> transformational change and </w:t>
      </w:r>
      <w:r>
        <w:rPr>
          <w:rFonts w:eastAsia="Calibri"/>
          <w:noProof/>
        </w:rPr>
        <w:t>should be more</w:t>
      </w:r>
      <w:r w:rsidRPr="0042150B">
        <w:rPr>
          <w:rFonts w:eastAsia="Times New Roman"/>
          <w:noProof/>
        </w:rPr>
        <w:t xml:space="preserve"> clearly link</w:t>
      </w:r>
      <w:r w:rsidR="00101E84">
        <w:rPr>
          <w:rFonts w:eastAsia="Times New Roman"/>
          <w:noProof/>
        </w:rPr>
        <w:t>ed</w:t>
      </w:r>
      <w:r w:rsidRPr="0042150B">
        <w:rPr>
          <w:rFonts w:eastAsia="Times New Roman"/>
          <w:noProof/>
        </w:rPr>
        <w:t xml:space="preserve"> to much-needed investments inside Europe</w:t>
      </w:r>
      <w:r>
        <w:rPr>
          <w:rFonts w:eastAsia="Times New Roman"/>
          <w:noProof/>
        </w:rPr>
        <w:t xml:space="preserve">, while </w:t>
      </w:r>
      <w:r w:rsidRPr="04E7AACC">
        <w:rPr>
          <w:rFonts w:eastAsia="Calibri"/>
          <w:noProof/>
        </w:rPr>
        <w:t xml:space="preserve">in the near future, investments will still be lacking a </w:t>
      </w:r>
      <w:r>
        <w:rPr>
          <w:rFonts w:eastAsia="Calibri"/>
          <w:noProof/>
        </w:rPr>
        <w:t xml:space="preserve">bankable </w:t>
      </w:r>
      <w:r w:rsidRPr="04E7AACC">
        <w:rPr>
          <w:rFonts w:eastAsia="Calibri"/>
          <w:noProof/>
        </w:rPr>
        <w:t>business case. This is why the Clean Industrial Deal announced the Industrial Decarbonisation Bank (IDB)</w:t>
      </w:r>
      <w:r w:rsidR="00101E84">
        <w:rPr>
          <w:rFonts w:eastAsia="Calibri"/>
          <w:noProof/>
        </w:rPr>
        <w:t>,</w:t>
      </w:r>
      <w:r w:rsidRPr="04E7AACC">
        <w:rPr>
          <w:rFonts w:eastAsia="Calibri"/>
          <w:noProof/>
        </w:rPr>
        <w:t xml:space="preserve"> </w:t>
      </w:r>
      <w:r w:rsidRPr="00DF5043">
        <w:rPr>
          <w:rFonts w:eastAsia="Calibri"/>
          <w:noProof/>
        </w:rPr>
        <w:t>with EUR 100 billion in funding</w:t>
      </w:r>
      <w:r w:rsidR="00FF2DE4">
        <w:rPr>
          <w:rFonts w:eastAsia="Calibri"/>
          <w:noProof/>
        </w:rPr>
        <w:t>,</w:t>
      </w:r>
      <w:r w:rsidRPr="00DF5043">
        <w:rPr>
          <w:rFonts w:eastAsia="Calibri"/>
          <w:noProof/>
        </w:rPr>
        <w:t xml:space="preserve"> within the governance of the future Competitiveness Fund</w:t>
      </w:r>
      <w:r w:rsidR="00FF2DE4">
        <w:rPr>
          <w:rFonts w:eastAsia="Calibri"/>
          <w:noProof/>
        </w:rPr>
        <w:t>. The IDB</w:t>
      </w:r>
      <w:r w:rsidR="00F75D41">
        <w:rPr>
          <w:rFonts w:eastAsia="Calibri"/>
          <w:noProof/>
        </w:rPr>
        <w:t xml:space="preserve"> aims</w:t>
      </w:r>
      <w:r w:rsidRPr="00DF5043">
        <w:rPr>
          <w:rFonts w:eastAsia="Calibri"/>
          <w:noProof/>
        </w:rPr>
        <w:t xml:space="preserve"> </w:t>
      </w:r>
      <w:r w:rsidRPr="04E7AACC">
        <w:rPr>
          <w:rFonts w:eastAsia="Calibri"/>
          <w:noProof/>
        </w:rPr>
        <w:t xml:space="preserve">to </w:t>
      </w:r>
      <w:r w:rsidR="00F75D41">
        <w:rPr>
          <w:rFonts w:eastAsia="Calibri"/>
          <w:noProof/>
        </w:rPr>
        <w:t>promote</w:t>
      </w:r>
      <w:r w:rsidR="00F75D41" w:rsidRPr="04E7AACC">
        <w:rPr>
          <w:rFonts w:eastAsia="Calibri"/>
          <w:noProof/>
        </w:rPr>
        <w:t xml:space="preserve"> </w:t>
      </w:r>
      <w:r w:rsidRPr="04E7AACC">
        <w:rPr>
          <w:rFonts w:eastAsia="Calibri"/>
          <w:noProof/>
        </w:rPr>
        <w:t xml:space="preserve">the scale-up and roll-out of more mature industrial decarbonisation projects, notably in </w:t>
      </w:r>
      <w:r w:rsidR="00F75D41">
        <w:rPr>
          <w:rFonts w:eastAsia="Calibri"/>
          <w:noProof/>
        </w:rPr>
        <w:t>EIIs</w:t>
      </w:r>
      <w:r w:rsidRPr="04E7AACC">
        <w:rPr>
          <w:rFonts w:eastAsia="Calibri"/>
          <w:noProof/>
        </w:rPr>
        <w:t xml:space="preserve"> across all Member States</w:t>
      </w:r>
      <w:r>
        <w:rPr>
          <w:rFonts w:eastAsia="Calibri"/>
          <w:noProof/>
        </w:rPr>
        <w:t>,</w:t>
      </w:r>
      <w:r w:rsidRPr="04E7AACC">
        <w:rPr>
          <w:rFonts w:eastAsia="Calibri"/>
          <w:noProof/>
        </w:rPr>
        <w:t xml:space="preserve"> to be </w:t>
      </w:r>
      <w:r w:rsidRPr="04E7AACC">
        <w:rPr>
          <w:rFonts w:eastAsia="Calibri"/>
          <w:noProof/>
        </w:rPr>
        <w:lastRenderedPageBreak/>
        <w:t xml:space="preserve">funded mostly by </w:t>
      </w:r>
      <w:r>
        <w:rPr>
          <w:rFonts w:eastAsia="Calibri"/>
          <w:noProof/>
        </w:rPr>
        <w:t xml:space="preserve">reserving </w:t>
      </w:r>
      <w:r w:rsidRPr="04E7AACC">
        <w:rPr>
          <w:rFonts w:eastAsia="Calibri"/>
          <w:noProof/>
        </w:rPr>
        <w:t xml:space="preserve">a </w:t>
      </w:r>
      <w:r>
        <w:rPr>
          <w:rFonts w:eastAsia="Calibri"/>
          <w:noProof/>
        </w:rPr>
        <w:t xml:space="preserve">certain share </w:t>
      </w:r>
      <w:r w:rsidRPr="04E7AACC">
        <w:rPr>
          <w:rFonts w:eastAsia="Calibri"/>
          <w:noProof/>
        </w:rPr>
        <w:t xml:space="preserve">of ETS </w:t>
      </w:r>
      <w:r>
        <w:rPr>
          <w:rFonts w:eastAsia="Calibri"/>
          <w:noProof/>
        </w:rPr>
        <w:t>allowances</w:t>
      </w:r>
      <w:r w:rsidR="00102200">
        <w:rPr>
          <w:rStyle w:val="FootnoteReference"/>
          <w:rFonts w:eastAsia="Calibri"/>
          <w:noProof/>
        </w:rPr>
        <w:footnoteReference w:id="15"/>
      </w:r>
      <w:r w:rsidRPr="04E7AACC">
        <w:rPr>
          <w:rFonts w:eastAsia="Calibri"/>
          <w:noProof/>
        </w:rPr>
        <w:t xml:space="preserve">. </w:t>
      </w:r>
      <w:r w:rsidRPr="00DF5043">
        <w:rPr>
          <w:rFonts w:eastAsia="Calibri"/>
          <w:noProof/>
        </w:rPr>
        <w:t>To kick-start such investments and drive long</w:t>
      </w:r>
      <w:r w:rsidR="00F75D41">
        <w:rPr>
          <w:rFonts w:eastAsia="Calibri"/>
          <w:noProof/>
        </w:rPr>
        <w:t>-</w:t>
      </w:r>
      <w:r w:rsidRPr="00DF5043">
        <w:rPr>
          <w:rFonts w:eastAsia="Calibri"/>
          <w:noProof/>
        </w:rPr>
        <w:t xml:space="preserve">term competitiveness, the ETS Investment Booster will be available </w:t>
      </w:r>
      <w:r w:rsidR="001C7239">
        <w:rPr>
          <w:rFonts w:eastAsia="Calibri"/>
          <w:noProof/>
        </w:rPr>
        <w:t>already</w:t>
      </w:r>
      <w:r w:rsidRPr="00DF5043">
        <w:rPr>
          <w:rFonts w:eastAsia="Calibri"/>
          <w:noProof/>
        </w:rPr>
        <w:t xml:space="preserve"> </w:t>
      </w:r>
      <w:r w:rsidR="00F75D41">
        <w:rPr>
          <w:rFonts w:eastAsia="Calibri"/>
          <w:noProof/>
        </w:rPr>
        <w:t xml:space="preserve">before </w:t>
      </w:r>
      <w:r w:rsidRPr="00DF5043">
        <w:rPr>
          <w:rFonts w:eastAsia="Calibri"/>
          <w:noProof/>
        </w:rPr>
        <w:t xml:space="preserve">2030 to ensure timely support and be designed </w:t>
      </w:r>
      <w:r w:rsidR="00F75D41">
        <w:rPr>
          <w:rFonts w:eastAsia="Calibri"/>
          <w:noProof/>
        </w:rPr>
        <w:t>so as to promote</w:t>
      </w:r>
      <w:r w:rsidRPr="00DF5043">
        <w:rPr>
          <w:rFonts w:eastAsia="Calibri"/>
          <w:noProof/>
        </w:rPr>
        <w:t xml:space="preserve"> solidarity. </w:t>
      </w:r>
      <w:r w:rsidRPr="04E7AACC">
        <w:rPr>
          <w:rFonts w:eastAsia="Calibri"/>
          <w:noProof/>
        </w:rPr>
        <w:t>With the</w:t>
      </w:r>
      <w:r w:rsidRPr="04E7AACC" w:rsidDel="5B01F039">
        <w:rPr>
          <w:rFonts w:eastAsia="Calibri"/>
          <w:noProof/>
        </w:rPr>
        <w:t xml:space="preserve"> </w:t>
      </w:r>
      <w:r w:rsidRPr="04E7AACC">
        <w:rPr>
          <w:rFonts w:eastAsia="Calibri"/>
          <w:noProof/>
        </w:rPr>
        <w:t>IDB focusing on scale-up and roll-out,</w:t>
      </w:r>
      <w:r>
        <w:rPr>
          <w:rFonts w:eastAsia="Calibri"/>
          <w:noProof/>
        </w:rPr>
        <w:t xml:space="preserve"> addressing the commercial risks faced by industrial decarbonisation projects, </w:t>
      </w:r>
      <w:r w:rsidR="006E768E">
        <w:rPr>
          <w:rFonts w:eastAsia="Calibri"/>
          <w:noProof/>
        </w:rPr>
        <w:t>it is also necessary for</w:t>
      </w:r>
      <w:r w:rsidRPr="04E7AACC">
        <w:rPr>
          <w:rFonts w:eastAsia="Calibri"/>
          <w:noProof/>
        </w:rPr>
        <w:t xml:space="preserve"> the Innovation Fund to</w:t>
      </w:r>
      <w:r>
        <w:rPr>
          <w:rFonts w:eastAsia="Calibri"/>
          <w:noProof/>
        </w:rPr>
        <w:t xml:space="preserve"> </w:t>
      </w:r>
      <w:r w:rsidR="006D1C5C">
        <w:rPr>
          <w:rFonts w:eastAsia="Calibri"/>
          <w:noProof/>
        </w:rPr>
        <w:t xml:space="preserve">continue to </w:t>
      </w:r>
      <w:r w:rsidRPr="04E7AACC">
        <w:rPr>
          <w:rFonts w:eastAsia="Calibri"/>
          <w:noProof/>
        </w:rPr>
        <w:t>support</w:t>
      </w:r>
      <w:r>
        <w:rPr>
          <w:rFonts w:eastAsia="Calibri"/>
          <w:noProof/>
        </w:rPr>
        <w:t xml:space="preserve"> the commercialisation of</w:t>
      </w:r>
      <w:r w:rsidRPr="04E7AACC">
        <w:rPr>
          <w:rFonts w:eastAsia="Calibri"/>
          <w:noProof/>
        </w:rPr>
        <w:t xml:space="preserve"> innovative and first</w:t>
      </w:r>
      <w:r>
        <w:rPr>
          <w:rFonts w:eastAsia="Calibri"/>
          <w:noProof/>
        </w:rPr>
        <w:t>-</w:t>
      </w:r>
      <w:r w:rsidRPr="04E7AACC">
        <w:rPr>
          <w:rFonts w:eastAsia="Calibri"/>
          <w:noProof/>
        </w:rPr>
        <w:t>of</w:t>
      </w:r>
      <w:r>
        <w:rPr>
          <w:rFonts w:eastAsia="Calibri"/>
          <w:noProof/>
        </w:rPr>
        <w:t>-</w:t>
      </w:r>
      <w:r w:rsidRPr="04E7AACC">
        <w:rPr>
          <w:rFonts w:eastAsia="Calibri"/>
          <w:noProof/>
        </w:rPr>
        <w:t>a</w:t>
      </w:r>
      <w:r>
        <w:rPr>
          <w:rFonts w:eastAsia="Calibri"/>
          <w:noProof/>
        </w:rPr>
        <w:t>-</w:t>
      </w:r>
      <w:r w:rsidRPr="04E7AACC">
        <w:rPr>
          <w:rFonts w:eastAsia="Calibri"/>
          <w:noProof/>
        </w:rPr>
        <w:t>kind technology</w:t>
      </w:r>
      <w:r>
        <w:rPr>
          <w:rFonts w:eastAsia="Calibri"/>
          <w:noProof/>
        </w:rPr>
        <w:t>.</w:t>
      </w:r>
      <w:r w:rsidDel="002A3518">
        <w:rPr>
          <w:rFonts w:eastAsia="Calibri"/>
          <w:noProof/>
        </w:rPr>
        <w:t xml:space="preserve"> </w:t>
      </w:r>
      <w:r w:rsidRPr="63AE0EDD">
        <w:rPr>
          <w:rFonts w:eastAsia="Calibri"/>
          <w:noProof/>
        </w:rPr>
        <w:t xml:space="preserve">The EU ETS thus supports the objectives of the Clean Industrial Deal by providing a clear and predictable carbon price, incentivising investment in decarbonisation solutions while continuing to provide carbon-leakage protection and </w:t>
      </w:r>
      <w:r>
        <w:rPr>
          <w:rFonts w:eastAsia="Calibri"/>
          <w:noProof/>
        </w:rPr>
        <w:t>reinvesting the revenues the system generates</w:t>
      </w:r>
      <w:r w:rsidRPr="63AE0EDD">
        <w:rPr>
          <w:rFonts w:eastAsia="Calibri"/>
          <w:noProof/>
        </w:rPr>
        <w:t xml:space="preserve">. </w:t>
      </w:r>
    </w:p>
    <w:p w14:paraId="73575A24" w14:textId="77777777" w:rsidR="00BF07A9" w:rsidRPr="00E853B8" w:rsidRDefault="00BF07A9" w:rsidP="00BF07A9">
      <w:pPr>
        <w:rPr>
          <w:rFonts w:eastAsia="Calibri" w:cs="Calibri"/>
          <w:noProof/>
          <w:color w:val="000000" w:themeColor="text1"/>
          <w:sz w:val="20"/>
          <w:szCs w:val="20"/>
        </w:rPr>
      </w:pPr>
      <w:r>
        <w:rPr>
          <w:rFonts w:eastAsia="Calibri"/>
          <w:noProof/>
        </w:rPr>
        <w:t>Dedicated</w:t>
      </w:r>
      <w:r w:rsidRPr="00814786">
        <w:rPr>
          <w:rFonts w:eastAsia="Calibri"/>
          <w:noProof/>
        </w:rPr>
        <w:t xml:space="preserve"> mechanisms </w:t>
      </w:r>
      <w:r w:rsidR="006D1C5C">
        <w:rPr>
          <w:rFonts w:eastAsia="Calibri"/>
          <w:noProof/>
        </w:rPr>
        <w:t>are</w:t>
      </w:r>
      <w:r w:rsidRPr="00814786">
        <w:rPr>
          <w:rFonts w:eastAsia="Calibri"/>
          <w:noProof/>
        </w:rPr>
        <w:t xml:space="preserve"> ensuring continued solidarity with lower income Member States, </w:t>
      </w:r>
      <w:r>
        <w:rPr>
          <w:rFonts w:eastAsia="Calibri"/>
          <w:noProof/>
        </w:rPr>
        <w:t>including</w:t>
      </w:r>
      <w:r w:rsidRPr="00814786">
        <w:rPr>
          <w:rFonts w:eastAsia="Calibri"/>
          <w:noProof/>
        </w:rPr>
        <w:t xml:space="preserve"> the redistribution of 10% of auctioning revenues, the Modernisation Fund, and guaranteed access to the ETS Investment Booster</w:t>
      </w:r>
      <w:r w:rsidR="006D1C5C">
        <w:rPr>
          <w:rFonts w:eastAsia="Calibri"/>
          <w:noProof/>
        </w:rPr>
        <w:t>. They</w:t>
      </w:r>
      <w:r w:rsidRPr="00814786">
        <w:rPr>
          <w:rFonts w:eastAsia="Calibri"/>
          <w:noProof/>
        </w:rPr>
        <w:t xml:space="preserve"> </w:t>
      </w:r>
      <w:r>
        <w:rPr>
          <w:rFonts w:eastAsia="Calibri"/>
          <w:noProof/>
        </w:rPr>
        <w:t>should</w:t>
      </w:r>
      <w:r w:rsidRPr="00814786">
        <w:rPr>
          <w:rFonts w:eastAsia="Calibri"/>
          <w:noProof/>
        </w:rPr>
        <w:t xml:space="preserve"> </w:t>
      </w:r>
      <w:r>
        <w:rPr>
          <w:rFonts w:eastAsia="Calibri"/>
          <w:noProof/>
        </w:rPr>
        <w:t xml:space="preserve">also </w:t>
      </w:r>
      <w:r w:rsidRPr="00814786">
        <w:rPr>
          <w:rFonts w:eastAsia="Calibri"/>
          <w:noProof/>
        </w:rPr>
        <w:t>continue to assist lower-income Member States in modernising their energy system and accelerating industrial transformation.</w:t>
      </w:r>
    </w:p>
    <w:p w14:paraId="792A00F3" w14:textId="77777777" w:rsidR="00BF07A9" w:rsidRPr="00823F44" w:rsidRDefault="00BF07A9" w:rsidP="00BF07A9">
      <w:pPr>
        <w:rPr>
          <w:rFonts w:eastAsia="Calibri"/>
          <w:noProof/>
          <w:szCs w:val="24"/>
          <w:u w:val="single"/>
        </w:rPr>
      </w:pPr>
      <w:r w:rsidRPr="00823F44">
        <w:rPr>
          <w:rFonts w:eastAsia="Calibri"/>
          <w:noProof/>
          <w:szCs w:val="24"/>
          <w:u w:val="single"/>
        </w:rPr>
        <w:t>Delivering a whole-of-economy transition</w:t>
      </w:r>
    </w:p>
    <w:p w14:paraId="5B735D71" w14:textId="2B05E47C" w:rsidR="00BF07A9" w:rsidRPr="00E853B8" w:rsidRDefault="00BF07A9" w:rsidP="00BF07A9">
      <w:pPr>
        <w:rPr>
          <w:rFonts w:eastAsia="Calibri"/>
          <w:noProof/>
          <w:szCs w:val="24"/>
        </w:rPr>
      </w:pPr>
      <w:r>
        <w:rPr>
          <w:rFonts w:eastAsia="Calibri"/>
          <w:noProof/>
          <w:szCs w:val="24"/>
        </w:rPr>
        <w:t>To deliver a whole-of-economy transition, all sectors need to contribute a fair share to the EU’s climate targets</w:t>
      </w:r>
      <w:r w:rsidRPr="00972484">
        <w:rPr>
          <w:rFonts w:eastAsia="Calibri"/>
          <w:noProof/>
          <w:szCs w:val="24"/>
        </w:rPr>
        <w:t xml:space="preserve">. </w:t>
      </w:r>
      <w:r w:rsidRPr="007377A3">
        <w:rPr>
          <w:rFonts w:eastAsia="Calibri"/>
          <w:noProof/>
          <w:szCs w:val="24"/>
        </w:rPr>
        <w:t>This includes applying an effective carbon price signal to the EU’s fair share of aviation emissions .</w:t>
      </w:r>
      <w:r>
        <w:rPr>
          <w:rFonts w:eastAsia="Calibri"/>
          <w:noProof/>
          <w:szCs w:val="24"/>
        </w:rPr>
        <w:t xml:space="preserve"> </w:t>
      </w:r>
      <w:r w:rsidRPr="1717013D">
        <w:rPr>
          <w:rFonts w:eastAsia="Calibri"/>
          <w:noProof/>
        </w:rPr>
        <w:t>Aviation accounts for 2-3% of global CO</w:t>
      </w:r>
      <w:r w:rsidRPr="1717013D">
        <w:rPr>
          <w:rFonts w:eastAsia="Calibri"/>
          <w:noProof/>
          <w:vertAlign w:val="subscript"/>
        </w:rPr>
        <w:t>2</w:t>
      </w:r>
      <w:r w:rsidRPr="1717013D">
        <w:rPr>
          <w:rFonts w:eastAsia="Calibri"/>
          <w:noProof/>
        </w:rPr>
        <w:t xml:space="preserve"> emissions</w:t>
      </w:r>
      <w:r>
        <w:rPr>
          <w:rStyle w:val="FootnoteReference"/>
          <w:rFonts w:eastAsia="Calibri"/>
          <w:noProof/>
        </w:rPr>
        <w:footnoteReference w:id="16"/>
      </w:r>
      <w:r w:rsidRPr="1717013D">
        <w:rPr>
          <w:rFonts w:eastAsia="Calibri"/>
          <w:noProof/>
        </w:rPr>
        <w:t xml:space="preserve"> and is a source of non-CO</w:t>
      </w:r>
      <w:r w:rsidRPr="1717013D">
        <w:rPr>
          <w:rFonts w:eastAsia="Calibri"/>
          <w:noProof/>
          <w:vertAlign w:val="subscript"/>
        </w:rPr>
        <w:t>2</w:t>
      </w:r>
      <w:r w:rsidRPr="1717013D">
        <w:rPr>
          <w:rFonts w:eastAsia="Calibri"/>
          <w:noProof/>
        </w:rPr>
        <w:t xml:space="preserve"> climate impacts at least as significant as those of CO</w:t>
      </w:r>
      <w:r w:rsidRPr="1717013D">
        <w:rPr>
          <w:rFonts w:eastAsia="Calibri"/>
          <w:noProof/>
          <w:vertAlign w:val="subscript"/>
        </w:rPr>
        <w:t>2</w:t>
      </w:r>
      <w:r w:rsidRPr="1717013D">
        <w:rPr>
          <w:rFonts w:eastAsia="Calibri"/>
          <w:noProof/>
        </w:rPr>
        <w:t>. Aviation’s share of EU transport emissions today is 1</w:t>
      </w:r>
      <w:r>
        <w:rPr>
          <w:rFonts w:eastAsia="Calibri"/>
          <w:noProof/>
        </w:rPr>
        <w:t>4</w:t>
      </w:r>
      <w:r w:rsidRPr="1717013D">
        <w:rPr>
          <w:rFonts w:eastAsia="Calibri"/>
          <w:noProof/>
        </w:rPr>
        <w:t>%, or around 4% of the EU’s total CO</w:t>
      </w:r>
      <w:r w:rsidRPr="1717013D">
        <w:rPr>
          <w:rFonts w:eastAsia="Calibri"/>
          <w:noProof/>
          <w:vertAlign w:val="subscript"/>
        </w:rPr>
        <w:t>2</w:t>
      </w:r>
      <w:r w:rsidRPr="1717013D">
        <w:rPr>
          <w:rFonts w:eastAsia="Calibri"/>
          <w:noProof/>
        </w:rPr>
        <w:t xml:space="preserve"> emissions. By 2050, aviation’s share is expected to grow to around 90%</w:t>
      </w:r>
      <w:r>
        <w:rPr>
          <w:rStyle w:val="FootnoteReference"/>
          <w:rFonts w:eastAsia="Calibri"/>
          <w:noProof/>
        </w:rPr>
        <w:footnoteReference w:id="17"/>
      </w:r>
      <w:r w:rsidRPr="1717013D">
        <w:rPr>
          <w:rFonts w:eastAsia="Calibri"/>
          <w:noProof/>
        </w:rPr>
        <w:t xml:space="preserve">. Long-haul flights fuel this </w:t>
      </w:r>
      <w:r w:rsidR="00757E34" w:rsidRPr="1717013D">
        <w:rPr>
          <w:rFonts w:eastAsia="Calibri"/>
          <w:noProof/>
        </w:rPr>
        <w:t>growth,</w:t>
      </w:r>
      <w:r w:rsidRPr="1717013D">
        <w:rPr>
          <w:rFonts w:eastAsia="Calibri"/>
          <w:noProof/>
        </w:rPr>
        <w:t xml:space="preserve"> and they should be covered by a meaningful carbon price. Globally, the International Civil Aviation Organization (ICAO) projects that international aviation emissions will continue to grow</w:t>
      </w:r>
      <w:r>
        <w:rPr>
          <w:rStyle w:val="FootnoteReference"/>
          <w:rFonts w:eastAsia="Calibri"/>
          <w:noProof/>
        </w:rPr>
        <w:footnoteReference w:id="18"/>
      </w:r>
      <w:r w:rsidRPr="1717013D">
        <w:rPr>
          <w:rFonts w:eastAsia="Calibri"/>
          <w:noProof/>
        </w:rPr>
        <w:t>. The Carbon Offsetting and Reduction Scheme for International Aviation (CORSIA) aims to offset most of that growth</w:t>
      </w:r>
      <w:r>
        <w:rPr>
          <w:rStyle w:val="FootnoteReference"/>
          <w:rFonts w:eastAsia="Calibri"/>
          <w:noProof/>
        </w:rPr>
        <w:footnoteReference w:id="19"/>
      </w:r>
      <w:r w:rsidRPr="1717013D">
        <w:rPr>
          <w:rFonts w:eastAsia="Calibri"/>
          <w:noProof/>
        </w:rPr>
        <w:t xml:space="preserve">. Aviation, like shipping, has important decarbonisation challenges as a hard-to-abate sector, marked by long asset lifetimes, significant capital intensity and a current scarcity of immediate alternatives to fossil fuels. </w:t>
      </w:r>
    </w:p>
    <w:p w14:paraId="73D498EE" w14:textId="44744871" w:rsidR="00BF07A9" w:rsidRPr="00E853B8" w:rsidRDefault="00BF07A9" w:rsidP="00BF07A9">
      <w:pPr>
        <w:rPr>
          <w:rFonts w:eastAsia="Calibri"/>
          <w:noProof/>
        </w:rPr>
      </w:pPr>
      <w:r w:rsidRPr="79ABDF5F">
        <w:rPr>
          <w:rFonts w:eastAsia="Calibri"/>
          <w:noProof/>
        </w:rPr>
        <w:t xml:space="preserve">Maritime transport represents around 14% of total EU transport emissions, or around 4% of </w:t>
      </w:r>
      <w:r w:rsidR="00FC03CE">
        <w:rPr>
          <w:rFonts w:eastAsia="Calibri"/>
          <w:noProof/>
        </w:rPr>
        <w:t>total</w:t>
      </w:r>
      <w:r w:rsidR="00FC03CE" w:rsidRPr="79ABDF5F">
        <w:rPr>
          <w:rFonts w:eastAsia="Calibri"/>
          <w:noProof/>
        </w:rPr>
        <w:t xml:space="preserve"> </w:t>
      </w:r>
      <w:r w:rsidRPr="79ABDF5F">
        <w:rPr>
          <w:rFonts w:eastAsia="Calibri"/>
          <w:noProof/>
        </w:rPr>
        <w:t>EU CO</w:t>
      </w:r>
      <w:r w:rsidRPr="79ABDF5F">
        <w:rPr>
          <w:rFonts w:eastAsia="Calibri"/>
          <w:noProof/>
          <w:vertAlign w:val="subscript"/>
        </w:rPr>
        <w:t>2</w:t>
      </w:r>
      <w:r w:rsidRPr="79ABDF5F">
        <w:rPr>
          <w:rFonts w:eastAsia="Calibri"/>
          <w:noProof/>
        </w:rPr>
        <w:t xml:space="preserve"> emissions. Its green transition will require the mobilisation of the whole EU maritime value chain </w:t>
      </w:r>
      <w:r w:rsidR="00270596">
        <w:rPr>
          <w:rFonts w:eastAsia="Calibri"/>
          <w:noProof/>
        </w:rPr>
        <w:t>as well as</w:t>
      </w:r>
      <w:r w:rsidRPr="79ABDF5F">
        <w:rPr>
          <w:rFonts w:eastAsia="Calibri"/>
          <w:noProof/>
        </w:rPr>
        <w:t xml:space="preserve"> substantial investment in enhancing vessel efficiency, developing new sustainable propulsion technologies and scaling up the production and distribution of sustainable renewable and low-carbon fuels, including </w:t>
      </w:r>
      <w:r w:rsidR="00002452">
        <w:rPr>
          <w:rFonts w:eastAsia="Calibri"/>
          <w:noProof/>
        </w:rPr>
        <w:t>by</w:t>
      </w:r>
      <w:r w:rsidRPr="79ABDF5F">
        <w:rPr>
          <w:rFonts w:eastAsia="Calibri"/>
          <w:noProof/>
        </w:rPr>
        <w:t xml:space="preserve"> upgrad</w:t>
      </w:r>
      <w:r w:rsidR="00002452">
        <w:rPr>
          <w:rFonts w:eastAsia="Calibri"/>
          <w:noProof/>
        </w:rPr>
        <w:t>ing</w:t>
      </w:r>
      <w:r w:rsidRPr="79ABDF5F">
        <w:rPr>
          <w:rFonts w:eastAsia="Calibri"/>
          <w:noProof/>
        </w:rPr>
        <w:t xml:space="preserve"> port and energy infrastructure. Moreover, </w:t>
      </w:r>
      <w:r>
        <w:rPr>
          <w:rFonts w:eastAsia="Calibri"/>
          <w:noProof/>
        </w:rPr>
        <w:t>the International Maritime Organization (</w:t>
      </w:r>
      <w:r w:rsidRPr="79ABDF5F">
        <w:rPr>
          <w:rFonts w:eastAsia="Calibri"/>
          <w:noProof/>
        </w:rPr>
        <w:t>IMO</w:t>
      </w:r>
      <w:r>
        <w:rPr>
          <w:rFonts w:eastAsia="Calibri"/>
          <w:noProof/>
        </w:rPr>
        <w:t>)</w:t>
      </w:r>
      <w:r w:rsidR="00430D2D">
        <w:rPr>
          <w:rFonts w:eastAsia="Calibri"/>
          <w:noProof/>
        </w:rPr>
        <w:t xml:space="preserve"> is developing</w:t>
      </w:r>
      <w:r w:rsidRPr="79ABDF5F">
        <w:rPr>
          <w:rFonts w:eastAsia="Calibri"/>
          <w:noProof/>
        </w:rPr>
        <w:t xml:space="preserve">, a global measure to implement the IMO 2023 GHG </w:t>
      </w:r>
      <w:r w:rsidR="009C2597">
        <w:rPr>
          <w:rFonts w:eastAsia="Calibri"/>
          <w:noProof/>
        </w:rPr>
        <w:t>s</w:t>
      </w:r>
      <w:r w:rsidRPr="79ABDF5F">
        <w:rPr>
          <w:rFonts w:eastAsia="Calibri"/>
          <w:noProof/>
        </w:rPr>
        <w:t>trategy, which aims, among other</w:t>
      </w:r>
      <w:r w:rsidR="006356D8">
        <w:rPr>
          <w:rFonts w:eastAsia="Calibri"/>
          <w:noProof/>
        </w:rPr>
        <w:t xml:space="preserve"> thing</w:t>
      </w:r>
      <w:r w:rsidRPr="79ABDF5F">
        <w:rPr>
          <w:rFonts w:eastAsia="Calibri"/>
          <w:noProof/>
        </w:rPr>
        <w:t xml:space="preserve">s, to </w:t>
      </w:r>
      <w:r>
        <w:rPr>
          <w:rFonts w:eastAsia="Calibri"/>
          <w:noProof/>
        </w:rPr>
        <w:t xml:space="preserve">reach net-zero emissions from international </w:t>
      </w:r>
      <w:r w:rsidRPr="79ABDF5F">
        <w:rPr>
          <w:rFonts w:eastAsia="Calibri"/>
          <w:noProof/>
        </w:rPr>
        <w:t xml:space="preserve">shipping </w:t>
      </w:r>
      <w:r>
        <w:rPr>
          <w:rFonts w:eastAsia="Calibri"/>
          <w:noProof/>
        </w:rPr>
        <w:t>by</w:t>
      </w:r>
      <w:r w:rsidR="006356D8">
        <w:rPr>
          <w:rFonts w:eastAsia="Calibri"/>
          <w:noProof/>
        </w:rPr>
        <w:t>,</w:t>
      </w:r>
      <w:r>
        <w:rPr>
          <w:rFonts w:eastAsia="Calibri"/>
          <w:noProof/>
        </w:rPr>
        <w:t xml:space="preserve"> or close to,</w:t>
      </w:r>
      <w:r w:rsidRPr="79ABDF5F">
        <w:rPr>
          <w:rFonts w:eastAsia="Calibri"/>
          <w:noProof/>
        </w:rPr>
        <w:t xml:space="preserve"> 2050. The EU ETS </w:t>
      </w:r>
      <w:r>
        <w:rPr>
          <w:rFonts w:eastAsia="Calibri"/>
          <w:noProof/>
        </w:rPr>
        <w:t>might need</w:t>
      </w:r>
      <w:r w:rsidRPr="79ABDF5F">
        <w:rPr>
          <w:rFonts w:eastAsia="Calibri"/>
          <w:noProof/>
        </w:rPr>
        <w:t xml:space="preserve"> a mechanism that </w:t>
      </w:r>
      <w:r w:rsidR="007E1DB3">
        <w:rPr>
          <w:rFonts w:eastAsia="Calibri"/>
          <w:noProof/>
        </w:rPr>
        <w:t>makes it possible</w:t>
      </w:r>
      <w:r w:rsidR="007E1DB3" w:rsidRPr="79ABDF5F">
        <w:rPr>
          <w:rFonts w:eastAsia="Calibri"/>
          <w:noProof/>
        </w:rPr>
        <w:t xml:space="preserve"> </w:t>
      </w:r>
      <w:r w:rsidRPr="79ABDF5F">
        <w:rPr>
          <w:rFonts w:eastAsia="Calibri"/>
          <w:noProof/>
        </w:rPr>
        <w:t>to support the new global measure once adopted, preventing, in particular, double payments but preserving the price signal and incentives for ships calling at EU ports.</w:t>
      </w:r>
    </w:p>
    <w:p w14:paraId="3DFBDD58" w14:textId="77777777" w:rsidR="00BF07A9" w:rsidRPr="00E853B8" w:rsidRDefault="00BF07A9" w:rsidP="00BF07A9">
      <w:pPr>
        <w:rPr>
          <w:rFonts w:eastAsia="Calibri"/>
          <w:noProof/>
        </w:rPr>
      </w:pPr>
      <w:r w:rsidRPr="49BAFF75">
        <w:rPr>
          <w:rFonts w:eastAsia="Calibri"/>
          <w:noProof/>
        </w:rPr>
        <w:t xml:space="preserve">For aviation and maritime, complementary policies such as </w:t>
      </w:r>
      <w:r w:rsidR="006D548A">
        <w:rPr>
          <w:rFonts w:eastAsia="Calibri"/>
          <w:noProof/>
        </w:rPr>
        <w:t>RefuelEU Aviation and</w:t>
      </w:r>
      <w:r w:rsidRPr="49BAFF75">
        <w:rPr>
          <w:rFonts w:eastAsia="Calibri"/>
          <w:noProof/>
        </w:rPr>
        <w:t xml:space="preserve"> FuelEU Maritime work in synergy with the </w:t>
      </w:r>
      <w:r>
        <w:rPr>
          <w:rFonts w:eastAsia="Calibri"/>
          <w:noProof/>
        </w:rPr>
        <w:t xml:space="preserve">EU </w:t>
      </w:r>
      <w:r w:rsidRPr="49BAFF75">
        <w:rPr>
          <w:rFonts w:eastAsia="Calibri"/>
          <w:noProof/>
        </w:rPr>
        <w:t>ETS’s multiple incentives</w:t>
      </w:r>
      <w:r w:rsidRPr="49BAFF75" w:rsidDel="00665CEF">
        <w:rPr>
          <w:rFonts w:eastAsia="Calibri"/>
          <w:noProof/>
        </w:rPr>
        <w:t xml:space="preserve"> </w:t>
      </w:r>
      <w:r w:rsidRPr="49BAFF75">
        <w:rPr>
          <w:rFonts w:eastAsia="Calibri"/>
          <w:noProof/>
        </w:rPr>
        <w:t>supporting the uptake of more sustainable fuels</w:t>
      </w:r>
      <w:r>
        <w:rPr>
          <w:rStyle w:val="FootnoteReference"/>
          <w:rFonts w:eastAsia="Calibri"/>
          <w:noProof/>
        </w:rPr>
        <w:footnoteReference w:id="20"/>
      </w:r>
      <w:r w:rsidRPr="49BAFF75">
        <w:rPr>
          <w:rFonts w:eastAsia="Calibri"/>
          <w:noProof/>
        </w:rPr>
        <w:t xml:space="preserve">. </w:t>
      </w:r>
      <w:r w:rsidRPr="4155D3DE">
        <w:rPr>
          <w:rFonts w:eastAsia="Calibri"/>
          <w:noProof/>
        </w:rPr>
        <w:t xml:space="preserve">The Competitiveness Compass, the Clean Industrial Deal and the EU’s Industrial Carbon Management </w:t>
      </w:r>
      <w:r w:rsidR="00C81BE4">
        <w:rPr>
          <w:rFonts w:eastAsia="Calibri"/>
          <w:noProof/>
        </w:rPr>
        <w:t>s</w:t>
      </w:r>
      <w:r w:rsidRPr="4155D3DE">
        <w:rPr>
          <w:rFonts w:eastAsia="Calibri"/>
          <w:noProof/>
        </w:rPr>
        <w:t>trategy</w:t>
      </w:r>
      <w:r w:rsidR="00E17A6E">
        <w:rPr>
          <w:rStyle w:val="FootnoteReference"/>
          <w:rFonts w:eastAsia="Calibri"/>
          <w:noProof/>
        </w:rPr>
        <w:footnoteReference w:id="21"/>
      </w:r>
      <w:r w:rsidRPr="4155D3DE">
        <w:rPr>
          <w:rFonts w:eastAsia="Calibri"/>
          <w:noProof/>
        </w:rPr>
        <w:t xml:space="preserve"> also set the objective to decarbonise the economy by accelerating the transition to more circularity of materials and carbon, supporting the EU’s economic security, resilience and competitiveness. The revision of the EU ETS provides an opportunity to incentivise and scale up the circularity of carbon as a key decarbonisation pathway for hard-to-abate sectors like cement, steel and chemicals and to ensure the availability of alternative carbon feedstocks. The gradual inclusion of waste incineration supports this objective by closing the loop, while supporting the business case for more circularity of materials, reducing GHG emissions from waste disposal and generating recycled materials displacing more carbon-intensive virgin materials. In addition to losing valuable resources, waste can have significant negative impacts on human health and the environment. For example, incinerating waste can contribute to air pollution, while landfills might contaminate water and land. GHG emissions from municipal waste incineration are significant at around 40 MtCO</w:t>
      </w:r>
      <w:r w:rsidRPr="00620F3F">
        <w:rPr>
          <w:rFonts w:eastAsia="Calibri"/>
          <w:noProof/>
          <w:vertAlign w:val="subscript"/>
        </w:rPr>
        <w:t>2</w:t>
      </w:r>
      <w:r w:rsidRPr="4155D3DE">
        <w:rPr>
          <w:rFonts w:eastAsia="Calibri"/>
          <w:noProof/>
        </w:rPr>
        <w:t>eq fossil CO</w:t>
      </w:r>
      <w:r w:rsidRPr="00620F3F">
        <w:rPr>
          <w:rFonts w:eastAsia="Calibri"/>
          <w:noProof/>
          <w:vertAlign w:val="subscript"/>
        </w:rPr>
        <w:t>2</w:t>
      </w:r>
      <w:r w:rsidRPr="4155D3DE">
        <w:rPr>
          <w:rFonts w:eastAsia="Calibri"/>
          <w:noProof/>
        </w:rPr>
        <w:t xml:space="preserve"> emissions per year but are currently not subject to dedicated decarbonisation policies in most Member States. A comprehensive framework, including the sector</w:t>
      </w:r>
      <w:r w:rsidR="008B6944" w:rsidRPr="4155D3DE">
        <w:rPr>
          <w:rFonts w:eastAsia="Calibri"/>
          <w:noProof/>
        </w:rPr>
        <w:t>’</w:t>
      </w:r>
      <w:r w:rsidRPr="4155D3DE">
        <w:rPr>
          <w:rFonts w:eastAsia="Calibri"/>
          <w:noProof/>
        </w:rPr>
        <w:t>s inclusion in the EU ETS and strengthened circular economy policies under the upcoming Circular Economy Act</w:t>
      </w:r>
      <w:r w:rsidR="005267F1">
        <w:rPr>
          <w:rStyle w:val="FootnoteReference"/>
          <w:rFonts w:eastAsia="Calibri"/>
          <w:noProof/>
        </w:rPr>
        <w:footnoteReference w:id="22"/>
      </w:r>
      <w:r w:rsidRPr="4155D3DE">
        <w:rPr>
          <w:rFonts w:eastAsia="Calibri"/>
          <w:noProof/>
        </w:rPr>
        <w:t xml:space="preserve">, </w:t>
      </w:r>
      <w:r w:rsidR="5C196356" w:rsidRPr="545AE449">
        <w:rPr>
          <w:rFonts w:eastAsia="Calibri"/>
          <w:noProof/>
        </w:rPr>
        <w:t xml:space="preserve">is needed to </w:t>
      </w:r>
      <w:r w:rsidRPr="4155D3DE">
        <w:rPr>
          <w:rFonts w:eastAsia="Calibri"/>
          <w:noProof/>
        </w:rPr>
        <w:t>support economy-wide circularity and contribute to the decarbonisation of the sector.</w:t>
      </w:r>
    </w:p>
    <w:p w14:paraId="02674E9E" w14:textId="77777777" w:rsidR="00BF07A9" w:rsidRDefault="00BF07A9" w:rsidP="00BF07A9">
      <w:pPr>
        <w:rPr>
          <w:rFonts w:eastAsia="Calibri"/>
          <w:noProof/>
        </w:rPr>
      </w:pPr>
      <w:r w:rsidRPr="36D44C70">
        <w:rPr>
          <w:rFonts w:eastAsia="Calibri"/>
          <w:noProof/>
        </w:rPr>
        <w:t xml:space="preserve">As such, the review </w:t>
      </w:r>
      <w:r w:rsidR="00D86800">
        <w:rPr>
          <w:rFonts w:eastAsia="Calibri"/>
          <w:noProof/>
        </w:rPr>
        <w:t>aims</w:t>
      </w:r>
      <w:r w:rsidR="00D86800" w:rsidRPr="36D44C70">
        <w:rPr>
          <w:rFonts w:eastAsia="Calibri"/>
          <w:noProof/>
        </w:rPr>
        <w:t xml:space="preserve"> </w:t>
      </w:r>
      <w:r w:rsidRPr="36D44C70">
        <w:rPr>
          <w:rFonts w:eastAsia="Calibri"/>
          <w:noProof/>
        </w:rPr>
        <w:t xml:space="preserve">to: (i) ensure that the market remains efficient and creates an incentive to invest in decarbonisation in the global context; and (ii) address specific challenges faced by covered sectors to facilitate </w:t>
      </w:r>
      <w:r w:rsidRPr="7643F0C7">
        <w:rPr>
          <w:rFonts w:eastAsia="Calibri"/>
          <w:noProof/>
        </w:rPr>
        <w:t>their</w:t>
      </w:r>
      <w:r w:rsidRPr="36D44C70">
        <w:rPr>
          <w:rFonts w:eastAsia="Calibri"/>
          <w:noProof/>
        </w:rPr>
        <w:t xml:space="preserve"> uptake of available solutions</w:t>
      </w:r>
      <w:r w:rsidRPr="7643F0C7">
        <w:rPr>
          <w:rFonts w:eastAsia="Calibri"/>
          <w:noProof/>
        </w:rPr>
        <w:t xml:space="preserve"> to decarbonise</w:t>
      </w:r>
      <w:r w:rsidRPr="36D44C70">
        <w:rPr>
          <w:rFonts w:eastAsia="Calibri"/>
          <w:noProof/>
        </w:rPr>
        <w:t xml:space="preserve">, while </w:t>
      </w:r>
      <w:r w:rsidR="006E7BDB">
        <w:rPr>
          <w:rFonts w:eastAsia="Calibri"/>
          <w:noProof/>
        </w:rPr>
        <w:t>taking account</w:t>
      </w:r>
      <w:r w:rsidRPr="36D44C70">
        <w:rPr>
          <w:rFonts w:eastAsia="Calibri"/>
          <w:noProof/>
        </w:rPr>
        <w:t xml:space="preserve"> of other legislative acts that facilitate the clean transition and the competitiveness of EU industry. </w:t>
      </w:r>
    </w:p>
    <w:p w14:paraId="503FA81D" w14:textId="77777777" w:rsidR="00BF07A9" w:rsidRPr="000E04F6" w:rsidRDefault="006E7BDB" w:rsidP="00BF07A9">
      <w:pPr>
        <w:rPr>
          <w:rFonts w:eastAsia="Calibri"/>
          <w:noProof/>
          <w:szCs w:val="24"/>
        </w:rPr>
      </w:pPr>
      <w:r>
        <w:rPr>
          <w:rFonts w:eastAsia="Calibri"/>
          <w:noProof/>
          <w:szCs w:val="24"/>
        </w:rPr>
        <w:t>Therefore</w:t>
      </w:r>
      <w:r w:rsidR="00BF07A9" w:rsidRPr="000E04F6">
        <w:rPr>
          <w:rFonts w:eastAsia="Calibri"/>
          <w:noProof/>
          <w:szCs w:val="24"/>
        </w:rPr>
        <w:t>, this proposal</w:t>
      </w:r>
      <w:r>
        <w:rPr>
          <w:rFonts w:eastAsia="Calibri"/>
          <w:noProof/>
          <w:szCs w:val="24"/>
        </w:rPr>
        <w:t xml:space="preserve"> encompasses the below measures.</w:t>
      </w:r>
    </w:p>
    <w:p w14:paraId="35213A87" w14:textId="77777777" w:rsidR="00BF07A9" w:rsidRPr="00AA69E2" w:rsidRDefault="007617FE" w:rsidP="00BF07A9">
      <w:pPr>
        <w:rPr>
          <w:noProof/>
        </w:rPr>
      </w:pPr>
      <w:r>
        <w:rPr>
          <w:noProof/>
        </w:rPr>
        <w:t>i</w:t>
      </w:r>
      <w:r w:rsidR="00BF07A9">
        <w:rPr>
          <w:noProof/>
        </w:rPr>
        <w:t xml:space="preserve">. </w:t>
      </w:r>
      <w:r w:rsidR="006E7BDB">
        <w:rPr>
          <w:noProof/>
        </w:rPr>
        <w:t>It a</w:t>
      </w:r>
      <w:r w:rsidR="00D97A2E">
        <w:rPr>
          <w:noProof/>
        </w:rPr>
        <w:t>ligns</w:t>
      </w:r>
      <w:r w:rsidR="00D97A2E" w:rsidRPr="00D97A2E">
        <w:rPr>
          <w:noProof/>
        </w:rPr>
        <w:t xml:space="preserve"> the system with the Union’s 2040 emission reduction target of -90%, </w:t>
      </w:r>
      <w:r w:rsidR="00D97A2E">
        <w:rPr>
          <w:noProof/>
        </w:rPr>
        <w:t>adjusting</w:t>
      </w:r>
      <w:r w:rsidR="00D97A2E" w:rsidRPr="00D97A2E">
        <w:rPr>
          <w:noProof/>
        </w:rPr>
        <w:t xml:space="preserve"> the EU ETS reduction trajectory from 203</w:t>
      </w:r>
      <w:r w:rsidR="00D97A2E">
        <w:rPr>
          <w:noProof/>
        </w:rPr>
        <w:t>1</w:t>
      </w:r>
      <w:r w:rsidR="00D97A2E" w:rsidRPr="00D97A2E">
        <w:rPr>
          <w:noProof/>
        </w:rPr>
        <w:t>. This change permits the continued issuance of allowances into the 2040s</w:t>
      </w:r>
      <w:r w:rsidR="00BF07A9" w:rsidRPr="00AA69E2">
        <w:rPr>
          <w:noProof/>
        </w:rPr>
        <w:t xml:space="preserve">. </w:t>
      </w:r>
    </w:p>
    <w:p w14:paraId="56CF1D4A" w14:textId="178A6EA6" w:rsidR="00BF07A9" w:rsidRPr="00C74627" w:rsidRDefault="007617FE" w:rsidP="00BF07A9">
      <w:pPr>
        <w:rPr>
          <w:noProof/>
        </w:rPr>
      </w:pPr>
      <w:r>
        <w:rPr>
          <w:noProof/>
        </w:rPr>
        <w:t>ii</w:t>
      </w:r>
      <w:r w:rsidR="00BF07A9">
        <w:rPr>
          <w:noProof/>
        </w:rPr>
        <w:t xml:space="preserve">. </w:t>
      </w:r>
      <w:r w:rsidR="006538F6" w:rsidRPr="006538F6">
        <w:rPr>
          <w:noProof/>
        </w:rPr>
        <w:t xml:space="preserve">Takes into account the possible purchase of </w:t>
      </w:r>
      <w:r w:rsidR="00927BE4">
        <w:rPr>
          <w:noProof/>
        </w:rPr>
        <w:t xml:space="preserve">260 </w:t>
      </w:r>
      <w:r w:rsidR="00E26D37">
        <w:rPr>
          <w:noProof/>
        </w:rPr>
        <w:t xml:space="preserve">million </w:t>
      </w:r>
      <w:r w:rsidR="006538F6" w:rsidRPr="006538F6">
        <w:rPr>
          <w:noProof/>
        </w:rPr>
        <w:t>international credits to complement domestic action and reducing it to -</w:t>
      </w:r>
      <w:r w:rsidR="00F657A5" w:rsidRPr="006538F6">
        <w:rPr>
          <w:noProof/>
        </w:rPr>
        <w:t>8</w:t>
      </w:r>
      <w:r w:rsidR="00F657A5">
        <w:rPr>
          <w:noProof/>
        </w:rPr>
        <w:t>5</w:t>
      </w:r>
      <w:r w:rsidR="006538F6" w:rsidRPr="006538F6">
        <w:rPr>
          <w:noProof/>
        </w:rPr>
        <w:t xml:space="preserve">% compared to 1990, translating into additional domestic emission space in the ETS. This is operationalised through the establishment of an LRF aligned with the domestic ambition level resulting from the purchase of international credits for the benefit of the ETS sectors and </w:t>
      </w:r>
      <w:r w:rsidR="001873EA">
        <w:rPr>
          <w:noProof/>
        </w:rPr>
        <w:t>setting</w:t>
      </w:r>
      <w:r w:rsidR="001873EA" w:rsidRPr="006538F6">
        <w:rPr>
          <w:noProof/>
        </w:rPr>
        <w:t xml:space="preserve"> </w:t>
      </w:r>
      <w:r w:rsidR="006538F6" w:rsidRPr="006538F6">
        <w:rPr>
          <w:noProof/>
        </w:rPr>
        <w:t xml:space="preserve">aside allowances to purchase those international credits. In case </w:t>
      </w:r>
      <w:r w:rsidR="00CE68A2">
        <w:rPr>
          <w:noProof/>
        </w:rPr>
        <w:t xml:space="preserve">insufficient </w:t>
      </w:r>
      <w:r w:rsidR="00CE68A2" w:rsidRPr="00CE68A2">
        <w:rPr>
          <w:noProof/>
        </w:rPr>
        <w:t xml:space="preserve">high-quality and high-integrity, cost-effective international credits </w:t>
      </w:r>
      <w:r w:rsidR="00CE68A2">
        <w:rPr>
          <w:noProof/>
        </w:rPr>
        <w:t>are</w:t>
      </w:r>
      <w:r w:rsidR="00CE68A2" w:rsidRPr="00CE68A2">
        <w:rPr>
          <w:noProof/>
        </w:rPr>
        <w:t xml:space="preserve"> available</w:t>
      </w:r>
      <w:r w:rsidR="00CE68A2">
        <w:rPr>
          <w:noProof/>
        </w:rPr>
        <w:t>,</w:t>
      </w:r>
      <w:r w:rsidR="006538F6" w:rsidRPr="006538F6">
        <w:rPr>
          <w:noProof/>
        </w:rPr>
        <w:t xml:space="preserve"> the LRF is aligned with the EU domestic ambition of -90% by 2040</w:t>
      </w:r>
      <w:r w:rsidR="00EC500B">
        <w:rPr>
          <w:noProof/>
        </w:rPr>
        <w:t>.</w:t>
      </w:r>
    </w:p>
    <w:p w14:paraId="62A38E53" w14:textId="77777777" w:rsidR="00BF07A9" w:rsidRPr="00C74627" w:rsidRDefault="007617FE" w:rsidP="00BF07A9">
      <w:pPr>
        <w:rPr>
          <w:noProof/>
        </w:rPr>
      </w:pPr>
      <w:r>
        <w:rPr>
          <w:noProof/>
        </w:rPr>
        <w:t>iii</w:t>
      </w:r>
      <w:r w:rsidR="00BF07A9">
        <w:rPr>
          <w:noProof/>
        </w:rPr>
        <w:t xml:space="preserve">. </w:t>
      </w:r>
      <w:r w:rsidR="00BF07A9" w:rsidRPr="00C74627">
        <w:rPr>
          <w:noProof/>
        </w:rPr>
        <w:t>I</w:t>
      </w:r>
      <w:r w:rsidR="00222F29">
        <w:rPr>
          <w:noProof/>
        </w:rPr>
        <w:t>t i</w:t>
      </w:r>
      <w:r w:rsidR="00BF07A9" w:rsidRPr="00C74627">
        <w:rPr>
          <w:noProof/>
        </w:rPr>
        <w:t>ntegrates</w:t>
      </w:r>
      <w:r w:rsidR="00EC4E5A">
        <w:rPr>
          <w:noProof/>
        </w:rPr>
        <w:t xml:space="preserve"> </w:t>
      </w:r>
      <w:r w:rsidR="00F351F2" w:rsidRPr="00C74627">
        <w:rPr>
          <w:noProof/>
        </w:rPr>
        <w:t>domestic</w:t>
      </w:r>
      <w:r w:rsidR="00BF07A9" w:rsidRPr="00C74627">
        <w:rPr>
          <w:noProof/>
        </w:rPr>
        <w:t xml:space="preserve"> permanent carbon removals into the EU ETS </w:t>
      </w:r>
      <w:r w:rsidR="00B509AF">
        <w:rPr>
          <w:noProof/>
        </w:rPr>
        <w:t>through the increase of cap by an amount of allowances</w:t>
      </w:r>
      <w:r w:rsidR="00BF07A9" w:rsidRPr="00C74627">
        <w:rPr>
          <w:noProof/>
        </w:rPr>
        <w:t xml:space="preserve"> equivalent to the quantity </w:t>
      </w:r>
      <w:r w:rsidR="00B509AF">
        <w:rPr>
          <w:noProof/>
        </w:rPr>
        <w:t xml:space="preserve">of removals </w:t>
      </w:r>
      <w:r w:rsidR="00BF07A9" w:rsidRPr="00C74627">
        <w:rPr>
          <w:noProof/>
        </w:rPr>
        <w:t xml:space="preserve">that will be bought by </w:t>
      </w:r>
      <w:r w:rsidR="00BF07A9">
        <w:rPr>
          <w:noProof/>
        </w:rPr>
        <w:t>the</w:t>
      </w:r>
      <w:r w:rsidR="00BF07A9" w:rsidRPr="00C74627">
        <w:rPr>
          <w:noProof/>
        </w:rPr>
        <w:t xml:space="preserve"> </w:t>
      </w:r>
      <w:r w:rsidR="00BF07A9">
        <w:rPr>
          <w:noProof/>
        </w:rPr>
        <w:t>Commission</w:t>
      </w:r>
      <w:r w:rsidR="00BF07A9" w:rsidRPr="00C74627">
        <w:rPr>
          <w:noProof/>
        </w:rPr>
        <w:t xml:space="preserve">, thus creating </w:t>
      </w:r>
      <w:r w:rsidR="009F13D8">
        <w:rPr>
          <w:noProof/>
        </w:rPr>
        <w:t>guaranteed</w:t>
      </w:r>
      <w:r w:rsidR="00BF07A9" w:rsidRPr="00C74627">
        <w:rPr>
          <w:noProof/>
        </w:rPr>
        <w:t xml:space="preserve"> additional emission space for the hardest-to-abate sectors and supporting the scale</w:t>
      </w:r>
      <w:r w:rsidR="00835F24">
        <w:rPr>
          <w:noProof/>
        </w:rPr>
        <w:t>-</w:t>
      </w:r>
      <w:r w:rsidR="00BF07A9" w:rsidRPr="00C74627">
        <w:rPr>
          <w:noProof/>
        </w:rPr>
        <w:t>up of the carbon removals industry, while ensuring control of the quality and quantity of the removals.</w:t>
      </w:r>
    </w:p>
    <w:p w14:paraId="3797FC51" w14:textId="77777777" w:rsidR="00BF07A9" w:rsidRPr="00C74627" w:rsidRDefault="007617FE" w:rsidP="00BF07A9">
      <w:pPr>
        <w:rPr>
          <w:noProof/>
        </w:rPr>
      </w:pPr>
      <w:r>
        <w:rPr>
          <w:noProof/>
        </w:rPr>
        <w:t>iv</w:t>
      </w:r>
      <w:r w:rsidR="00BF07A9">
        <w:rPr>
          <w:noProof/>
        </w:rPr>
        <w:t xml:space="preserve">. </w:t>
      </w:r>
      <w:r w:rsidR="00835F24">
        <w:rPr>
          <w:noProof/>
        </w:rPr>
        <w:t>It r</w:t>
      </w:r>
      <w:r w:rsidR="00BF07A9" w:rsidRPr="00C74627">
        <w:rPr>
          <w:noProof/>
        </w:rPr>
        <w:t xml:space="preserve">eforms the MSR to ensure a stable and liquid market and smooth price development </w:t>
      </w:r>
      <w:r w:rsidR="00D45738">
        <w:rPr>
          <w:noProof/>
        </w:rPr>
        <w:t xml:space="preserve">against the background </w:t>
      </w:r>
      <w:r w:rsidR="00BF07A9" w:rsidRPr="00C74627">
        <w:rPr>
          <w:noProof/>
        </w:rPr>
        <w:t>of a shrinking market.</w:t>
      </w:r>
    </w:p>
    <w:p w14:paraId="5CB7740F" w14:textId="77777777" w:rsidR="00BF07A9" w:rsidRPr="00C74627" w:rsidRDefault="007617FE" w:rsidP="00BF07A9">
      <w:pPr>
        <w:rPr>
          <w:noProof/>
        </w:rPr>
      </w:pPr>
      <w:r>
        <w:rPr>
          <w:noProof/>
        </w:rPr>
        <w:t>v</w:t>
      </w:r>
      <w:r w:rsidR="00BF07A9">
        <w:rPr>
          <w:noProof/>
        </w:rPr>
        <w:t xml:space="preserve">. </w:t>
      </w:r>
      <w:r w:rsidR="00D45738">
        <w:rPr>
          <w:noProof/>
        </w:rPr>
        <w:t>It e</w:t>
      </w:r>
      <w:r w:rsidR="00BF07A9" w:rsidRPr="00C74627">
        <w:rPr>
          <w:noProof/>
        </w:rPr>
        <w:t xml:space="preserve">xtends free allocation and indirect carbon cost compensation beyond the current period, while free allocation is made conditional on the submission of </w:t>
      </w:r>
      <w:r w:rsidR="00E06B12" w:rsidRPr="00E06B12">
        <w:rPr>
          <w:noProof/>
        </w:rPr>
        <w:t xml:space="preserve">plans to invest in decarbonisation in the EU </w:t>
      </w:r>
      <w:r w:rsidR="00BF07A9" w:rsidRPr="00C74627">
        <w:rPr>
          <w:noProof/>
        </w:rPr>
        <w:t xml:space="preserve">as well as </w:t>
      </w:r>
      <w:r w:rsidR="00B509AF">
        <w:rPr>
          <w:noProof/>
        </w:rPr>
        <w:t>on</w:t>
      </w:r>
      <w:r w:rsidR="00BF07A9" w:rsidRPr="00C74627">
        <w:rPr>
          <w:noProof/>
        </w:rPr>
        <w:t xml:space="preserve"> the implementation of </w:t>
      </w:r>
      <w:r w:rsidR="00E06B12">
        <w:rPr>
          <w:noProof/>
        </w:rPr>
        <w:t xml:space="preserve">such </w:t>
      </w:r>
      <w:r w:rsidR="00BF07A9" w:rsidRPr="00C74627">
        <w:rPr>
          <w:noProof/>
        </w:rPr>
        <w:t>decarbonisation investments</w:t>
      </w:r>
      <w:r w:rsidR="00E06B12">
        <w:rPr>
          <w:noProof/>
        </w:rPr>
        <w:t xml:space="preserve"> in the EU</w:t>
      </w:r>
      <w:r w:rsidR="00BF07A9" w:rsidRPr="00C74627">
        <w:rPr>
          <w:noProof/>
        </w:rPr>
        <w:t>.</w:t>
      </w:r>
    </w:p>
    <w:p w14:paraId="04EC4BFA" w14:textId="77777777" w:rsidR="00BF07A9" w:rsidRPr="00C74627" w:rsidRDefault="007617FE" w:rsidP="00BF07A9">
      <w:pPr>
        <w:rPr>
          <w:noProof/>
        </w:rPr>
      </w:pPr>
      <w:r>
        <w:rPr>
          <w:noProof/>
        </w:rPr>
        <w:t>vi</w:t>
      </w:r>
      <w:r w:rsidR="00BF07A9">
        <w:rPr>
          <w:noProof/>
        </w:rPr>
        <w:t xml:space="preserve">. </w:t>
      </w:r>
      <w:r w:rsidR="00BF07A9" w:rsidRPr="00C74627">
        <w:rPr>
          <w:noProof/>
        </w:rPr>
        <w:t>I</w:t>
      </w:r>
      <w:r w:rsidR="00041D27">
        <w:rPr>
          <w:noProof/>
        </w:rPr>
        <w:t>t i</w:t>
      </w:r>
      <w:r w:rsidR="00BF07A9" w:rsidRPr="00C74627">
        <w:rPr>
          <w:noProof/>
        </w:rPr>
        <w:t xml:space="preserve">ncreases financial support to innovation and investment for decarbonisation, notably for industrial decarbonisation, so a higher share of EU ETS revenues is returned to sectors covered by the EU ETS. </w:t>
      </w:r>
      <w:r w:rsidR="00BF07A9" w:rsidRPr="00FC26B3">
        <w:rPr>
          <w:noProof/>
        </w:rPr>
        <w:t xml:space="preserve">It sets up the </w:t>
      </w:r>
      <w:r w:rsidR="00BF07A9" w:rsidRPr="00C74627">
        <w:rPr>
          <w:noProof/>
        </w:rPr>
        <w:t xml:space="preserve">IDB to provide EUR 100 billion in funding to industrial decarbonisation projects. </w:t>
      </w:r>
    </w:p>
    <w:p w14:paraId="782B7834" w14:textId="77777777" w:rsidR="00BF07A9" w:rsidRPr="00C74627" w:rsidRDefault="007617FE" w:rsidP="00BF07A9">
      <w:pPr>
        <w:rPr>
          <w:noProof/>
        </w:rPr>
      </w:pPr>
      <w:r>
        <w:rPr>
          <w:noProof/>
        </w:rPr>
        <w:t>vii</w:t>
      </w:r>
      <w:r w:rsidR="00BF07A9">
        <w:rPr>
          <w:noProof/>
        </w:rPr>
        <w:t xml:space="preserve">. </w:t>
      </w:r>
      <w:r w:rsidR="00C45E6E">
        <w:rPr>
          <w:noProof/>
        </w:rPr>
        <w:t xml:space="preserve">It </w:t>
      </w:r>
      <w:r w:rsidR="00C419A3">
        <w:rPr>
          <w:noProof/>
        </w:rPr>
        <w:t>extends</w:t>
      </w:r>
      <w:r w:rsidR="00BF07A9" w:rsidRPr="00C74627">
        <w:rPr>
          <w:noProof/>
        </w:rPr>
        <w:t xml:space="preserve"> the Innovation Fund </w:t>
      </w:r>
      <w:r w:rsidR="00C72488">
        <w:rPr>
          <w:noProof/>
        </w:rPr>
        <w:t xml:space="preserve">in order </w:t>
      </w:r>
      <w:r w:rsidR="00BF07A9" w:rsidRPr="00C74627">
        <w:rPr>
          <w:noProof/>
        </w:rPr>
        <w:t xml:space="preserve">to support </w:t>
      </w:r>
      <w:r w:rsidR="00C72488">
        <w:rPr>
          <w:noProof/>
        </w:rPr>
        <w:t xml:space="preserve">the </w:t>
      </w:r>
      <w:r w:rsidR="00DE4E07">
        <w:rPr>
          <w:noProof/>
        </w:rPr>
        <w:t xml:space="preserve">market introduction of </w:t>
      </w:r>
      <w:r w:rsidR="00BF07A9" w:rsidRPr="00C74627">
        <w:rPr>
          <w:noProof/>
        </w:rPr>
        <w:t>low</w:t>
      </w:r>
      <w:r w:rsidR="00A36953">
        <w:rPr>
          <w:noProof/>
        </w:rPr>
        <w:t>-</w:t>
      </w:r>
      <w:r w:rsidR="00BF07A9" w:rsidRPr="00C74627">
        <w:rPr>
          <w:noProof/>
        </w:rPr>
        <w:t xml:space="preserve">carbon innovation and </w:t>
      </w:r>
      <w:r w:rsidR="00A36953">
        <w:rPr>
          <w:noProof/>
        </w:rPr>
        <w:t>make</w:t>
      </w:r>
      <w:r w:rsidR="00BF07A9" w:rsidRPr="00C74627">
        <w:rPr>
          <w:noProof/>
        </w:rPr>
        <w:t xml:space="preserve"> clean</w:t>
      </w:r>
      <w:r w:rsidR="00A36953">
        <w:rPr>
          <w:noProof/>
        </w:rPr>
        <w:t>-</w:t>
      </w:r>
      <w:r w:rsidR="00BF07A9" w:rsidRPr="00C74627">
        <w:rPr>
          <w:noProof/>
        </w:rPr>
        <w:t>tech industries</w:t>
      </w:r>
      <w:r w:rsidR="0032317D">
        <w:rPr>
          <w:noProof/>
        </w:rPr>
        <w:t xml:space="preserve"> more competitive</w:t>
      </w:r>
      <w:r w:rsidR="00BF07A9" w:rsidRPr="00C74627">
        <w:rPr>
          <w:noProof/>
        </w:rPr>
        <w:t>.</w:t>
      </w:r>
    </w:p>
    <w:p w14:paraId="36AF608C" w14:textId="2FC0BC8A" w:rsidR="00BF07A9" w:rsidRPr="00C74627" w:rsidRDefault="007617FE" w:rsidP="00BF07A9">
      <w:pPr>
        <w:rPr>
          <w:noProof/>
        </w:rPr>
      </w:pPr>
      <w:r>
        <w:rPr>
          <w:noProof/>
        </w:rPr>
        <w:t>viii</w:t>
      </w:r>
      <w:r w:rsidR="00BF07A9">
        <w:rPr>
          <w:noProof/>
        </w:rPr>
        <w:t xml:space="preserve">. </w:t>
      </w:r>
      <w:r w:rsidR="00BF07A9" w:rsidRPr="00C74627">
        <w:rPr>
          <w:noProof/>
        </w:rPr>
        <w:t>I</w:t>
      </w:r>
      <w:r w:rsidR="0032317D">
        <w:rPr>
          <w:noProof/>
        </w:rPr>
        <w:t xml:space="preserve">t strengthens </w:t>
      </w:r>
      <w:r w:rsidR="00BF07A9" w:rsidRPr="00C74627">
        <w:rPr>
          <w:noProof/>
        </w:rPr>
        <w:t xml:space="preserve">requirements </w:t>
      </w:r>
      <w:r w:rsidR="00FE1CCD">
        <w:rPr>
          <w:noProof/>
        </w:rPr>
        <w:t>for</w:t>
      </w:r>
      <w:r w:rsidR="00BF07A9" w:rsidRPr="00C74627">
        <w:rPr>
          <w:noProof/>
        </w:rPr>
        <w:t xml:space="preserve"> Member States</w:t>
      </w:r>
      <w:r w:rsidR="00BC6256">
        <w:rPr>
          <w:noProof/>
        </w:rPr>
        <w:t>’s</w:t>
      </w:r>
      <w:r w:rsidR="00BF07A9" w:rsidRPr="00C74627">
        <w:rPr>
          <w:noProof/>
        </w:rPr>
        <w:t xml:space="preserve"> auction</w:t>
      </w:r>
      <w:r w:rsidR="00BC6256">
        <w:rPr>
          <w:noProof/>
        </w:rPr>
        <w:t>-</w:t>
      </w:r>
      <w:r w:rsidR="00BF07A9" w:rsidRPr="00C74627">
        <w:rPr>
          <w:noProof/>
        </w:rPr>
        <w:t>revenue</w:t>
      </w:r>
      <w:r w:rsidR="00493359">
        <w:rPr>
          <w:noProof/>
        </w:rPr>
        <w:t xml:space="preserve"> </w:t>
      </w:r>
      <w:r w:rsidR="00BF07A9" w:rsidRPr="00C74627">
        <w:rPr>
          <w:noProof/>
        </w:rPr>
        <w:t>s</w:t>
      </w:r>
      <w:r w:rsidR="00493359">
        <w:rPr>
          <w:noProof/>
        </w:rPr>
        <w:t>pendings</w:t>
      </w:r>
      <w:r w:rsidR="00BF07A9" w:rsidRPr="00C74627">
        <w:rPr>
          <w:noProof/>
        </w:rPr>
        <w:t xml:space="preserve">, including </w:t>
      </w:r>
      <w:r w:rsidR="004575EA">
        <w:rPr>
          <w:noProof/>
        </w:rPr>
        <w:t>by introducing</w:t>
      </w:r>
      <w:r w:rsidR="004575EA" w:rsidRPr="00C74627">
        <w:rPr>
          <w:noProof/>
        </w:rPr>
        <w:t xml:space="preserve"> </w:t>
      </w:r>
      <w:r w:rsidR="00BF07A9" w:rsidRPr="00C74627">
        <w:rPr>
          <w:noProof/>
        </w:rPr>
        <w:t>minimum spending on priority sectors</w:t>
      </w:r>
      <w:r>
        <w:rPr>
          <w:noProof/>
        </w:rPr>
        <w:t xml:space="preserve"> and</w:t>
      </w:r>
      <w:r w:rsidR="00BF07A9" w:rsidRPr="00C74627">
        <w:rPr>
          <w:noProof/>
        </w:rPr>
        <w:t xml:space="preserve"> making visibility mandatory</w:t>
      </w:r>
      <w:r>
        <w:rPr>
          <w:noProof/>
        </w:rPr>
        <w:t>.</w:t>
      </w:r>
      <w:r w:rsidR="00BF07A9" w:rsidRPr="00C74627">
        <w:rPr>
          <w:noProof/>
        </w:rPr>
        <w:t xml:space="preserve"> </w:t>
      </w:r>
    </w:p>
    <w:p w14:paraId="0117A5DE" w14:textId="77777777" w:rsidR="00BF07A9" w:rsidRPr="00C74627" w:rsidRDefault="007617FE" w:rsidP="00BF07A9">
      <w:pPr>
        <w:rPr>
          <w:noProof/>
        </w:rPr>
      </w:pPr>
      <w:r>
        <w:rPr>
          <w:noProof/>
        </w:rPr>
        <w:t>ix</w:t>
      </w:r>
      <w:r w:rsidR="00BF07A9">
        <w:rPr>
          <w:noProof/>
        </w:rPr>
        <w:t xml:space="preserve">. </w:t>
      </w:r>
      <w:r w:rsidR="009879C9">
        <w:rPr>
          <w:noProof/>
        </w:rPr>
        <w:t>It c</w:t>
      </w:r>
      <w:r w:rsidR="00BF07A9" w:rsidRPr="00C74627">
        <w:rPr>
          <w:noProof/>
        </w:rPr>
        <w:t xml:space="preserve">ontinues to provide solidarity via the Modernisation Fund as a means to support the modernisation of energy systems and industrial decarbonisation in lower-income Member States, while updating </w:t>
      </w:r>
      <w:r w:rsidR="00BF07A9">
        <w:rPr>
          <w:noProof/>
        </w:rPr>
        <w:t xml:space="preserve">the </w:t>
      </w:r>
      <w:r w:rsidR="00BF07A9" w:rsidRPr="00C74627">
        <w:rPr>
          <w:noProof/>
        </w:rPr>
        <w:t>eligibility criteria and distribution key</w:t>
      </w:r>
      <w:r w:rsidR="00BF07A9">
        <w:rPr>
          <w:noProof/>
        </w:rPr>
        <w:t>.</w:t>
      </w:r>
    </w:p>
    <w:p w14:paraId="0342E24F" w14:textId="799036E8" w:rsidR="00BF07A9" w:rsidRPr="00C74627" w:rsidRDefault="007617FE" w:rsidP="00BF07A9">
      <w:pPr>
        <w:rPr>
          <w:noProof/>
        </w:rPr>
      </w:pPr>
      <w:r>
        <w:rPr>
          <w:noProof/>
        </w:rPr>
        <w:t>x</w:t>
      </w:r>
      <w:r w:rsidR="00BF07A9">
        <w:rPr>
          <w:noProof/>
        </w:rPr>
        <w:t xml:space="preserve">. </w:t>
      </w:r>
      <w:r w:rsidR="001D557F">
        <w:rPr>
          <w:noProof/>
        </w:rPr>
        <w:t>It c</w:t>
      </w:r>
      <w:r w:rsidR="00BF07A9" w:rsidRPr="00C74627">
        <w:rPr>
          <w:noProof/>
        </w:rPr>
        <w:t xml:space="preserve">ontinues the redistribution of 10% of auction volume to lower-income Member States, </w:t>
      </w:r>
      <w:r w:rsidR="001D557F">
        <w:rPr>
          <w:noProof/>
        </w:rPr>
        <w:t>for reasons of solidarity</w:t>
      </w:r>
      <w:r w:rsidR="00BF07A9" w:rsidRPr="00C74627">
        <w:rPr>
          <w:noProof/>
        </w:rPr>
        <w:t xml:space="preserve"> and channelling these resources </w:t>
      </w:r>
      <w:r>
        <w:rPr>
          <w:noProof/>
        </w:rPr>
        <w:t>for climate purposes</w:t>
      </w:r>
      <w:r w:rsidR="00BF07A9" w:rsidRPr="00C74627">
        <w:rPr>
          <w:noProof/>
        </w:rPr>
        <w:t>.</w:t>
      </w:r>
    </w:p>
    <w:p w14:paraId="37F0AE11" w14:textId="77777777" w:rsidR="00BF07A9" w:rsidRPr="00C74627" w:rsidRDefault="007617FE" w:rsidP="00BF07A9">
      <w:pPr>
        <w:rPr>
          <w:noProof/>
        </w:rPr>
      </w:pPr>
      <w:r>
        <w:rPr>
          <w:noProof/>
        </w:rPr>
        <w:t>xi</w:t>
      </w:r>
      <w:r w:rsidR="00BF07A9">
        <w:rPr>
          <w:noProof/>
        </w:rPr>
        <w:t xml:space="preserve">. </w:t>
      </w:r>
      <w:r w:rsidR="005A68C5">
        <w:rPr>
          <w:noProof/>
        </w:rPr>
        <w:t xml:space="preserve">It </w:t>
      </w:r>
      <w:r w:rsidR="009F67A6">
        <w:rPr>
          <w:noProof/>
        </w:rPr>
        <w:t xml:space="preserve">aims to </w:t>
      </w:r>
      <w:r w:rsidR="005A68C5">
        <w:rPr>
          <w:noProof/>
        </w:rPr>
        <w:t>a</w:t>
      </w:r>
      <w:r w:rsidR="005A68C5" w:rsidRPr="00C74627">
        <w:rPr>
          <w:noProof/>
        </w:rPr>
        <w:t xml:space="preserve">chieve </w:t>
      </w:r>
      <w:r w:rsidR="00BF07A9" w:rsidRPr="00C74627">
        <w:rPr>
          <w:noProof/>
        </w:rPr>
        <w:t xml:space="preserve">effective carbon pricing of the EU’s fair share of international transport emissions through an appropriate application of the EU ETS </w:t>
      </w:r>
      <w:r w:rsidR="00E334C3">
        <w:rPr>
          <w:noProof/>
        </w:rPr>
        <w:t xml:space="preserve">to </w:t>
      </w:r>
      <w:r w:rsidR="00BF07A9" w:rsidRPr="00C74627">
        <w:rPr>
          <w:noProof/>
        </w:rPr>
        <w:t>flights</w:t>
      </w:r>
      <w:r w:rsidR="00E334C3">
        <w:rPr>
          <w:noProof/>
        </w:rPr>
        <w:t xml:space="preserve"> </w:t>
      </w:r>
      <w:r w:rsidR="006C6997">
        <w:rPr>
          <w:noProof/>
        </w:rPr>
        <w:t xml:space="preserve">departing to the </w:t>
      </w:r>
      <w:r w:rsidR="008B2CD5">
        <w:rPr>
          <w:noProof/>
        </w:rPr>
        <w:t>immediate neighbourhood of the Union</w:t>
      </w:r>
      <w:r w:rsidR="00BF07A9" w:rsidRPr="00C74627">
        <w:rPr>
          <w:noProof/>
        </w:rPr>
        <w:t>. This includes support for multilateralism through a deduction mechanism of CORSIA offsetting costs, which avoids double pricing.</w:t>
      </w:r>
      <w:r w:rsidR="00366409">
        <w:rPr>
          <w:noProof/>
        </w:rPr>
        <w:t xml:space="preserve"> </w:t>
      </w:r>
      <w:r w:rsidR="00366409" w:rsidRPr="00366409">
        <w:rPr>
          <w:noProof/>
        </w:rPr>
        <w:t xml:space="preserve">For Iceland, as regards the ETS scope as in force since 2023, the Commission would be favourable to an extension of the existing mechanism in the Joint Committee Decision </w:t>
      </w:r>
      <w:r w:rsidR="00125532">
        <w:rPr>
          <w:noProof/>
        </w:rPr>
        <w:t>of three years.</w:t>
      </w:r>
    </w:p>
    <w:p w14:paraId="27529E73" w14:textId="77777777" w:rsidR="00BF07A9" w:rsidRPr="00C74627" w:rsidRDefault="007617FE" w:rsidP="00BF07A9">
      <w:pPr>
        <w:rPr>
          <w:noProof/>
        </w:rPr>
      </w:pPr>
      <w:r>
        <w:rPr>
          <w:noProof/>
        </w:rPr>
        <w:t>xii</w:t>
      </w:r>
      <w:r w:rsidR="00BF07A9">
        <w:rPr>
          <w:noProof/>
        </w:rPr>
        <w:t xml:space="preserve">. </w:t>
      </w:r>
      <w:r w:rsidR="005A68C5">
        <w:rPr>
          <w:noProof/>
        </w:rPr>
        <w:t>It e</w:t>
      </w:r>
      <w:r w:rsidR="00BF07A9" w:rsidRPr="00C74627">
        <w:rPr>
          <w:noProof/>
        </w:rPr>
        <w:t>stablishes dedicated, direct support to maritime and aviation that promotes, in particular, the uptake of EU-produced sustainable aviation and maritime fuels, clean technologies and hydrogen</w:t>
      </w:r>
      <w:r w:rsidR="00BF07A9">
        <w:rPr>
          <w:noProof/>
        </w:rPr>
        <w:t>.</w:t>
      </w:r>
    </w:p>
    <w:p w14:paraId="27956BF5" w14:textId="7EEFF388" w:rsidR="00BF07A9" w:rsidRPr="00C74627" w:rsidRDefault="007617FE" w:rsidP="00BF07A9">
      <w:pPr>
        <w:rPr>
          <w:noProof/>
        </w:rPr>
      </w:pPr>
      <w:r>
        <w:rPr>
          <w:noProof/>
        </w:rPr>
        <w:t>xiii</w:t>
      </w:r>
      <w:r w:rsidR="00BF07A9">
        <w:rPr>
          <w:noProof/>
        </w:rPr>
        <w:t xml:space="preserve">. </w:t>
      </w:r>
      <w:r w:rsidR="00F66E68" w:rsidRPr="00F66E68">
        <w:rPr>
          <w:noProof/>
        </w:rPr>
        <w:t xml:space="preserve">It </w:t>
      </w:r>
      <w:r>
        <w:rPr>
          <w:noProof/>
        </w:rPr>
        <w:t>provides for a review</w:t>
      </w:r>
      <w:r w:rsidR="00F66E68" w:rsidRPr="00F66E68">
        <w:rPr>
          <w:noProof/>
        </w:rPr>
        <w:t xml:space="preserve"> of the </w:t>
      </w:r>
      <w:r>
        <w:rPr>
          <w:noProof/>
        </w:rPr>
        <w:t xml:space="preserve">EU ETS in the event of the adoption of an </w:t>
      </w:r>
      <w:r w:rsidR="00F66E68" w:rsidRPr="00F66E68">
        <w:rPr>
          <w:noProof/>
        </w:rPr>
        <w:t xml:space="preserve">IMO global </w:t>
      </w:r>
      <w:r>
        <w:rPr>
          <w:noProof/>
        </w:rPr>
        <w:t>measure to avoid the</w:t>
      </w:r>
      <w:r w:rsidR="00F66E68" w:rsidRPr="00F66E68">
        <w:rPr>
          <w:noProof/>
        </w:rPr>
        <w:t xml:space="preserve"> risk of double payments</w:t>
      </w:r>
      <w:r>
        <w:rPr>
          <w:noProof/>
        </w:rPr>
        <w:t xml:space="preserve"> while preserving the environmental integrity of the EU ETS</w:t>
      </w:r>
      <w:r w:rsidR="00BF07A9" w:rsidRPr="00C74627">
        <w:rPr>
          <w:noProof/>
        </w:rPr>
        <w:t xml:space="preserve">. </w:t>
      </w:r>
    </w:p>
    <w:p w14:paraId="2A5B691A" w14:textId="77777777" w:rsidR="00BF07A9" w:rsidRPr="00C74627" w:rsidDel="001C6CC3" w:rsidRDefault="007617FE" w:rsidP="00BF07A9">
      <w:pPr>
        <w:rPr>
          <w:noProof/>
        </w:rPr>
      </w:pPr>
      <w:r>
        <w:rPr>
          <w:noProof/>
        </w:rPr>
        <w:t>xiv</w:t>
      </w:r>
      <w:r w:rsidR="00BF07A9">
        <w:rPr>
          <w:noProof/>
        </w:rPr>
        <w:t xml:space="preserve">. </w:t>
      </w:r>
      <w:r w:rsidR="00411C90">
        <w:rPr>
          <w:noProof/>
        </w:rPr>
        <w:t>It f</w:t>
      </w:r>
      <w:r w:rsidR="00BF07A9" w:rsidRPr="00C74627">
        <w:rPr>
          <w:noProof/>
        </w:rPr>
        <w:t xml:space="preserve">urther addresses the risk of evasion </w:t>
      </w:r>
      <w:r w:rsidR="00411C90">
        <w:rPr>
          <w:noProof/>
        </w:rPr>
        <w:t>in</w:t>
      </w:r>
      <w:r w:rsidR="00411C90" w:rsidRPr="00C74627">
        <w:rPr>
          <w:noProof/>
        </w:rPr>
        <w:t xml:space="preserve"> </w:t>
      </w:r>
      <w:r w:rsidR="00BF07A9" w:rsidRPr="00C74627">
        <w:rPr>
          <w:noProof/>
        </w:rPr>
        <w:t xml:space="preserve">the maritime sector </w:t>
      </w:r>
      <w:r w:rsidR="00411C90">
        <w:rPr>
          <w:noProof/>
        </w:rPr>
        <w:t>through</w:t>
      </w:r>
      <w:r w:rsidR="00411C90" w:rsidRPr="00C74627">
        <w:rPr>
          <w:noProof/>
        </w:rPr>
        <w:t xml:space="preserve"> </w:t>
      </w:r>
      <w:r w:rsidR="00BF07A9" w:rsidRPr="00C74627">
        <w:rPr>
          <w:noProof/>
        </w:rPr>
        <w:t>new measures and supports a level-playing field through a targeted extension of the ETS</w:t>
      </w:r>
      <w:r w:rsidR="007F42AA">
        <w:rPr>
          <w:noProof/>
        </w:rPr>
        <w:t>’s</w:t>
      </w:r>
      <w:r w:rsidR="00BF07A9" w:rsidRPr="00C74627">
        <w:rPr>
          <w:noProof/>
        </w:rPr>
        <w:t xml:space="preserve"> scope to specific categories of small vessels (</w:t>
      </w:r>
      <w:r w:rsidR="007F42AA">
        <w:rPr>
          <w:noProof/>
        </w:rPr>
        <w:t xml:space="preserve">with a gross tonnage </w:t>
      </w:r>
      <w:r w:rsidR="00BF07A9">
        <w:rPr>
          <w:noProof/>
        </w:rPr>
        <w:t>below 5 000 but not below 400)</w:t>
      </w:r>
      <w:r w:rsidR="00BF07A9" w:rsidRPr="00C74627">
        <w:rPr>
          <w:noProof/>
        </w:rPr>
        <w:t>.</w:t>
      </w:r>
    </w:p>
    <w:p w14:paraId="565EA529" w14:textId="77777777" w:rsidR="008A50D4" w:rsidRDefault="007617FE" w:rsidP="00BF07A9">
      <w:pPr>
        <w:rPr>
          <w:noProof/>
        </w:rPr>
      </w:pPr>
      <w:r>
        <w:rPr>
          <w:noProof/>
        </w:rPr>
        <w:t>xv</w:t>
      </w:r>
      <w:r w:rsidR="00BF07A9">
        <w:rPr>
          <w:noProof/>
        </w:rPr>
        <w:t xml:space="preserve">. </w:t>
      </w:r>
      <w:r w:rsidR="00BF07A9" w:rsidRPr="00C74627">
        <w:rPr>
          <w:noProof/>
        </w:rPr>
        <w:t>I</w:t>
      </w:r>
      <w:r w:rsidR="006F33D6">
        <w:rPr>
          <w:noProof/>
        </w:rPr>
        <w:t>t i</w:t>
      </w:r>
      <w:r w:rsidR="00BF07A9" w:rsidRPr="00C74627">
        <w:rPr>
          <w:noProof/>
        </w:rPr>
        <w:t xml:space="preserve">ntroduces targeted simplification </w:t>
      </w:r>
      <w:r w:rsidR="006F33D6">
        <w:rPr>
          <w:noProof/>
        </w:rPr>
        <w:t>measures</w:t>
      </w:r>
      <w:r w:rsidR="006F33D6" w:rsidRPr="00C74627">
        <w:rPr>
          <w:noProof/>
        </w:rPr>
        <w:t xml:space="preserve"> </w:t>
      </w:r>
      <w:r w:rsidR="00BF07A9" w:rsidRPr="00C74627">
        <w:rPr>
          <w:noProof/>
        </w:rPr>
        <w:t xml:space="preserve">to benefit the industry and public authorities by reducing administrative compliance costs and enhancing the effectiveness of the system’s implementation. </w:t>
      </w:r>
    </w:p>
    <w:p w14:paraId="3F8AF892" w14:textId="1061F443" w:rsidR="00BF07A9" w:rsidRPr="0007465A" w:rsidRDefault="007617FE" w:rsidP="00BF07A9">
      <w:pPr>
        <w:rPr>
          <w:rFonts w:eastAsia="Arial Unicode MS"/>
          <w:noProof/>
        </w:rPr>
      </w:pPr>
      <w:r>
        <w:rPr>
          <w:noProof/>
        </w:rPr>
        <w:t>xvi</w:t>
      </w:r>
      <w:r w:rsidR="00BF07A9">
        <w:rPr>
          <w:noProof/>
        </w:rPr>
        <w:t xml:space="preserve">. </w:t>
      </w:r>
      <w:r w:rsidR="00BF07A9" w:rsidRPr="00C74627">
        <w:rPr>
          <w:noProof/>
        </w:rPr>
        <w:t>I</w:t>
      </w:r>
      <w:r w:rsidR="006F33D6">
        <w:rPr>
          <w:noProof/>
        </w:rPr>
        <w:t>t i</w:t>
      </w:r>
      <w:r w:rsidR="00BF07A9" w:rsidRPr="00C74627">
        <w:rPr>
          <w:noProof/>
        </w:rPr>
        <w:t>ntegrates municipal waste incineration in</w:t>
      </w:r>
      <w:r w:rsidR="004E0D71">
        <w:rPr>
          <w:noProof/>
        </w:rPr>
        <w:t>to</w:t>
      </w:r>
      <w:r w:rsidR="00BF07A9" w:rsidRPr="00C74627">
        <w:rPr>
          <w:noProof/>
        </w:rPr>
        <w:t xml:space="preserve"> the EU ETS. The point of accounting for </w:t>
      </w:r>
      <w:r w:rsidR="00E16E45" w:rsidRPr="00D12B33">
        <w:rPr>
          <w:noProof/>
        </w:rPr>
        <w:t>carbon capture and utilisation</w:t>
      </w:r>
      <w:r w:rsidR="00E16E45">
        <w:rPr>
          <w:noProof/>
        </w:rPr>
        <w:t xml:space="preserve"> (</w:t>
      </w:r>
      <w:r w:rsidR="00E16E45" w:rsidRPr="00C74627">
        <w:rPr>
          <w:noProof/>
        </w:rPr>
        <w:t>CCU</w:t>
      </w:r>
      <w:r w:rsidR="00E16E45">
        <w:rPr>
          <w:noProof/>
        </w:rPr>
        <w:t>)</w:t>
      </w:r>
      <w:r w:rsidR="00E16E45" w:rsidRPr="00C74627">
        <w:rPr>
          <w:noProof/>
        </w:rPr>
        <w:t xml:space="preserve"> </w:t>
      </w:r>
      <w:r w:rsidR="00BF07A9" w:rsidRPr="00C74627">
        <w:rPr>
          <w:noProof/>
        </w:rPr>
        <w:t>is placed downstream for products and at fuel distributor level for e-fuels. This enables a decarbonisation route for industries with hard</w:t>
      </w:r>
      <w:r w:rsidR="00C2185A">
        <w:rPr>
          <w:noProof/>
        </w:rPr>
        <w:t>-</w:t>
      </w:r>
      <w:r w:rsidR="00BF07A9" w:rsidRPr="00C74627">
        <w:rPr>
          <w:noProof/>
        </w:rPr>
        <w:t>to</w:t>
      </w:r>
      <w:r w:rsidR="00C2185A">
        <w:rPr>
          <w:noProof/>
        </w:rPr>
        <w:t>-</w:t>
      </w:r>
      <w:r w:rsidR="00BF07A9" w:rsidRPr="00C74627">
        <w:rPr>
          <w:noProof/>
        </w:rPr>
        <w:t>abate emissions.</w:t>
      </w:r>
    </w:p>
    <w:p w14:paraId="516ECEFB" w14:textId="77777777" w:rsidR="00BF07A9" w:rsidRPr="00C17714" w:rsidRDefault="00BF07A9" w:rsidP="00BF07A9">
      <w:pPr>
        <w:rPr>
          <w:noProof/>
          <w:color w:val="000000" w:themeColor="text1"/>
          <w:lang w:eastAsia="fr-BE"/>
        </w:rPr>
      </w:pPr>
      <w:r w:rsidRPr="00BB1644">
        <w:rPr>
          <w:noProof/>
          <w:color w:val="000000"/>
          <w:bdr w:val="nil"/>
          <w:lang w:eastAsia="fr-BE"/>
        </w:rPr>
        <w:t>A new emissions trading system covering CO</w:t>
      </w:r>
      <w:r w:rsidRPr="00BB1644">
        <w:rPr>
          <w:noProof/>
          <w:color w:val="000000"/>
          <w:bdr w:val="nil"/>
          <w:vertAlign w:val="subscript"/>
          <w:lang w:eastAsia="fr-BE"/>
        </w:rPr>
        <w:t>2</w:t>
      </w:r>
      <w:r w:rsidRPr="00BB1644">
        <w:rPr>
          <w:noProof/>
          <w:color w:val="000000"/>
          <w:bdr w:val="nil"/>
          <w:lang w:eastAsia="fr-BE"/>
        </w:rPr>
        <w:t xml:space="preserve"> emissions from fuel combustion in buildings, </w:t>
      </w:r>
      <w:r w:rsidRPr="00AE0D9E">
        <w:rPr>
          <w:noProof/>
          <w:color w:val="000000" w:themeColor="text1"/>
          <w:lang w:eastAsia="fr-BE"/>
        </w:rPr>
        <w:t xml:space="preserve">road transport and small industry (ETS2) was created in the 2023 revision of the ETS Directive. </w:t>
      </w:r>
      <w:r w:rsidR="00C2185A">
        <w:rPr>
          <w:noProof/>
          <w:color w:val="000000" w:themeColor="text1"/>
          <w:lang w:eastAsia="fr-BE"/>
        </w:rPr>
        <w:t>ETS2 is excluded from the scope of this proposal</w:t>
      </w:r>
      <w:r w:rsidR="003E56F3">
        <w:rPr>
          <w:noProof/>
          <w:color w:val="000000" w:themeColor="text1"/>
          <w:lang w:eastAsia="fr-BE"/>
        </w:rPr>
        <w:t xml:space="preserve"> a</w:t>
      </w:r>
      <w:r w:rsidRPr="00AE0D9E">
        <w:rPr>
          <w:noProof/>
          <w:color w:val="000000" w:themeColor="text1"/>
          <w:lang w:eastAsia="fr-BE"/>
        </w:rPr>
        <w:t xml:space="preserve">s </w:t>
      </w:r>
      <w:r w:rsidR="003E56F3">
        <w:rPr>
          <w:noProof/>
          <w:color w:val="000000" w:themeColor="text1"/>
          <w:lang w:eastAsia="fr-BE"/>
        </w:rPr>
        <w:t>it will</w:t>
      </w:r>
      <w:r w:rsidRPr="00AE0D9E">
        <w:rPr>
          <w:noProof/>
          <w:color w:val="000000" w:themeColor="text1"/>
          <w:lang w:eastAsia="fr-BE"/>
        </w:rPr>
        <w:t xml:space="preserve"> become fully operational in 2028</w:t>
      </w:r>
      <w:r w:rsidR="003E56F3">
        <w:rPr>
          <w:noProof/>
          <w:color w:val="000000" w:themeColor="text1"/>
          <w:lang w:eastAsia="fr-BE"/>
        </w:rPr>
        <w:t>,</w:t>
      </w:r>
      <w:r>
        <w:rPr>
          <w:noProof/>
          <w:color w:val="000000" w:themeColor="text1"/>
          <w:lang w:eastAsia="fr-BE"/>
        </w:rPr>
        <w:t xml:space="preserve"> its</w:t>
      </w:r>
      <w:r w:rsidRPr="005354CC">
        <w:rPr>
          <w:noProof/>
          <w:color w:val="000000" w:themeColor="text1"/>
          <w:lang w:eastAsia="fr-BE"/>
        </w:rPr>
        <w:t xml:space="preserve"> application is due for review</w:t>
      </w:r>
      <w:r w:rsidRPr="00BB1644">
        <w:rPr>
          <w:noProof/>
          <w:color w:val="000000"/>
          <w:bdr w:val="nil"/>
          <w:lang w:eastAsia="fr-BE"/>
        </w:rPr>
        <w:t xml:space="preserve"> by 202</w:t>
      </w:r>
      <w:r>
        <w:rPr>
          <w:noProof/>
          <w:color w:val="000000"/>
          <w:bdr w:val="nil"/>
          <w:lang w:eastAsia="fr-BE"/>
        </w:rPr>
        <w:t xml:space="preserve">9, </w:t>
      </w:r>
      <w:r w:rsidR="00331573">
        <w:rPr>
          <w:noProof/>
          <w:color w:val="000000"/>
          <w:bdr w:val="nil"/>
          <w:lang w:eastAsia="fr-BE"/>
        </w:rPr>
        <w:t>and</w:t>
      </w:r>
      <w:r w:rsidR="00331573" w:rsidRPr="00BB1644">
        <w:rPr>
          <w:noProof/>
          <w:color w:val="000000"/>
          <w:bdr w:val="nil"/>
          <w:lang w:eastAsia="fr-BE"/>
        </w:rPr>
        <w:t xml:space="preserve"> </w:t>
      </w:r>
      <w:r w:rsidRPr="00BB1644">
        <w:rPr>
          <w:noProof/>
          <w:color w:val="000000"/>
          <w:bdr w:val="nil"/>
          <w:lang w:eastAsia="fr-BE"/>
        </w:rPr>
        <w:t xml:space="preserve">any assessment of the feasibility of integrating the sectors under ETS2 into the EU ETS is due </w:t>
      </w:r>
      <w:r w:rsidR="001A68C3">
        <w:rPr>
          <w:noProof/>
          <w:color w:val="000000"/>
          <w:bdr w:val="nil"/>
          <w:lang w:eastAsia="fr-BE"/>
        </w:rPr>
        <w:t>by</w:t>
      </w:r>
      <w:r w:rsidR="001A68C3" w:rsidRPr="00BB1644">
        <w:rPr>
          <w:noProof/>
          <w:color w:val="000000"/>
          <w:bdr w:val="nil"/>
          <w:lang w:eastAsia="fr-BE"/>
        </w:rPr>
        <w:t xml:space="preserve"> </w:t>
      </w:r>
      <w:r w:rsidRPr="00BB1644">
        <w:rPr>
          <w:noProof/>
          <w:color w:val="000000"/>
          <w:bdr w:val="nil"/>
          <w:lang w:eastAsia="fr-BE"/>
        </w:rPr>
        <w:t>2031</w:t>
      </w:r>
      <w:r w:rsidRPr="00AE0D9E">
        <w:rPr>
          <w:noProof/>
          <w:color w:val="000000" w:themeColor="text1"/>
          <w:lang w:eastAsia="fr-BE"/>
        </w:rPr>
        <w:t xml:space="preserve">. </w:t>
      </w:r>
    </w:p>
    <w:p w14:paraId="23075A23" w14:textId="77777777" w:rsidR="006052EE" w:rsidRPr="00616539" w:rsidRDefault="006052EE" w:rsidP="00616539">
      <w:pPr>
        <w:pStyle w:val="Bullet0"/>
        <w:rPr>
          <w:b/>
          <w:bCs/>
          <w:noProof/>
        </w:rPr>
      </w:pPr>
      <w:r w:rsidRPr="00616539">
        <w:rPr>
          <w:b/>
          <w:bCs/>
          <w:noProof/>
        </w:rPr>
        <w:t>Consistency with existing policy provisions in the policy area</w:t>
      </w:r>
    </w:p>
    <w:p w14:paraId="6C19BA38" w14:textId="77777777" w:rsidR="00426D17" w:rsidRPr="00426D17" w:rsidRDefault="00426D17" w:rsidP="00426D17">
      <w:pPr>
        <w:rPr>
          <w:noProof/>
          <w:lang w:val="en-IE"/>
        </w:rPr>
      </w:pPr>
      <w:r w:rsidRPr="00426D17">
        <w:rPr>
          <w:noProof/>
          <w:lang w:val="en-IE"/>
        </w:rPr>
        <w:t xml:space="preserve">All sectors of the economy should contribute to the reduction of </w:t>
      </w:r>
      <w:r w:rsidR="00F27613">
        <w:rPr>
          <w:noProof/>
          <w:lang w:val="en-IE"/>
        </w:rPr>
        <w:t>GHG</w:t>
      </w:r>
      <w:r w:rsidRPr="00426D17">
        <w:rPr>
          <w:noProof/>
          <w:lang w:val="en-IE"/>
        </w:rPr>
        <w:t xml:space="preserve"> emissions. The present review of the EU ETS is the first part of a broad package of measures to ensure the EU is prepared to </w:t>
      </w:r>
      <w:r w:rsidR="00AA1737">
        <w:rPr>
          <w:noProof/>
          <w:lang w:val="en-IE"/>
        </w:rPr>
        <w:t>achieve</w:t>
      </w:r>
      <w:r w:rsidR="00AA1737" w:rsidRPr="00426D17">
        <w:rPr>
          <w:noProof/>
          <w:lang w:val="en-IE"/>
        </w:rPr>
        <w:t xml:space="preserve"> </w:t>
      </w:r>
      <w:r w:rsidR="00AA1737">
        <w:rPr>
          <w:noProof/>
          <w:lang w:val="en-IE"/>
        </w:rPr>
        <w:t>it</w:t>
      </w:r>
      <w:r w:rsidRPr="00426D17">
        <w:rPr>
          <w:noProof/>
          <w:lang w:val="en-IE"/>
        </w:rPr>
        <w:t xml:space="preserve">s 2040 climate ambition with a revised energy and climate framework, while reaping all the benefits </w:t>
      </w:r>
      <w:r w:rsidR="00AA1737">
        <w:rPr>
          <w:noProof/>
          <w:lang w:val="en-IE"/>
        </w:rPr>
        <w:t>of</w:t>
      </w:r>
      <w:r w:rsidR="00AA1737" w:rsidRPr="00426D17">
        <w:rPr>
          <w:noProof/>
          <w:lang w:val="en-IE"/>
        </w:rPr>
        <w:t xml:space="preserve"> </w:t>
      </w:r>
      <w:r w:rsidRPr="00426D17">
        <w:rPr>
          <w:noProof/>
          <w:lang w:val="en-IE"/>
        </w:rPr>
        <w:t>the green transition and enhancing the EU’s competitiveness.</w:t>
      </w:r>
    </w:p>
    <w:p w14:paraId="3209D774" w14:textId="77777777" w:rsidR="00426D17" w:rsidRPr="00426D17" w:rsidRDefault="00426D17" w:rsidP="00426D17">
      <w:pPr>
        <w:rPr>
          <w:noProof/>
          <w:lang w:val="en-IE"/>
        </w:rPr>
      </w:pPr>
      <w:r w:rsidRPr="00426D17">
        <w:rPr>
          <w:noProof/>
          <w:lang w:val="en-IE"/>
        </w:rPr>
        <w:t xml:space="preserve">All initiatives in the package are closely interlinked and use common modelling and assumptions, and each one depends on the design of the others. Emissions are distributed across policy instruments according to considerations </w:t>
      </w:r>
      <w:r w:rsidR="00281107">
        <w:rPr>
          <w:noProof/>
          <w:lang w:val="en-IE"/>
        </w:rPr>
        <w:t>of</w:t>
      </w:r>
      <w:r w:rsidR="00281107" w:rsidRPr="00426D17">
        <w:rPr>
          <w:noProof/>
          <w:lang w:val="en-IE"/>
        </w:rPr>
        <w:t xml:space="preserve"> </w:t>
      </w:r>
      <w:r w:rsidRPr="00426D17">
        <w:rPr>
          <w:noProof/>
          <w:lang w:val="en-IE"/>
        </w:rPr>
        <w:t>cost-effectiveness, technological viability and Member State specificities</w:t>
      </w:r>
      <w:r w:rsidR="007438D4">
        <w:rPr>
          <w:noProof/>
          <w:lang w:val="en-IE"/>
        </w:rPr>
        <w:t xml:space="preserve">, including on their choice of </w:t>
      </w:r>
      <w:r w:rsidR="007438D4">
        <w:rPr>
          <w:rFonts w:eastAsia="Times New Roman"/>
          <w:noProof/>
          <w:color w:val="000000"/>
          <w:bdr w:val="nil"/>
          <w:lang w:val="en-US" w:eastAsia="fr-BE"/>
        </w:rPr>
        <w:t>h</w:t>
      </w:r>
      <w:r w:rsidR="007438D4" w:rsidRPr="007438D4">
        <w:rPr>
          <w:rFonts w:eastAsia="Times New Roman"/>
          <w:noProof/>
          <w:color w:val="000000"/>
          <w:bdr w:val="nil"/>
          <w:lang w:val="en-US" w:eastAsia="fr-BE"/>
        </w:rPr>
        <w:t>omegrown clean energy</w:t>
      </w:r>
      <w:r w:rsidR="007438D4">
        <w:rPr>
          <w:rFonts w:eastAsia="Times New Roman"/>
          <w:noProof/>
          <w:color w:val="000000"/>
          <w:bdr w:val="nil"/>
          <w:lang w:val="en-US" w:eastAsia="fr-BE"/>
        </w:rPr>
        <w:t xml:space="preserve"> sources</w:t>
      </w:r>
      <w:r w:rsidRPr="00426D17">
        <w:rPr>
          <w:noProof/>
          <w:lang w:val="en-IE"/>
        </w:rPr>
        <w:t xml:space="preserve">. The impact assessments supporting the EU ETS revision and forthcoming proposals incorporate cross-sectoral analysis, expert and stakeholder input, and the implications of recent geopolitical developments. They also reflect the objectives and measures outlined in Member States’ </w:t>
      </w:r>
      <w:r w:rsidR="00281107">
        <w:rPr>
          <w:noProof/>
          <w:lang w:val="en-IE"/>
        </w:rPr>
        <w:t>n</w:t>
      </w:r>
      <w:r w:rsidRPr="00426D17">
        <w:rPr>
          <w:noProof/>
          <w:lang w:val="en-IE"/>
        </w:rPr>
        <w:t xml:space="preserve">ational </w:t>
      </w:r>
      <w:r w:rsidR="00281107">
        <w:rPr>
          <w:noProof/>
          <w:lang w:val="en-IE"/>
        </w:rPr>
        <w:t>e</w:t>
      </w:r>
      <w:r w:rsidRPr="00426D17">
        <w:rPr>
          <w:noProof/>
          <w:lang w:val="en-IE"/>
        </w:rPr>
        <w:t xml:space="preserve">nergy and </w:t>
      </w:r>
      <w:r w:rsidR="00281107">
        <w:rPr>
          <w:noProof/>
          <w:lang w:val="en-IE"/>
        </w:rPr>
        <w:t>c</w:t>
      </w:r>
      <w:r w:rsidRPr="00426D17">
        <w:rPr>
          <w:noProof/>
          <w:lang w:val="en-IE"/>
        </w:rPr>
        <w:t xml:space="preserve">limate </w:t>
      </w:r>
      <w:r w:rsidR="00281107">
        <w:rPr>
          <w:noProof/>
          <w:lang w:val="en-IE"/>
        </w:rPr>
        <w:t>p</w:t>
      </w:r>
      <w:r w:rsidRPr="00426D17">
        <w:rPr>
          <w:noProof/>
          <w:lang w:val="en-IE"/>
        </w:rPr>
        <w:t>lans (NECPs).</w:t>
      </w:r>
    </w:p>
    <w:p w14:paraId="3E9B4034" w14:textId="77777777" w:rsidR="00426D17" w:rsidRPr="00426D17" w:rsidRDefault="00426D17" w:rsidP="00426D17">
      <w:pPr>
        <w:rPr>
          <w:noProof/>
          <w:lang w:val="en-IE"/>
        </w:rPr>
      </w:pPr>
      <w:r w:rsidRPr="00426D17">
        <w:rPr>
          <w:noProof/>
          <w:lang w:val="en-IE"/>
        </w:rPr>
        <w:t xml:space="preserve">The analysis shows that achieving the required emissions reductions and carbon removals will require a balanced policy mix, including targeted support measures, stable carbon pricing, clear targets with appropriate </w:t>
      </w:r>
      <w:r w:rsidR="00281107" w:rsidRPr="00426D17">
        <w:rPr>
          <w:noProof/>
          <w:lang w:val="en-IE"/>
        </w:rPr>
        <w:t>flexibilit</w:t>
      </w:r>
      <w:r w:rsidR="00281107">
        <w:rPr>
          <w:noProof/>
          <w:lang w:val="en-IE"/>
        </w:rPr>
        <w:t>y</w:t>
      </w:r>
      <w:r w:rsidRPr="00426D17">
        <w:rPr>
          <w:noProof/>
          <w:lang w:val="en-IE"/>
        </w:rPr>
        <w:t>, and streamlined yet effective regulation. These principles underpin the policy design, supporting investment, innovation, and competitiveness. The framework is further supported by a robust governance structure that integrates planning, financing, cooperation, and progress monitoring, while strengthening resilience to the growing impacts of climate change.</w:t>
      </w:r>
    </w:p>
    <w:p w14:paraId="64FAD42B" w14:textId="77777777" w:rsidR="00426D17" w:rsidRPr="00426D17" w:rsidRDefault="00426D17" w:rsidP="00426D17">
      <w:pPr>
        <w:rPr>
          <w:noProof/>
          <w:lang w:val="en-IE"/>
        </w:rPr>
      </w:pPr>
      <w:r w:rsidRPr="00426D17">
        <w:rPr>
          <w:noProof/>
          <w:lang w:val="en-IE"/>
        </w:rPr>
        <w:t xml:space="preserve">Given the EU’s enlargement ambitions, the framework’s design and implementation must also consider the integration of candidate and potential candidate countries. </w:t>
      </w:r>
      <w:r w:rsidR="00E45EE2" w:rsidRPr="00E45EE2">
        <w:rPr>
          <w:noProof/>
          <w:lang w:val="en-IE"/>
        </w:rPr>
        <w:t xml:space="preserve">Consideration should be given </w:t>
      </w:r>
      <w:r w:rsidR="00B3150E" w:rsidRPr="00B3150E">
        <w:rPr>
          <w:noProof/>
          <w:lang w:val="en-IE"/>
        </w:rPr>
        <w:t xml:space="preserve">in the accession process </w:t>
      </w:r>
      <w:r w:rsidR="00E45EE2" w:rsidRPr="00E45EE2">
        <w:rPr>
          <w:noProof/>
          <w:lang w:val="en-IE"/>
        </w:rPr>
        <w:t xml:space="preserve">to </w:t>
      </w:r>
      <w:r w:rsidR="00B3150E" w:rsidRPr="00B3150E">
        <w:rPr>
          <w:noProof/>
          <w:lang w:val="en-IE"/>
        </w:rPr>
        <w:t xml:space="preserve">how the </w:t>
      </w:r>
      <w:r w:rsidR="002E08B9" w:rsidRPr="002E08B9">
        <w:rPr>
          <w:noProof/>
          <w:lang w:val="en-IE"/>
        </w:rPr>
        <w:t xml:space="preserve">EU ETS solidarity mechanisms and funds </w:t>
      </w:r>
      <w:r w:rsidR="00B3150E" w:rsidRPr="00B3150E">
        <w:rPr>
          <w:noProof/>
          <w:lang w:val="en-IE"/>
        </w:rPr>
        <w:t>should</w:t>
      </w:r>
      <w:r w:rsidR="002E08B9" w:rsidRPr="002E08B9">
        <w:rPr>
          <w:noProof/>
          <w:lang w:val="en-IE"/>
        </w:rPr>
        <w:t xml:space="preserve"> cover enlargement countries</w:t>
      </w:r>
      <w:r w:rsidR="002E08B9">
        <w:rPr>
          <w:noProof/>
          <w:lang w:val="en-IE"/>
        </w:rPr>
        <w:t xml:space="preserve">. </w:t>
      </w:r>
      <w:r w:rsidRPr="00426D17">
        <w:rPr>
          <w:noProof/>
          <w:lang w:val="en-IE"/>
        </w:rPr>
        <w:t>Overall, it is aligned with the 2040 objectives, covers all sectors of society, and maintains an appropriate balance between national and EU-level legislation.</w:t>
      </w:r>
    </w:p>
    <w:p w14:paraId="05AA6831" w14:textId="77777777" w:rsidR="00426D17" w:rsidRPr="00426D17" w:rsidRDefault="00426D17" w:rsidP="00426D17">
      <w:pPr>
        <w:rPr>
          <w:noProof/>
          <w:lang w:val="en-IE"/>
        </w:rPr>
      </w:pPr>
      <w:r w:rsidRPr="00426D17">
        <w:rPr>
          <w:noProof/>
          <w:lang w:val="en-IE"/>
        </w:rPr>
        <w:t xml:space="preserve">The proposal to revise the EU ETS is a key component of this framework, building on the proposals for CO₂ emission standards for cars and vans adopted </w:t>
      </w:r>
      <w:r w:rsidR="00281107">
        <w:rPr>
          <w:noProof/>
          <w:lang w:val="en-IE"/>
        </w:rPr>
        <w:t>in</w:t>
      </w:r>
      <w:r w:rsidR="00281107" w:rsidRPr="00426D17">
        <w:rPr>
          <w:noProof/>
          <w:lang w:val="en-IE"/>
        </w:rPr>
        <w:t xml:space="preserve"> </w:t>
      </w:r>
      <w:r w:rsidRPr="00426D17">
        <w:rPr>
          <w:noProof/>
          <w:lang w:val="en-IE"/>
        </w:rPr>
        <w:t>December</w:t>
      </w:r>
      <w:r w:rsidR="00281107">
        <w:rPr>
          <w:noProof/>
          <w:lang w:val="en-IE"/>
        </w:rPr>
        <w:t xml:space="preserve"> 2025</w:t>
      </w:r>
      <w:r w:rsidRPr="00426D17">
        <w:rPr>
          <w:noProof/>
          <w:lang w:val="en-IE"/>
        </w:rPr>
        <w:t xml:space="preserve"> and for the revision of the MSR adopted </w:t>
      </w:r>
      <w:r w:rsidR="00281107">
        <w:rPr>
          <w:noProof/>
          <w:lang w:val="en-IE"/>
        </w:rPr>
        <w:t>in</w:t>
      </w:r>
      <w:r w:rsidR="00281107" w:rsidRPr="00426D17">
        <w:rPr>
          <w:noProof/>
          <w:lang w:val="en-IE"/>
        </w:rPr>
        <w:t xml:space="preserve"> </w:t>
      </w:r>
      <w:r w:rsidRPr="00426D17">
        <w:rPr>
          <w:noProof/>
          <w:lang w:val="en-IE"/>
        </w:rPr>
        <w:t>April</w:t>
      </w:r>
      <w:r w:rsidR="00281107">
        <w:rPr>
          <w:noProof/>
          <w:lang w:val="en-IE"/>
        </w:rPr>
        <w:t xml:space="preserve"> 2026</w:t>
      </w:r>
      <w:r w:rsidRPr="00426D17">
        <w:rPr>
          <w:noProof/>
          <w:lang w:val="en-IE"/>
        </w:rPr>
        <w:t xml:space="preserve">. The EU ETS will continue to drive emission reductions and economic transformation throughout the 2030s. The review aims to preserve the effectiveness of the carbon market while refining its design to better support industrial competitiveness, decarbonisation, innovation, investment, and Europe’s strategic resilience. For the broader framework of climate and energy policies, a strong and predictable carbon price remains essential to encourage investment in </w:t>
      </w:r>
      <w:r w:rsidR="007438D4">
        <w:rPr>
          <w:rFonts w:eastAsia="Times New Roman"/>
          <w:noProof/>
          <w:color w:val="000000"/>
          <w:bdr w:val="nil"/>
          <w:lang w:val="en-US" w:eastAsia="fr-BE"/>
        </w:rPr>
        <w:t>h</w:t>
      </w:r>
      <w:r w:rsidR="007438D4" w:rsidRPr="007438D4">
        <w:rPr>
          <w:rFonts w:eastAsia="Times New Roman"/>
          <w:noProof/>
          <w:color w:val="000000"/>
          <w:bdr w:val="nil"/>
          <w:lang w:val="en-US" w:eastAsia="fr-BE"/>
        </w:rPr>
        <w:t xml:space="preserve">omegrown </w:t>
      </w:r>
      <w:r w:rsidRPr="00426D17">
        <w:rPr>
          <w:noProof/>
          <w:lang w:val="en-IE"/>
        </w:rPr>
        <w:t>low-carbon energy, electrification, and clean technologies, while providing long-term certainty for investors.</w:t>
      </w:r>
    </w:p>
    <w:p w14:paraId="756BC8DC" w14:textId="77777777" w:rsidR="00426D17" w:rsidRPr="00426D17" w:rsidRDefault="00426D17" w:rsidP="00426D17">
      <w:pPr>
        <w:rPr>
          <w:noProof/>
          <w:lang w:val="en-IE"/>
        </w:rPr>
      </w:pPr>
      <w:r w:rsidRPr="00426D17">
        <w:rPr>
          <w:noProof/>
          <w:lang w:val="en-IE"/>
        </w:rPr>
        <w:t xml:space="preserve">Additional legislative proposals on national targets as well as the use of international credits, are expected later </w:t>
      </w:r>
      <w:r w:rsidR="00484F0F">
        <w:rPr>
          <w:noProof/>
          <w:lang w:val="en-IE"/>
        </w:rPr>
        <w:t>in 2026</w:t>
      </w:r>
      <w:r w:rsidRPr="00426D17">
        <w:rPr>
          <w:noProof/>
          <w:lang w:val="en-IE"/>
        </w:rPr>
        <w:t>.</w:t>
      </w:r>
    </w:p>
    <w:p w14:paraId="43058E71" w14:textId="77777777" w:rsidR="006052EE" w:rsidRPr="00616539" w:rsidRDefault="006052EE" w:rsidP="00616539">
      <w:pPr>
        <w:pStyle w:val="Bullet0"/>
        <w:rPr>
          <w:b/>
          <w:bCs/>
          <w:noProof/>
        </w:rPr>
      </w:pPr>
      <w:r w:rsidRPr="00616539">
        <w:rPr>
          <w:b/>
          <w:bCs/>
          <w:noProof/>
        </w:rPr>
        <w:t>Consistency with other Union policies</w:t>
      </w:r>
    </w:p>
    <w:p w14:paraId="47365BE4" w14:textId="77777777" w:rsidR="00BF07A9" w:rsidRDefault="00BF07A9" w:rsidP="00BF07A9">
      <w:pPr>
        <w:rPr>
          <w:noProof/>
        </w:rPr>
      </w:pPr>
      <w:bookmarkStart w:id="4" w:name="_Hlk232675333"/>
      <w:r w:rsidRPr="005E6C43">
        <w:rPr>
          <w:noProof/>
        </w:rPr>
        <w:t>The Clean Industrial Deal brings together climate action and competitiveness under one overarching growth strategy. It is a commitment to accelerate decarbonisation, reindustrialisation and innovation, all at the same time</w:t>
      </w:r>
      <w:r w:rsidR="00484F0F">
        <w:rPr>
          <w:noProof/>
        </w:rPr>
        <w:t>, while mak</w:t>
      </w:r>
      <w:r w:rsidRPr="005E6C43">
        <w:rPr>
          <w:noProof/>
        </w:rPr>
        <w:t>ing Europe resilien</w:t>
      </w:r>
      <w:r w:rsidR="00C010E0">
        <w:rPr>
          <w:noProof/>
        </w:rPr>
        <w:t>t</w:t>
      </w:r>
      <w:r w:rsidRPr="005E6C43">
        <w:rPr>
          <w:noProof/>
        </w:rPr>
        <w:t xml:space="preserve">. It </w:t>
      </w:r>
      <w:r>
        <w:rPr>
          <w:noProof/>
        </w:rPr>
        <w:t xml:space="preserve">aims to </w:t>
      </w:r>
      <w:r w:rsidRPr="005E6C43">
        <w:rPr>
          <w:noProof/>
        </w:rPr>
        <w:t>present European industry with a stronger business case for large climate</w:t>
      </w:r>
      <w:r w:rsidR="00083575">
        <w:rPr>
          <w:noProof/>
        </w:rPr>
        <w:t>-</w:t>
      </w:r>
      <w:r w:rsidRPr="005E6C43">
        <w:rPr>
          <w:noProof/>
        </w:rPr>
        <w:t xml:space="preserve">neutral investments in </w:t>
      </w:r>
      <w:r w:rsidR="0016609C">
        <w:rPr>
          <w:noProof/>
        </w:rPr>
        <w:t>EIIs</w:t>
      </w:r>
      <w:r w:rsidRPr="005E6C43">
        <w:rPr>
          <w:noProof/>
        </w:rPr>
        <w:t xml:space="preserve"> and clean tech.</w:t>
      </w:r>
      <w:r>
        <w:rPr>
          <w:noProof/>
        </w:rPr>
        <w:t xml:space="preserve"> The review of the EU ETS plays a central role in achieving these objectives and is therefore consistent with the broader set of Union policies that are part of the Clean Industrial Deal.</w:t>
      </w:r>
    </w:p>
    <w:p w14:paraId="0B7027AD" w14:textId="77777777" w:rsidR="00BF07A9" w:rsidRDefault="00BF07A9" w:rsidP="00BF07A9">
      <w:pPr>
        <w:rPr>
          <w:noProof/>
        </w:rPr>
      </w:pPr>
      <w:r w:rsidRPr="00386BBA">
        <w:rPr>
          <w:noProof/>
        </w:rPr>
        <w:t>Meeting the EU 2040 climate targets and implementing related policies will require sustained investment in modernising the energy system over the coming decades. Alongside initiatives such as the Clean Industrial Deal, the Industrial Accelerator Act</w:t>
      </w:r>
      <w:r w:rsidR="00BD36DB">
        <w:rPr>
          <w:rStyle w:val="FootnoteReference"/>
          <w:noProof/>
        </w:rPr>
        <w:footnoteReference w:id="23"/>
      </w:r>
      <w:r w:rsidRPr="00386BBA">
        <w:rPr>
          <w:noProof/>
        </w:rPr>
        <w:t xml:space="preserve">, the Clean Energy Investment </w:t>
      </w:r>
      <w:r w:rsidR="009C2597">
        <w:rPr>
          <w:noProof/>
        </w:rPr>
        <w:t>s</w:t>
      </w:r>
      <w:r w:rsidRPr="00386BBA">
        <w:rPr>
          <w:noProof/>
        </w:rPr>
        <w:t>trategy</w:t>
      </w:r>
      <w:r w:rsidR="00BA1434">
        <w:rPr>
          <w:rStyle w:val="FootnoteReference"/>
          <w:noProof/>
        </w:rPr>
        <w:footnoteReference w:id="24"/>
      </w:r>
      <w:r w:rsidRPr="00386BBA">
        <w:rPr>
          <w:noProof/>
        </w:rPr>
        <w:t>, the European Grids Package</w:t>
      </w:r>
      <w:r w:rsidR="00474199">
        <w:rPr>
          <w:rStyle w:val="FootnoteReference"/>
          <w:noProof/>
        </w:rPr>
        <w:footnoteReference w:id="25"/>
      </w:r>
      <w:r w:rsidRPr="00386BBA">
        <w:rPr>
          <w:noProof/>
        </w:rPr>
        <w:t>, and the Net-Zero Industry Act</w:t>
      </w:r>
      <w:r w:rsidR="00673B1A">
        <w:rPr>
          <w:rStyle w:val="FootnoteReference"/>
          <w:noProof/>
        </w:rPr>
        <w:footnoteReference w:id="26"/>
      </w:r>
      <w:r w:rsidRPr="00386BBA">
        <w:rPr>
          <w:noProof/>
        </w:rPr>
        <w:t xml:space="preserve">, the 2040 framework aims to provide the predictability needed to accelerate energy efficiency, electrification, and investment in clean technologies across buildings, transport, industry, and energy networks. Industrial decarbonisation will also depend on carbon capture, hydrogen, and other innovative technologies, with private investment playing </w:t>
      </w:r>
      <w:r w:rsidR="00CD0FB6">
        <w:rPr>
          <w:noProof/>
        </w:rPr>
        <w:t>a</w:t>
      </w:r>
      <w:r w:rsidR="00CD0FB6" w:rsidRPr="00386BBA">
        <w:rPr>
          <w:noProof/>
        </w:rPr>
        <w:t xml:space="preserve"> </w:t>
      </w:r>
      <w:r w:rsidRPr="00386BBA">
        <w:rPr>
          <w:noProof/>
        </w:rPr>
        <w:t>leading role.</w:t>
      </w:r>
    </w:p>
    <w:p w14:paraId="68AED643" w14:textId="77777777" w:rsidR="003B576F" w:rsidRDefault="00BF07A9" w:rsidP="00BF07A9">
      <w:pPr>
        <w:rPr>
          <w:noProof/>
        </w:rPr>
      </w:pPr>
      <w:r>
        <w:rPr>
          <w:noProof/>
        </w:rPr>
        <w:t>The EU ETS contributes to these objectives</w:t>
      </w:r>
      <w:r w:rsidR="00CD0FB6">
        <w:rPr>
          <w:noProof/>
        </w:rPr>
        <w:t>. Firstly, it aims to</w:t>
      </w:r>
      <w:r w:rsidRPr="00A13D09">
        <w:rPr>
          <w:noProof/>
        </w:rPr>
        <w:t xml:space="preserve"> </w:t>
      </w:r>
      <w:r w:rsidR="004F3C1F">
        <w:rPr>
          <w:noProof/>
        </w:rPr>
        <w:t>c</w:t>
      </w:r>
      <w:r w:rsidRPr="00A13D09">
        <w:rPr>
          <w:noProof/>
        </w:rPr>
        <w:t>reat</w:t>
      </w:r>
      <w:r w:rsidR="004F3C1F">
        <w:rPr>
          <w:noProof/>
        </w:rPr>
        <w:t>e</w:t>
      </w:r>
      <w:r w:rsidRPr="00A13D09">
        <w:rPr>
          <w:noProof/>
        </w:rPr>
        <w:t xml:space="preserve"> a carbon price signal that rewards low-carbon investments</w:t>
      </w:r>
      <w:r w:rsidR="004F3C1F">
        <w:rPr>
          <w:noProof/>
        </w:rPr>
        <w:t xml:space="preserve">. </w:t>
      </w:r>
      <w:r w:rsidRPr="00EE02A9">
        <w:rPr>
          <w:noProof/>
        </w:rPr>
        <w:t xml:space="preserve">The ETS puts a price on CO₂ emissions. As the cost of emitting carbon rises, investments in </w:t>
      </w:r>
      <w:r>
        <w:rPr>
          <w:noProof/>
        </w:rPr>
        <w:t xml:space="preserve">electrification and </w:t>
      </w:r>
      <w:r w:rsidRPr="00E32B84">
        <w:rPr>
          <w:noProof/>
        </w:rPr>
        <w:t>climate-neutral production processes</w:t>
      </w:r>
      <w:r>
        <w:rPr>
          <w:noProof/>
        </w:rPr>
        <w:t xml:space="preserve"> </w:t>
      </w:r>
      <w:r w:rsidRPr="00EE02A9">
        <w:rPr>
          <w:noProof/>
        </w:rPr>
        <w:t xml:space="preserve">become more economically attractive </w:t>
      </w:r>
      <w:r w:rsidR="004F3C1F">
        <w:rPr>
          <w:noProof/>
        </w:rPr>
        <w:t>than</w:t>
      </w:r>
      <w:r w:rsidRPr="00EE02A9">
        <w:rPr>
          <w:noProof/>
        </w:rPr>
        <w:t xml:space="preserve"> traditional </w:t>
      </w:r>
      <w:r>
        <w:rPr>
          <w:noProof/>
        </w:rPr>
        <w:t xml:space="preserve">fossil-based energy sources and </w:t>
      </w:r>
      <w:r w:rsidRPr="00EE02A9">
        <w:rPr>
          <w:noProof/>
        </w:rPr>
        <w:t>high-emission production methods.</w:t>
      </w:r>
      <w:r>
        <w:rPr>
          <w:noProof/>
        </w:rPr>
        <w:t xml:space="preserve"> </w:t>
      </w:r>
    </w:p>
    <w:p w14:paraId="165EADF2" w14:textId="77777777" w:rsidR="00BF07A9" w:rsidRPr="00386BBA" w:rsidRDefault="004F3C1F" w:rsidP="00BF07A9">
      <w:pPr>
        <w:rPr>
          <w:noProof/>
        </w:rPr>
      </w:pPr>
      <w:r>
        <w:rPr>
          <w:noProof/>
        </w:rPr>
        <w:t>Secondly, it aims to g</w:t>
      </w:r>
      <w:r w:rsidR="00BF07A9" w:rsidRPr="0013470E">
        <w:rPr>
          <w:noProof/>
        </w:rPr>
        <w:t>enerat</w:t>
      </w:r>
      <w:r>
        <w:rPr>
          <w:noProof/>
        </w:rPr>
        <w:t>e</w:t>
      </w:r>
      <w:r w:rsidR="00BF07A9" w:rsidRPr="0013470E">
        <w:rPr>
          <w:noProof/>
        </w:rPr>
        <w:t xml:space="preserve"> revenues that finance decarbonisation</w:t>
      </w:r>
      <w:r>
        <w:rPr>
          <w:noProof/>
        </w:rPr>
        <w:t xml:space="preserve">. </w:t>
      </w:r>
      <w:r w:rsidR="00BF07A9">
        <w:rPr>
          <w:noProof/>
        </w:rPr>
        <w:t>T</w:t>
      </w:r>
      <w:r w:rsidR="00BF07A9" w:rsidRPr="00386BBA">
        <w:rPr>
          <w:noProof/>
        </w:rPr>
        <w:t>he Industrial Accelerator Act, presented in March</w:t>
      </w:r>
      <w:r w:rsidR="005B73BE">
        <w:rPr>
          <w:noProof/>
        </w:rPr>
        <w:t xml:space="preserve"> 2026</w:t>
      </w:r>
      <w:r w:rsidR="00BF07A9" w:rsidRPr="00386BBA">
        <w:rPr>
          <w:noProof/>
        </w:rPr>
        <w:t>, provides a clear framework to drive investment and innovation in sectors where Europe can maintain or build global leadership.</w:t>
      </w:r>
      <w:r w:rsidR="00BF07A9">
        <w:rPr>
          <w:noProof/>
        </w:rPr>
        <w:t xml:space="preserve"> </w:t>
      </w:r>
      <w:r w:rsidR="00BF07A9" w:rsidRPr="00386BBA">
        <w:rPr>
          <w:noProof/>
        </w:rPr>
        <w:t>Public support will be essential to mobilise private finance</w:t>
      </w:r>
      <w:r w:rsidR="00BF07A9">
        <w:rPr>
          <w:noProof/>
        </w:rPr>
        <w:t xml:space="preserve"> to this end</w:t>
      </w:r>
      <w:r w:rsidR="00BF07A9" w:rsidRPr="00386BBA">
        <w:rPr>
          <w:noProof/>
        </w:rPr>
        <w:t xml:space="preserve">. </w:t>
      </w:r>
      <w:r w:rsidR="00BF07A9">
        <w:rPr>
          <w:noProof/>
        </w:rPr>
        <w:t>The reinvestment of</w:t>
      </w:r>
      <w:r w:rsidR="00BF07A9" w:rsidRPr="00386BBA">
        <w:rPr>
          <w:noProof/>
        </w:rPr>
        <w:t xml:space="preserve"> EU and national ETS revenues in the industrial transition</w:t>
      </w:r>
      <w:r w:rsidR="00BF07A9">
        <w:rPr>
          <w:noProof/>
        </w:rPr>
        <w:t xml:space="preserve"> </w:t>
      </w:r>
      <w:r w:rsidR="00B024D6">
        <w:rPr>
          <w:noProof/>
        </w:rPr>
        <w:t xml:space="preserve">as envisaged by this proposal </w:t>
      </w:r>
      <w:r w:rsidR="00BF07A9">
        <w:rPr>
          <w:noProof/>
        </w:rPr>
        <w:t>is consistent with these objectives. In particular, t</w:t>
      </w:r>
      <w:r w:rsidR="00BF07A9" w:rsidRPr="00386BBA">
        <w:rPr>
          <w:noProof/>
        </w:rPr>
        <w:t xml:space="preserve">his proposal </w:t>
      </w:r>
      <w:r w:rsidR="00BF07A9">
        <w:rPr>
          <w:noProof/>
        </w:rPr>
        <w:t>increases</w:t>
      </w:r>
      <w:r w:rsidR="00BF07A9" w:rsidRPr="00386BBA">
        <w:rPr>
          <w:noProof/>
        </w:rPr>
        <w:t xml:space="preserve"> funding for industrial decarbonisation</w:t>
      </w:r>
      <w:r w:rsidR="00BF07A9">
        <w:rPr>
          <w:noProof/>
        </w:rPr>
        <w:t xml:space="preserve"> and sustainable fuels</w:t>
      </w:r>
      <w:r w:rsidR="00BF07A9" w:rsidRPr="00386BBA">
        <w:rPr>
          <w:noProof/>
        </w:rPr>
        <w:t>, helping to accelerate electrification, promote clean technologies, strengthen Europe’s industrial base, and create high-quality jobs.</w:t>
      </w:r>
    </w:p>
    <w:p w14:paraId="4943DC14" w14:textId="77777777" w:rsidR="00BF07A9" w:rsidRPr="00386BBA" w:rsidRDefault="00BF07A9" w:rsidP="00BF07A9">
      <w:pPr>
        <w:rPr>
          <w:noProof/>
        </w:rPr>
      </w:pPr>
      <w:r w:rsidRPr="00386BBA">
        <w:rPr>
          <w:noProof/>
        </w:rPr>
        <w:t xml:space="preserve">Building on the recommendations of the Draghi report, the Commission proposes an ETS Investment Booster as an early phase of the IDB, which was announced as part of the Clean Industrial Deal. Becoming operational </w:t>
      </w:r>
      <w:r w:rsidR="00B024D6">
        <w:rPr>
          <w:noProof/>
        </w:rPr>
        <w:t>once</w:t>
      </w:r>
      <w:r w:rsidR="00B024D6" w:rsidRPr="00386BBA">
        <w:rPr>
          <w:noProof/>
        </w:rPr>
        <w:t xml:space="preserve"> </w:t>
      </w:r>
      <w:r w:rsidRPr="00386BBA">
        <w:rPr>
          <w:noProof/>
        </w:rPr>
        <w:t xml:space="preserve">the ETS legislative process </w:t>
      </w:r>
      <w:r w:rsidR="00B024D6">
        <w:rPr>
          <w:noProof/>
        </w:rPr>
        <w:t>has been concluded</w:t>
      </w:r>
      <w:r w:rsidRPr="00386BBA">
        <w:rPr>
          <w:noProof/>
        </w:rPr>
        <w:t xml:space="preserve">, </w:t>
      </w:r>
      <w:r w:rsidR="00657770">
        <w:rPr>
          <w:noProof/>
        </w:rPr>
        <w:t>the ETS Investment Booster</w:t>
      </w:r>
      <w:r w:rsidRPr="00386BBA">
        <w:rPr>
          <w:noProof/>
        </w:rPr>
        <w:t xml:space="preserve"> will support low-carbon investments in </w:t>
      </w:r>
      <w:r w:rsidR="00657770">
        <w:rPr>
          <w:noProof/>
        </w:rPr>
        <w:t>EIIs</w:t>
      </w:r>
      <w:r w:rsidRPr="00386BBA">
        <w:rPr>
          <w:noProof/>
        </w:rPr>
        <w:t xml:space="preserve"> through a predefined carbon premium. From 2031, the second phase of the IDB will use competitive tools such as contracts for difference, as part of a broader objective to mobilise </w:t>
      </w:r>
      <w:r w:rsidR="00657770">
        <w:rPr>
          <w:noProof/>
        </w:rPr>
        <w:t xml:space="preserve">EUR </w:t>
      </w:r>
      <w:r w:rsidRPr="00386BBA">
        <w:rPr>
          <w:noProof/>
        </w:rPr>
        <w:t>100 billion for industrial decarbonisation.</w:t>
      </w:r>
    </w:p>
    <w:p w14:paraId="4B5EC9D3" w14:textId="77777777" w:rsidR="00BF07A9" w:rsidRPr="00386BBA" w:rsidRDefault="00BF07A9" w:rsidP="00BF07A9">
      <w:pPr>
        <w:rPr>
          <w:noProof/>
        </w:rPr>
      </w:pPr>
      <w:r w:rsidRPr="00386BBA">
        <w:rPr>
          <w:noProof/>
        </w:rPr>
        <w:t xml:space="preserve">This proposal also extends the Innovation Fund and the Modernisation Fund. Endowed with </w:t>
      </w:r>
      <w:r w:rsidR="001514A0">
        <w:rPr>
          <w:noProof/>
        </w:rPr>
        <w:t>200</w:t>
      </w:r>
      <w:r w:rsidRPr="00386BBA">
        <w:rPr>
          <w:noProof/>
        </w:rPr>
        <w:t xml:space="preserve"> million allowances, the Innovation Fund </w:t>
      </w:r>
      <w:r w:rsidR="007F6EA6">
        <w:rPr>
          <w:noProof/>
        </w:rPr>
        <w:t>will</w:t>
      </w:r>
      <w:r w:rsidRPr="00386BBA">
        <w:rPr>
          <w:noProof/>
        </w:rPr>
        <w:t xml:space="preserve"> support innovative industrial technologies for industry and clean-tech manufacturing. The Modernisation Fund will channel </w:t>
      </w:r>
      <w:r w:rsidR="007F6EA6">
        <w:rPr>
          <w:noProof/>
        </w:rPr>
        <w:t>the revenues resulting from the auctioning of</w:t>
      </w:r>
      <w:r w:rsidR="001514A0">
        <w:rPr>
          <w:noProof/>
        </w:rPr>
        <w:t xml:space="preserve"> 2,5% of the Art. 9 cap</w:t>
      </w:r>
      <w:r w:rsidRPr="00386BBA">
        <w:rPr>
          <w:noProof/>
        </w:rPr>
        <w:t xml:space="preserve"> to lower-income Member States to modernise energy infrastructure, expand renewables, strengthen grids, improve energy efficiency, and support technologies such as carbon capture and storage</w:t>
      </w:r>
      <w:r w:rsidR="001D20FE">
        <w:rPr>
          <w:noProof/>
        </w:rPr>
        <w:t xml:space="preserve"> (CCS)</w:t>
      </w:r>
      <w:r w:rsidRPr="00386BBA">
        <w:rPr>
          <w:noProof/>
        </w:rPr>
        <w:t xml:space="preserve">. </w:t>
      </w:r>
    </w:p>
    <w:bookmarkEnd w:id="4"/>
    <w:p w14:paraId="0E718656" w14:textId="3436FE21" w:rsidR="006052EE" w:rsidRPr="002D5EE2" w:rsidRDefault="006052EE" w:rsidP="009E1F0E">
      <w:pPr>
        <w:pStyle w:val="Heading1"/>
        <w:rPr>
          <w:noProof/>
        </w:rPr>
      </w:pPr>
      <w:r w:rsidRPr="002D5EE2">
        <w:rPr>
          <w:noProof/>
        </w:rPr>
        <w:t>LEGAL BASIS, SUBSIDIARITY AND PROPORTIONALITY</w:t>
      </w:r>
    </w:p>
    <w:p w14:paraId="343B4D30" w14:textId="77777777" w:rsidR="006052EE" w:rsidRPr="00616539" w:rsidRDefault="006052EE" w:rsidP="00616539">
      <w:pPr>
        <w:pStyle w:val="Bullet0"/>
        <w:rPr>
          <w:b/>
          <w:bCs/>
          <w:noProof/>
        </w:rPr>
      </w:pPr>
      <w:r w:rsidRPr="00616539">
        <w:rPr>
          <w:b/>
          <w:bCs/>
          <w:noProof/>
        </w:rPr>
        <w:t>Legal basis</w:t>
      </w:r>
    </w:p>
    <w:p w14:paraId="620CE9E6" w14:textId="77777777" w:rsidR="00BF07A9" w:rsidRPr="001F1326" w:rsidRDefault="00BF07A9" w:rsidP="00BF07A9">
      <w:pPr>
        <w:rPr>
          <w:noProof/>
        </w:rPr>
      </w:pPr>
      <w:r w:rsidRPr="001F1326">
        <w:rPr>
          <w:noProof/>
        </w:rPr>
        <w:t xml:space="preserve">Articles 191, 192 and 193 of the Treaty on the Functioning of the European Union empower the EU to act to preserve, protect and improve the quality of the environment; protect human health; and promote measures at the international level to deal with regional or worldwide environmental problems. The legal basis of this initiative is in Article 192(1), as this initiative is action being taken to combat climate change and to serve the other environmental objectives specified in Article 191. The ETS has been operating on this legal basis since 2003. The European Parliament and </w:t>
      </w:r>
      <w:r w:rsidR="005F293E">
        <w:rPr>
          <w:noProof/>
        </w:rPr>
        <w:t xml:space="preserve">the </w:t>
      </w:r>
      <w:r w:rsidRPr="001F1326">
        <w:rPr>
          <w:noProof/>
        </w:rPr>
        <w:t xml:space="preserve">Council </w:t>
      </w:r>
      <w:r w:rsidR="005F293E">
        <w:rPr>
          <w:noProof/>
        </w:rPr>
        <w:t xml:space="preserve">have </w:t>
      </w:r>
      <w:r w:rsidRPr="001F1326">
        <w:rPr>
          <w:noProof/>
        </w:rPr>
        <w:t xml:space="preserve">adopted all amendments to the ETS Directive on this legal basis. </w:t>
      </w:r>
    </w:p>
    <w:p w14:paraId="247616FD" w14:textId="77777777" w:rsidR="006052EE" w:rsidRPr="00616539" w:rsidRDefault="006052EE" w:rsidP="00616539">
      <w:pPr>
        <w:pStyle w:val="Bullet0"/>
        <w:rPr>
          <w:b/>
          <w:bCs/>
          <w:noProof/>
        </w:rPr>
      </w:pPr>
      <w:r w:rsidRPr="00616539">
        <w:rPr>
          <w:b/>
          <w:bCs/>
          <w:noProof/>
        </w:rPr>
        <w:t xml:space="preserve">Subsidiarity (for non-exclusive competence) </w:t>
      </w:r>
    </w:p>
    <w:p w14:paraId="615CBA1B" w14:textId="77777777" w:rsidR="00BF07A9" w:rsidRPr="00C65BCF" w:rsidRDefault="00BF07A9" w:rsidP="00BF07A9">
      <w:pPr>
        <w:rPr>
          <w:noProof/>
        </w:rPr>
      </w:pPr>
      <w:r w:rsidRPr="00C65BCF">
        <w:rPr>
          <w:noProof/>
        </w:rPr>
        <w:t>Climate change is a trans-boundary problem and both international and EU action can effectively complement and reinforce regional, national and local action. Adjusting the ETS to the 2040 target for EU GHG reductions will affect many sectors across the EU economy</w:t>
      </w:r>
      <w:r w:rsidR="00A24A69">
        <w:rPr>
          <w:noProof/>
        </w:rPr>
        <w:t>.</w:t>
      </w:r>
      <w:r w:rsidRPr="00C65BCF">
        <w:rPr>
          <w:noProof/>
        </w:rPr>
        <w:t xml:space="preserve"> </w:t>
      </w:r>
      <w:r w:rsidR="003D54D3">
        <w:rPr>
          <w:noProof/>
        </w:rPr>
        <w:t>C</w:t>
      </w:r>
      <w:r w:rsidRPr="00C65BCF">
        <w:rPr>
          <w:noProof/>
        </w:rPr>
        <w:t xml:space="preserve">oordinated action at EU level is therefore indispensable and has a much bigger chance of leading to the necessary transformation, acting as a strong driver for cost-effective change and upward convergence. Furthermore, many of the policy </w:t>
      </w:r>
      <w:r w:rsidR="003D54D3">
        <w:rPr>
          <w:noProof/>
        </w:rPr>
        <w:t>aspects</w:t>
      </w:r>
      <w:r w:rsidR="003D54D3" w:rsidRPr="00C65BCF">
        <w:rPr>
          <w:noProof/>
        </w:rPr>
        <w:t xml:space="preserve"> </w:t>
      </w:r>
      <w:r w:rsidRPr="00C65BCF">
        <w:rPr>
          <w:noProof/>
        </w:rPr>
        <w:t xml:space="preserve">assessed in this initiative have an important </w:t>
      </w:r>
      <w:r w:rsidR="00DC06ED">
        <w:rPr>
          <w:noProof/>
        </w:rPr>
        <w:t>single</w:t>
      </w:r>
      <w:r w:rsidR="00DC06ED" w:rsidRPr="00C65BCF">
        <w:rPr>
          <w:noProof/>
        </w:rPr>
        <w:t xml:space="preserve"> </w:t>
      </w:r>
      <w:r w:rsidRPr="00C65BCF">
        <w:rPr>
          <w:noProof/>
        </w:rPr>
        <w:t xml:space="preserve">market dimension, in particular the options related to the carbon leakage protection and the low-carbon funding mechanisms. EU action can also inspire and promote the development of other market-based measures. </w:t>
      </w:r>
    </w:p>
    <w:p w14:paraId="3D5C819D" w14:textId="77777777" w:rsidR="00BF07A9" w:rsidRPr="00C65BCF" w:rsidRDefault="00BF07A9" w:rsidP="00BF07A9">
      <w:pPr>
        <w:rPr>
          <w:noProof/>
        </w:rPr>
      </w:pPr>
      <w:r w:rsidRPr="00C65BCF">
        <w:rPr>
          <w:noProof/>
        </w:rPr>
        <w:t>As a carbon market, the ETS incentivises emission reductions made by cost-effective solutions first across the activities it covers, achieving greater efficiency by virtue of its scale. Implementing a similar measure nationally would result in smaller, fragmented carbon markets, risking distortions of competition and likely lead</w:t>
      </w:r>
      <w:r w:rsidR="00DC06ED">
        <w:rPr>
          <w:noProof/>
        </w:rPr>
        <w:t>ing</w:t>
      </w:r>
      <w:r w:rsidRPr="00C65BCF">
        <w:rPr>
          <w:noProof/>
        </w:rPr>
        <w:t xml:space="preserve"> to higher overall abatement costs. The same logic holds for exten</w:t>
      </w:r>
      <w:r w:rsidR="00DC06ED">
        <w:rPr>
          <w:noProof/>
        </w:rPr>
        <w:t>ding</w:t>
      </w:r>
      <w:r w:rsidRPr="00C65BCF">
        <w:rPr>
          <w:noProof/>
        </w:rPr>
        <w:t xml:space="preserve"> carbon pricing to </w:t>
      </w:r>
      <w:r w:rsidR="00DC06ED">
        <w:rPr>
          <w:noProof/>
        </w:rPr>
        <w:t xml:space="preserve">cover </w:t>
      </w:r>
      <w:r w:rsidRPr="00C65BCF">
        <w:rPr>
          <w:noProof/>
        </w:rPr>
        <w:t>new sectors.</w:t>
      </w:r>
    </w:p>
    <w:p w14:paraId="20E53BC7" w14:textId="77777777" w:rsidR="006052EE" w:rsidRPr="00616539" w:rsidRDefault="006052EE" w:rsidP="00616539">
      <w:pPr>
        <w:pStyle w:val="Bullet0"/>
        <w:rPr>
          <w:b/>
          <w:bCs/>
          <w:noProof/>
        </w:rPr>
      </w:pPr>
      <w:r w:rsidRPr="00616539">
        <w:rPr>
          <w:b/>
          <w:bCs/>
          <w:noProof/>
        </w:rPr>
        <w:t>Proportionality</w:t>
      </w:r>
    </w:p>
    <w:p w14:paraId="15330FAC" w14:textId="77777777" w:rsidR="00BF07A9" w:rsidRPr="006B66F2" w:rsidRDefault="00DC06ED" w:rsidP="00BF07A9">
      <w:pPr>
        <w:rPr>
          <w:noProof/>
        </w:rPr>
      </w:pPr>
      <w:r>
        <w:rPr>
          <w:noProof/>
        </w:rPr>
        <w:t>T</w:t>
      </w:r>
      <w:r w:rsidR="00BF07A9" w:rsidRPr="006B66F2">
        <w:rPr>
          <w:noProof/>
        </w:rPr>
        <w:t>he analysis of the impact assessment accompanying this proposal</w:t>
      </w:r>
      <w:r>
        <w:rPr>
          <w:noProof/>
        </w:rPr>
        <w:t xml:space="preserve"> show</w:t>
      </w:r>
      <w:r w:rsidR="00D26673">
        <w:rPr>
          <w:noProof/>
        </w:rPr>
        <w:t xml:space="preserve"> that</w:t>
      </w:r>
      <w:r w:rsidR="00BF07A9" w:rsidRPr="006B66F2">
        <w:rPr>
          <w:noProof/>
        </w:rPr>
        <w:t xml:space="preserve"> the proposal complies with the proportionality principle</w:t>
      </w:r>
      <w:r w:rsidR="00D26673">
        <w:rPr>
          <w:noProof/>
        </w:rPr>
        <w:t>. This is</w:t>
      </w:r>
      <w:r w:rsidR="00BF07A9" w:rsidRPr="006B66F2">
        <w:rPr>
          <w:noProof/>
        </w:rPr>
        <w:t xml:space="preserve"> because it does not go beyond what is necessary in order to achieve the objectives of implementing the EU’s GHG emission reduction target for 2040 in a cost-effective manner while at the same time ensuring the proper functioning of the </w:t>
      </w:r>
      <w:r w:rsidR="00901DFA">
        <w:rPr>
          <w:noProof/>
        </w:rPr>
        <w:t>single</w:t>
      </w:r>
      <w:r w:rsidR="00901DFA" w:rsidRPr="006B66F2">
        <w:rPr>
          <w:noProof/>
        </w:rPr>
        <w:t xml:space="preserve"> </w:t>
      </w:r>
      <w:r w:rsidR="00BF07A9" w:rsidRPr="006B66F2">
        <w:rPr>
          <w:noProof/>
        </w:rPr>
        <w:t>market and the competitiveness of the ETS sectors.</w:t>
      </w:r>
    </w:p>
    <w:p w14:paraId="62ECECCF" w14:textId="77777777" w:rsidR="00BF07A9" w:rsidRPr="006B66F2" w:rsidRDefault="00BF07A9" w:rsidP="00BF07A9">
      <w:pPr>
        <w:rPr>
          <w:noProof/>
        </w:rPr>
      </w:pPr>
      <w:r w:rsidRPr="006B66F2">
        <w:rPr>
          <w:noProof/>
        </w:rPr>
        <w:t xml:space="preserve">The European Parliament and the Council have endorsed an overall economy-wide and domestic reduction in </w:t>
      </w:r>
      <w:r w:rsidR="00901DFA">
        <w:rPr>
          <w:noProof/>
        </w:rPr>
        <w:t>GHG</w:t>
      </w:r>
      <w:r w:rsidRPr="006B66F2">
        <w:rPr>
          <w:noProof/>
        </w:rPr>
        <w:t xml:space="preserve"> emissions of 90% </w:t>
      </w:r>
      <w:r w:rsidR="00901DFA">
        <w:rPr>
          <w:noProof/>
        </w:rPr>
        <w:t>compared with</w:t>
      </w:r>
      <w:r w:rsidR="00901DFA" w:rsidRPr="006B66F2">
        <w:rPr>
          <w:noProof/>
        </w:rPr>
        <w:t xml:space="preserve"> </w:t>
      </w:r>
      <w:r w:rsidRPr="006B66F2">
        <w:rPr>
          <w:noProof/>
        </w:rPr>
        <w:t>1990 levels by 2040, with a possibility to use a limited quantity of high-quality international credits to make an ‘adequate contribution</w:t>
      </w:r>
      <w:r w:rsidR="00237641">
        <w:rPr>
          <w:noProof/>
        </w:rPr>
        <w:t>’</w:t>
      </w:r>
      <w:r w:rsidRPr="006B66F2">
        <w:rPr>
          <w:noProof/>
        </w:rPr>
        <w:t xml:space="preserve"> towards the 2040 target, starting in 2036. This proposal covers a large part of these </w:t>
      </w:r>
      <w:r w:rsidR="00DD414D">
        <w:rPr>
          <w:noProof/>
        </w:rPr>
        <w:t>GHG</w:t>
      </w:r>
      <w:r w:rsidRPr="006B66F2">
        <w:rPr>
          <w:noProof/>
        </w:rPr>
        <w:t xml:space="preserve"> emissions and revises the ETS Directive in order to achieve this objective. </w:t>
      </w:r>
    </w:p>
    <w:p w14:paraId="3645AB4C" w14:textId="77777777" w:rsidR="006052EE" w:rsidRPr="00616539" w:rsidRDefault="006052EE" w:rsidP="00616539">
      <w:pPr>
        <w:pStyle w:val="Bullet0"/>
        <w:rPr>
          <w:b/>
          <w:bCs/>
          <w:noProof/>
        </w:rPr>
      </w:pPr>
      <w:r w:rsidRPr="00616539">
        <w:rPr>
          <w:b/>
          <w:bCs/>
          <w:noProof/>
        </w:rPr>
        <w:t>Choice of the instrument</w:t>
      </w:r>
    </w:p>
    <w:p w14:paraId="29C9643E" w14:textId="77777777" w:rsidR="00BF07A9" w:rsidRPr="00CB7CA1" w:rsidRDefault="00BF07A9" w:rsidP="00BF07A9">
      <w:pPr>
        <w:rPr>
          <w:noProof/>
        </w:rPr>
      </w:pPr>
      <w:r w:rsidRPr="00CB7CA1">
        <w:rPr>
          <w:noProof/>
        </w:rPr>
        <w:t xml:space="preserve">The objectives of this proposal can be best pursued through a </w:t>
      </w:r>
      <w:r w:rsidR="0067496A">
        <w:rPr>
          <w:noProof/>
        </w:rPr>
        <w:t>d</w:t>
      </w:r>
      <w:r w:rsidR="0067496A" w:rsidRPr="00CB7CA1">
        <w:rPr>
          <w:noProof/>
        </w:rPr>
        <w:t>irective</w:t>
      </w:r>
      <w:r w:rsidRPr="00CB7CA1">
        <w:rPr>
          <w:noProof/>
        </w:rPr>
        <w:t>. This is the most appropriate legal instrument to make amendments to the existing ETS Directive.</w:t>
      </w:r>
    </w:p>
    <w:p w14:paraId="2E176C00" w14:textId="77777777" w:rsidR="00BF07A9" w:rsidRPr="0007465A" w:rsidRDefault="00BF07A9" w:rsidP="00BF07A9">
      <w:pPr>
        <w:rPr>
          <w:noProof/>
        </w:rPr>
      </w:pPr>
      <w:r w:rsidRPr="00CB7CA1">
        <w:rPr>
          <w:noProof/>
        </w:rPr>
        <w:t xml:space="preserve">A </w:t>
      </w:r>
      <w:r w:rsidR="00F12BBA">
        <w:rPr>
          <w:noProof/>
        </w:rPr>
        <w:t>d</w:t>
      </w:r>
      <w:r w:rsidRPr="00CB7CA1">
        <w:rPr>
          <w:noProof/>
        </w:rPr>
        <w:t xml:space="preserve">irective requires Member States to achieve the objectives and </w:t>
      </w:r>
      <w:r w:rsidR="002841A7">
        <w:rPr>
          <w:noProof/>
        </w:rPr>
        <w:t>incorporat</w:t>
      </w:r>
      <w:r w:rsidR="00F12BBA">
        <w:rPr>
          <w:noProof/>
        </w:rPr>
        <w:t>e</w:t>
      </w:r>
      <w:r w:rsidR="002841A7" w:rsidRPr="00CB7CA1">
        <w:rPr>
          <w:noProof/>
        </w:rPr>
        <w:t xml:space="preserve"> </w:t>
      </w:r>
      <w:r w:rsidRPr="00CB7CA1">
        <w:rPr>
          <w:noProof/>
        </w:rPr>
        <w:t xml:space="preserve">the measures into their national substantive and procedural law systems. This approach gives the Member States more freedom when implementing an EU measure than does a </w:t>
      </w:r>
      <w:r w:rsidR="00F12BBA">
        <w:rPr>
          <w:noProof/>
        </w:rPr>
        <w:t>r</w:t>
      </w:r>
      <w:r w:rsidRPr="00CB7CA1">
        <w:rPr>
          <w:noProof/>
        </w:rPr>
        <w:t xml:space="preserve">egulation, in that Member States are left the choice </w:t>
      </w:r>
      <w:r w:rsidRPr="0007465A">
        <w:rPr>
          <w:noProof/>
        </w:rPr>
        <w:t xml:space="preserve">of the most appropriate means of implementing the measures in the </w:t>
      </w:r>
      <w:r w:rsidR="00F12BBA">
        <w:rPr>
          <w:noProof/>
        </w:rPr>
        <w:t>d</w:t>
      </w:r>
      <w:r w:rsidRPr="0007465A">
        <w:rPr>
          <w:noProof/>
        </w:rPr>
        <w:t>irective. This allows Member States to ensure that the amended rules are consistent with their existing substantive and procedural legal framework implementing the EU ETS, in particular regulating permits for installations as well as enforcement measures and penalties.</w:t>
      </w:r>
    </w:p>
    <w:p w14:paraId="53970ECB" w14:textId="77777777" w:rsidR="00BF07A9" w:rsidRPr="0007465A" w:rsidRDefault="00BF07A9" w:rsidP="00BF07A9">
      <w:pPr>
        <w:rPr>
          <w:noProof/>
        </w:rPr>
      </w:pPr>
      <w:r w:rsidRPr="0007465A">
        <w:rPr>
          <w:noProof/>
        </w:rPr>
        <w:t xml:space="preserve">A </w:t>
      </w:r>
      <w:r w:rsidR="00F12BBA">
        <w:rPr>
          <w:noProof/>
        </w:rPr>
        <w:t>d</w:t>
      </w:r>
      <w:r w:rsidRPr="0007465A">
        <w:rPr>
          <w:noProof/>
        </w:rPr>
        <w:t xml:space="preserve">irective is also the appropriate instrument to amend </w:t>
      </w:r>
      <w:r w:rsidR="00F12BBA">
        <w:rPr>
          <w:noProof/>
        </w:rPr>
        <w:t xml:space="preserve">the MSR </w:t>
      </w:r>
      <w:r w:rsidRPr="0007465A">
        <w:rPr>
          <w:noProof/>
        </w:rPr>
        <w:t>Decision</w:t>
      </w:r>
      <w:r w:rsidR="00F12BBA">
        <w:rPr>
          <w:noProof/>
        </w:rPr>
        <w:t xml:space="preserve"> </w:t>
      </w:r>
      <w:r w:rsidRPr="0007465A">
        <w:rPr>
          <w:noProof/>
        </w:rPr>
        <w:t xml:space="preserve">because the review of this legal instrument is closely related to the effects on market stability of the </w:t>
      </w:r>
      <w:r>
        <w:rPr>
          <w:noProof/>
        </w:rPr>
        <w:t>adjustments proposed to</w:t>
      </w:r>
      <w:r w:rsidRPr="0007465A">
        <w:rPr>
          <w:noProof/>
        </w:rPr>
        <w:t xml:space="preserve"> the EU ETS.</w:t>
      </w:r>
    </w:p>
    <w:p w14:paraId="651F76EF" w14:textId="09A86FD4" w:rsidR="006052EE" w:rsidRPr="00550536" w:rsidRDefault="006052EE" w:rsidP="009E1F0E">
      <w:pPr>
        <w:pStyle w:val="Heading1"/>
        <w:rPr>
          <w:noProof/>
        </w:rPr>
      </w:pPr>
      <w:r w:rsidRPr="00550536">
        <w:rPr>
          <w:noProof/>
        </w:rPr>
        <w:t>RESULTS OF EX-POST EVALUATIONS, STAKEHOLDER CONSULTATIONS AND IMPACT ASSESSMENTS</w:t>
      </w:r>
    </w:p>
    <w:p w14:paraId="03228BF7" w14:textId="77777777" w:rsidR="00BF07A9" w:rsidRPr="00616539" w:rsidRDefault="006052EE" w:rsidP="00616539">
      <w:pPr>
        <w:pStyle w:val="Bullet0"/>
        <w:rPr>
          <w:b/>
          <w:bCs/>
          <w:noProof/>
        </w:rPr>
      </w:pPr>
      <w:r w:rsidRPr="00616539">
        <w:rPr>
          <w:b/>
          <w:bCs/>
          <w:noProof/>
        </w:rPr>
        <w:t>Ex</w:t>
      </w:r>
      <w:r w:rsidR="002D236F" w:rsidRPr="00616539">
        <w:rPr>
          <w:b/>
          <w:bCs/>
          <w:noProof/>
        </w:rPr>
        <w:t xml:space="preserve"> </w:t>
      </w:r>
      <w:r w:rsidRPr="00616539">
        <w:rPr>
          <w:b/>
          <w:bCs/>
          <w:noProof/>
        </w:rPr>
        <w:t>post evaluations</w:t>
      </w:r>
      <w:r w:rsidR="002D236F" w:rsidRPr="00616539">
        <w:rPr>
          <w:b/>
          <w:bCs/>
          <w:noProof/>
        </w:rPr>
        <w:t xml:space="preserve"> </w:t>
      </w:r>
      <w:r w:rsidRPr="00616539">
        <w:rPr>
          <w:b/>
          <w:bCs/>
          <w:noProof/>
        </w:rPr>
        <w:t>/</w:t>
      </w:r>
      <w:r w:rsidR="002D236F" w:rsidRPr="00616539">
        <w:rPr>
          <w:b/>
          <w:bCs/>
          <w:noProof/>
        </w:rPr>
        <w:t xml:space="preserve"> </w:t>
      </w:r>
      <w:r w:rsidRPr="00616539">
        <w:rPr>
          <w:b/>
          <w:bCs/>
          <w:noProof/>
        </w:rPr>
        <w:t>fitness checks of existing legislation</w:t>
      </w:r>
    </w:p>
    <w:p w14:paraId="5F602DBD" w14:textId="77777777" w:rsidR="00BF07A9" w:rsidRDefault="00BF07A9" w:rsidP="00BF07A9">
      <w:pPr>
        <w:rPr>
          <w:noProof/>
        </w:rPr>
      </w:pPr>
      <w:r w:rsidRPr="17172E87">
        <w:rPr>
          <w:rFonts w:eastAsia="Times New Roman"/>
          <w:noProof/>
        </w:rPr>
        <w:t xml:space="preserve">The evaluation of the ETS Directive and the MSR Decision (see Annex 15 to the </w:t>
      </w:r>
      <w:r w:rsidR="007C3782">
        <w:rPr>
          <w:rFonts w:eastAsia="Times New Roman"/>
          <w:noProof/>
        </w:rPr>
        <w:t>i</w:t>
      </w:r>
      <w:r w:rsidRPr="17172E87">
        <w:rPr>
          <w:rFonts w:eastAsia="Times New Roman"/>
          <w:noProof/>
        </w:rPr>
        <w:t xml:space="preserve">mpact </w:t>
      </w:r>
      <w:r w:rsidR="007C3782">
        <w:rPr>
          <w:rFonts w:eastAsia="Times New Roman"/>
          <w:noProof/>
        </w:rPr>
        <w:t>a</w:t>
      </w:r>
      <w:r w:rsidRPr="17172E87">
        <w:rPr>
          <w:rFonts w:eastAsia="Times New Roman"/>
          <w:noProof/>
        </w:rPr>
        <w:t xml:space="preserve">ssessment) concluded that the EU ETS is very much aligned </w:t>
      </w:r>
      <w:r w:rsidR="007C3782">
        <w:rPr>
          <w:rFonts w:eastAsia="Times New Roman"/>
          <w:noProof/>
        </w:rPr>
        <w:t>with</w:t>
      </w:r>
      <w:r w:rsidR="007C3782" w:rsidRPr="17172E87">
        <w:rPr>
          <w:rFonts w:eastAsia="Times New Roman"/>
          <w:noProof/>
        </w:rPr>
        <w:t xml:space="preserve"> </w:t>
      </w:r>
      <w:r w:rsidRPr="17172E87">
        <w:rPr>
          <w:rFonts w:eastAsia="Times New Roman"/>
          <w:noProof/>
        </w:rPr>
        <w:t xml:space="preserve">the </w:t>
      </w:r>
      <w:r w:rsidR="003A1898">
        <w:rPr>
          <w:rFonts w:eastAsia="Times New Roman"/>
          <w:noProof/>
        </w:rPr>
        <w:t>EU’s</w:t>
      </w:r>
      <w:r w:rsidRPr="17172E87">
        <w:rPr>
          <w:rFonts w:eastAsia="Times New Roman"/>
          <w:noProof/>
        </w:rPr>
        <w:t xml:space="preserve"> broader climate policies</w:t>
      </w:r>
      <w:r>
        <w:rPr>
          <w:rFonts w:eastAsia="Times New Roman"/>
          <w:noProof/>
        </w:rPr>
        <w:t>,</w:t>
      </w:r>
      <w:r w:rsidRPr="17172E87">
        <w:rPr>
          <w:rFonts w:eastAsia="Times New Roman"/>
          <w:noProof/>
        </w:rPr>
        <w:t xml:space="preserve"> with ETS sectors making a greater contribution to the achievement of </w:t>
      </w:r>
      <w:r w:rsidR="00827336">
        <w:rPr>
          <w:rFonts w:eastAsia="Times New Roman"/>
          <w:noProof/>
        </w:rPr>
        <w:t xml:space="preserve">the </w:t>
      </w:r>
      <w:r w:rsidRPr="17172E87">
        <w:rPr>
          <w:rFonts w:eastAsia="Times New Roman"/>
          <w:noProof/>
        </w:rPr>
        <w:t>EU</w:t>
      </w:r>
      <w:r w:rsidR="00827336">
        <w:rPr>
          <w:rFonts w:eastAsia="Times New Roman"/>
          <w:noProof/>
        </w:rPr>
        <w:t>’s</w:t>
      </w:r>
      <w:r w:rsidRPr="17172E87">
        <w:rPr>
          <w:rFonts w:eastAsia="Times New Roman"/>
          <w:noProof/>
        </w:rPr>
        <w:t xml:space="preserve"> GHG reduction target </w:t>
      </w:r>
      <w:r w:rsidR="00827336">
        <w:rPr>
          <w:rFonts w:eastAsia="Times New Roman"/>
          <w:noProof/>
        </w:rPr>
        <w:t>for 2030</w:t>
      </w:r>
      <w:r w:rsidRPr="17172E87">
        <w:rPr>
          <w:rFonts w:eastAsia="Times New Roman"/>
          <w:noProof/>
        </w:rPr>
        <w:t xml:space="preserve"> as it was more economically </w:t>
      </w:r>
      <w:r w:rsidRPr="17172E87">
        <w:rPr>
          <w:rFonts w:eastAsia="Times New Roman"/>
          <w:i/>
          <w:iCs/>
          <w:noProof/>
        </w:rPr>
        <w:t>efficient</w:t>
      </w:r>
      <w:r w:rsidRPr="17172E87">
        <w:rPr>
          <w:rFonts w:eastAsia="Times New Roman"/>
          <w:noProof/>
        </w:rPr>
        <w:t xml:space="preserve"> for </w:t>
      </w:r>
      <w:r w:rsidR="004E4D9A">
        <w:rPr>
          <w:rFonts w:eastAsia="Times New Roman"/>
          <w:noProof/>
        </w:rPr>
        <w:t>those sectors</w:t>
      </w:r>
      <w:r w:rsidR="004E4D9A" w:rsidRPr="17172E87">
        <w:rPr>
          <w:rFonts w:eastAsia="Times New Roman"/>
          <w:noProof/>
        </w:rPr>
        <w:t xml:space="preserve"> </w:t>
      </w:r>
      <w:r w:rsidRPr="17172E87">
        <w:rPr>
          <w:rFonts w:eastAsia="Times New Roman"/>
          <w:noProof/>
        </w:rPr>
        <w:t xml:space="preserve">to do so than for non-ETS sectors. There was evidence to suggest that the EU ETS has been </w:t>
      </w:r>
      <w:r w:rsidRPr="17172E87">
        <w:rPr>
          <w:rFonts w:eastAsia="Times New Roman"/>
          <w:i/>
          <w:iCs/>
          <w:noProof/>
        </w:rPr>
        <w:t>effective</w:t>
      </w:r>
      <w:r w:rsidRPr="17172E87">
        <w:rPr>
          <w:rFonts w:eastAsia="Times New Roman"/>
          <w:noProof/>
        </w:rPr>
        <w:t xml:space="preserve"> in driving the overall emission reduction trend observed in the EU. </w:t>
      </w:r>
    </w:p>
    <w:p w14:paraId="07C78F8C" w14:textId="77777777" w:rsidR="00BF07A9" w:rsidRDefault="00BF07A9" w:rsidP="00BF07A9">
      <w:pPr>
        <w:rPr>
          <w:noProof/>
        </w:rPr>
      </w:pPr>
      <w:r w:rsidRPr="17172E87">
        <w:rPr>
          <w:rFonts w:eastAsia="Times New Roman"/>
          <w:noProof/>
        </w:rPr>
        <w:t xml:space="preserve">During the evaluation period, total emissions from stationary installations declined significantly, consistent with and exceeding the trajectory required to meet the </w:t>
      </w:r>
      <w:r w:rsidR="009056F4">
        <w:rPr>
          <w:rFonts w:eastAsia="Times New Roman"/>
          <w:noProof/>
        </w:rPr>
        <w:t>target of</w:t>
      </w:r>
      <w:r w:rsidR="006C6895">
        <w:rPr>
          <w:rFonts w:eastAsia="Times New Roman"/>
          <w:noProof/>
        </w:rPr>
        <w:t xml:space="preserve"> achieving a</w:t>
      </w:r>
      <w:r w:rsidRPr="17172E87">
        <w:rPr>
          <w:rFonts w:eastAsia="Times New Roman"/>
          <w:noProof/>
        </w:rPr>
        <w:t xml:space="preserve"> 43% reduction </w:t>
      </w:r>
      <w:r w:rsidR="006C6895">
        <w:rPr>
          <w:rFonts w:eastAsia="Times New Roman"/>
          <w:noProof/>
        </w:rPr>
        <w:t>compared with</w:t>
      </w:r>
      <w:r w:rsidR="006C6895" w:rsidRPr="17172E87">
        <w:rPr>
          <w:rFonts w:eastAsia="Times New Roman"/>
          <w:noProof/>
        </w:rPr>
        <w:t xml:space="preserve"> </w:t>
      </w:r>
      <w:r w:rsidRPr="17172E87">
        <w:rPr>
          <w:rFonts w:eastAsia="Times New Roman"/>
          <w:noProof/>
        </w:rPr>
        <w:t xml:space="preserve">2005 levels by 2030 set by the 2018 revision of the </w:t>
      </w:r>
      <w:r w:rsidR="006C6895">
        <w:rPr>
          <w:rFonts w:eastAsia="Times New Roman"/>
          <w:noProof/>
        </w:rPr>
        <w:t xml:space="preserve">ETS </w:t>
      </w:r>
      <w:r w:rsidRPr="17172E87">
        <w:rPr>
          <w:rFonts w:eastAsia="Times New Roman"/>
          <w:noProof/>
        </w:rPr>
        <w:t>Directive. The strengthened CO</w:t>
      </w:r>
      <w:r w:rsidRPr="17172E87">
        <w:rPr>
          <w:rFonts w:eastAsia="Times New Roman"/>
          <w:noProof/>
          <w:vertAlign w:val="subscript"/>
        </w:rPr>
        <w:t>2</w:t>
      </w:r>
      <w:r w:rsidRPr="17172E87">
        <w:rPr>
          <w:rFonts w:eastAsia="Times New Roman"/>
          <w:noProof/>
        </w:rPr>
        <w:t xml:space="preserve"> price signal under Phase IV</w:t>
      </w:r>
      <w:r>
        <w:rPr>
          <w:rFonts w:eastAsia="Times New Roman"/>
          <w:noProof/>
        </w:rPr>
        <w:t xml:space="preserve"> (2021-2030)</w:t>
      </w:r>
      <w:r w:rsidRPr="17172E87">
        <w:rPr>
          <w:rFonts w:eastAsia="Times New Roman"/>
          <w:noProof/>
        </w:rPr>
        <w:t xml:space="preserve"> has likely incentivised higher levels of overall abatement as reforms were </w:t>
      </w:r>
      <w:r w:rsidR="00B62EBB">
        <w:rPr>
          <w:rFonts w:eastAsia="Times New Roman"/>
          <w:noProof/>
        </w:rPr>
        <w:t>carried out</w:t>
      </w:r>
      <w:r w:rsidR="00B62EBB" w:rsidRPr="17172E87">
        <w:rPr>
          <w:rFonts w:eastAsia="Times New Roman"/>
          <w:noProof/>
        </w:rPr>
        <w:t xml:space="preserve"> </w:t>
      </w:r>
      <w:r w:rsidRPr="17172E87">
        <w:rPr>
          <w:rFonts w:eastAsia="Times New Roman"/>
          <w:noProof/>
        </w:rPr>
        <w:t>to address the structural imbalance in the demand and supply of allowances that previously undermined the performance of the EU ETS in Phase III</w:t>
      </w:r>
      <w:r>
        <w:rPr>
          <w:rFonts w:eastAsia="Times New Roman"/>
          <w:noProof/>
        </w:rPr>
        <w:t xml:space="preserve"> (2013-2020)</w:t>
      </w:r>
      <w:r w:rsidRPr="17172E87">
        <w:rPr>
          <w:rFonts w:eastAsia="Times New Roman"/>
          <w:noProof/>
        </w:rPr>
        <w:t xml:space="preserve">. The uptake of abatement options is likely to have been higher in the power sector than </w:t>
      </w:r>
      <w:r w:rsidR="0043655C">
        <w:rPr>
          <w:rFonts w:eastAsia="Times New Roman"/>
          <w:noProof/>
        </w:rPr>
        <w:t>in</w:t>
      </w:r>
      <w:r w:rsidR="0043655C" w:rsidRPr="17172E87">
        <w:rPr>
          <w:rFonts w:eastAsia="Times New Roman"/>
          <w:noProof/>
        </w:rPr>
        <w:t xml:space="preserve"> </w:t>
      </w:r>
      <w:r w:rsidRPr="17172E87">
        <w:rPr>
          <w:rFonts w:eastAsia="Times New Roman"/>
          <w:noProof/>
        </w:rPr>
        <w:t>industrial sectors</w:t>
      </w:r>
      <w:r w:rsidR="00FD07CB">
        <w:rPr>
          <w:rFonts w:eastAsia="Times New Roman"/>
          <w:noProof/>
        </w:rPr>
        <w:t>. In</w:t>
      </w:r>
      <w:r w:rsidRPr="17172E87">
        <w:rPr>
          <w:rFonts w:eastAsia="Times New Roman"/>
          <w:noProof/>
        </w:rPr>
        <w:t xml:space="preserve"> part, </w:t>
      </w:r>
      <w:r w:rsidR="00FD07CB">
        <w:rPr>
          <w:rFonts w:eastAsia="Times New Roman"/>
          <w:noProof/>
        </w:rPr>
        <w:t>this is</w:t>
      </w:r>
      <w:r w:rsidR="000974BB">
        <w:rPr>
          <w:rFonts w:eastAsia="Times New Roman"/>
          <w:noProof/>
        </w:rPr>
        <w:t xml:space="preserve"> </w:t>
      </w:r>
      <w:r w:rsidRPr="17172E87">
        <w:rPr>
          <w:rFonts w:eastAsia="Times New Roman"/>
          <w:noProof/>
        </w:rPr>
        <w:t xml:space="preserve">due to the further complementary measures that have been </w:t>
      </w:r>
      <w:r w:rsidR="006F1686">
        <w:rPr>
          <w:rFonts w:eastAsia="Times New Roman"/>
          <w:noProof/>
        </w:rPr>
        <w:t xml:space="preserve">put </w:t>
      </w:r>
      <w:r w:rsidRPr="17172E87">
        <w:rPr>
          <w:rFonts w:eastAsia="Times New Roman"/>
          <w:noProof/>
        </w:rPr>
        <w:t>in place to support the decarbonisation of electricity generation across the EU, as well the absence of free allocation</w:t>
      </w:r>
      <w:r w:rsidR="00EF6B87">
        <w:rPr>
          <w:rFonts w:eastAsia="Times New Roman"/>
          <w:noProof/>
        </w:rPr>
        <w:t>,</w:t>
      </w:r>
      <w:r w:rsidRPr="17172E87">
        <w:rPr>
          <w:rFonts w:eastAsia="Times New Roman"/>
          <w:noProof/>
        </w:rPr>
        <w:t xml:space="preserve"> </w:t>
      </w:r>
      <w:r w:rsidR="00EF6B87">
        <w:rPr>
          <w:rFonts w:eastAsia="Times New Roman"/>
          <w:noProof/>
        </w:rPr>
        <w:t>which would have reduced</w:t>
      </w:r>
      <w:r w:rsidR="00EF6B87" w:rsidRPr="17172E87">
        <w:rPr>
          <w:rFonts w:eastAsia="Times New Roman"/>
          <w:noProof/>
        </w:rPr>
        <w:t xml:space="preserve"> </w:t>
      </w:r>
      <w:r w:rsidRPr="17172E87">
        <w:rPr>
          <w:rFonts w:eastAsia="Times New Roman"/>
          <w:noProof/>
        </w:rPr>
        <w:t xml:space="preserve">the impact of carbon price for industrial emitters. </w:t>
      </w:r>
    </w:p>
    <w:p w14:paraId="0DDA96D9" w14:textId="77777777" w:rsidR="00BF07A9" w:rsidRDefault="00CB2A7B" w:rsidP="00BF07A9">
      <w:pPr>
        <w:rPr>
          <w:noProof/>
        </w:rPr>
      </w:pPr>
      <w:r>
        <w:rPr>
          <w:rFonts w:eastAsia="Times New Roman"/>
          <w:noProof/>
        </w:rPr>
        <w:t>T</w:t>
      </w:r>
      <w:r w:rsidRPr="17172E87">
        <w:rPr>
          <w:rFonts w:eastAsia="Times New Roman"/>
          <w:noProof/>
        </w:rPr>
        <w:t>he introduction of the MSR</w:t>
      </w:r>
      <w:r w:rsidRPr="17172E87" w:rsidDel="00F06346">
        <w:rPr>
          <w:rFonts w:eastAsia="Times New Roman"/>
          <w:noProof/>
        </w:rPr>
        <w:t xml:space="preserve"> </w:t>
      </w:r>
      <w:r>
        <w:rPr>
          <w:rFonts w:eastAsia="Times New Roman"/>
          <w:noProof/>
        </w:rPr>
        <w:t xml:space="preserve">has made </w:t>
      </w:r>
      <w:r w:rsidRPr="17172E87">
        <w:rPr>
          <w:rFonts w:eastAsia="Times New Roman"/>
          <w:noProof/>
        </w:rPr>
        <w:t xml:space="preserve">the EU ETS </w:t>
      </w:r>
      <w:r>
        <w:rPr>
          <w:rFonts w:eastAsia="Times New Roman"/>
          <w:noProof/>
        </w:rPr>
        <w:t xml:space="preserve">considerably more consistent </w:t>
      </w:r>
      <w:r w:rsidRPr="17172E87">
        <w:rPr>
          <w:rFonts w:eastAsia="Times New Roman"/>
          <w:noProof/>
        </w:rPr>
        <w:t xml:space="preserve">with the wider policy framework </w:t>
      </w:r>
      <w:r>
        <w:rPr>
          <w:rFonts w:eastAsia="Times New Roman"/>
          <w:noProof/>
        </w:rPr>
        <w:t xml:space="preserve">(i.e. </w:t>
      </w:r>
      <w:r w:rsidRPr="0033678C">
        <w:rPr>
          <w:rFonts w:eastAsia="Times New Roman"/>
          <w:b/>
          <w:bCs/>
          <w:noProof/>
        </w:rPr>
        <w:t>external coherence</w:t>
      </w:r>
      <w:r>
        <w:rPr>
          <w:rFonts w:eastAsia="Times New Roman"/>
          <w:noProof/>
        </w:rPr>
        <w:t xml:space="preserve">). </w:t>
      </w:r>
      <w:r w:rsidR="006870BE">
        <w:rPr>
          <w:rFonts w:eastAsia="Times New Roman"/>
          <w:noProof/>
        </w:rPr>
        <w:t xml:space="preserve">It has </w:t>
      </w:r>
      <w:r w:rsidR="00A34B20" w:rsidRPr="17172E87">
        <w:rPr>
          <w:rFonts w:eastAsia="Times New Roman"/>
          <w:noProof/>
        </w:rPr>
        <w:t>address</w:t>
      </w:r>
      <w:r w:rsidR="00A34B20">
        <w:rPr>
          <w:rFonts w:eastAsia="Times New Roman"/>
          <w:noProof/>
        </w:rPr>
        <w:t>ed</w:t>
      </w:r>
      <w:r w:rsidR="00BF07A9" w:rsidRPr="17172E87">
        <w:rPr>
          <w:rFonts w:eastAsia="Times New Roman"/>
          <w:noProof/>
        </w:rPr>
        <w:t xml:space="preserve"> the long-criticised </w:t>
      </w:r>
      <w:r w:rsidR="00730D76">
        <w:rPr>
          <w:rFonts w:eastAsia="Times New Roman"/>
          <w:noProof/>
        </w:rPr>
        <w:t>‘</w:t>
      </w:r>
      <w:r w:rsidR="00BF07A9" w:rsidRPr="17172E87">
        <w:rPr>
          <w:rFonts w:eastAsia="Times New Roman"/>
          <w:noProof/>
        </w:rPr>
        <w:t xml:space="preserve">waterbed </w:t>
      </w:r>
      <w:r w:rsidR="001744BE" w:rsidRPr="0AFE0C9F">
        <w:rPr>
          <w:rFonts w:eastAsia="Times New Roman"/>
          <w:noProof/>
        </w:rPr>
        <w:t>effect</w:t>
      </w:r>
      <w:r w:rsidR="00730D76">
        <w:rPr>
          <w:rFonts w:eastAsia="Times New Roman"/>
          <w:noProof/>
        </w:rPr>
        <w:t xml:space="preserve">’ </w:t>
      </w:r>
      <w:r w:rsidR="00BF07A9" w:rsidRPr="17172E87">
        <w:rPr>
          <w:rFonts w:eastAsia="Times New Roman"/>
          <w:noProof/>
        </w:rPr>
        <w:t xml:space="preserve">by allowing allowance supply to respond to changes in demand, including those induced by overlapping policies like </w:t>
      </w:r>
      <w:r w:rsidR="006572DF">
        <w:rPr>
          <w:rFonts w:eastAsia="Times New Roman"/>
          <w:noProof/>
        </w:rPr>
        <w:t>those set out in</w:t>
      </w:r>
      <w:r w:rsidR="00BF07A9" w:rsidRPr="17172E87">
        <w:rPr>
          <w:rFonts w:eastAsia="Times New Roman"/>
          <w:noProof/>
        </w:rPr>
        <w:t xml:space="preserve"> </w:t>
      </w:r>
      <w:r w:rsidR="00061D7B">
        <w:rPr>
          <w:rFonts w:eastAsia="Times New Roman"/>
          <w:noProof/>
        </w:rPr>
        <w:t>the</w:t>
      </w:r>
      <w:r w:rsidR="00061D7B" w:rsidRPr="17172E87">
        <w:rPr>
          <w:rFonts w:eastAsia="Times New Roman"/>
          <w:noProof/>
        </w:rPr>
        <w:t xml:space="preserve"> R</w:t>
      </w:r>
      <w:r w:rsidR="00061D7B">
        <w:rPr>
          <w:rFonts w:eastAsia="Times New Roman"/>
          <w:noProof/>
        </w:rPr>
        <w:t xml:space="preserve">enewable Energy </w:t>
      </w:r>
      <w:r w:rsidR="00061D7B" w:rsidRPr="17172E87">
        <w:rPr>
          <w:rFonts w:eastAsia="Times New Roman"/>
          <w:noProof/>
        </w:rPr>
        <w:t>D</w:t>
      </w:r>
      <w:r w:rsidR="00061D7B">
        <w:rPr>
          <w:rFonts w:eastAsia="Times New Roman"/>
          <w:noProof/>
        </w:rPr>
        <w:t>irective</w:t>
      </w:r>
      <w:r w:rsidR="00504BAB">
        <w:rPr>
          <w:rStyle w:val="FootnoteReference"/>
          <w:rFonts w:eastAsia="Times New Roman"/>
          <w:noProof/>
        </w:rPr>
        <w:footnoteReference w:id="27"/>
      </w:r>
      <w:r w:rsidR="00061D7B" w:rsidRPr="17172E87">
        <w:rPr>
          <w:rFonts w:eastAsia="Times New Roman"/>
          <w:noProof/>
        </w:rPr>
        <w:t xml:space="preserve"> and </w:t>
      </w:r>
      <w:r w:rsidR="00061D7B">
        <w:rPr>
          <w:rFonts w:eastAsia="Times New Roman"/>
          <w:noProof/>
        </w:rPr>
        <w:t xml:space="preserve">the </w:t>
      </w:r>
      <w:r w:rsidR="00061D7B" w:rsidRPr="17172E87">
        <w:rPr>
          <w:rFonts w:eastAsia="Times New Roman"/>
          <w:noProof/>
        </w:rPr>
        <w:t>E</w:t>
      </w:r>
      <w:r w:rsidR="00061D7B">
        <w:rPr>
          <w:rFonts w:eastAsia="Times New Roman"/>
          <w:noProof/>
        </w:rPr>
        <w:t xml:space="preserve">nergy </w:t>
      </w:r>
      <w:r w:rsidR="00061D7B" w:rsidRPr="17172E87">
        <w:rPr>
          <w:rFonts w:eastAsia="Times New Roman"/>
          <w:noProof/>
        </w:rPr>
        <w:t>E</w:t>
      </w:r>
      <w:r w:rsidR="00061D7B">
        <w:rPr>
          <w:rFonts w:eastAsia="Times New Roman"/>
          <w:noProof/>
        </w:rPr>
        <w:t xml:space="preserve">fficiency </w:t>
      </w:r>
      <w:r w:rsidR="00061D7B" w:rsidRPr="17172E87">
        <w:rPr>
          <w:rFonts w:eastAsia="Times New Roman"/>
          <w:noProof/>
        </w:rPr>
        <w:t>D</w:t>
      </w:r>
      <w:r w:rsidR="00061D7B">
        <w:rPr>
          <w:rFonts w:eastAsia="Times New Roman"/>
          <w:noProof/>
        </w:rPr>
        <w:t>irective</w:t>
      </w:r>
      <w:r w:rsidR="005C77D8">
        <w:rPr>
          <w:rStyle w:val="FootnoteReference"/>
          <w:rFonts w:eastAsia="Times New Roman"/>
          <w:noProof/>
        </w:rPr>
        <w:footnoteReference w:id="28"/>
      </w:r>
      <w:r w:rsidR="00BF07A9" w:rsidRPr="17172E87">
        <w:rPr>
          <w:rFonts w:eastAsia="Times New Roman"/>
          <w:noProof/>
        </w:rPr>
        <w:t xml:space="preserve">. </w:t>
      </w:r>
      <w:r w:rsidR="003E3DCC">
        <w:rPr>
          <w:rFonts w:eastAsia="Times New Roman"/>
          <w:noProof/>
        </w:rPr>
        <w:t xml:space="preserve">In recent years, </w:t>
      </w:r>
      <w:r w:rsidR="00F97920">
        <w:rPr>
          <w:rFonts w:eastAsia="Times New Roman"/>
          <w:noProof/>
        </w:rPr>
        <w:t>r</w:t>
      </w:r>
      <w:r w:rsidR="00BF07A9" w:rsidRPr="17172E87">
        <w:rPr>
          <w:rFonts w:eastAsia="Times New Roman"/>
          <w:noProof/>
        </w:rPr>
        <w:t xml:space="preserve">eforms </w:t>
      </w:r>
      <w:r w:rsidR="00F97920">
        <w:rPr>
          <w:rFonts w:eastAsia="Times New Roman"/>
          <w:noProof/>
        </w:rPr>
        <w:t>of</w:t>
      </w:r>
      <w:r w:rsidR="00F97920" w:rsidRPr="17172E87">
        <w:rPr>
          <w:rFonts w:eastAsia="Times New Roman"/>
          <w:noProof/>
        </w:rPr>
        <w:t xml:space="preserve"> </w:t>
      </w:r>
      <w:r w:rsidR="00BF07A9" w:rsidRPr="17172E87">
        <w:rPr>
          <w:rFonts w:eastAsia="Times New Roman"/>
          <w:noProof/>
        </w:rPr>
        <w:t xml:space="preserve">the EU ETS, such as reforms </w:t>
      </w:r>
      <w:r w:rsidR="007269C1">
        <w:rPr>
          <w:rFonts w:eastAsia="Times New Roman"/>
          <w:noProof/>
        </w:rPr>
        <w:t>of</w:t>
      </w:r>
      <w:r w:rsidR="007269C1" w:rsidRPr="17172E87">
        <w:rPr>
          <w:rFonts w:eastAsia="Times New Roman"/>
          <w:noProof/>
        </w:rPr>
        <w:t xml:space="preserve"> </w:t>
      </w:r>
      <w:r w:rsidR="00BF07A9" w:rsidRPr="17172E87">
        <w:rPr>
          <w:rFonts w:eastAsia="Times New Roman"/>
          <w:noProof/>
        </w:rPr>
        <w:t xml:space="preserve">free allocation, have started to address issues </w:t>
      </w:r>
      <w:r w:rsidR="006919A5" w:rsidRPr="17172E87">
        <w:rPr>
          <w:rFonts w:eastAsia="Times New Roman"/>
          <w:noProof/>
        </w:rPr>
        <w:t>previous</w:t>
      </w:r>
      <w:r w:rsidR="006919A5">
        <w:rPr>
          <w:rFonts w:eastAsia="Times New Roman"/>
          <w:noProof/>
        </w:rPr>
        <w:t>ly</w:t>
      </w:r>
      <w:r w:rsidR="006919A5" w:rsidRPr="17172E87">
        <w:rPr>
          <w:rFonts w:eastAsia="Times New Roman"/>
          <w:noProof/>
        </w:rPr>
        <w:t xml:space="preserve"> </w:t>
      </w:r>
      <w:r w:rsidR="00BF07A9" w:rsidRPr="17172E87">
        <w:rPr>
          <w:rFonts w:eastAsia="Times New Roman"/>
          <w:noProof/>
        </w:rPr>
        <w:t xml:space="preserve">identified with regard to the </w:t>
      </w:r>
      <w:r w:rsidR="00F456DA" w:rsidRPr="00620F3F">
        <w:rPr>
          <w:rFonts w:eastAsia="Times New Roman"/>
          <w:noProof/>
        </w:rPr>
        <w:t>consistency</w:t>
      </w:r>
      <w:r w:rsidR="00BF07A9" w:rsidRPr="17172E87">
        <w:rPr>
          <w:rFonts w:eastAsia="Times New Roman"/>
          <w:noProof/>
        </w:rPr>
        <w:t xml:space="preserve"> </w:t>
      </w:r>
      <w:r w:rsidR="00D359C7">
        <w:rPr>
          <w:rFonts w:eastAsia="Times New Roman"/>
          <w:noProof/>
        </w:rPr>
        <w:t>between</w:t>
      </w:r>
      <w:r w:rsidR="00BF07A9" w:rsidRPr="17172E87">
        <w:rPr>
          <w:rFonts w:eastAsia="Times New Roman"/>
          <w:noProof/>
        </w:rPr>
        <w:t xml:space="preserve"> different design elements</w:t>
      </w:r>
      <w:r w:rsidR="00822804">
        <w:rPr>
          <w:rFonts w:eastAsia="Times New Roman"/>
          <w:noProof/>
        </w:rPr>
        <w:t xml:space="preserve"> (i.e. </w:t>
      </w:r>
      <w:r w:rsidR="00822804">
        <w:rPr>
          <w:rFonts w:eastAsia="Times New Roman"/>
          <w:b/>
          <w:bCs/>
          <w:noProof/>
        </w:rPr>
        <w:t>internal coherence</w:t>
      </w:r>
      <w:r w:rsidR="00822804">
        <w:rPr>
          <w:rFonts w:eastAsia="Times New Roman"/>
          <w:noProof/>
        </w:rPr>
        <w:t>)</w:t>
      </w:r>
      <w:r w:rsidR="00BF07A9" w:rsidRPr="17172E87">
        <w:rPr>
          <w:rFonts w:eastAsia="Times New Roman"/>
          <w:noProof/>
        </w:rPr>
        <w:t>. For example, the setting of more ambitious benchmarks for the provision of free allocation helps to enhance the impact of the CO</w:t>
      </w:r>
      <w:r w:rsidR="00BF07A9" w:rsidRPr="17172E87">
        <w:rPr>
          <w:rFonts w:eastAsia="Times New Roman"/>
          <w:noProof/>
          <w:vertAlign w:val="subscript"/>
        </w:rPr>
        <w:t>2</w:t>
      </w:r>
      <w:r w:rsidR="00BF07A9" w:rsidRPr="17172E87">
        <w:rPr>
          <w:rFonts w:eastAsia="Times New Roman"/>
          <w:noProof/>
        </w:rPr>
        <w:t xml:space="preserve"> price signal to provide incentives for decarbonisation whil</w:t>
      </w:r>
      <w:r w:rsidR="00822804">
        <w:rPr>
          <w:rFonts w:eastAsia="Times New Roman"/>
          <w:noProof/>
        </w:rPr>
        <w:t>e</w:t>
      </w:r>
      <w:r w:rsidR="00BF07A9" w:rsidRPr="17172E87">
        <w:rPr>
          <w:rFonts w:eastAsia="Times New Roman"/>
          <w:noProof/>
        </w:rPr>
        <w:t xml:space="preserve"> striking a balance in protecting industry from the risk of carbon leakage. Evidence from the literature support</w:t>
      </w:r>
      <w:r w:rsidR="006919A5">
        <w:rPr>
          <w:rFonts w:eastAsia="Times New Roman"/>
          <w:noProof/>
        </w:rPr>
        <w:t>s</w:t>
      </w:r>
      <w:r w:rsidR="00BF07A9" w:rsidRPr="17172E87">
        <w:rPr>
          <w:rFonts w:eastAsia="Times New Roman"/>
          <w:noProof/>
        </w:rPr>
        <w:t xml:space="preserve"> the argument that the implementation of the revised ETS Directive </w:t>
      </w:r>
      <w:r w:rsidR="002E4AAB">
        <w:rPr>
          <w:rFonts w:eastAsia="Times New Roman"/>
          <w:noProof/>
        </w:rPr>
        <w:t>since</w:t>
      </w:r>
      <w:r w:rsidR="002E4AAB" w:rsidRPr="17172E87">
        <w:rPr>
          <w:rFonts w:eastAsia="Times New Roman"/>
          <w:noProof/>
        </w:rPr>
        <w:t xml:space="preserve"> 2018 has provided </w:t>
      </w:r>
      <w:r w:rsidR="00BF07A9" w:rsidRPr="17172E87">
        <w:rPr>
          <w:rFonts w:eastAsia="Times New Roman"/>
          <w:noProof/>
        </w:rPr>
        <w:t xml:space="preserve">considerable EU added value to Member States and it has likely resulted in more cost-effective mitigation than would have been provided if action </w:t>
      </w:r>
      <w:r w:rsidR="002E4AAB">
        <w:rPr>
          <w:rFonts w:eastAsia="Times New Roman"/>
          <w:noProof/>
        </w:rPr>
        <w:t xml:space="preserve">had been taken </w:t>
      </w:r>
      <w:r w:rsidR="00BF07A9" w:rsidRPr="17172E87">
        <w:rPr>
          <w:rFonts w:eastAsia="Times New Roman"/>
          <w:noProof/>
        </w:rPr>
        <w:t>only at the national level.</w:t>
      </w:r>
    </w:p>
    <w:p w14:paraId="15D9C406" w14:textId="77777777" w:rsidR="00BF07A9" w:rsidRDefault="00BF07A9" w:rsidP="00BF07A9">
      <w:pPr>
        <w:rPr>
          <w:rFonts w:eastAsia="Times New Roman"/>
          <w:noProof/>
        </w:rPr>
      </w:pPr>
      <w:r w:rsidRPr="17172E87">
        <w:rPr>
          <w:rFonts w:eastAsia="Times New Roman"/>
          <w:noProof/>
        </w:rPr>
        <w:t xml:space="preserve">Overall, the evaluation confirms that the ETS has successfully achieved its objectives so far and </w:t>
      </w:r>
      <w:r w:rsidR="002D2CBF">
        <w:rPr>
          <w:rFonts w:eastAsia="Times New Roman"/>
          <w:noProof/>
        </w:rPr>
        <w:t xml:space="preserve">that </w:t>
      </w:r>
      <w:r w:rsidRPr="17172E87">
        <w:rPr>
          <w:rFonts w:eastAsia="Times New Roman"/>
          <w:noProof/>
        </w:rPr>
        <w:t xml:space="preserve">it has been a key instrument in delivering on the EU climate objectives. However, the evaluation also points to areas of </w:t>
      </w:r>
      <w:r w:rsidR="002D2CBF">
        <w:rPr>
          <w:rFonts w:eastAsia="Times New Roman"/>
          <w:noProof/>
        </w:rPr>
        <w:t xml:space="preserve">potential </w:t>
      </w:r>
      <w:r w:rsidRPr="17172E87">
        <w:rPr>
          <w:rFonts w:eastAsia="Times New Roman"/>
          <w:noProof/>
        </w:rPr>
        <w:t>improvement, such as better balancing the need to prevent carbon leakage with ensuring continued incentives for investments in decarbonisation, ensur</w:t>
      </w:r>
      <w:r w:rsidR="002D2CBF">
        <w:rPr>
          <w:rFonts w:eastAsia="Times New Roman"/>
          <w:noProof/>
        </w:rPr>
        <w:t>ing</w:t>
      </w:r>
      <w:r w:rsidRPr="17172E87">
        <w:rPr>
          <w:rFonts w:eastAsia="Times New Roman"/>
          <w:noProof/>
        </w:rPr>
        <w:t xml:space="preserve"> a more efficient </w:t>
      </w:r>
      <w:r w:rsidR="002D2CBF">
        <w:rPr>
          <w:rFonts w:eastAsia="Times New Roman"/>
          <w:noProof/>
        </w:rPr>
        <w:t>monitoring, reporting, verification and accreditation (</w:t>
      </w:r>
      <w:r w:rsidRPr="17172E87">
        <w:rPr>
          <w:rFonts w:eastAsia="Times New Roman"/>
          <w:noProof/>
        </w:rPr>
        <w:t>MRVA</w:t>
      </w:r>
      <w:r w:rsidR="002D2CBF">
        <w:rPr>
          <w:rFonts w:eastAsia="Times New Roman"/>
          <w:noProof/>
        </w:rPr>
        <w:t>)</w:t>
      </w:r>
      <w:r w:rsidRPr="17172E87">
        <w:rPr>
          <w:rFonts w:eastAsia="Times New Roman"/>
          <w:noProof/>
        </w:rPr>
        <w:t xml:space="preserve"> system</w:t>
      </w:r>
      <w:r w:rsidR="002D2CBF">
        <w:rPr>
          <w:rFonts w:eastAsia="Times New Roman"/>
          <w:noProof/>
        </w:rPr>
        <w:t>,</w:t>
      </w:r>
      <w:r w:rsidRPr="17172E87">
        <w:rPr>
          <w:rFonts w:eastAsia="Times New Roman"/>
          <w:noProof/>
        </w:rPr>
        <w:t xml:space="preserve"> and </w:t>
      </w:r>
      <w:r w:rsidR="002D2CBF">
        <w:rPr>
          <w:rFonts w:eastAsia="Times New Roman"/>
          <w:noProof/>
        </w:rPr>
        <w:t>strengthening</w:t>
      </w:r>
      <w:r w:rsidR="002D2CBF" w:rsidRPr="17172E87">
        <w:rPr>
          <w:rFonts w:eastAsia="Times New Roman"/>
          <w:noProof/>
        </w:rPr>
        <w:t xml:space="preserve"> </w:t>
      </w:r>
      <w:r w:rsidRPr="17172E87">
        <w:rPr>
          <w:rFonts w:eastAsia="Times New Roman"/>
          <w:noProof/>
        </w:rPr>
        <w:t>the security measures for the Union Registry.</w:t>
      </w:r>
    </w:p>
    <w:p w14:paraId="5E41CEB4" w14:textId="77777777" w:rsidR="00BF07A9" w:rsidRDefault="00BF07A9" w:rsidP="00BF07A9">
      <w:pPr>
        <w:rPr>
          <w:rFonts w:eastAsia="Times New Roman"/>
          <w:noProof/>
        </w:rPr>
      </w:pPr>
      <w:r w:rsidRPr="17172E87">
        <w:rPr>
          <w:rFonts w:eastAsia="Times New Roman"/>
          <w:noProof/>
        </w:rPr>
        <w:t xml:space="preserve">The MSR was adopted in </w:t>
      </w:r>
      <w:r>
        <w:rPr>
          <w:rFonts w:eastAsia="Times New Roman"/>
          <w:noProof/>
        </w:rPr>
        <w:t xml:space="preserve">2015 </w:t>
      </w:r>
      <w:r w:rsidRPr="17172E87">
        <w:rPr>
          <w:rFonts w:eastAsia="Times New Roman"/>
          <w:noProof/>
        </w:rPr>
        <w:t xml:space="preserve">to reduce excess allowances in the EU ETS that built up over Phases II </w:t>
      </w:r>
      <w:r>
        <w:rPr>
          <w:rFonts w:eastAsia="Times New Roman"/>
          <w:noProof/>
        </w:rPr>
        <w:t xml:space="preserve">(2008-2012) </w:t>
      </w:r>
      <w:r w:rsidRPr="17172E87">
        <w:rPr>
          <w:rFonts w:eastAsia="Times New Roman"/>
          <w:noProof/>
        </w:rPr>
        <w:t xml:space="preserve">and III </w:t>
      </w:r>
      <w:r w:rsidR="0087612D">
        <w:rPr>
          <w:rFonts w:eastAsia="Times New Roman"/>
          <w:noProof/>
        </w:rPr>
        <w:t>(2013-2020)</w:t>
      </w:r>
      <w:r w:rsidRPr="17172E87">
        <w:rPr>
          <w:rFonts w:eastAsia="Times New Roman"/>
          <w:noProof/>
        </w:rPr>
        <w:t xml:space="preserve"> and to mitigate the build-up of new demand-supply imbalances in order to sustainably strengthen the resilience of the EU ETS. The evaluation showed</w:t>
      </w:r>
      <w:r w:rsidR="009561E3">
        <w:rPr>
          <w:rFonts w:eastAsia="Times New Roman"/>
          <w:noProof/>
        </w:rPr>
        <w:t xml:space="preserve"> that</w:t>
      </w:r>
      <w:r w:rsidRPr="17172E87">
        <w:rPr>
          <w:rFonts w:eastAsia="Times New Roman"/>
          <w:noProof/>
        </w:rPr>
        <w:t xml:space="preserve"> this instrument was effective in reducing the historical demand-supply imbalance in the allowance market. It was</w:t>
      </w:r>
      <w:r>
        <w:rPr>
          <w:rFonts w:eastAsia="Times New Roman"/>
          <w:noProof/>
        </w:rPr>
        <w:t xml:space="preserve"> also</w:t>
      </w:r>
      <w:r w:rsidRPr="17172E87">
        <w:rPr>
          <w:rFonts w:eastAsia="Times New Roman"/>
          <w:noProof/>
        </w:rPr>
        <w:t xml:space="preserve"> effective in mitigating price </w:t>
      </w:r>
      <w:r>
        <w:rPr>
          <w:rFonts w:eastAsia="Times New Roman"/>
          <w:noProof/>
        </w:rPr>
        <w:t>shocks</w:t>
      </w:r>
      <w:r w:rsidRPr="17172E87">
        <w:rPr>
          <w:rFonts w:eastAsia="Times New Roman"/>
          <w:noProof/>
        </w:rPr>
        <w:t xml:space="preserve"> resulting from the COVID-19 pandemic and the energy price crisis. Most notably, the MSR credibly signalled the commitment of the EU to the EU ETS, thereby boosting confidence in the market.</w:t>
      </w:r>
    </w:p>
    <w:p w14:paraId="1DA3B5E5" w14:textId="77777777" w:rsidR="006052EE" w:rsidRPr="00616539" w:rsidRDefault="006052EE" w:rsidP="00616539">
      <w:pPr>
        <w:pStyle w:val="Bullet0"/>
        <w:rPr>
          <w:b/>
          <w:bCs/>
          <w:noProof/>
        </w:rPr>
      </w:pPr>
      <w:r w:rsidRPr="00616539">
        <w:rPr>
          <w:b/>
          <w:bCs/>
          <w:noProof/>
        </w:rPr>
        <w:t>Stakeholder consultations</w:t>
      </w:r>
    </w:p>
    <w:p w14:paraId="2C85D840" w14:textId="77777777" w:rsidR="00BF07A9" w:rsidRPr="00B4321B" w:rsidRDefault="00BF07A9" w:rsidP="00BF07A9">
      <w:pPr>
        <w:rPr>
          <w:noProof/>
        </w:rPr>
      </w:pPr>
      <w:r w:rsidRPr="00B4321B">
        <w:rPr>
          <w:noProof/>
        </w:rPr>
        <w:t>The Commission consulted national, regional and local public authorities</w:t>
      </w:r>
      <w:r w:rsidR="00C6483D">
        <w:rPr>
          <w:noProof/>
        </w:rPr>
        <w:t>;</w:t>
      </w:r>
      <w:r w:rsidRPr="00B4321B">
        <w:rPr>
          <w:noProof/>
        </w:rPr>
        <w:t xml:space="preserve"> private</w:t>
      </w:r>
      <w:r w:rsidR="007872B3">
        <w:rPr>
          <w:noProof/>
        </w:rPr>
        <w:t>-</w:t>
      </w:r>
      <w:r w:rsidRPr="00B4321B">
        <w:rPr>
          <w:noProof/>
        </w:rPr>
        <w:t>sector stakeholders including individual companies and business associations</w:t>
      </w:r>
      <w:r w:rsidR="00A8503B">
        <w:rPr>
          <w:noProof/>
        </w:rPr>
        <w:t>;</w:t>
      </w:r>
      <w:r w:rsidRPr="00B4321B">
        <w:rPr>
          <w:noProof/>
        </w:rPr>
        <w:t xml:space="preserve"> non-governmental and environmental organisations</w:t>
      </w:r>
      <w:r w:rsidR="00A8503B">
        <w:rPr>
          <w:noProof/>
        </w:rPr>
        <w:t>;</w:t>
      </w:r>
      <w:r w:rsidRPr="00B4321B">
        <w:rPr>
          <w:noProof/>
        </w:rPr>
        <w:t xml:space="preserve"> academic and research institutions</w:t>
      </w:r>
      <w:r w:rsidR="00A8503B">
        <w:rPr>
          <w:noProof/>
        </w:rPr>
        <w:t>;</w:t>
      </w:r>
      <w:r w:rsidRPr="00B4321B">
        <w:rPr>
          <w:noProof/>
        </w:rPr>
        <w:t xml:space="preserve"> trade unions</w:t>
      </w:r>
      <w:r w:rsidR="00A8503B">
        <w:rPr>
          <w:noProof/>
        </w:rPr>
        <w:t>;</w:t>
      </w:r>
      <w:r w:rsidRPr="00B4321B">
        <w:rPr>
          <w:noProof/>
        </w:rPr>
        <w:t xml:space="preserve"> and </w:t>
      </w:r>
      <w:r w:rsidR="00A8503B">
        <w:rPr>
          <w:noProof/>
        </w:rPr>
        <w:t>individuals</w:t>
      </w:r>
      <w:r>
        <w:rPr>
          <w:noProof/>
        </w:rPr>
        <w:t>,</w:t>
      </w:r>
      <w:r w:rsidRPr="00B4321B">
        <w:rPr>
          <w:noProof/>
        </w:rPr>
        <w:t xml:space="preserve"> at various steps during the development of this proposal. </w:t>
      </w:r>
    </w:p>
    <w:p w14:paraId="25C5E2B9" w14:textId="77777777" w:rsidR="00BF07A9" w:rsidRPr="00B4321B" w:rsidRDefault="00BF07A9" w:rsidP="00BF07A9">
      <w:pPr>
        <w:rPr>
          <w:noProof/>
        </w:rPr>
      </w:pPr>
      <w:r w:rsidRPr="00B4321B">
        <w:rPr>
          <w:noProof/>
        </w:rPr>
        <w:t xml:space="preserve">The revision of the ETS Directive and the MSR Decision builds upon the feedback gathered as part of a back-to-back evaluation of the current framework and an impact assessment for the review. The main objective of the consultation was to gather stakeholder views on options for provisions on carbon leakage, carbon removals, the aviation and maritime sectors, waste management processes, non-permanent </w:t>
      </w:r>
      <w:r w:rsidR="009425F0">
        <w:rPr>
          <w:noProof/>
        </w:rPr>
        <w:t>CCU</w:t>
      </w:r>
      <w:r w:rsidRPr="00B4321B">
        <w:rPr>
          <w:noProof/>
        </w:rPr>
        <w:t xml:space="preserve">, thermal input thresholds, linking with other carbon markets, and the </w:t>
      </w:r>
      <w:r>
        <w:rPr>
          <w:noProof/>
        </w:rPr>
        <w:t>MSR</w:t>
      </w:r>
      <w:r w:rsidRPr="00B4321B">
        <w:rPr>
          <w:noProof/>
        </w:rPr>
        <w:t>. The consultation further assessed the use of revenues and low-carbon support mechanisms. The Commission also gathered inputs on possible simplification measures.</w:t>
      </w:r>
    </w:p>
    <w:p w14:paraId="33979405" w14:textId="77777777" w:rsidR="00BF07A9" w:rsidRPr="00B4321B" w:rsidRDefault="00BF07A9" w:rsidP="00BF07A9">
      <w:pPr>
        <w:rPr>
          <w:noProof/>
        </w:rPr>
      </w:pPr>
      <w:r w:rsidRPr="00B4321B">
        <w:rPr>
          <w:noProof/>
        </w:rPr>
        <w:t>The Commission organised an online public consultation with a questionnaire on each of the areas under evaluation and review, receiving a total of 540 responses</w:t>
      </w:r>
      <w:r w:rsidRPr="00B4321B">
        <w:rPr>
          <w:rStyle w:val="FootnoteReference"/>
          <w:noProof/>
        </w:rPr>
        <w:footnoteReference w:id="29"/>
      </w:r>
      <w:r w:rsidRPr="00B4321B">
        <w:rPr>
          <w:noProof/>
        </w:rPr>
        <w:t xml:space="preserve"> while collecting more than 400 position papers and feedback inputs to the call for evidence from across different stakeholder groups. In addition, targeted interviews were conducted and the Commission participated in multiple (virtual) bilateral and multilateral stakeholder meetings and conferences to discuss the revision of the EU ETS, including with companies and business associations across different sectors, trade unions, non-governmental organisations and public authorities of Member States. To support the revision </w:t>
      </w:r>
      <w:r w:rsidR="009425F0">
        <w:rPr>
          <w:noProof/>
        </w:rPr>
        <w:t>in relation to</w:t>
      </w:r>
      <w:r w:rsidRPr="00B4321B">
        <w:rPr>
          <w:noProof/>
        </w:rPr>
        <w:t xml:space="preserve"> maritime-related topics, a joint meeting of the European Sustainable Shipping Forum sub-group on the implementation of MRV and ETS </w:t>
      </w:r>
      <w:r w:rsidR="009425F0">
        <w:rPr>
          <w:noProof/>
        </w:rPr>
        <w:t>M</w:t>
      </w:r>
      <w:r w:rsidRPr="00B4321B">
        <w:rPr>
          <w:noProof/>
        </w:rPr>
        <w:t xml:space="preserve">aritime (ESSF) and </w:t>
      </w:r>
      <w:r w:rsidR="009425F0">
        <w:rPr>
          <w:noProof/>
        </w:rPr>
        <w:t xml:space="preserve">the </w:t>
      </w:r>
      <w:r w:rsidRPr="00B4321B">
        <w:rPr>
          <w:noProof/>
        </w:rPr>
        <w:t>Climate Change Expert Group (CCEG Maritime) was held. Finally, the Commission also instructed contractors</w:t>
      </w:r>
      <w:r>
        <w:rPr>
          <w:rStyle w:val="FootnoteReference"/>
          <w:noProof/>
        </w:rPr>
        <w:footnoteReference w:id="30"/>
      </w:r>
      <w:r w:rsidRPr="00B4321B">
        <w:rPr>
          <w:rFonts w:eastAsia="Times New Roman"/>
          <w:noProof/>
          <w:color w:val="242828"/>
        </w:rPr>
        <w:t xml:space="preserve"> </w:t>
      </w:r>
      <w:r w:rsidRPr="00B4321B">
        <w:rPr>
          <w:noProof/>
        </w:rPr>
        <w:t>to collect views and inputs on the implementation of MRVA rules for stationary installations and maritime operators through detailed questionnaires.</w:t>
      </w:r>
    </w:p>
    <w:p w14:paraId="5916623A" w14:textId="77777777" w:rsidR="00BF07A9" w:rsidRPr="00B4321B" w:rsidRDefault="00BF07A9" w:rsidP="00BF07A9">
      <w:pPr>
        <w:rPr>
          <w:noProof/>
        </w:rPr>
      </w:pPr>
      <w:r w:rsidRPr="00B4321B">
        <w:rPr>
          <w:noProof/>
        </w:rPr>
        <w:t>In parallel, the Commission also organised a targeted workshop on the EU ETS with over 50 representatives from stationary installations across the EU on 29 January 2026</w:t>
      </w:r>
      <w:r w:rsidR="009425F0">
        <w:rPr>
          <w:noProof/>
        </w:rPr>
        <w:t>. It</w:t>
      </w:r>
      <w:r w:rsidRPr="00B4321B">
        <w:rPr>
          <w:noProof/>
        </w:rPr>
        <w:t xml:space="preserve"> focused on experiences with practical implementation and identification of areas for simplification and streamlining of compliance processes and requirements</w:t>
      </w:r>
      <w:r w:rsidRPr="00B4321B">
        <w:rPr>
          <w:rStyle w:val="FootnoteReference"/>
          <w:noProof/>
        </w:rPr>
        <w:footnoteReference w:id="31"/>
      </w:r>
      <w:r w:rsidRPr="00B4321B">
        <w:rPr>
          <w:noProof/>
        </w:rPr>
        <w:t>. Finally, t</w:t>
      </w:r>
      <w:r w:rsidRPr="683CD35B">
        <w:rPr>
          <w:noProof/>
        </w:rPr>
        <w:t>he</w:t>
      </w:r>
      <w:r w:rsidRPr="66B6DF8A">
        <w:rPr>
          <w:noProof/>
        </w:rPr>
        <w:t xml:space="preserve"> Commission also organised a high-level stakeholder roundtable on the review of the EU ETS on 12 May 2026. The </w:t>
      </w:r>
      <w:r w:rsidR="006A6928">
        <w:rPr>
          <w:noProof/>
        </w:rPr>
        <w:t>r</w:t>
      </w:r>
      <w:r w:rsidRPr="66B6DF8A">
        <w:rPr>
          <w:noProof/>
        </w:rPr>
        <w:t>ound</w:t>
      </w:r>
      <w:r w:rsidR="006A6928">
        <w:rPr>
          <w:noProof/>
        </w:rPr>
        <w:t xml:space="preserve"> </w:t>
      </w:r>
      <w:r w:rsidRPr="66B6DF8A">
        <w:rPr>
          <w:noProof/>
        </w:rPr>
        <w:t xml:space="preserve">table complemented the public consultation and gathered additional input on the policy priorities to guide the upcoming review of the EU ETS and the </w:t>
      </w:r>
      <w:r>
        <w:rPr>
          <w:noProof/>
        </w:rPr>
        <w:t>MSR</w:t>
      </w:r>
      <w:r w:rsidRPr="66B6DF8A">
        <w:rPr>
          <w:noProof/>
        </w:rPr>
        <w:t xml:space="preserve"> for the 2031-2040 period and the complementary instruments needed to make decarbonisation a driver of EU competitiveness and resilience.</w:t>
      </w:r>
    </w:p>
    <w:p w14:paraId="4AC31FD0" w14:textId="77777777" w:rsidR="00BF07A9" w:rsidRDefault="00BF07A9" w:rsidP="00BF07A9">
      <w:pPr>
        <w:rPr>
          <w:noProof/>
        </w:rPr>
      </w:pPr>
      <w:r w:rsidRPr="00B4321B">
        <w:rPr>
          <w:noProof/>
        </w:rPr>
        <w:t xml:space="preserve">The results of the consultation activities are reported in the impact assessment and evaluation report accompanying this proposal and have been taken into account for the current proposal to the extent possible. </w:t>
      </w:r>
    </w:p>
    <w:p w14:paraId="3AA8591C" w14:textId="77777777" w:rsidR="00BF07A9" w:rsidRDefault="00BF07A9" w:rsidP="00BF07A9">
      <w:pPr>
        <w:rPr>
          <w:noProof/>
        </w:rPr>
      </w:pPr>
      <w:r w:rsidRPr="00B4321B">
        <w:rPr>
          <w:noProof/>
        </w:rPr>
        <w:t>In general, the public consultations showed broad support for the EU ETS as a policy instrument.</w:t>
      </w:r>
      <w:r>
        <w:rPr>
          <w:noProof/>
        </w:rPr>
        <w:t xml:space="preserve"> </w:t>
      </w:r>
      <w:r w:rsidRPr="00182B4E">
        <w:rPr>
          <w:noProof/>
        </w:rPr>
        <w:t xml:space="preserve">Stakeholders generally support ensuring consistency between the EU ETS and the 2040 climate target set in the European Climate Law, in order to continue to contribute </w:t>
      </w:r>
      <w:r w:rsidR="007612CC">
        <w:rPr>
          <w:noProof/>
        </w:rPr>
        <w:t>to</w:t>
      </w:r>
      <w:r w:rsidRPr="00182B4E">
        <w:rPr>
          <w:noProof/>
        </w:rPr>
        <w:t xml:space="preserve"> emission reductions </w:t>
      </w:r>
      <w:r w:rsidR="007612CC">
        <w:rPr>
          <w:noProof/>
        </w:rPr>
        <w:t xml:space="preserve">in the most cost-effective and economically efficient manner </w:t>
      </w:r>
      <w:r w:rsidRPr="00182B4E">
        <w:rPr>
          <w:noProof/>
        </w:rPr>
        <w:t xml:space="preserve">while preserving competitiveness. To achieve consistency with the 2040 target, many stakeholders consider the downward adjustment of the </w:t>
      </w:r>
      <w:r w:rsidR="00D40A5B">
        <w:rPr>
          <w:noProof/>
        </w:rPr>
        <w:t>linear reduction factor</w:t>
      </w:r>
      <w:r w:rsidR="00D40A5B" w:rsidRPr="00182B4E">
        <w:rPr>
          <w:noProof/>
        </w:rPr>
        <w:t xml:space="preserve"> </w:t>
      </w:r>
      <w:r w:rsidRPr="00182B4E">
        <w:rPr>
          <w:noProof/>
        </w:rPr>
        <w:t xml:space="preserve">important to </w:t>
      </w:r>
      <w:r w:rsidR="00220BCA">
        <w:rPr>
          <w:noProof/>
        </w:rPr>
        <w:t>contain</w:t>
      </w:r>
      <w:r w:rsidRPr="00182B4E">
        <w:rPr>
          <w:noProof/>
        </w:rPr>
        <w:t xml:space="preserve"> carbon prices and improve market predictability</w:t>
      </w:r>
      <w:r w:rsidR="00220BCA">
        <w:rPr>
          <w:noProof/>
        </w:rPr>
        <w:t xml:space="preserve">. </w:t>
      </w:r>
      <w:r w:rsidR="00220BCA" w:rsidRPr="00220BCA">
        <w:rPr>
          <w:noProof/>
        </w:rPr>
        <w:t>At the same time, many also consider a robust price signal important for investment certainty. Both objectives</w:t>
      </w:r>
      <w:r w:rsidR="00220BCA">
        <w:rPr>
          <w:noProof/>
        </w:rPr>
        <w:t xml:space="preserve"> are</w:t>
      </w:r>
      <w:r w:rsidRPr="00182B4E">
        <w:rPr>
          <w:noProof/>
        </w:rPr>
        <w:t xml:space="preserve"> reflected in this proposal.</w:t>
      </w:r>
    </w:p>
    <w:p w14:paraId="676F6C40" w14:textId="18E46737" w:rsidR="00BF07A9" w:rsidRDefault="00BF07A9" w:rsidP="00BF07A9">
      <w:pPr>
        <w:rPr>
          <w:noProof/>
        </w:rPr>
      </w:pPr>
      <w:r>
        <w:rPr>
          <w:noProof/>
        </w:rPr>
        <w:t>To address the risk of carbon leakage</w:t>
      </w:r>
      <w:r w:rsidRPr="00512CC4">
        <w:rPr>
          <w:noProof/>
        </w:rPr>
        <w:t xml:space="preserve"> </w:t>
      </w:r>
      <w:r w:rsidRPr="003E2C05">
        <w:rPr>
          <w:noProof/>
        </w:rPr>
        <w:t>for sectors not covered by CBAM</w:t>
      </w:r>
      <w:r>
        <w:rPr>
          <w:noProof/>
        </w:rPr>
        <w:t>, t</w:t>
      </w:r>
      <w:r w:rsidRPr="003E2C05">
        <w:rPr>
          <w:noProof/>
        </w:rPr>
        <w:t xml:space="preserve">here </w:t>
      </w:r>
      <w:r>
        <w:rPr>
          <w:noProof/>
        </w:rPr>
        <w:t>is</w:t>
      </w:r>
      <w:r w:rsidRPr="003E2C05">
        <w:rPr>
          <w:noProof/>
        </w:rPr>
        <w:t xml:space="preserve"> overall broad support for continuing free allocation, in particular </w:t>
      </w:r>
      <w:r w:rsidR="00D40A5B">
        <w:rPr>
          <w:noProof/>
        </w:rPr>
        <w:t>among</w:t>
      </w:r>
      <w:r w:rsidR="00D40A5B" w:rsidRPr="003E2C05">
        <w:rPr>
          <w:noProof/>
        </w:rPr>
        <w:t xml:space="preserve"> </w:t>
      </w:r>
      <w:r w:rsidRPr="003E2C05">
        <w:rPr>
          <w:noProof/>
        </w:rPr>
        <w:t xml:space="preserve">industry stakeholders. Making continued free allocation conditional on decarbonisation investments </w:t>
      </w:r>
      <w:r w:rsidR="00D40A5B">
        <w:rPr>
          <w:noProof/>
        </w:rPr>
        <w:t>is</w:t>
      </w:r>
      <w:r w:rsidRPr="003E2C05">
        <w:rPr>
          <w:noProof/>
        </w:rPr>
        <w:t xml:space="preserve"> mainly support</w:t>
      </w:r>
      <w:r w:rsidR="00D40A5B">
        <w:rPr>
          <w:noProof/>
        </w:rPr>
        <w:t>ed by</w:t>
      </w:r>
      <w:r w:rsidRPr="003E2C05">
        <w:rPr>
          <w:noProof/>
        </w:rPr>
        <w:t xml:space="preserve"> the energy sector and civil society. </w:t>
      </w:r>
      <w:r>
        <w:rPr>
          <w:noProof/>
        </w:rPr>
        <w:t>The proposal combines</w:t>
      </w:r>
      <w:r w:rsidRPr="003E2C05">
        <w:rPr>
          <w:noProof/>
        </w:rPr>
        <w:t xml:space="preserve"> the continuation of free allocation with making </w:t>
      </w:r>
      <w:r>
        <w:rPr>
          <w:noProof/>
        </w:rPr>
        <w:t xml:space="preserve">a </w:t>
      </w:r>
      <w:r w:rsidRPr="003E2C05">
        <w:rPr>
          <w:noProof/>
        </w:rPr>
        <w:t>part conditional on decarbonisation investments</w:t>
      </w:r>
      <w:r>
        <w:rPr>
          <w:noProof/>
        </w:rPr>
        <w:t xml:space="preserve"> to strike </w:t>
      </w:r>
      <w:r w:rsidRPr="003E2C05">
        <w:rPr>
          <w:noProof/>
        </w:rPr>
        <w:t xml:space="preserve">a balance between </w:t>
      </w:r>
      <w:r w:rsidR="00FC1262">
        <w:rPr>
          <w:noProof/>
        </w:rPr>
        <w:t>preventing</w:t>
      </w:r>
      <w:r w:rsidR="00FC1262" w:rsidRPr="003E2C05">
        <w:rPr>
          <w:noProof/>
        </w:rPr>
        <w:t xml:space="preserve"> </w:t>
      </w:r>
      <w:r w:rsidRPr="003E2C05">
        <w:rPr>
          <w:noProof/>
        </w:rPr>
        <w:t xml:space="preserve">carbon leakage and </w:t>
      </w:r>
      <w:r w:rsidR="00FC1262">
        <w:rPr>
          <w:noProof/>
        </w:rPr>
        <w:t>strengthening</w:t>
      </w:r>
      <w:r w:rsidR="00FC1262" w:rsidRPr="003E2C05">
        <w:rPr>
          <w:noProof/>
        </w:rPr>
        <w:t xml:space="preserve"> </w:t>
      </w:r>
      <w:r w:rsidRPr="003E2C05">
        <w:rPr>
          <w:noProof/>
        </w:rPr>
        <w:t xml:space="preserve">incentives to invest in decarbonisation measures. </w:t>
      </w:r>
      <w:r>
        <w:rPr>
          <w:noProof/>
        </w:rPr>
        <w:t>In addition, a</w:t>
      </w:r>
      <w:r w:rsidRPr="003E2C05">
        <w:rPr>
          <w:noProof/>
        </w:rPr>
        <w:t xml:space="preserve"> large majority of stakeholders support the proposed continuation of indirect cost compensation beyond 2030 to address the risk of carbon leakage from carbon costs passed on in electricity prices. Only some respondents from civil society </w:t>
      </w:r>
      <w:r>
        <w:rPr>
          <w:noProof/>
        </w:rPr>
        <w:t>opposed continuing</w:t>
      </w:r>
      <w:r w:rsidRPr="003E2C05">
        <w:rPr>
          <w:noProof/>
        </w:rPr>
        <w:t xml:space="preserve"> indirect cost compensation.</w:t>
      </w:r>
    </w:p>
    <w:p w14:paraId="3898AE5D" w14:textId="77777777" w:rsidR="00BF07A9" w:rsidRDefault="00BF07A9" w:rsidP="00BF07A9">
      <w:pPr>
        <w:rPr>
          <w:noProof/>
        </w:rPr>
      </w:pPr>
      <w:r w:rsidRPr="003E2C05">
        <w:rPr>
          <w:noProof/>
        </w:rPr>
        <w:t xml:space="preserve">On industrial decarbonisation support, a large majority of stakeholders across all stakeholder groups support the </w:t>
      </w:r>
      <w:r w:rsidR="00FC1262">
        <w:rPr>
          <w:noProof/>
        </w:rPr>
        <w:t>creation</w:t>
      </w:r>
      <w:r w:rsidR="00FC1262" w:rsidRPr="003E2C05">
        <w:rPr>
          <w:noProof/>
        </w:rPr>
        <w:t xml:space="preserve"> </w:t>
      </w:r>
      <w:r w:rsidRPr="003E2C05">
        <w:rPr>
          <w:noProof/>
        </w:rPr>
        <w:t xml:space="preserve">of an </w:t>
      </w:r>
      <w:r>
        <w:rPr>
          <w:noProof/>
        </w:rPr>
        <w:t>IDB</w:t>
      </w:r>
      <w:r w:rsidRPr="003E2C05">
        <w:rPr>
          <w:noProof/>
        </w:rPr>
        <w:t xml:space="preserve"> to </w:t>
      </w:r>
      <w:r w:rsidR="005649B8">
        <w:rPr>
          <w:noProof/>
        </w:rPr>
        <w:t>support</w:t>
      </w:r>
      <w:r w:rsidR="005649B8" w:rsidRPr="003E2C05">
        <w:rPr>
          <w:noProof/>
        </w:rPr>
        <w:t xml:space="preserve"> </w:t>
      </w:r>
      <w:r w:rsidRPr="003E2C05">
        <w:rPr>
          <w:noProof/>
        </w:rPr>
        <w:t>industrial decarbonisation efforts</w:t>
      </w:r>
      <w:r>
        <w:rPr>
          <w:noProof/>
        </w:rPr>
        <w:t>,</w:t>
      </w:r>
      <w:r w:rsidRPr="003E2C05">
        <w:rPr>
          <w:noProof/>
        </w:rPr>
        <w:t xml:space="preserve"> with a toolbox of funding instruments to tailor support to </w:t>
      </w:r>
      <w:r w:rsidR="005649B8">
        <w:rPr>
          <w:noProof/>
        </w:rPr>
        <w:t>changing</w:t>
      </w:r>
      <w:r w:rsidR="005649B8" w:rsidRPr="003E2C05">
        <w:rPr>
          <w:noProof/>
        </w:rPr>
        <w:t xml:space="preserve"> </w:t>
      </w:r>
      <w:r w:rsidRPr="003E2C05">
        <w:rPr>
          <w:noProof/>
        </w:rPr>
        <w:t xml:space="preserve">priorities and needs. This is duly reflected in the proposal. The continuation of the Innovation Fund and Modernisation Fund is also generally welcomed by stakeholders. This is reflected in the proposal by continuing support for investments in modernising energy systems and energy efficiency under the Modernisation Fund, while </w:t>
      </w:r>
      <w:r w:rsidR="005649B8">
        <w:rPr>
          <w:noProof/>
        </w:rPr>
        <w:t>improving</w:t>
      </w:r>
      <w:r w:rsidR="00205B33">
        <w:rPr>
          <w:noProof/>
        </w:rPr>
        <w:t xml:space="preserve"> and simplifying</w:t>
      </w:r>
      <w:r w:rsidR="005649B8" w:rsidRPr="003E2C05">
        <w:rPr>
          <w:noProof/>
        </w:rPr>
        <w:t xml:space="preserve"> </w:t>
      </w:r>
      <w:r w:rsidR="00AE70AE">
        <w:rPr>
          <w:noProof/>
        </w:rPr>
        <w:t>some aspects of the Innovation Fund</w:t>
      </w:r>
      <w:r w:rsidRPr="003E2C05">
        <w:rPr>
          <w:noProof/>
        </w:rPr>
        <w:t xml:space="preserve"> without </w:t>
      </w:r>
      <w:r w:rsidR="00AE70AE">
        <w:rPr>
          <w:noProof/>
        </w:rPr>
        <w:t>making</w:t>
      </w:r>
      <w:r w:rsidRPr="003E2C05">
        <w:rPr>
          <w:noProof/>
        </w:rPr>
        <w:t xml:space="preserve"> fundamental changes to </w:t>
      </w:r>
      <w:r w:rsidR="00AE70AE">
        <w:rPr>
          <w:noProof/>
        </w:rPr>
        <w:t>its</w:t>
      </w:r>
      <w:r w:rsidR="00AE70AE" w:rsidRPr="003E2C05">
        <w:rPr>
          <w:noProof/>
        </w:rPr>
        <w:t xml:space="preserve"> </w:t>
      </w:r>
      <w:r w:rsidRPr="003E2C05">
        <w:rPr>
          <w:noProof/>
        </w:rPr>
        <w:t xml:space="preserve">operation and objectives. </w:t>
      </w:r>
    </w:p>
    <w:p w14:paraId="5465FAD4" w14:textId="77777777" w:rsidR="00BF07A9" w:rsidRDefault="00BF07A9" w:rsidP="00BF07A9">
      <w:pPr>
        <w:rPr>
          <w:noProof/>
        </w:rPr>
      </w:pPr>
      <w:r w:rsidRPr="003E2C05">
        <w:rPr>
          <w:noProof/>
        </w:rPr>
        <w:t xml:space="preserve">As regards carbon removals, the proposal reflects the view expressed by a large majority of stakeholders that domestic permanent carbon removals should be included in the </w:t>
      </w:r>
      <w:r>
        <w:rPr>
          <w:noProof/>
        </w:rPr>
        <w:t xml:space="preserve">EU </w:t>
      </w:r>
      <w:r w:rsidRPr="003E2C05">
        <w:rPr>
          <w:noProof/>
        </w:rPr>
        <w:t xml:space="preserve">ETS, with safeguards to ensure </w:t>
      </w:r>
      <w:r w:rsidR="0076750D">
        <w:rPr>
          <w:noProof/>
        </w:rPr>
        <w:t xml:space="preserve">that </w:t>
      </w:r>
      <w:r w:rsidRPr="003E2C05">
        <w:rPr>
          <w:noProof/>
        </w:rPr>
        <w:t xml:space="preserve">these do not deter necessary emission reduction. Only some respondents from the private sector and from civil society argued for, respectively, also including temporary carbon removals or not including any carbon removals. Opinions on the specific </w:t>
      </w:r>
      <w:r w:rsidR="000E3A39">
        <w:rPr>
          <w:noProof/>
        </w:rPr>
        <w:t>arrangements fo</w:t>
      </w:r>
      <w:r w:rsidR="00573DD4">
        <w:rPr>
          <w:noProof/>
        </w:rPr>
        <w:t>r</w:t>
      </w:r>
      <w:r w:rsidR="000E3A39" w:rsidRPr="003E2C05">
        <w:rPr>
          <w:noProof/>
        </w:rPr>
        <w:t xml:space="preserve"> </w:t>
      </w:r>
      <w:r w:rsidRPr="003E2C05">
        <w:rPr>
          <w:noProof/>
        </w:rPr>
        <w:t xml:space="preserve">integration through a </w:t>
      </w:r>
      <w:r>
        <w:rPr>
          <w:noProof/>
        </w:rPr>
        <w:t xml:space="preserve">central EU </w:t>
      </w:r>
      <w:r w:rsidRPr="003E2C05">
        <w:rPr>
          <w:noProof/>
        </w:rPr>
        <w:t xml:space="preserve">public authority were mixed. The proposal includes this approach to </w:t>
      </w:r>
      <w:r>
        <w:rPr>
          <w:noProof/>
        </w:rPr>
        <w:t>provide</w:t>
      </w:r>
      <w:r w:rsidRPr="003E2C05">
        <w:rPr>
          <w:noProof/>
        </w:rPr>
        <w:t xml:space="preserve"> both certainty for ETS sectors on the gross emission space available and predictability o</w:t>
      </w:r>
      <w:r w:rsidR="00573DD4">
        <w:rPr>
          <w:noProof/>
        </w:rPr>
        <w:t>f</w:t>
      </w:r>
      <w:r w:rsidRPr="003E2C05">
        <w:rPr>
          <w:noProof/>
        </w:rPr>
        <w:t xml:space="preserve"> demand for carbon removals, </w:t>
      </w:r>
      <w:r w:rsidR="003A01D9">
        <w:rPr>
          <w:noProof/>
        </w:rPr>
        <w:t>benefiting the carbon removal industry</w:t>
      </w:r>
      <w:r w:rsidR="00571414">
        <w:rPr>
          <w:noProof/>
        </w:rPr>
        <w:t xml:space="preserve">. This would </w:t>
      </w:r>
      <w:r w:rsidRPr="008A5703">
        <w:rPr>
          <w:noProof/>
        </w:rPr>
        <w:t>support enhanced liquidity in the market and the uptake of such technologies</w:t>
      </w:r>
      <w:r>
        <w:rPr>
          <w:noProof/>
        </w:rPr>
        <w:t xml:space="preserve">, while ensuring environmental integrity and reducing mitigation deterrence with a limited integration of CCS-based domestic permanent </w:t>
      </w:r>
      <w:r w:rsidR="00A32AE6">
        <w:rPr>
          <w:noProof/>
        </w:rPr>
        <w:t xml:space="preserve">Carbon </w:t>
      </w:r>
      <w:r w:rsidR="008E1A00">
        <w:rPr>
          <w:noProof/>
        </w:rPr>
        <w:t>Removals and Carbon Farming (</w:t>
      </w:r>
      <w:r w:rsidR="005A28C7">
        <w:rPr>
          <w:noProof/>
        </w:rPr>
        <w:t>CRCF</w:t>
      </w:r>
      <w:r w:rsidR="008E1A00">
        <w:rPr>
          <w:noProof/>
        </w:rPr>
        <w:t>)</w:t>
      </w:r>
      <w:r>
        <w:rPr>
          <w:noProof/>
        </w:rPr>
        <w:t xml:space="preserve">-certified removals, and with low administrative cost for ETS sectors that keep trading only </w:t>
      </w:r>
      <w:r w:rsidR="00047082">
        <w:rPr>
          <w:noProof/>
        </w:rPr>
        <w:t>EU allowances</w:t>
      </w:r>
      <w:r>
        <w:rPr>
          <w:noProof/>
        </w:rPr>
        <w:t xml:space="preserve"> </w:t>
      </w:r>
      <w:r w:rsidR="00047082">
        <w:rPr>
          <w:noProof/>
        </w:rPr>
        <w:t>(</w:t>
      </w:r>
      <w:r w:rsidR="00D61B6B">
        <w:rPr>
          <w:noProof/>
        </w:rPr>
        <w:t>EUAs</w:t>
      </w:r>
      <w:r w:rsidR="00047082">
        <w:rPr>
          <w:noProof/>
        </w:rPr>
        <w:t>)</w:t>
      </w:r>
      <w:r w:rsidRPr="008A5703">
        <w:rPr>
          <w:noProof/>
        </w:rPr>
        <w:t>.</w:t>
      </w:r>
    </w:p>
    <w:p w14:paraId="67547712" w14:textId="77777777" w:rsidR="00BF07A9" w:rsidRPr="004D4353" w:rsidRDefault="00D61B6B" w:rsidP="00BF07A9">
      <w:pPr>
        <w:rPr>
          <w:noProof/>
          <w:highlight w:val="yellow"/>
        </w:rPr>
      </w:pPr>
      <w:r>
        <w:rPr>
          <w:noProof/>
        </w:rPr>
        <w:t>Across stakeholder g</w:t>
      </w:r>
      <w:r w:rsidR="00071D21">
        <w:rPr>
          <w:noProof/>
        </w:rPr>
        <w:t>r</w:t>
      </w:r>
      <w:r>
        <w:rPr>
          <w:noProof/>
        </w:rPr>
        <w:t>oups, t</w:t>
      </w:r>
      <w:r w:rsidR="00BF07A9" w:rsidRPr="000C20DC">
        <w:rPr>
          <w:noProof/>
        </w:rPr>
        <w:t xml:space="preserve">he MSR is widely considered as having been effective in addressing the surplus on the market. However, a majority of stakeholders, mainly from industry and energy sectors, support changes to its parameters to strengthen price predictability and increase liquidity in view of </w:t>
      </w:r>
      <w:r w:rsidR="001D0A2C">
        <w:rPr>
          <w:noProof/>
        </w:rPr>
        <w:t>the</w:t>
      </w:r>
      <w:r w:rsidR="00BF07A9" w:rsidRPr="000C20DC">
        <w:rPr>
          <w:noProof/>
        </w:rPr>
        <w:t xml:space="preserve"> expected future tightening of the market, while some stakeholders from civil society generally prefer maintaining the current approach. The changes most frequently </w:t>
      </w:r>
      <w:r w:rsidR="001D0A2C">
        <w:rPr>
          <w:noProof/>
        </w:rPr>
        <w:t>proposed</w:t>
      </w:r>
      <w:r w:rsidR="001D0A2C" w:rsidRPr="000C20DC">
        <w:rPr>
          <w:noProof/>
        </w:rPr>
        <w:t xml:space="preserve"> </w:t>
      </w:r>
      <w:r w:rsidR="00BF07A9" w:rsidRPr="000C20DC">
        <w:rPr>
          <w:noProof/>
        </w:rPr>
        <w:t xml:space="preserve">were ending the invalidation rule and dynamically adjusting the parameters to reflect the market. These changes are duly reflected in this proposal and the </w:t>
      </w:r>
      <w:r w:rsidR="00BF07A9">
        <w:rPr>
          <w:noProof/>
        </w:rPr>
        <w:t xml:space="preserve">targeted </w:t>
      </w:r>
      <w:r w:rsidR="00BF07A9" w:rsidRPr="000C20DC">
        <w:rPr>
          <w:noProof/>
        </w:rPr>
        <w:t>proposal</w:t>
      </w:r>
      <w:r w:rsidR="00BF07A9">
        <w:rPr>
          <w:noProof/>
        </w:rPr>
        <w:t xml:space="preserve"> to</w:t>
      </w:r>
      <w:r w:rsidR="00BF07A9" w:rsidRPr="000C20DC">
        <w:rPr>
          <w:noProof/>
        </w:rPr>
        <w:t xml:space="preserve"> </w:t>
      </w:r>
      <w:r w:rsidR="00BF07A9">
        <w:rPr>
          <w:noProof/>
        </w:rPr>
        <w:t xml:space="preserve">amend the MSR of April 2026, which </w:t>
      </w:r>
      <w:r w:rsidR="00BF07A9" w:rsidRPr="00DD66F6">
        <w:rPr>
          <w:noProof/>
        </w:rPr>
        <w:t>stop</w:t>
      </w:r>
      <w:r w:rsidR="00BF07A9">
        <w:rPr>
          <w:noProof/>
        </w:rPr>
        <w:t>s</w:t>
      </w:r>
      <w:r w:rsidR="00BF07A9" w:rsidRPr="00DD66F6">
        <w:rPr>
          <w:noProof/>
        </w:rPr>
        <w:t xml:space="preserve"> the invalidation mechanism, allowing </w:t>
      </w:r>
      <w:r w:rsidR="00BF07A9" w:rsidRPr="001652EE">
        <w:rPr>
          <w:noProof/>
        </w:rPr>
        <w:t xml:space="preserve">allowances in the reserve above 400 million </w:t>
      </w:r>
      <w:r w:rsidR="00BF07A9" w:rsidRPr="00DD66F6">
        <w:rPr>
          <w:noProof/>
        </w:rPr>
        <w:t>to be kept as a buffer that can support market stability.</w:t>
      </w:r>
    </w:p>
    <w:p w14:paraId="2E68E87F" w14:textId="47DE9A6B" w:rsidR="00BF07A9" w:rsidRPr="008A5703" w:rsidRDefault="00BF07A9" w:rsidP="00BF07A9">
      <w:pPr>
        <w:rPr>
          <w:noProof/>
        </w:rPr>
      </w:pPr>
      <w:r w:rsidRPr="49BAFF75">
        <w:rPr>
          <w:noProof/>
        </w:rPr>
        <w:t xml:space="preserve">With regard to aviation, there is broad support for strengthening </w:t>
      </w:r>
      <w:r w:rsidR="001D0A2C">
        <w:rPr>
          <w:noProof/>
        </w:rPr>
        <w:t>its</w:t>
      </w:r>
      <w:r w:rsidR="001D0A2C" w:rsidRPr="49BAFF75">
        <w:rPr>
          <w:noProof/>
        </w:rPr>
        <w:t xml:space="preserve"> </w:t>
      </w:r>
      <w:r w:rsidRPr="49BAFF75">
        <w:rPr>
          <w:noProof/>
        </w:rPr>
        <w:t>contribution to decarbonisation, and a majority of stakeholders from both business sectors and civil society consider that the current approach to international flights outside Europe does not adequately address emissions from th</w:t>
      </w:r>
      <w:r w:rsidR="001D0A2C">
        <w:rPr>
          <w:noProof/>
        </w:rPr>
        <w:t>o</w:t>
      </w:r>
      <w:r w:rsidRPr="49BAFF75">
        <w:rPr>
          <w:noProof/>
        </w:rPr>
        <w:t xml:space="preserve">se flights. The proposal contributes to addressing this by applying an effective carbon price also to </w:t>
      </w:r>
      <w:r w:rsidR="00BD66F1">
        <w:rPr>
          <w:noProof/>
        </w:rPr>
        <w:t xml:space="preserve">a part of </w:t>
      </w:r>
      <w:r w:rsidRPr="49BAFF75">
        <w:rPr>
          <w:noProof/>
        </w:rPr>
        <w:t xml:space="preserve">the EU’s fair share of international aviation emissions, </w:t>
      </w:r>
      <w:r w:rsidR="007E40C5">
        <w:rPr>
          <w:noProof/>
        </w:rPr>
        <w:t>in a way that is consistent</w:t>
      </w:r>
      <w:r w:rsidRPr="49BAFF75">
        <w:rPr>
          <w:noProof/>
        </w:rPr>
        <w:t xml:space="preserve"> with the </w:t>
      </w:r>
      <w:r w:rsidR="007E40C5">
        <w:rPr>
          <w:noProof/>
        </w:rPr>
        <w:t xml:space="preserve">scope of application of </w:t>
      </w:r>
      <w:r w:rsidRPr="49BAFF75">
        <w:rPr>
          <w:noProof/>
        </w:rPr>
        <w:t xml:space="preserve">ReFuelEU Aviation. Stakeholders from the business and public sectors also identified increased support for </w:t>
      </w:r>
      <w:r w:rsidR="007E40C5">
        <w:rPr>
          <w:noProof/>
        </w:rPr>
        <w:t>sustainable aviation fuel (</w:t>
      </w:r>
      <w:r w:rsidRPr="49BAFF75">
        <w:rPr>
          <w:noProof/>
        </w:rPr>
        <w:t>SAF</w:t>
      </w:r>
      <w:r w:rsidR="007E40C5">
        <w:rPr>
          <w:noProof/>
        </w:rPr>
        <w:t>)</w:t>
      </w:r>
      <w:r w:rsidRPr="49BAFF75">
        <w:rPr>
          <w:noProof/>
        </w:rPr>
        <w:t xml:space="preserve"> as a key priority. The proposal duly reflects this by increasing ETS support for SAF uptake, while ensuring that Member States still receive ETS revenues to </w:t>
      </w:r>
      <w:r w:rsidR="00887704">
        <w:rPr>
          <w:noProof/>
        </w:rPr>
        <w:t>finance additional</w:t>
      </w:r>
      <w:r w:rsidR="00887704" w:rsidRPr="49BAFF75">
        <w:rPr>
          <w:noProof/>
        </w:rPr>
        <w:t xml:space="preserve"> decarbonisation </w:t>
      </w:r>
      <w:r w:rsidR="00887704">
        <w:rPr>
          <w:noProof/>
        </w:rPr>
        <w:t>measures</w:t>
      </w:r>
      <w:r w:rsidRPr="49BAFF75">
        <w:rPr>
          <w:noProof/>
        </w:rPr>
        <w:t>.</w:t>
      </w:r>
    </w:p>
    <w:p w14:paraId="09AC2CC0" w14:textId="17C7FB49" w:rsidR="00BF07A9" w:rsidRDefault="00BF07A9" w:rsidP="00BF07A9">
      <w:pPr>
        <w:rPr>
          <w:noProof/>
        </w:rPr>
      </w:pPr>
      <w:r w:rsidRPr="49ABB109">
        <w:rPr>
          <w:noProof/>
        </w:rPr>
        <w:t>On maritime transport, stakeholder</w:t>
      </w:r>
      <w:r w:rsidR="00887704" w:rsidRPr="49ABB109">
        <w:rPr>
          <w:noProof/>
        </w:rPr>
        <w:t>s</w:t>
      </w:r>
      <w:r w:rsidRPr="49ABB109">
        <w:rPr>
          <w:noProof/>
        </w:rPr>
        <w:t xml:space="preserve"> </w:t>
      </w:r>
      <w:r w:rsidR="00B94262" w:rsidRPr="49ABB109">
        <w:rPr>
          <w:noProof/>
        </w:rPr>
        <w:t>broadly agreed that</w:t>
      </w:r>
      <w:r w:rsidRPr="49ABB109">
        <w:rPr>
          <w:noProof/>
        </w:rPr>
        <w:t xml:space="preserve"> ETS inclusion </w:t>
      </w:r>
      <w:r w:rsidR="00177857" w:rsidRPr="49ABB109">
        <w:rPr>
          <w:noProof/>
        </w:rPr>
        <w:t>successfully</w:t>
      </w:r>
      <w:r w:rsidRPr="49ABB109">
        <w:rPr>
          <w:noProof/>
        </w:rPr>
        <w:t xml:space="preserve"> driv</w:t>
      </w:r>
      <w:r w:rsidR="00177857" w:rsidRPr="49ABB109">
        <w:rPr>
          <w:noProof/>
        </w:rPr>
        <w:t>es</w:t>
      </w:r>
      <w:r w:rsidRPr="49ABB109">
        <w:rPr>
          <w:noProof/>
        </w:rPr>
        <w:t xml:space="preserve"> decarbonisation, while identifying opportunities to improve interaction with international measures, enhance competitiveness, include smaller vessels, and simplify the rules. The proposal contributes to these objectives </w:t>
      </w:r>
      <w:r w:rsidR="005343F3" w:rsidRPr="49ABB109">
        <w:rPr>
          <w:noProof/>
        </w:rPr>
        <w:t xml:space="preserve">by </w:t>
      </w:r>
      <w:r w:rsidR="000A20FE" w:rsidRPr="49ABB109">
        <w:rPr>
          <w:noProof/>
        </w:rPr>
        <w:t xml:space="preserve">taking </w:t>
      </w:r>
      <w:r w:rsidRPr="49ABB109">
        <w:rPr>
          <w:noProof/>
        </w:rPr>
        <w:t xml:space="preserve">measures </w:t>
      </w:r>
      <w:r w:rsidR="7F154525" w:rsidRPr="49ABB109">
        <w:rPr>
          <w:noProof/>
        </w:rPr>
        <w:t>to</w:t>
      </w:r>
      <w:r w:rsidRPr="49ABB109">
        <w:rPr>
          <w:noProof/>
        </w:rPr>
        <w:t xml:space="preserve"> reduce the risk of evasion, and </w:t>
      </w:r>
      <w:r w:rsidR="00135A34" w:rsidRPr="49ABB109">
        <w:rPr>
          <w:noProof/>
        </w:rPr>
        <w:t xml:space="preserve">by </w:t>
      </w:r>
      <w:r>
        <w:rPr>
          <w:noProof/>
        </w:rPr>
        <w:t>adapting the review clause</w:t>
      </w:r>
      <w:r w:rsidR="00644C49" w:rsidRPr="49ABB109">
        <w:rPr>
          <w:noProof/>
        </w:rPr>
        <w:t xml:space="preserve"> to</w:t>
      </w:r>
      <w:r w:rsidR="001E3B6A" w:rsidRPr="49ABB109">
        <w:rPr>
          <w:noProof/>
        </w:rPr>
        <w:t xml:space="preserve"> </w:t>
      </w:r>
      <w:r>
        <w:rPr>
          <w:noProof/>
        </w:rPr>
        <w:t>notably address the risk of double payments taking</w:t>
      </w:r>
      <w:r w:rsidRPr="49ABB109">
        <w:rPr>
          <w:noProof/>
        </w:rPr>
        <w:t xml:space="preserve"> into consideration future IMO global measures. The proposal also introduces an ETS-funded mechanism to support the uptake of sustainable fuels and clean propulsion technologies. A targeted scope extension to certain categories of smaller vessels is proposed, reflecting the needed balance between environmental benefits and implementation costs. The proposal includes a time-limited extension of the derogations that are necessary for connectivity and socio-economic reasons.</w:t>
      </w:r>
      <w:r>
        <w:rPr>
          <w:noProof/>
        </w:rPr>
        <w:t xml:space="preserve"> This is to accompanied by a MRV Maritime Regulation Proposal to improve and simplify the implemenation of the system.</w:t>
      </w:r>
      <w:r w:rsidR="64842664" w:rsidRPr="49ABB109">
        <w:rPr>
          <w:noProof/>
        </w:rPr>
        <w:t xml:space="preserve"> </w:t>
      </w:r>
    </w:p>
    <w:p w14:paraId="2D3D88B5" w14:textId="77777777" w:rsidR="00BF07A9" w:rsidRPr="000C20DC" w:rsidRDefault="00BF07A9" w:rsidP="00BF07A9">
      <w:pPr>
        <w:rPr>
          <w:noProof/>
        </w:rPr>
      </w:pPr>
      <w:r w:rsidRPr="00E739C3">
        <w:rPr>
          <w:noProof/>
        </w:rPr>
        <w:t>With regard to the waste management sector, a majority of stakeholders support the inclusion of municipal waste incineration in the EU ETS while excluding hazardous waste incineration, as reflected in this proposal, to incentivise emission reduction, the circular economy</w:t>
      </w:r>
      <w:r>
        <w:rPr>
          <w:noProof/>
        </w:rPr>
        <w:t>,</w:t>
      </w:r>
      <w:r w:rsidRPr="000C20DC">
        <w:rPr>
          <w:noProof/>
        </w:rPr>
        <w:t xml:space="preserve"> and the uptake of carbon removals and CCU. This was generally supported by stakeholders from industry and civil society, with the exception of stakeholders from the waste incineration sector. </w:t>
      </w:r>
    </w:p>
    <w:p w14:paraId="2CB2621E" w14:textId="77777777" w:rsidR="00BF07A9" w:rsidRPr="000C20DC" w:rsidRDefault="00BF07A9" w:rsidP="00BF07A9">
      <w:pPr>
        <w:rPr>
          <w:noProof/>
        </w:rPr>
      </w:pPr>
      <w:r w:rsidRPr="00E739C3">
        <w:rPr>
          <w:noProof/>
        </w:rPr>
        <w:t>A majority of stakeholders is in favour of incentivising CCU by adjusting the surrender obligation for emissions captured and used in products without permanent storage, mainly obtaining support from the energy sector and manufacturing industry. Opinions are more mixed on moving the surrender obligation fully downstream, with some stakeholders highlighting the need for regulatory consistency for e-fuels. The proposal reflects these considerations by implementing hybrid downstream and midstream accounting to incentivise CCU in upstream installations and the use of CCU-based carbon in downstream products.</w:t>
      </w:r>
    </w:p>
    <w:p w14:paraId="526AF4FC" w14:textId="77777777" w:rsidR="00BF07A9" w:rsidRPr="00616539" w:rsidRDefault="006052EE" w:rsidP="00616539">
      <w:pPr>
        <w:pStyle w:val="Bullet0"/>
        <w:rPr>
          <w:b/>
          <w:bCs/>
          <w:noProof/>
        </w:rPr>
      </w:pPr>
      <w:r w:rsidRPr="00616539">
        <w:rPr>
          <w:b/>
          <w:bCs/>
          <w:noProof/>
        </w:rPr>
        <w:t>Collection and use of expertise</w:t>
      </w:r>
    </w:p>
    <w:p w14:paraId="6C454A73" w14:textId="77777777" w:rsidR="00BF07A9" w:rsidRDefault="00BF07A9" w:rsidP="00BF07A9">
      <w:pPr>
        <w:spacing w:before="0" w:after="240"/>
        <w:rPr>
          <w:noProof/>
        </w:rPr>
      </w:pPr>
      <w:r w:rsidRPr="00710C4E">
        <w:rPr>
          <w:noProof/>
          <w:kern w:val="2"/>
          <w:lang w:val="en-IE"/>
          <w14:ligatures w14:val="standardContextual"/>
        </w:rPr>
        <w:t xml:space="preserve">This proposal builds upon evidence gathered </w:t>
      </w:r>
      <w:r w:rsidRPr="00710C4E">
        <w:rPr>
          <w:noProof/>
        </w:rPr>
        <w:t xml:space="preserve">in the </w:t>
      </w:r>
      <w:r>
        <w:rPr>
          <w:noProof/>
        </w:rPr>
        <w:t>i</w:t>
      </w:r>
      <w:r w:rsidRPr="00710C4E">
        <w:rPr>
          <w:noProof/>
        </w:rPr>
        <w:t xml:space="preserve">mpact </w:t>
      </w:r>
      <w:r>
        <w:rPr>
          <w:noProof/>
        </w:rPr>
        <w:t>a</w:t>
      </w:r>
      <w:r w:rsidRPr="00710C4E">
        <w:rPr>
          <w:noProof/>
        </w:rPr>
        <w:t>ssessment for the previous ETS revision</w:t>
      </w:r>
      <w:r>
        <w:rPr>
          <w:rStyle w:val="FootnoteReference"/>
          <w:noProof/>
        </w:rPr>
        <w:footnoteReference w:id="32"/>
      </w:r>
      <w:r w:rsidRPr="00710C4E">
        <w:rPr>
          <w:noProof/>
          <w:vertAlign w:val="superscript"/>
        </w:rPr>
        <w:t xml:space="preserve"> </w:t>
      </w:r>
      <w:r w:rsidRPr="00710C4E">
        <w:rPr>
          <w:noProof/>
        </w:rPr>
        <w:t xml:space="preserve">concluded in 2023, the </w:t>
      </w:r>
      <w:r>
        <w:rPr>
          <w:noProof/>
        </w:rPr>
        <w:t>i</w:t>
      </w:r>
      <w:r w:rsidRPr="00710C4E">
        <w:rPr>
          <w:noProof/>
        </w:rPr>
        <w:t xml:space="preserve">mpact </w:t>
      </w:r>
      <w:r>
        <w:rPr>
          <w:noProof/>
        </w:rPr>
        <w:t>a</w:t>
      </w:r>
      <w:r w:rsidRPr="00710C4E">
        <w:rPr>
          <w:noProof/>
        </w:rPr>
        <w:t>ssessment accompanying the 2040 Climate Target Communication and Proposal</w:t>
      </w:r>
      <w:r>
        <w:rPr>
          <w:rStyle w:val="FootnoteReference"/>
          <w:noProof/>
        </w:rPr>
        <w:footnoteReference w:id="33"/>
      </w:r>
      <w:r w:rsidRPr="00710C4E">
        <w:rPr>
          <w:noProof/>
        </w:rPr>
        <w:t xml:space="preserve"> and any relevant evidence compiled in other concurrent initiatives. It builds on emissions data and experiences from the implementation of the EU monitoring, reporting and verification systems. </w:t>
      </w:r>
    </w:p>
    <w:p w14:paraId="394614FD" w14:textId="77777777" w:rsidR="00BF07A9" w:rsidRDefault="00BF07A9" w:rsidP="00BF07A9">
      <w:pPr>
        <w:spacing w:before="0" w:after="240"/>
        <w:rPr>
          <w:noProof/>
        </w:rPr>
      </w:pPr>
      <w:r>
        <w:rPr>
          <w:noProof/>
        </w:rPr>
        <w:t>This proposal</w:t>
      </w:r>
      <w:r w:rsidRPr="00710C4E">
        <w:rPr>
          <w:noProof/>
        </w:rPr>
        <w:t xml:space="preserve"> makes use of a collection of integrated modelling tools covering the entire </w:t>
      </w:r>
      <w:r w:rsidR="001B1CAD">
        <w:rPr>
          <w:noProof/>
        </w:rPr>
        <w:t>GHG</w:t>
      </w:r>
      <w:r w:rsidRPr="00710C4E">
        <w:rPr>
          <w:noProof/>
        </w:rPr>
        <w:t xml:space="preserve"> emissions of the EU economy. These tools are used to produce a set of scenarios reflecting self-consistent policy </w:t>
      </w:r>
      <w:r>
        <w:rPr>
          <w:noProof/>
        </w:rPr>
        <w:t>options</w:t>
      </w:r>
      <w:r w:rsidRPr="00710C4E">
        <w:rPr>
          <w:noProof/>
        </w:rPr>
        <w:t xml:space="preserve"> aligned with the </w:t>
      </w:r>
      <w:r>
        <w:rPr>
          <w:noProof/>
        </w:rPr>
        <w:t xml:space="preserve">Union’s </w:t>
      </w:r>
      <w:r w:rsidRPr="00710C4E">
        <w:rPr>
          <w:noProof/>
        </w:rPr>
        <w:t>20</w:t>
      </w:r>
      <w:r>
        <w:rPr>
          <w:noProof/>
        </w:rPr>
        <w:t>4</w:t>
      </w:r>
      <w:r w:rsidRPr="00710C4E">
        <w:rPr>
          <w:noProof/>
        </w:rPr>
        <w:t>0 climate target.</w:t>
      </w:r>
    </w:p>
    <w:p w14:paraId="50A00773" w14:textId="77777777" w:rsidR="00BF07A9" w:rsidRPr="00FC79F2" w:rsidRDefault="00BF07A9" w:rsidP="00BF07A9">
      <w:pPr>
        <w:spacing w:before="0" w:after="240"/>
        <w:rPr>
          <w:rFonts w:eastAsia="Arial Unicode MS"/>
          <w:noProof/>
          <w:lang w:val="en-IE"/>
        </w:rPr>
      </w:pPr>
      <w:r w:rsidRPr="00710C4E">
        <w:rPr>
          <w:noProof/>
          <w:kern w:val="2"/>
          <w:lang w:val="en-IE"/>
          <w14:ligatures w14:val="standardContextual"/>
        </w:rPr>
        <w:t xml:space="preserve">In addition, the Commission </w:t>
      </w:r>
      <w:r w:rsidR="00A12770">
        <w:rPr>
          <w:noProof/>
          <w:kern w:val="2"/>
          <w:lang w:val="en-IE"/>
          <w14:ligatures w14:val="standardContextual"/>
        </w:rPr>
        <w:t>has used</w:t>
      </w:r>
      <w:r w:rsidRPr="00710C4E">
        <w:rPr>
          <w:noProof/>
          <w:kern w:val="2"/>
          <w:lang w:val="en-IE"/>
          <w14:ligatures w14:val="standardContextual"/>
        </w:rPr>
        <w:t xml:space="preserve"> the growing body of peer-reviewed empirical research on the EU ETS</w:t>
      </w:r>
      <w:r w:rsidR="00805500">
        <w:rPr>
          <w:noProof/>
          <w:kern w:val="2"/>
          <w:lang w:val="en-IE"/>
          <w14:ligatures w14:val="standardContextual"/>
        </w:rPr>
        <w:t>, together with</w:t>
      </w:r>
      <w:r w:rsidRPr="00710C4E">
        <w:rPr>
          <w:noProof/>
          <w:kern w:val="2"/>
          <w:lang w:val="en-IE"/>
          <w14:ligatures w14:val="standardContextual"/>
        </w:rPr>
        <w:t xml:space="preserve"> several support contracts.</w:t>
      </w:r>
      <w:r w:rsidRPr="00710C4E">
        <w:rPr>
          <w:noProof/>
        </w:rPr>
        <w:t xml:space="preserve"> Additional support work was carried out by Viegand Maag</w:t>
      </w:r>
      <w:r>
        <w:rPr>
          <w:noProof/>
        </w:rPr>
        <w:t>o</w:t>
      </w:r>
      <w:r w:rsidRPr="00710C4E">
        <w:rPr>
          <w:noProof/>
        </w:rPr>
        <w:t>e and SQ Consult for the evaluation of the MRVA</w:t>
      </w:r>
      <w:r w:rsidR="00E01E43">
        <w:rPr>
          <w:noProof/>
        </w:rPr>
        <w:t xml:space="preserve"> </w:t>
      </w:r>
      <w:r w:rsidRPr="00710C4E">
        <w:rPr>
          <w:noProof/>
        </w:rPr>
        <w:t xml:space="preserve">system. </w:t>
      </w:r>
      <w:r>
        <w:rPr>
          <w:noProof/>
        </w:rPr>
        <w:t>For</w:t>
      </w:r>
      <w:r w:rsidRPr="00710C4E">
        <w:rPr>
          <w:noProof/>
        </w:rPr>
        <w:t xml:space="preserve"> the maritime and aviation sectors, sector-specific studies were carried out by Ricardo</w:t>
      </w:r>
      <w:r w:rsidR="00102200">
        <w:rPr>
          <w:rStyle w:val="FootnoteReference"/>
          <w:noProof/>
        </w:rPr>
        <w:footnoteReference w:id="34"/>
      </w:r>
      <w:r w:rsidRPr="00710C4E">
        <w:rPr>
          <w:noProof/>
        </w:rPr>
        <w:t xml:space="preserve">. </w:t>
      </w:r>
    </w:p>
    <w:p w14:paraId="264AA2F1" w14:textId="77777777" w:rsidR="006052EE" w:rsidRPr="00616539" w:rsidRDefault="006052EE" w:rsidP="00616539">
      <w:pPr>
        <w:pStyle w:val="Bullet0"/>
        <w:rPr>
          <w:b/>
          <w:bCs/>
          <w:noProof/>
        </w:rPr>
      </w:pPr>
      <w:r w:rsidRPr="00616539">
        <w:rPr>
          <w:b/>
          <w:bCs/>
          <w:noProof/>
        </w:rPr>
        <w:t>Impact assessment</w:t>
      </w:r>
    </w:p>
    <w:p w14:paraId="1859BB10" w14:textId="77777777" w:rsidR="00426D17" w:rsidRDefault="00426D17" w:rsidP="00102200">
      <w:pPr>
        <w:rPr>
          <w:noProof/>
        </w:rPr>
      </w:pPr>
      <w:r w:rsidRPr="00451C1C">
        <w:rPr>
          <w:noProof/>
        </w:rPr>
        <w:t xml:space="preserve">This </w:t>
      </w:r>
      <w:r w:rsidRPr="00102200">
        <w:rPr>
          <w:noProof/>
        </w:rPr>
        <w:t>proposal is accompanied by an impact assessment report, a draft of which was submitted to the Regulatory Scrutiny Board (RSB) on 23 March 2026. The RSB issued a positive opinion with reservations on 15 April 2026</w:t>
      </w:r>
      <w:r w:rsidR="00BB4042">
        <w:rPr>
          <w:rStyle w:val="FootnoteReference"/>
          <w:noProof/>
        </w:rPr>
        <w:footnoteReference w:id="35"/>
      </w:r>
      <w:r w:rsidRPr="00102200">
        <w:rPr>
          <w:noProof/>
        </w:rPr>
        <w:t xml:space="preserve">. The </w:t>
      </w:r>
      <w:r w:rsidR="00313D0B">
        <w:rPr>
          <w:noProof/>
        </w:rPr>
        <w:t>RSB</w:t>
      </w:r>
      <w:r w:rsidR="00313D0B" w:rsidRPr="00102200">
        <w:rPr>
          <w:noProof/>
        </w:rPr>
        <w:t xml:space="preserve"> </w:t>
      </w:r>
      <w:r w:rsidRPr="00102200">
        <w:rPr>
          <w:noProof/>
        </w:rPr>
        <w:t>highlight</w:t>
      </w:r>
      <w:r w:rsidR="00313D0B">
        <w:rPr>
          <w:noProof/>
        </w:rPr>
        <w:t>ed</w:t>
      </w:r>
      <w:r w:rsidRPr="00102200">
        <w:rPr>
          <w:noProof/>
        </w:rPr>
        <w:t xml:space="preserve"> five key shortcomings in the draft. First, </w:t>
      </w:r>
      <w:r w:rsidR="00F14C62">
        <w:rPr>
          <w:noProof/>
        </w:rPr>
        <w:t xml:space="preserve">it considered that </w:t>
      </w:r>
      <w:r w:rsidRPr="00102200">
        <w:rPr>
          <w:noProof/>
        </w:rPr>
        <w:t>the costs and benefits of the EU ETS during the evaluation period</w:t>
      </w:r>
      <w:r w:rsidR="00F14C62">
        <w:rPr>
          <w:noProof/>
        </w:rPr>
        <w:t>,</w:t>
      </w:r>
      <w:r w:rsidRPr="00102200">
        <w:rPr>
          <w:noProof/>
        </w:rPr>
        <w:t xml:space="preserve"> </w:t>
      </w:r>
      <w:r w:rsidR="00427AE0" w:rsidRPr="00102200">
        <w:rPr>
          <w:noProof/>
        </w:rPr>
        <w:t xml:space="preserve">including the distribution of costs, carbon price impacts, and effects of free allowances on emissions reductions and investments </w:t>
      </w:r>
      <w:r w:rsidR="00427AE0">
        <w:rPr>
          <w:noProof/>
        </w:rPr>
        <w:t>had been</w:t>
      </w:r>
      <w:r w:rsidRPr="00102200">
        <w:rPr>
          <w:noProof/>
        </w:rPr>
        <w:t xml:space="preserve"> insufficiently quantified. Second, the problem definition lacked clarity, </w:t>
      </w:r>
      <w:r w:rsidR="006206BD">
        <w:rPr>
          <w:noProof/>
        </w:rPr>
        <w:t>and its</w:t>
      </w:r>
      <w:r w:rsidR="006206BD" w:rsidRPr="00102200">
        <w:rPr>
          <w:noProof/>
        </w:rPr>
        <w:t xml:space="preserve"> </w:t>
      </w:r>
      <w:r w:rsidRPr="00102200">
        <w:rPr>
          <w:noProof/>
        </w:rPr>
        <w:t xml:space="preserve">objectives </w:t>
      </w:r>
      <w:r w:rsidR="006206BD">
        <w:rPr>
          <w:noProof/>
        </w:rPr>
        <w:t xml:space="preserve">had </w:t>
      </w:r>
      <w:r w:rsidRPr="00102200">
        <w:rPr>
          <w:noProof/>
        </w:rPr>
        <w:t>not</w:t>
      </w:r>
      <w:r w:rsidR="006206BD">
        <w:rPr>
          <w:noProof/>
        </w:rPr>
        <w:t xml:space="preserve"> been</w:t>
      </w:r>
      <w:r w:rsidRPr="00102200">
        <w:rPr>
          <w:noProof/>
        </w:rPr>
        <w:t xml:space="preserve"> framed in SMART (Specific, Measurable, Achievable, Relevant, Time-bound) terms. Third, the baseline scenario was unclear, particularly </w:t>
      </w:r>
      <w:r w:rsidR="00720F6F">
        <w:rPr>
          <w:noProof/>
        </w:rPr>
        <w:t>as regards the way</w:t>
      </w:r>
      <w:r w:rsidRPr="00102200">
        <w:rPr>
          <w:noProof/>
        </w:rPr>
        <w:t xml:space="preserve"> it aligns with the 2040 Climate Target impact assessment. Fourth, the rationale for combining measures into policy options needed strengthening, with further analysis of competitiveness, affordability, and interactions between proposals</w:t>
      </w:r>
      <w:r w:rsidR="00BC571F">
        <w:rPr>
          <w:noProof/>
        </w:rPr>
        <w:t xml:space="preserve"> required</w:t>
      </w:r>
      <w:r w:rsidRPr="00102200">
        <w:rPr>
          <w:noProof/>
        </w:rPr>
        <w:t>. Fifth, the cost-benefit comparisons of policy options lack detail, hindering a robust assessment of effectiveness and efficiency. The impact assessment report was adjusted to address the RSB’s comments.</w:t>
      </w:r>
      <w:r w:rsidRPr="00451C1C">
        <w:rPr>
          <w:noProof/>
        </w:rPr>
        <w:t xml:space="preserve"> </w:t>
      </w:r>
    </w:p>
    <w:p w14:paraId="456A218A" w14:textId="77777777" w:rsidR="00426D17" w:rsidRDefault="00426D17" w:rsidP="00102200">
      <w:pPr>
        <w:rPr>
          <w:noProof/>
        </w:rPr>
      </w:pPr>
      <w:r>
        <w:rPr>
          <w:noProof/>
        </w:rPr>
        <w:t>The evaluation was strengthened to show the different developments</w:t>
      </w:r>
      <w:r w:rsidR="00D06ED7">
        <w:rPr>
          <w:noProof/>
        </w:rPr>
        <w:t>,</w:t>
      </w:r>
      <w:r>
        <w:rPr>
          <w:noProof/>
        </w:rPr>
        <w:t xml:space="preserve"> and </w:t>
      </w:r>
      <w:r w:rsidR="00D06ED7">
        <w:rPr>
          <w:noProof/>
        </w:rPr>
        <w:t xml:space="preserve">the </w:t>
      </w:r>
      <w:r>
        <w:rPr>
          <w:noProof/>
        </w:rPr>
        <w:t xml:space="preserve">impact of carbon price on industry and </w:t>
      </w:r>
      <w:r w:rsidR="00D06ED7">
        <w:rPr>
          <w:noProof/>
        </w:rPr>
        <w:t xml:space="preserve">the </w:t>
      </w:r>
      <w:r>
        <w:rPr>
          <w:noProof/>
        </w:rPr>
        <w:t>power sector</w:t>
      </w:r>
      <w:r w:rsidR="00EE23B9">
        <w:rPr>
          <w:noProof/>
        </w:rPr>
        <w:t>. F</w:t>
      </w:r>
      <w:r>
        <w:rPr>
          <w:noProof/>
        </w:rPr>
        <w:t xml:space="preserve">urther evidence </w:t>
      </w:r>
      <w:r w:rsidR="00EE23B9">
        <w:rPr>
          <w:noProof/>
        </w:rPr>
        <w:t>was added</w:t>
      </w:r>
      <w:r>
        <w:rPr>
          <w:noProof/>
        </w:rPr>
        <w:t xml:space="preserve"> of fuel switching and the role of the ETS in reducing coal</w:t>
      </w:r>
      <w:r w:rsidR="00472808">
        <w:rPr>
          <w:noProof/>
        </w:rPr>
        <w:t xml:space="preserve"> use</w:t>
      </w:r>
      <w:r>
        <w:rPr>
          <w:noProof/>
        </w:rPr>
        <w:t xml:space="preserve">, and on abatement costs for the main sectors, marginal abatement costs and the link to ETS price, </w:t>
      </w:r>
      <w:r w:rsidR="00FE6B53">
        <w:rPr>
          <w:noProof/>
        </w:rPr>
        <w:t>and the results from an additional literature review on the costs and benefits attributable to the ETS was included</w:t>
      </w:r>
      <w:r>
        <w:rPr>
          <w:noProof/>
        </w:rPr>
        <w:t>. Additional information was included</w:t>
      </w:r>
      <w:r w:rsidR="00DB1036">
        <w:rPr>
          <w:noProof/>
        </w:rPr>
        <w:t>,</w:t>
      </w:r>
      <w:r>
        <w:rPr>
          <w:noProof/>
        </w:rPr>
        <w:t xml:space="preserve"> </w:t>
      </w:r>
      <w:r w:rsidR="00DB1036">
        <w:rPr>
          <w:noProof/>
        </w:rPr>
        <w:t>from literature and stakeholders,</w:t>
      </w:r>
      <w:r>
        <w:rPr>
          <w:noProof/>
        </w:rPr>
        <w:t xml:space="preserve"> on the competitiveness impacts of the ETS</w:t>
      </w:r>
      <w:r w:rsidR="00DB1036">
        <w:rPr>
          <w:noProof/>
        </w:rPr>
        <w:t>.</w:t>
      </w:r>
      <w:r>
        <w:rPr>
          <w:noProof/>
        </w:rPr>
        <w:t xml:space="preserve"> </w:t>
      </w:r>
      <w:r w:rsidRPr="00953A76">
        <w:rPr>
          <w:noProof/>
        </w:rPr>
        <w:t>The evaluation was further developed to include more information on the emission reductions and the cost</w:t>
      </w:r>
      <w:r>
        <w:rPr>
          <w:noProof/>
        </w:rPr>
        <w:t xml:space="preserve"> </w:t>
      </w:r>
      <w:r w:rsidRPr="00953A76">
        <w:rPr>
          <w:noProof/>
        </w:rPr>
        <w:t>pass</w:t>
      </w:r>
      <w:r w:rsidR="00E42678">
        <w:rPr>
          <w:noProof/>
        </w:rPr>
        <w:t>-</w:t>
      </w:r>
      <w:r w:rsidRPr="00953A76">
        <w:rPr>
          <w:noProof/>
        </w:rPr>
        <w:t>through for the different sectors.</w:t>
      </w:r>
    </w:p>
    <w:p w14:paraId="139584FA" w14:textId="77777777" w:rsidR="00426D17" w:rsidRPr="00BB4042" w:rsidRDefault="00426D17" w:rsidP="00102200">
      <w:pPr>
        <w:rPr>
          <w:noProof/>
        </w:rPr>
      </w:pPr>
      <w:r w:rsidRPr="00BB4042">
        <w:rPr>
          <w:noProof/>
        </w:rPr>
        <w:t>Regarding the impact assessment, the problem definition was clarified</w:t>
      </w:r>
      <w:r w:rsidR="00E42678">
        <w:rPr>
          <w:noProof/>
        </w:rPr>
        <w:t>,</w:t>
      </w:r>
      <w:r w:rsidRPr="00BB4042">
        <w:rPr>
          <w:noProof/>
        </w:rPr>
        <w:t xml:space="preserve"> and the objectives that </w:t>
      </w:r>
      <w:r w:rsidR="00E42678">
        <w:rPr>
          <w:noProof/>
        </w:rPr>
        <w:t>had</w:t>
      </w:r>
      <w:r w:rsidR="00E42678" w:rsidRPr="00BB4042">
        <w:rPr>
          <w:noProof/>
        </w:rPr>
        <w:t xml:space="preserve"> </w:t>
      </w:r>
      <w:r w:rsidRPr="00BB4042">
        <w:rPr>
          <w:noProof/>
        </w:rPr>
        <w:t xml:space="preserve">not </w:t>
      </w:r>
      <w:r w:rsidR="00E42678">
        <w:rPr>
          <w:noProof/>
        </w:rPr>
        <w:t>been</w:t>
      </w:r>
      <w:r w:rsidRPr="00BB4042">
        <w:rPr>
          <w:noProof/>
        </w:rPr>
        <w:t xml:space="preserve"> framed in SMART terms were </w:t>
      </w:r>
      <w:r w:rsidR="00A26116">
        <w:rPr>
          <w:noProof/>
        </w:rPr>
        <w:t>reframed</w:t>
      </w:r>
      <w:r w:rsidR="00A26116" w:rsidRPr="00BB4042">
        <w:rPr>
          <w:noProof/>
        </w:rPr>
        <w:t xml:space="preserve"> </w:t>
      </w:r>
      <w:r w:rsidRPr="00BB4042">
        <w:rPr>
          <w:noProof/>
        </w:rPr>
        <w:t>in those terms (SO1.1.2, SO2.1.2, SO.1.1.3 and SO1.3.1). The problem drivers were quantified w</w:t>
      </w:r>
      <w:r w:rsidR="00A26116">
        <w:rPr>
          <w:noProof/>
        </w:rPr>
        <w:t>h</w:t>
      </w:r>
      <w:r w:rsidRPr="00BB4042">
        <w:rPr>
          <w:noProof/>
        </w:rPr>
        <w:t xml:space="preserve">ere </w:t>
      </w:r>
      <w:r w:rsidR="00757E34" w:rsidRPr="00BB4042">
        <w:rPr>
          <w:noProof/>
        </w:rPr>
        <w:t>possible</w:t>
      </w:r>
      <w:r w:rsidR="00757E34">
        <w:rPr>
          <w:noProof/>
        </w:rPr>
        <w:t xml:space="preserve"> and</w:t>
      </w:r>
      <w:r w:rsidRPr="00BB4042">
        <w:rPr>
          <w:noProof/>
        </w:rPr>
        <w:t xml:space="preserve"> further qualified w</w:t>
      </w:r>
      <w:r w:rsidR="000D766A">
        <w:rPr>
          <w:noProof/>
        </w:rPr>
        <w:t>h</w:t>
      </w:r>
      <w:r w:rsidRPr="00BB4042">
        <w:rPr>
          <w:noProof/>
        </w:rPr>
        <w:t xml:space="preserve">ere not. Explanations were </w:t>
      </w:r>
      <w:r w:rsidR="000D766A">
        <w:rPr>
          <w:noProof/>
        </w:rPr>
        <w:t>added</w:t>
      </w:r>
      <w:r w:rsidR="000D766A" w:rsidRPr="00BB4042">
        <w:rPr>
          <w:noProof/>
        </w:rPr>
        <w:t xml:space="preserve"> </w:t>
      </w:r>
      <w:r w:rsidRPr="00BB4042">
        <w:rPr>
          <w:noProof/>
        </w:rPr>
        <w:t xml:space="preserve">on the key differences between the baseline scenario, the 85% target run, and the proposal on the EU </w:t>
      </w:r>
      <w:r w:rsidR="000D766A">
        <w:rPr>
          <w:noProof/>
        </w:rPr>
        <w:t>c</w:t>
      </w:r>
      <w:r w:rsidRPr="00BB4042">
        <w:rPr>
          <w:noProof/>
        </w:rPr>
        <w:t xml:space="preserve">limate target for 2040. More information was provided on investment needs and their trajectory, on the impacts of options for the cap (CAP3 vs CAP1), differentiated between energy intensive and other industry sectors, as well on the technologies required their technical readiness levels. The key trade-offs between the options and the most </w:t>
      </w:r>
      <w:r w:rsidR="006B545B">
        <w:rPr>
          <w:noProof/>
        </w:rPr>
        <w:t>significant</w:t>
      </w:r>
      <w:r w:rsidR="006B545B" w:rsidRPr="00BB4042">
        <w:rPr>
          <w:noProof/>
        </w:rPr>
        <w:t xml:space="preserve"> </w:t>
      </w:r>
      <w:r w:rsidRPr="00BB4042">
        <w:rPr>
          <w:noProof/>
        </w:rPr>
        <w:t xml:space="preserve">measures that would drive the overall impact for each of the three policy options were identified. The report was accompanied by more information on key modelling assumptions and improved accessibility for policymakers </w:t>
      </w:r>
      <w:r w:rsidR="00E264A3">
        <w:rPr>
          <w:noProof/>
        </w:rPr>
        <w:t>through</w:t>
      </w:r>
      <w:r w:rsidR="00E264A3" w:rsidRPr="00BB4042">
        <w:rPr>
          <w:noProof/>
        </w:rPr>
        <w:t xml:space="preserve"> </w:t>
      </w:r>
      <w:r w:rsidRPr="00BB4042">
        <w:rPr>
          <w:noProof/>
        </w:rPr>
        <w:t xml:space="preserve">streamlining </w:t>
      </w:r>
      <w:r w:rsidR="00964232">
        <w:rPr>
          <w:noProof/>
        </w:rPr>
        <w:t xml:space="preserve">of </w:t>
      </w:r>
      <w:r w:rsidRPr="00BB4042">
        <w:rPr>
          <w:noProof/>
        </w:rPr>
        <w:t xml:space="preserve">repetitive or unsupported claims. In addition, Appendix IV of the evaluation was included with an overview table of </w:t>
      </w:r>
      <w:r w:rsidR="00964232">
        <w:rPr>
          <w:noProof/>
        </w:rPr>
        <w:t xml:space="preserve">the </w:t>
      </w:r>
      <w:r w:rsidRPr="00BB4042">
        <w:rPr>
          <w:noProof/>
        </w:rPr>
        <w:t xml:space="preserve">costs and benefits identified in </w:t>
      </w:r>
      <w:r w:rsidR="00912DD6">
        <w:rPr>
          <w:noProof/>
        </w:rPr>
        <w:t>it</w:t>
      </w:r>
      <w:r w:rsidRPr="00BB4042">
        <w:rPr>
          <w:noProof/>
        </w:rPr>
        <w:t xml:space="preserve">. Finally, </w:t>
      </w:r>
      <w:r w:rsidR="000F7284" w:rsidRPr="00BB4042">
        <w:rPr>
          <w:noProof/>
        </w:rPr>
        <w:t>smaller inconsistencies</w:t>
      </w:r>
      <w:r w:rsidR="000F7284">
        <w:rPr>
          <w:noProof/>
        </w:rPr>
        <w:t xml:space="preserve"> </w:t>
      </w:r>
      <w:r w:rsidR="000F7284" w:rsidRPr="00BB4042">
        <w:rPr>
          <w:noProof/>
        </w:rPr>
        <w:t>identified</w:t>
      </w:r>
      <w:r w:rsidR="000F7284">
        <w:rPr>
          <w:noProof/>
        </w:rPr>
        <w:t xml:space="preserve"> by the RSB</w:t>
      </w:r>
      <w:r w:rsidRPr="00BB4042">
        <w:rPr>
          <w:noProof/>
        </w:rPr>
        <w:t xml:space="preserve"> across the documents were corrected.</w:t>
      </w:r>
    </w:p>
    <w:p w14:paraId="6A1B1620" w14:textId="77777777" w:rsidR="00426D17" w:rsidRPr="00BB4042" w:rsidRDefault="00426D17" w:rsidP="00102200">
      <w:pPr>
        <w:rPr>
          <w:noProof/>
        </w:rPr>
      </w:pPr>
      <w:r w:rsidRPr="00BB4042">
        <w:rPr>
          <w:noProof/>
        </w:rPr>
        <w:t xml:space="preserve">Sections 5 to 7 of the accompanying impact assessment explain the policy alternatives examined, compare them and explain why the final proposal was considered to be the best policy choice. </w:t>
      </w:r>
      <w:r w:rsidR="002E252F">
        <w:rPr>
          <w:noProof/>
        </w:rPr>
        <w:t xml:space="preserve">In Sections 6 and 7 and in Annex </w:t>
      </w:r>
      <w:r w:rsidR="007306CC">
        <w:rPr>
          <w:noProof/>
        </w:rPr>
        <w:t>3, an explanation of t</w:t>
      </w:r>
      <w:r w:rsidRPr="00BB4042">
        <w:rPr>
          <w:noProof/>
        </w:rPr>
        <w:t xml:space="preserve">he main economic, social and environmental impacts of the preferred option, </w:t>
      </w:r>
      <w:r w:rsidR="00486EE3">
        <w:rPr>
          <w:noProof/>
        </w:rPr>
        <w:t xml:space="preserve">and </w:t>
      </w:r>
      <w:r w:rsidRPr="00BB4042">
        <w:rPr>
          <w:noProof/>
        </w:rPr>
        <w:t xml:space="preserve">who would be affected and how, </w:t>
      </w:r>
      <w:r w:rsidR="009743C1">
        <w:rPr>
          <w:noProof/>
        </w:rPr>
        <w:t>is set out</w:t>
      </w:r>
      <w:r w:rsidR="00CB345F">
        <w:rPr>
          <w:noProof/>
        </w:rPr>
        <w:t>,</w:t>
      </w:r>
      <w:r w:rsidR="009743C1" w:rsidRPr="00BB4042">
        <w:rPr>
          <w:noProof/>
        </w:rPr>
        <w:t xml:space="preserve"> </w:t>
      </w:r>
      <w:r w:rsidR="00CB345F">
        <w:rPr>
          <w:noProof/>
        </w:rPr>
        <w:t>together with</w:t>
      </w:r>
      <w:r w:rsidRPr="00BB4042">
        <w:rPr>
          <w:noProof/>
        </w:rPr>
        <w:t xml:space="preserve"> quantitative estimates of benefits and costs where possible. </w:t>
      </w:r>
      <w:r w:rsidR="008D7F95">
        <w:rPr>
          <w:noProof/>
        </w:rPr>
        <w:t>R</w:t>
      </w:r>
      <w:r w:rsidR="008D7F95" w:rsidRPr="00BB4042">
        <w:rPr>
          <w:noProof/>
        </w:rPr>
        <w:t>egarding the option chosen for the ETS cap</w:t>
      </w:r>
      <w:r w:rsidR="008D7F95">
        <w:rPr>
          <w:noProof/>
        </w:rPr>
        <w:t>,</w:t>
      </w:r>
      <w:r w:rsidR="008D7F95" w:rsidRPr="00BB4042">
        <w:rPr>
          <w:noProof/>
        </w:rPr>
        <w:t xml:space="preserve"> </w:t>
      </w:r>
      <w:r w:rsidR="008D7F95">
        <w:rPr>
          <w:noProof/>
        </w:rPr>
        <w:t>t</w:t>
      </w:r>
      <w:r w:rsidR="008D7F95" w:rsidRPr="00BB4042">
        <w:rPr>
          <w:noProof/>
        </w:rPr>
        <w:t>he final policy proposal deviates from the options assessed in the impact assessment</w:t>
      </w:r>
      <w:r w:rsidRPr="00BB4042">
        <w:rPr>
          <w:noProof/>
        </w:rPr>
        <w:t>.. The impacts are explained in Section 6.2.3.1. and Annex 8-1 on the cap</w:t>
      </w:r>
      <w:r w:rsidR="00AC2B9E">
        <w:rPr>
          <w:noProof/>
        </w:rPr>
        <w:t>.</w:t>
      </w:r>
    </w:p>
    <w:p w14:paraId="2C2CC961" w14:textId="77777777" w:rsidR="00426D17" w:rsidRPr="00B70216" w:rsidRDefault="00426D17" w:rsidP="00426D17">
      <w:pPr>
        <w:pBdr>
          <w:top w:val="nil"/>
          <w:left w:val="nil"/>
          <w:bottom w:val="nil"/>
          <w:right w:val="nil"/>
          <w:between w:val="nil"/>
          <w:bar w:val="nil"/>
        </w:pBdr>
        <w:spacing w:before="0" w:after="240"/>
        <w:rPr>
          <w:noProof/>
        </w:rPr>
      </w:pPr>
      <w:r>
        <w:rPr>
          <w:noProof/>
        </w:rPr>
        <w:t xml:space="preserve">As outlined in the stakeholder consultations section above, the open public consultation also received </w:t>
      </w:r>
      <w:r w:rsidR="008D7F95">
        <w:rPr>
          <w:noProof/>
        </w:rPr>
        <w:t>more than 400 submissions</w:t>
      </w:r>
      <w:r>
        <w:rPr>
          <w:noProof/>
        </w:rPr>
        <w:t xml:space="preserve"> </w:t>
      </w:r>
      <w:r w:rsidR="008429C8">
        <w:rPr>
          <w:noProof/>
        </w:rPr>
        <w:t xml:space="preserve">in </w:t>
      </w:r>
      <w:r>
        <w:rPr>
          <w:noProof/>
        </w:rPr>
        <w:t xml:space="preserve">response to the </w:t>
      </w:r>
      <w:r w:rsidR="008429C8">
        <w:rPr>
          <w:noProof/>
        </w:rPr>
        <w:t>c</w:t>
      </w:r>
      <w:r>
        <w:rPr>
          <w:noProof/>
        </w:rPr>
        <w:t xml:space="preserve">all for </w:t>
      </w:r>
      <w:r w:rsidR="008429C8">
        <w:rPr>
          <w:noProof/>
        </w:rPr>
        <w:t>e</w:t>
      </w:r>
      <w:r>
        <w:rPr>
          <w:noProof/>
        </w:rPr>
        <w:t xml:space="preserve">vidence, including both position papers and feedback, provided by different stakeholder </w:t>
      </w:r>
      <w:r w:rsidRPr="00735C6C">
        <w:rPr>
          <w:noProof/>
        </w:rPr>
        <w:t>groups. This is further explained in Annex 2 of the accompanying impact assessment.</w:t>
      </w:r>
    </w:p>
    <w:p w14:paraId="4D365C77" w14:textId="77777777" w:rsidR="00426D17" w:rsidRPr="00426D17" w:rsidRDefault="00426D17" w:rsidP="00426D17">
      <w:pPr>
        <w:rPr>
          <w:noProof/>
        </w:rPr>
      </w:pPr>
      <w:r w:rsidRPr="00426D17">
        <w:rPr>
          <w:noProof/>
        </w:rPr>
        <w:t xml:space="preserve">The impact assessment includes the consistency check of Article 6(4) of the European Climate Law, which requires the Commission to assess the consistency of any EU draft measure or legislative proposal with the Climate Law’s objectives, such as the EU’s climate-neutrality objective. </w:t>
      </w:r>
      <w:r w:rsidR="00562440" w:rsidRPr="00426D17">
        <w:rPr>
          <w:noProof/>
        </w:rPr>
        <w:t>The impact assessment focus</w:t>
      </w:r>
      <w:r w:rsidR="00562440">
        <w:rPr>
          <w:noProof/>
        </w:rPr>
        <w:t>es</w:t>
      </w:r>
      <w:r w:rsidR="00562440" w:rsidRPr="00426D17">
        <w:rPr>
          <w:noProof/>
        </w:rPr>
        <w:t xml:space="preserve"> </w:t>
      </w:r>
      <w:r w:rsidR="00562440">
        <w:rPr>
          <w:noProof/>
        </w:rPr>
        <w:t>on</w:t>
      </w:r>
      <w:r w:rsidR="00562440" w:rsidRPr="00426D17">
        <w:rPr>
          <w:noProof/>
        </w:rPr>
        <w:t xml:space="preserve"> the analysis of the climate impacts of the measures.</w:t>
      </w:r>
      <w:r w:rsidRPr="00426D17">
        <w:rPr>
          <w:noProof/>
        </w:rPr>
        <w:t xml:space="preserve"> It is based on the best available science, us</w:t>
      </w:r>
      <w:r w:rsidR="00B855B7">
        <w:rPr>
          <w:noProof/>
        </w:rPr>
        <w:t>es</w:t>
      </w:r>
      <w:r w:rsidRPr="00426D17">
        <w:rPr>
          <w:noProof/>
        </w:rPr>
        <w:t xml:space="preserve"> two economic modelling tools, and examines the cost-efficiency of each policy option. The assessment compares the impacts of the measures against a baseline scenario and tests </w:t>
      </w:r>
      <w:r w:rsidR="00144685" w:rsidRPr="00426D17">
        <w:rPr>
          <w:noProof/>
        </w:rPr>
        <w:t xml:space="preserve">sensitivity </w:t>
      </w:r>
      <w:r w:rsidRPr="00426D17">
        <w:rPr>
          <w:noProof/>
        </w:rPr>
        <w:t xml:space="preserve">to key assumptions. The legislative proposal is fully aligned with the climate-neutrality objective set out in </w:t>
      </w:r>
      <w:r w:rsidR="00144685">
        <w:rPr>
          <w:noProof/>
        </w:rPr>
        <w:t xml:space="preserve">the </w:t>
      </w:r>
      <w:r w:rsidRPr="00426D17">
        <w:rPr>
          <w:noProof/>
        </w:rPr>
        <w:t xml:space="preserve">European Climate Law, as the alignment of the ETS towards that objective and the intermediate 2040 target is </w:t>
      </w:r>
      <w:r w:rsidR="00144685">
        <w:rPr>
          <w:noProof/>
        </w:rPr>
        <w:t>its</w:t>
      </w:r>
      <w:r w:rsidRPr="00426D17">
        <w:rPr>
          <w:noProof/>
        </w:rPr>
        <w:t xml:space="preserve"> core goal. </w:t>
      </w:r>
      <w:r w:rsidR="00D45711" w:rsidRPr="00426D17">
        <w:rPr>
          <w:noProof/>
        </w:rPr>
        <w:t>Where the measures introduce uncertainty</w:t>
      </w:r>
      <w:r w:rsidR="00D45711" w:rsidRPr="00426D17" w:rsidDel="00D45711">
        <w:rPr>
          <w:noProof/>
        </w:rPr>
        <w:t xml:space="preserve"> </w:t>
      </w:r>
      <w:r w:rsidR="00D45711">
        <w:rPr>
          <w:noProof/>
        </w:rPr>
        <w:t>about</w:t>
      </w:r>
      <w:r w:rsidR="00D45711" w:rsidRPr="00426D17">
        <w:rPr>
          <w:noProof/>
        </w:rPr>
        <w:t xml:space="preserve"> </w:t>
      </w:r>
      <w:r w:rsidRPr="00426D17">
        <w:rPr>
          <w:noProof/>
        </w:rPr>
        <w:t>reaching the net climate contribution of the EU ETS (</w:t>
      </w:r>
      <w:r w:rsidR="00B46E53">
        <w:rPr>
          <w:noProof/>
        </w:rPr>
        <w:t xml:space="preserve">carbon </w:t>
      </w:r>
      <w:r w:rsidRPr="00426D17">
        <w:rPr>
          <w:noProof/>
        </w:rPr>
        <w:t>removals integration with a pre-increase of the cap) or potentially create loopholes in the accounting of emissions (downstream accounting of CCU)</w:t>
      </w:r>
      <w:r w:rsidR="00F24191">
        <w:rPr>
          <w:noProof/>
        </w:rPr>
        <w:t>,</w:t>
      </w:r>
      <w:r w:rsidRPr="00426D17">
        <w:rPr>
          <w:noProof/>
        </w:rPr>
        <w:t xml:space="preserve"> the level of risk </w:t>
      </w:r>
      <w:r w:rsidR="00F24191">
        <w:rPr>
          <w:noProof/>
        </w:rPr>
        <w:t>is</w:t>
      </w:r>
      <w:r w:rsidR="00F24191" w:rsidRPr="00426D17">
        <w:rPr>
          <w:noProof/>
        </w:rPr>
        <w:t xml:space="preserve"> </w:t>
      </w:r>
      <w:r w:rsidRPr="00426D17">
        <w:rPr>
          <w:noProof/>
        </w:rPr>
        <w:t xml:space="preserve">assessed and justified </w:t>
      </w:r>
      <w:r w:rsidR="00F24191">
        <w:rPr>
          <w:noProof/>
        </w:rPr>
        <w:t>by reference to</w:t>
      </w:r>
      <w:r w:rsidR="00F24191" w:rsidRPr="00426D17">
        <w:rPr>
          <w:noProof/>
        </w:rPr>
        <w:t xml:space="preserve"> </w:t>
      </w:r>
      <w:r w:rsidRPr="00426D17">
        <w:rPr>
          <w:noProof/>
        </w:rPr>
        <w:t xml:space="preserve">the achievement of the climate objectives more broadly, </w:t>
      </w:r>
      <w:r w:rsidR="00164A8D">
        <w:rPr>
          <w:noProof/>
        </w:rPr>
        <w:t>and the use of</w:t>
      </w:r>
      <w:r w:rsidRPr="00426D17">
        <w:rPr>
          <w:noProof/>
        </w:rPr>
        <w:t xml:space="preserve"> mitigating tools</w:t>
      </w:r>
      <w:r w:rsidR="00B65BD1">
        <w:rPr>
          <w:noProof/>
        </w:rPr>
        <w:t xml:space="preserve">. As regards </w:t>
      </w:r>
      <w:r w:rsidRPr="00426D17">
        <w:rPr>
          <w:noProof/>
        </w:rPr>
        <w:t>removals</w:t>
      </w:r>
      <w:r w:rsidR="00E22DB7">
        <w:rPr>
          <w:noProof/>
        </w:rPr>
        <w:t xml:space="preserve">, </w:t>
      </w:r>
      <w:r w:rsidRPr="00426D17">
        <w:rPr>
          <w:noProof/>
        </w:rPr>
        <w:t xml:space="preserve">the measures are justified to achieve the scale-up of removals and avoid carbon leakage, and risks are mitigated </w:t>
      </w:r>
      <w:r w:rsidR="004F49CF">
        <w:rPr>
          <w:noProof/>
        </w:rPr>
        <w:t>by providing a</w:t>
      </w:r>
      <w:r w:rsidR="004F49CF" w:rsidRPr="00426D17">
        <w:rPr>
          <w:noProof/>
        </w:rPr>
        <w:t xml:space="preserve"> sufficient budget </w:t>
      </w:r>
      <w:r w:rsidRPr="00426D17">
        <w:rPr>
          <w:noProof/>
        </w:rPr>
        <w:t>for the purchase of removals and a review clause</w:t>
      </w:r>
      <w:r w:rsidR="004F49CF">
        <w:rPr>
          <w:noProof/>
        </w:rPr>
        <w:t>.</w:t>
      </w:r>
      <w:r w:rsidRPr="00426D17">
        <w:rPr>
          <w:noProof/>
        </w:rPr>
        <w:t xml:space="preserve"> </w:t>
      </w:r>
      <w:r w:rsidR="004F49CF">
        <w:rPr>
          <w:noProof/>
        </w:rPr>
        <w:t>As regards</w:t>
      </w:r>
      <w:r w:rsidRPr="00426D17">
        <w:rPr>
          <w:noProof/>
        </w:rPr>
        <w:t xml:space="preserve"> CCU, the risks are justified to incentivise CCU</w:t>
      </w:r>
      <w:r w:rsidR="0066195E">
        <w:rPr>
          <w:noProof/>
        </w:rPr>
        <w:t>,</w:t>
      </w:r>
      <w:r w:rsidRPr="00426D17">
        <w:rPr>
          <w:noProof/>
        </w:rPr>
        <w:t xml:space="preserve"> while </w:t>
      </w:r>
      <w:r w:rsidR="0066195E">
        <w:rPr>
          <w:noProof/>
        </w:rPr>
        <w:t>the proposal</w:t>
      </w:r>
      <w:r w:rsidRPr="00426D17">
        <w:rPr>
          <w:noProof/>
        </w:rPr>
        <w:t xml:space="preserve"> introduc</w:t>
      </w:r>
      <w:r w:rsidR="0066195E">
        <w:rPr>
          <w:noProof/>
        </w:rPr>
        <w:t>es</w:t>
      </w:r>
      <w:r w:rsidRPr="00426D17">
        <w:rPr>
          <w:noProof/>
        </w:rPr>
        <w:t xml:space="preserve"> mitigation measures </w:t>
      </w:r>
      <w:r w:rsidR="00AF1C01">
        <w:rPr>
          <w:noProof/>
        </w:rPr>
        <w:t>in case of</w:t>
      </w:r>
      <w:r w:rsidR="001364E1" w:rsidRPr="00426D17">
        <w:rPr>
          <w:noProof/>
        </w:rPr>
        <w:t xml:space="preserve"> </w:t>
      </w:r>
      <w:r w:rsidRPr="00426D17">
        <w:rPr>
          <w:noProof/>
        </w:rPr>
        <w:t>loopholes.</w:t>
      </w:r>
    </w:p>
    <w:p w14:paraId="39860CFC" w14:textId="77777777" w:rsidR="006052EE" w:rsidRPr="00616539" w:rsidRDefault="006052EE" w:rsidP="00616539">
      <w:pPr>
        <w:pStyle w:val="Bullet0"/>
        <w:rPr>
          <w:b/>
          <w:bCs/>
          <w:noProof/>
        </w:rPr>
      </w:pPr>
      <w:r w:rsidRPr="00616539">
        <w:rPr>
          <w:b/>
          <w:bCs/>
          <w:noProof/>
        </w:rPr>
        <w:t>Regulatory fitness and simplification</w:t>
      </w:r>
    </w:p>
    <w:p w14:paraId="66ACEB86" w14:textId="77777777" w:rsidR="00426D17" w:rsidRPr="006A03E2" w:rsidRDefault="00426D17" w:rsidP="00426D17">
      <w:pPr>
        <w:rPr>
          <w:noProof/>
        </w:rPr>
      </w:pPr>
      <w:r w:rsidRPr="006A03E2">
        <w:rPr>
          <w:noProof/>
        </w:rPr>
        <w:t>Since the revision of the ETS Directive in 2018, a number of simplifications have been introduced. Article 27a was added to the ETS Directive, allowing Member States to exclude installations emitting less than 2</w:t>
      </w:r>
      <w:r w:rsidR="002E346D">
        <w:rPr>
          <w:noProof/>
        </w:rPr>
        <w:t xml:space="preserve"> </w:t>
      </w:r>
      <w:r w:rsidRPr="006A03E2">
        <w:rPr>
          <w:noProof/>
        </w:rPr>
        <w:t>500 tCO</w:t>
      </w:r>
      <w:r w:rsidRPr="00620F3F">
        <w:rPr>
          <w:noProof/>
          <w:vertAlign w:val="subscript"/>
        </w:rPr>
        <w:t>2</w:t>
      </w:r>
      <w:r w:rsidRPr="006A03E2">
        <w:rPr>
          <w:noProof/>
        </w:rPr>
        <w:t>e per year. In addition, a number of simplifications, and clarifications have been made through amendments to the Monitoring and Reporting Regulation (Commission Implementing Regulation 2018/2066</w:t>
      </w:r>
      <w:r w:rsidR="00EA3597" w:rsidRPr="006A03E2">
        <w:rPr>
          <w:noProof/>
        </w:rPr>
        <w:t>)</w:t>
      </w:r>
      <w:r w:rsidR="006B2B56">
        <w:rPr>
          <w:rStyle w:val="FootnoteReference"/>
          <w:noProof/>
        </w:rPr>
        <w:footnoteReference w:id="36"/>
      </w:r>
      <w:r w:rsidRPr="006A03E2">
        <w:rPr>
          <w:noProof/>
        </w:rPr>
        <w:t xml:space="preserve">, and standardised methodologies and tools have been developed to facilitate implementation. These measures are discussed further in the </w:t>
      </w:r>
      <w:r w:rsidR="005662B5">
        <w:rPr>
          <w:noProof/>
        </w:rPr>
        <w:t>e</w:t>
      </w:r>
      <w:r w:rsidRPr="006A03E2">
        <w:rPr>
          <w:noProof/>
        </w:rPr>
        <w:t xml:space="preserve">valuation </w:t>
      </w:r>
      <w:r w:rsidR="005662B5">
        <w:rPr>
          <w:noProof/>
        </w:rPr>
        <w:t>r</w:t>
      </w:r>
      <w:r w:rsidRPr="006A03E2">
        <w:rPr>
          <w:noProof/>
        </w:rPr>
        <w:t xml:space="preserve">eport accompanying this </w:t>
      </w:r>
      <w:r w:rsidR="005662B5">
        <w:rPr>
          <w:noProof/>
        </w:rPr>
        <w:t>i</w:t>
      </w:r>
      <w:r w:rsidRPr="006A03E2">
        <w:rPr>
          <w:noProof/>
        </w:rPr>
        <w:t xml:space="preserve">mpact </w:t>
      </w:r>
      <w:r w:rsidR="005662B5">
        <w:rPr>
          <w:noProof/>
        </w:rPr>
        <w:t>a</w:t>
      </w:r>
      <w:r w:rsidRPr="006A03E2">
        <w:rPr>
          <w:noProof/>
        </w:rPr>
        <w:t xml:space="preserve">ssessment, </w:t>
      </w:r>
      <w:r w:rsidR="005662B5">
        <w:rPr>
          <w:noProof/>
        </w:rPr>
        <w:t>while</w:t>
      </w:r>
      <w:r w:rsidR="005662B5" w:rsidRPr="006A03E2">
        <w:rPr>
          <w:noProof/>
        </w:rPr>
        <w:t xml:space="preserve"> </w:t>
      </w:r>
      <w:r w:rsidRPr="006A03E2">
        <w:rPr>
          <w:noProof/>
        </w:rPr>
        <w:t xml:space="preserve">a number of possible measures for additional streamlining and simplification </w:t>
      </w:r>
      <w:r w:rsidR="005662B5">
        <w:rPr>
          <w:noProof/>
        </w:rPr>
        <w:t>have been</w:t>
      </w:r>
      <w:r w:rsidRPr="006A03E2">
        <w:rPr>
          <w:noProof/>
        </w:rPr>
        <w:t xml:space="preserve"> proposed (see Annex 15, </w:t>
      </w:r>
      <w:r w:rsidR="005662B5">
        <w:rPr>
          <w:noProof/>
        </w:rPr>
        <w:t>S</w:t>
      </w:r>
      <w:r w:rsidRPr="006A03E2">
        <w:rPr>
          <w:noProof/>
        </w:rPr>
        <w:t>ection 9.4.4.2).</w:t>
      </w:r>
    </w:p>
    <w:p w14:paraId="12D45491" w14:textId="77777777" w:rsidR="00426D17" w:rsidRPr="006A03E2" w:rsidRDefault="00426D17" w:rsidP="00426D17">
      <w:pPr>
        <w:rPr>
          <w:noProof/>
        </w:rPr>
      </w:pPr>
      <w:r w:rsidRPr="006A03E2">
        <w:rPr>
          <w:noProof/>
        </w:rPr>
        <w:t xml:space="preserve">Several of the measures in this </w:t>
      </w:r>
      <w:r w:rsidR="00BC7D5A">
        <w:rPr>
          <w:noProof/>
        </w:rPr>
        <w:t>proposal</w:t>
      </w:r>
      <w:r w:rsidRPr="006A03E2">
        <w:rPr>
          <w:noProof/>
        </w:rPr>
        <w:t xml:space="preserve"> covering emissions from stationary installations generally do not involve simplification, since they are</w:t>
      </w:r>
      <w:r w:rsidR="00AF1C01">
        <w:rPr>
          <w:noProof/>
        </w:rPr>
        <w:t xml:space="preserve"> </w:t>
      </w:r>
      <w:r w:rsidRPr="006A03E2">
        <w:rPr>
          <w:noProof/>
        </w:rPr>
        <w:t xml:space="preserve">considering expanding the scope of </w:t>
      </w:r>
      <w:r w:rsidR="004A6DEA">
        <w:rPr>
          <w:noProof/>
        </w:rPr>
        <w:t>the</w:t>
      </w:r>
      <w:r w:rsidRPr="006A03E2">
        <w:rPr>
          <w:noProof/>
        </w:rPr>
        <w:t xml:space="preserve"> EU ETS. However, they entail simplification </w:t>
      </w:r>
      <w:r w:rsidR="004A6DEA">
        <w:rPr>
          <w:noProof/>
        </w:rPr>
        <w:t>more</w:t>
      </w:r>
      <w:r w:rsidRPr="006A03E2">
        <w:rPr>
          <w:noProof/>
        </w:rPr>
        <w:t xml:space="preserve"> broad</w:t>
      </w:r>
      <w:r w:rsidR="00757E34">
        <w:rPr>
          <w:noProof/>
        </w:rPr>
        <w:t>ly</w:t>
      </w:r>
      <w:r w:rsidRPr="006A03E2">
        <w:rPr>
          <w:noProof/>
        </w:rPr>
        <w:t xml:space="preserve">, as EU-wide climate action should prevent a </w:t>
      </w:r>
      <w:r w:rsidR="00FD23E2" w:rsidRPr="006A03E2">
        <w:rPr>
          <w:noProof/>
        </w:rPr>
        <w:t xml:space="preserve">piecemeal </w:t>
      </w:r>
      <w:r w:rsidRPr="006A03E2">
        <w:rPr>
          <w:noProof/>
        </w:rPr>
        <w:t xml:space="preserve">approach </w:t>
      </w:r>
      <w:r w:rsidR="00A128D8">
        <w:rPr>
          <w:noProof/>
        </w:rPr>
        <w:t>where</w:t>
      </w:r>
      <w:r w:rsidR="00266A27">
        <w:rPr>
          <w:noProof/>
        </w:rPr>
        <w:t>in</w:t>
      </w:r>
      <w:r w:rsidRPr="006A03E2">
        <w:rPr>
          <w:noProof/>
        </w:rPr>
        <w:t xml:space="preserve"> national or subnational measures add complexity to the </w:t>
      </w:r>
      <w:r w:rsidR="00266A27">
        <w:rPr>
          <w:noProof/>
        </w:rPr>
        <w:t>single</w:t>
      </w:r>
      <w:r w:rsidR="00266A27" w:rsidRPr="006A03E2">
        <w:rPr>
          <w:noProof/>
        </w:rPr>
        <w:t xml:space="preserve"> </w:t>
      </w:r>
      <w:r w:rsidRPr="006A03E2">
        <w:rPr>
          <w:noProof/>
        </w:rPr>
        <w:t>market. In addition, the carbon</w:t>
      </w:r>
      <w:r w:rsidR="00163B1A">
        <w:rPr>
          <w:noProof/>
        </w:rPr>
        <w:t>-</w:t>
      </w:r>
      <w:r w:rsidR="00163B1A" w:rsidRPr="006A03E2">
        <w:rPr>
          <w:noProof/>
        </w:rPr>
        <w:t xml:space="preserve">leakage prevention measures </w:t>
      </w:r>
      <w:r w:rsidR="00BC7D5A">
        <w:rPr>
          <w:noProof/>
        </w:rPr>
        <w:t>proposed</w:t>
      </w:r>
      <w:r w:rsidR="00163B1A" w:rsidRPr="006A03E2">
        <w:rPr>
          <w:noProof/>
        </w:rPr>
        <w:t xml:space="preserve"> </w:t>
      </w:r>
      <w:r w:rsidR="00BC7D5A">
        <w:rPr>
          <w:noProof/>
        </w:rPr>
        <w:t>simplify</w:t>
      </w:r>
      <w:r w:rsidR="00163B1A" w:rsidRPr="006A03E2">
        <w:rPr>
          <w:noProof/>
        </w:rPr>
        <w:t xml:space="preserve"> the provision of free allocation</w:t>
      </w:r>
      <w:r w:rsidR="00AF1C01">
        <w:rPr>
          <w:noProof/>
        </w:rPr>
        <w:t xml:space="preserve"> </w:t>
      </w:r>
      <w:r w:rsidRPr="006A03E2">
        <w:rPr>
          <w:noProof/>
        </w:rPr>
        <w:t>by not updating the carbon</w:t>
      </w:r>
      <w:r w:rsidR="00163B1A">
        <w:rPr>
          <w:noProof/>
        </w:rPr>
        <w:t>-</w:t>
      </w:r>
      <w:r w:rsidRPr="006A03E2">
        <w:rPr>
          <w:noProof/>
        </w:rPr>
        <w:t xml:space="preserve">leakage list for Phase V (2031-2040), thereby eliminating administrative burden for operators. The proposed option of expanding conditionality in free allocation would involve </w:t>
      </w:r>
      <w:r w:rsidR="00163B1A">
        <w:rPr>
          <w:noProof/>
        </w:rPr>
        <w:t>an</w:t>
      </w:r>
      <w:r w:rsidR="00163B1A" w:rsidRPr="006A03E2">
        <w:rPr>
          <w:noProof/>
        </w:rPr>
        <w:t xml:space="preserve"> </w:t>
      </w:r>
      <w:r w:rsidRPr="006A03E2">
        <w:rPr>
          <w:noProof/>
        </w:rPr>
        <w:t xml:space="preserve">increase in administrative effort, which has to be weighed against the environmental benefits of conditionality and the value of free allocation (see </w:t>
      </w:r>
      <w:r w:rsidR="00483257">
        <w:rPr>
          <w:noProof/>
        </w:rPr>
        <w:t>S</w:t>
      </w:r>
      <w:r w:rsidRPr="006A03E2">
        <w:rPr>
          <w:noProof/>
        </w:rPr>
        <w:t>ection 6.2.1.6 of the impact assessment). The impact assessment (see Annex 12) considers the case for including</w:t>
      </w:r>
      <w:r w:rsidR="00483257">
        <w:rPr>
          <w:noProof/>
        </w:rPr>
        <w:t xml:space="preserve"> a discussion of whether</w:t>
      </w:r>
      <w:r w:rsidR="00F05744">
        <w:rPr>
          <w:noProof/>
        </w:rPr>
        <w:t xml:space="preserve"> to include</w:t>
      </w:r>
      <w:r w:rsidRPr="006A03E2">
        <w:rPr>
          <w:noProof/>
        </w:rPr>
        <w:t xml:space="preserve"> more small installations in </w:t>
      </w:r>
      <w:r w:rsidR="00D611A7">
        <w:rPr>
          <w:noProof/>
        </w:rPr>
        <w:t xml:space="preserve">the </w:t>
      </w:r>
      <w:r w:rsidRPr="006A03E2">
        <w:rPr>
          <w:noProof/>
        </w:rPr>
        <w:t xml:space="preserve">EU ETS by lowering the 20 MW thermal capacity threshold. However, in line with the impact assessment, this proposal excludes such an expansion </w:t>
      </w:r>
      <w:r w:rsidR="00D611A7">
        <w:rPr>
          <w:noProof/>
        </w:rPr>
        <w:t>on the basis</w:t>
      </w:r>
      <w:r w:rsidR="00D611A7" w:rsidRPr="006A03E2">
        <w:rPr>
          <w:noProof/>
        </w:rPr>
        <w:t xml:space="preserve"> </w:t>
      </w:r>
      <w:r w:rsidRPr="006A03E2">
        <w:rPr>
          <w:noProof/>
        </w:rPr>
        <w:t>that it would not be proportionate</w:t>
      </w:r>
      <w:r w:rsidR="0077734E">
        <w:rPr>
          <w:noProof/>
        </w:rPr>
        <w:t>, since</w:t>
      </w:r>
      <w:r w:rsidRPr="006A03E2">
        <w:rPr>
          <w:noProof/>
        </w:rPr>
        <w:t xml:space="preserve"> most of the relevant emissions will be covered by EU ETS2.</w:t>
      </w:r>
    </w:p>
    <w:p w14:paraId="76BCECD4" w14:textId="6DFFD3E4" w:rsidR="00426D17" w:rsidRPr="006A03E2" w:rsidRDefault="00426D17" w:rsidP="00426D17">
      <w:pPr>
        <w:rPr>
          <w:noProof/>
        </w:rPr>
      </w:pPr>
      <w:r w:rsidRPr="49ABB109">
        <w:rPr>
          <w:noProof/>
        </w:rPr>
        <w:t xml:space="preserve">The </w:t>
      </w:r>
      <w:r>
        <w:rPr>
          <w:noProof/>
        </w:rPr>
        <w:t>package</w:t>
      </w:r>
      <w:r w:rsidRPr="49ABB109">
        <w:rPr>
          <w:noProof/>
        </w:rPr>
        <w:t xml:space="preserve"> introduces incremental improvements through simplification initiatives with the </w:t>
      </w:r>
      <w:r w:rsidR="0088752E" w:rsidRPr="49ABB109">
        <w:rPr>
          <w:noProof/>
        </w:rPr>
        <w:t>aim of</w:t>
      </w:r>
      <w:r w:rsidRPr="49ABB109">
        <w:rPr>
          <w:noProof/>
        </w:rPr>
        <w:t xml:space="preserve"> </w:t>
      </w:r>
      <w:r w:rsidR="0088752E" w:rsidRPr="49ABB109">
        <w:rPr>
          <w:noProof/>
        </w:rPr>
        <w:t xml:space="preserve">implementing </w:t>
      </w:r>
      <w:r w:rsidRPr="49ABB109">
        <w:rPr>
          <w:noProof/>
        </w:rPr>
        <w:t>the system</w:t>
      </w:r>
      <w:r w:rsidR="00511260" w:rsidRPr="49ABB109">
        <w:rPr>
          <w:noProof/>
        </w:rPr>
        <w:t xml:space="preserve"> in a harmonised</w:t>
      </w:r>
      <w:r w:rsidR="00310D81" w:rsidRPr="49ABB109">
        <w:rPr>
          <w:noProof/>
        </w:rPr>
        <w:t xml:space="preserve"> and robust wa</w:t>
      </w:r>
      <w:r w:rsidR="00546560" w:rsidRPr="49ABB109">
        <w:rPr>
          <w:noProof/>
        </w:rPr>
        <w:t>y</w:t>
      </w:r>
      <w:r w:rsidRPr="49ABB109">
        <w:rPr>
          <w:noProof/>
        </w:rPr>
        <w:t>, minimis</w:t>
      </w:r>
      <w:r w:rsidR="00546560" w:rsidRPr="49ABB109">
        <w:rPr>
          <w:noProof/>
        </w:rPr>
        <w:t>ing</w:t>
      </w:r>
      <w:r w:rsidRPr="49ABB109">
        <w:rPr>
          <w:noProof/>
        </w:rPr>
        <w:t xml:space="preserve"> existing duplications and deliver</w:t>
      </w:r>
      <w:r w:rsidR="00546560" w:rsidRPr="49ABB109">
        <w:rPr>
          <w:noProof/>
        </w:rPr>
        <w:t>ing</w:t>
      </w:r>
      <w:r w:rsidRPr="49ABB109">
        <w:rPr>
          <w:noProof/>
        </w:rPr>
        <w:t xml:space="preserve"> efficiency gains </w:t>
      </w:r>
      <w:r w:rsidR="00546560" w:rsidRPr="49ABB109">
        <w:rPr>
          <w:noProof/>
        </w:rPr>
        <w:t xml:space="preserve">in respect </w:t>
      </w:r>
      <w:r w:rsidRPr="49ABB109">
        <w:rPr>
          <w:noProof/>
        </w:rPr>
        <w:t xml:space="preserve">of the MRV Maritime Regulation. This is in line with the evaluation (see Annex 15, </w:t>
      </w:r>
      <w:r w:rsidR="001252DE" w:rsidRPr="49ABB109">
        <w:rPr>
          <w:noProof/>
        </w:rPr>
        <w:t>S</w:t>
      </w:r>
      <w:r w:rsidRPr="49ABB109">
        <w:rPr>
          <w:noProof/>
        </w:rPr>
        <w:t xml:space="preserve">ection </w:t>
      </w:r>
      <w:r w:rsidR="00AF1C01" w:rsidRPr="49ABB109">
        <w:rPr>
          <w:noProof/>
        </w:rPr>
        <w:t>8</w:t>
      </w:r>
      <w:r w:rsidRPr="49ABB109">
        <w:rPr>
          <w:noProof/>
        </w:rPr>
        <w:t xml:space="preserve">.5 of the accompanying impact assessment), which </w:t>
      </w:r>
      <w:r w:rsidR="00AF1BD8" w:rsidRPr="49ABB109">
        <w:rPr>
          <w:noProof/>
        </w:rPr>
        <w:t xml:space="preserve">concluded </w:t>
      </w:r>
      <w:r w:rsidRPr="49ABB109">
        <w:rPr>
          <w:noProof/>
        </w:rPr>
        <w:t>that the incremental improvements proposed would be better than a structural overhaul of the MRV system, considering that the MRV system functions as a robust framework, and has successfully handled the changes stemming from the 2023 revision without compromising overall data quality or usability.</w:t>
      </w:r>
    </w:p>
    <w:p w14:paraId="48D67D06" w14:textId="77777777" w:rsidR="00426D17" w:rsidRPr="006A03E2" w:rsidRDefault="00AE2B7C" w:rsidP="00426D17">
      <w:pPr>
        <w:rPr>
          <w:noProof/>
        </w:rPr>
      </w:pPr>
      <w:r w:rsidRPr="006A03E2">
        <w:rPr>
          <w:noProof/>
        </w:rPr>
        <w:t xml:space="preserve">Policy measure SI1 for maritime ‘Simplification, and targeted enhancement measures’ includes specific </w:t>
      </w:r>
      <w:r>
        <w:rPr>
          <w:noProof/>
        </w:rPr>
        <w:t xml:space="preserve">provisions to </w:t>
      </w:r>
      <w:r w:rsidRPr="006A03E2">
        <w:rPr>
          <w:noProof/>
        </w:rPr>
        <w:t>simplif</w:t>
      </w:r>
      <w:r>
        <w:rPr>
          <w:noProof/>
        </w:rPr>
        <w:t>y</w:t>
      </w:r>
      <w:r w:rsidRPr="006A03E2">
        <w:rPr>
          <w:noProof/>
        </w:rPr>
        <w:t xml:space="preserve"> the MRV </w:t>
      </w:r>
      <w:r>
        <w:rPr>
          <w:noProof/>
        </w:rPr>
        <w:t>M</w:t>
      </w:r>
      <w:r w:rsidRPr="006A03E2">
        <w:rPr>
          <w:noProof/>
        </w:rPr>
        <w:t>aritime system</w:t>
      </w:r>
      <w:r w:rsidR="00231E6E">
        <w:rPr>
          <w:noProof/>
        </w:rPr>
        <w:t xml:space="preserve"> </w:t>
      </w:r>
      <w:r w:rsidR="00426D17" w:rsidRPr="006A03E2">
        <w:rPr>
          <w:noProof/>
        </w:rPr>
        <w:t xml:space="preserve">which would enable shipping companies to exploit untapped synergies, minimise undue burden, and ultimately reduce administrative compliance costs. Among other things, the measure would ensure that one entity is responsible for compliance in respect of the emissions of a given ship under the ETS/MRV </w:t>
      </w:r>
      <w:r w:rsidR="003764EF">
        <w:rPr>
          <w:noProof/>
        </w:rPr>
        <w:t>M</w:t>
      </w:r>
      <w:r w:rsidR="00426D17" w:rsidRPr="006A03E2">
        <w:rPr>
          <w:noProof/>
        </w:rPr>
        <w:t xml:space="preserve">aritime and the FuelEU Maritime systems and that the monitoring-and-reporting-only-once principle is fully implemented through a shared common MRV compliance cycle. The </w:t>
      </w:r>
      <w:r w:rsidR="00150B01">
        <w:rPr>
          <w:noProof/>
        </w:rPr>
        <w:t>accompanying</w:t>
      </w:r>
      <w:r w:rsidR="00426D17" w:rsidRPr="006A03E2">
        <w:rPr>
          <w:noProof/>
        </w:rPr>
        <w:t xml:space="preserve"> impact assessment estimates that simplification elements for </w:t>
      </w:r>
      <w:r w:rsidR="00C42EFE">
        <w:rPr>
          <w:noProof/>
        </w:rPr>
        <w:t xml:space="preserve">the </w:t>
      </w:r>
      <w:r w:rsidR="00C42EFE" w:rsidRPr="006A03E2">
        <w:rPr>
          <w:noProof/>
        </w:rPr>
        <w:t xml:space="preserve">maritime </w:t>
      </w:r>
      <w:r w:rsidR="00C42EFE">
        <w:rPr>
          <w:noProof/>
        </w:rPr>
        <w:t>sector would mean</w:t>
      </w:r>
      <w:r w:rsidR="00426D17" w:rsidRPr="006A03E2">
        <w:rPr>
          <w:noProof/>
        </w:rPr>
        <w:t xml:space="preserve"> annual savings </w:t>
      </w:r>
      <w:r w:rsidR="005232C7">
        <w:rPr>
          <w:noProof/>
        </w:rPr>
        <w:t>of</w:t>
      </w:r>
      <w:r w:rsidR="00426D17" w:rsidRPr="006A03E2">
        <w:rPr>
          <w:noProof/>
        </w:rPr>
        <w:t xml:space="preserve"> between 10% and 20% of current annual MRV administrative compliance costs</w:t>
      </w:r>
      <w:r w:rsidR="005232C7">
        <w:rPr>
          <w:noProof/>
        </w:rPr>
        <w:t xml:space="preserve"> for shipping companies</w:t>
      </w:r>
      <w:r w:rsidR="00426D17" w:rsidRPr="006A03E2">
        <w:rPr>
          <w:noProof/>
        </w:rPr>
        <w:t>.</w:t>
      </w:r>
    </w:p>
    <w:p w14:paraId="67871A55" w14:textId="77777777" w:rsidR="00426D17" w:rsidRPr="00426D17" w:rsidRDefault="00426D17" w:rsidP="00426D17">
      <w:pPr>
        <w:rPr>
          <w:noProof/>
        </w:rPr>
      </w:pPr>
      <w:r w:rsidRPr="006A03E2">
        <w:rPr>
          <w:noProof/>
        </w:rPr>
        <w:t xml:space="preserve">Simplification is also proposed for aviation, in particular for smaller operators, </w:t>
      </w:r>
      <w:r w:rsidR="002A0279">
        <w:rPr>
          <w:noProof/>
        </w:rPr>
        <w:t>in</w:t>
      </w:r>
      <w:r w:rsidR="003339A3">
        <w:rPr>
          <w:noProof/>
        </w:rPr>
        <w:t xml:space="preserve"> respect of whom </w:t>
      </w:r>
      <w:r w:rsidRPr="006A03E2">
        <w:rPr>
          <w:noProof/>
        </w:rPr>
        <w:t xml:space="preserve">the definition of commercial status is removed, and replaced by a straightforward emissions threshold that applies to all operators equally. </w:t>
      </w:r>
      <w:r w:rsidR="007E2FC6">
        <w:rPr>
          <w:noProof/>
        </w:rPr>
        <w:t>N</w:t>
      </w:r>
      <w:r w:rsidRPr="006A03E2">
        <w:rPr>
          <w:noProof/>
        </w:rPr>
        <w:t>ewly covered operators</w:t>
      </w:r>
      <w:r w:rsidR="007E2FC6">
        <w:rPr>
          <w:noProof/>
        </w:rPr>
        <w:t>,</w:t>
      </w:r>
      <w:r w:rsidR="002536C0">
        <w:rPr>
          <w:noProof/>
        </w:rPr>
        <w:t xml:space="preserve"> and the</w:t>
      </w:r>
      <w:r w:rsidRPr="006A03E2">
        <w:rPr>
          <w:noProof/>
        </w:rPr>
        <w:t xml:space="preserve"> increased number of existing operators with low activity, due to an increase of the relevant threshold, can rely on simplified monitoring and reporting</w:t>
      </w:r>
      <w:r>
        <w:rPr>
          <w:noProof/>
        </w:rPr>
        <w:t xml:space="preserve"> and</w:t>
      </w:r>
      <w:r w:rsidRPr="006A03E2">
        <w:rPr>
          <w:noProof/>
        </w:rPr>
        <w:t xml:space="preserve"> a waiver of verification. </w:t>
      </w:r>
      <w:r w:rsidR="0033753B">
        <w:rPr>
          <w:noProof/>
        </w:rPr>
        <w:t>E</w:t>
      </w:r>
      <w:r w:rsidRPr="006A03E2">
        <w:rPr>
          <w:noProof/>
        </w:rPr>
        <w:t>xclu</w:t>
      </w:r>
      <w:r w:rsidR="0033753B">
        <w:rPr>
          <w:noProof/>
        </w:rPr>
        <w:t>ding</w:t>
      </w:r>
      <w:r w:rsidRPr="006A03E2">
        <w:rPr>
          <w:noProof/>
        </w:rPr>
        <w:t xml:space="preserve"> operators with </w:t>
      </w:r>
      <w:r w:rsidR="00FF6609">
        <w:rPr>
          <w:noProof/>
        </w:rPr>
        <w:t>a</w:t>
      </w:r>
      <w:r w:rsidRPr="006A03E2">
        <w:rPr>
          <w:noProof/>
        </w:rPr>
        <w:t xml:space="preserve"> very low EU ETS surrender obligation ensures that the administrative burden on airlines and administering authorities remains limited, without compromising environmental ambition. </w:t>
      </w:r>
    </w:p>
    <w:p w14:paraId="450A0FD6" w14:textId="77777777" w:rsidR="006052EE" w:rsidRPr="00616539" w:rsidRDefault="006052EE" w:rsidP="00616539">
      <w:pPr>
        <w:pStyle w:val="Bullet0"/>
        <w:rPr>
          <w:b/>
          <w:bCs/>
          <w:noProof/>
        </w:rPr>
      </w:pPr>
      <w:r w:rsidRPr="00616539">
        <w:rPr>
          <w:b/>
          <w:bCs/>
          <w:noProof/>
        </w:rPr>
        <w:t>Fundamental rights</w:t>
      </w:r>
    </w:p>
    <w:p w14:paraId="2E0E603B" w14:textId="77777777" w:rsidR="00591CB6" w:rsidRDefault="00591CB6" w:rsidP="00591CB6">
      <w:pPr>
        <w:rPr>
          <w:noProof/>
          <w:lang w:val="en-US" w:eastAsia="en-GB"/>
        </w:rPr>
      </w:pPr>
      <w:r>
        <w:rPr>
          <w:noProof/>
        </w:rPr>
        <w:t>The proposal respects fundamental rights and</w:t>
      </w:r>
      <w:r w:rsidR="00A45213">
        <w:rPr>
          <w:noProof/>
        </w:rPr>
        <w:t>, in particular,</w:t>
      </w:r>
      <w:r>
        <w:rPr>
          <w:noProof/>
        </w:rPr>
        <w:t xml:space="preserve"> observes the principles </w:t>
      </w:r>
      <w:r w:rsidR="004A3479">
        <w:rPr>
          <w:noProof/>
        </w:rPr>
        <w:t>of</w:t>
      </w:r>
      <w:r>
        <w:rPr>
          <w:noProof/>
        </w:rPr>
        <w:t xml:space="preserve"> the Charter of Fundamental Rights of the European Union. In particular, it contributes to the objective of a high level of environmental protection in accordance with the principle of sustainable development as laid down in Article 37 of the Charter</w:t>
      </w:r>
      <w:r>
        <w:rPr>
          <w:rStyle w:val="FootnoteReference"/>
          <w:noProof/>
        </w:rPr>
        <w:footnoteReference w:id="37"/>
      </w:r>
      <w:r>
        <w:rPr>
          <w:noProof/>
        </w:rPr>
        <w:t>.</w:t>
      </w:r>
    </w:p>
    <w:p w14:paraId="788E88F4" w14:textId="074E0801" w:rsidR="006052EE" w:rsidRDefault="006052EE" w:rsidP="009E1F0E">
      <w:pPr>
        <w:pStyle w:val="Heading1"/>
        <w:rPr>
          <w:noProof/>
        </w:rPr>
      </w:pPr>
      <w:r w:rsidRPr="00550536">
        <w:rPr>
          <w:noProof/>
        </w:rPr>
        <w:t>BUDGETARY IMPLICATIONS</w:t>
      </w:r>
    </w:p>
    <w:p w14:paraId="0F28EA76" w14:textId="77777777" w:rsidR="008A21C0" w:rsidRPr="00761DE9" w:rsidRDefault="008A21C0" w:rsidP="008A21C0">
      <w:pPr>
        <w:rPr>
          <w:noProof/>
        </w:rPr>
      </w:pPr>
      <w:r w:rsidRPr="00761DE9">
        <w:rPr>
          <w:noProof/>
        </w:rPr>
        <w:t xml:space="preserve">The budgetary implications of the initiative </w:t>
      </w:r>
      <w:r w:rsidR="001526CF" w:rsidRPr="00761DE9">
        <w:rPr>
          <w:noProof/>
        </w:rPr>
        <w:t>and the human and administrative resources required</w:t>
      </w:r>
      <w:r w:rsidRPr="00761DE9">
        <w:rPr>
          <w:noProof/>
        </w:rPr>
        <w:t xml:space="preserve"> are set out in the </w:t>
      </w:r>
      <w:r w:rsidR="00F6053B" w:rsidRPr="00761DE9">
        <w:rPr>
          <w:noProof/>
        </w:rPr>
        <w:t>financial statement</w:t>
      </w:r>
      <w:r w:rsidR="00F6053B">
        <w:rPr>
          <w:noProof/>
        </w:rPr>
        <w:t xml:space="preserve"> </w:t>
      </w:r>
      <w:r w:rsidRPr="00761DE9">
        <w:rPr>
          <w:noProof/>
        </w:rPr>
        <w:t>showing the budgetary implications.</w:t>
      </w:r>
    </w:p>
    <w:p w14:paraId="2FB7610C" w14:textId="5BA137FA" w:rsidR="006052EE" w:rsidRPr="00550536" w:rsidRDefault="006052EE" w:rsidP="009E1F0E">
      <w:pPr>
        <w:pStyle w:val="Heading1"/>
        <w:rPr>
          <w:noProof/>
        </w:rPr>
      </w:pPr>
      <w:r w:rsidRPr="00550536">
        <w:rPr>
          <w:noProof/>
        </w:rPr>
        <w:t>OTHER ELEMENTS</w:t>
      </w:r>
    </w:p>
    <w:p w14:paraId="2912DB55" w14:textId="77777777" w:rsidR="006052EE" w:rsidRPr="00616539" w:rsidRDefault="006052EE" w:rsidP="00616539">
      <w:pPr>
        <w:pStyle w:val="Bullet0"/>
        <w:rPr>
          <w:b/>
          <w:bCs/>
          <w:noProof/>
        </w:rPr>
      </w:pPr>
      <w:r w:rsidRPr="00616539">
        <w:rPr>
          <w:b/>
          <w:bCs/>
          <w:noProof/>
        </w:rPr>
        <w:t>Implementation plans and monitoring, evaluation and reporting arrangements</w:t>
      </w:r>
    </w:p>
    <w:p w14:paraId="53751AC7" w14:textId="77777777" w:rsidR="008A21C0" w:rsidRDefault="008A21C0" w:rsidP="008A21C0">
      <w:pPr>
        <w:rPr>
          <w:noProof/>
        </w:rPr>
      </w:pPr>
      <w:r w:rsidRPr="00334031">
        <w:rPr>
          <w:noProof/>
        </w:rPr>
        <w:t xml:space="preserve">The Commission will continue to monitor and evaluate the functioning of the ETS in its annual Carbon Market Report, as </w:t>
      </w:r>
      <w:r w:rsidR="008207BA">
        <w:rPr>
          <w:noProof/>
        </w:rPr>
        <w:t>provided</w:t>
      </w:r>
      <w:r w:rsidR="008207BA" w:rsidRPr="00334031">
        <w:rPr>
          <w:noProof/>
        </w:rPr>
        <w:t xml:space="preserve"> </w:t>
      </w:r>
      <w:r w:rsidRPr="00334031">
        <w:rPr>
          <w:noProof/>
        </w:rPr>
        <w:t xml:space="preserve">under Article 10(5) of the ETS Directive. </w:t>
      </w:r>
      <w:r w:rsidR="008207BA">
        <w:rPr>
          <w:noProof/>
        </w:rPr>
        <w:t xml:space="preserve">The </w:t>
      </w:r>
      <w:r w:rsidR="00B56A26">
        <w:rPr>
          <w:noProof/>
        </w:rPr>
        <w:t>Carbon Market Report</w:t>
      </w:r>
      <w:r w:rsidR="00231E6E">
        <w:rPr>
          <w:noProof/>
        </w:rPr>
        <w:t xml:space="preserve"> </w:t>
      </w:r>
      <w:r>
        <w:rPr>
          <w:noProof/>
        </w:rPr>
        <w:t>will</w:t>
      </w:r>
      <w:r w:rsidRPr="00334031">
        <w:rPr>
          <w:noProof/>
        </w:rPr>
        <w:t xml:space="preserve"> cover the impacts of the current revision of the ETS. </w:t>
      </w:r>
      <w:r w:rsidR="00B56A26">
        <w:rPr>
          <w:noProof/>
        </w:rPr>
        <w:t>It</w:t>
      </w:r>
      <w:r>
        <w:rPr>
          <w:noProof/>
        </w:rPr>
        <w:t xml:space="preserve"> relies on the analysis of the </w:t>
      </w:r>
      <w:r w:rsidRPr="00334031">
        <w:rPr>
          <w:noProof/>
        </w:rPr>
        <w:t>evaluation of progress on the application of the ETS Directive</w:t>
      </w:r>
      <w:r>
        <w:rPr>
          <w:noProof/>
        </w:rPr>
        <w:t xml:space="preserve"> that i</w:t>
      </w:r>
      <w:r w:rsidRPr="00334031">
        <w:rPr>
          <w:noProof/>
        </w:rPr>
        <w:t xml:space="preserve">s regulated </w:t>
      </w:r>
      <w:r>
        <w:rPr>
          <w:noProof/>
        </w:rPr>
        <w:t>in</w:t>
      </w:r>
      <w:r w:rsidRPr="00334031">
        <w:rPr>
          <w:noProof/>
        </w:rPr>
        <w:t xml:space="preserve"> Article 21</w:t>
      </w:r>
      <w:r>
        <w:rPr>
          <w:noProof/>
        </w:rPr>
        <w:t xml:space="preserve"> of the ETS Directive</w:t>
      </w:r>
      <w:r w:rsidRPr="00334031">
        <w:rPr>
          <w:noProof/>
        </w:rPr>
        <w:t xml:space="preserve">, </w:t>
      </w:r>
      <w:r w:rsidR="00C55C86">
        <w:rPr>
          <w:noProof/>
        </w:rPr>
        <w:t xml:space="preserve">and </w:t>
      </w:r>
      <w:r w:rsidRPr="00334031">
        <w:rPr>
          <w:noProof/>
        </w:rPr>
        <w:t>which requires Member States to report to the Commission on issues including the allocation of allowances, operation of the Registry, application of monitoring and reporting, verification and accreditation and issues relating to compliance. The</w:t>
      </w:r>
      <w:r w:rsidR="00DF62A6">
        <w:rPr>
          <w:noProof/>
        </w:rPr>
        <w:t xml:space="preserve"> provisions on the</w:t>
      </w:r>
      <w:r w:rsidRPr="00334031">
        <w:rPr>
          <w:noProof/>
        </w:rPr>
        <w:t xml:space="preserve"> annual Carbon Market Report and Member States reporting also apply to the sectors to which </w:t>
      </w:r>
      <w:r w:rsidR="00A709C7">
        <w:rPr>
          <w:noProof/>
        </w:rPr>
        <w:t>the ETS</w:t>
      </w:r>
      <w:r w:rsidRPr="00334031">
        <w:rPr>
          <w:noProof/>
        </w:rPr>
        <w:t xml:space="preserve"> </w:t>
      </w:r>
      <w:r w:rsidR="002458E9">
        <w:rPr>
          <w:noProof/>
        </w:rPr>
        <w:t xml:space="preserve">has been </w:t>
      </w:r>
      <w:r w:rsidRPr="00334031">
        <w:rPr>
          <w:noProof/>
        </w:rPr>
        <w:t xml:space="preserve">extended. The MRV data obtained through the regulation of the new sectors will be a key source </w:t>
      </w:r>
      <w:r w:rsidR="002458E9">
        <w:rPr>
          <w:noProof/>
        </w:rPr>
        <w:t>of</w:t>
      </w:r>
      <w:r w:rsidR="002458E9" w:rsidRPr="00334031">
        <w:rPr>
          <w:noProof/>
        </w:rPr>
        <w:t xml:space="preserve"> </w:t>
      </w:r>
      <w:r w:rsidRPr="00334031">
        <w:rPr>
          <w:noProof/>
        </w:rPr>
        <w:t xml:space="preserve">information for the Commission to evaluate progress in the sectors concerned. </w:t>
      </w:r>
    </w:p>
    <w:p w14:paraId="4E912866" w14:textId="77777777" w:rsidR="008A21C0" w:rsidRDefault="008A21C0" w:rsidP="008A21C0">
      <w:pPr>
        <w:rPr>
          <w:noProof/>
        </w:rPr>
      </w:pPr>
      <w:r w:rsidRPr="00334031">
        <w:rPr>
          <w:noProof/>
        </w:rPr>
        <w:t xml:space="preserve">With respect to maritime transport, the Commission will rely on data collected through the EU maritime transport MRV system and </w:t>
      </w:r>
      <w:r w:rsidR="00F0352F">
        <w:rPr>
          <w:noProof/>
        </w:rPr>
        <w:t>on</w:t>
      </w:r>
      <w:r w:rsidRPr="00334031">
        <w:rPr>
          <w:noProof/>
        </w:rPr>
        <w:t xml:space="preserve"> analysis from the annual report on </w:t>
      </w:r>
      <w:r w:rsidR="003E02F7">
        <w:rPr>
          <w:noProof/>
        </w:rPr>
        <w:t xml:space="preserve">GHG </w:t>
      </w:r>
      <w:r w:rsidRPr="00334031">
        <w:rPr>
          <w:noProof/>
        </w:rPr>
        <w:t xml:space="preserve">emissions from maritime transport, which provides aggregated and explained results. The integrated governance and monitoring process under the Regulation </w:t>
      </w:r>
      <w:r w:rsidR="0087351D">
        <w:rPr>
          <w:noProof/>
        </w:rPr>
        <w:t>(EU) 2018/1999</w:t>
      </w:r>
      <w:r w:rsidR="005E52C5" w:rsidRPr="00334031">
        <w:rPr>
          <w:noProof/>
        </w:rPr>
        <w:t xml:space="preserve"> </w:t>
      </w:r>
      <w:r w:rsidRPr="00334031">
        <w:rPr>
          <w:noProof/>
        </w:rPr>
        <w:t>on the Governance of the Energy Union and Climate action</w:t>
      </w:r>
      <w:r w:rsidR="008846AE">
        <w:rPr>
          <w:rStyle w:val="FootnoteReference"/>
          <w:noProof/>
        </w:rPr>
        <w:footnoteReference w:id="38"/>
      </w:r>
      <w:r w:rsidRPr="00334031">
        <w:rPr>
          <w:noProof/>
        </w:rPr>
        <w:t xml:space="preserve"> is also expected to </w:t>
      </w:r>
      <w:r w:rsidR="00015175">
        <w:rPr>
          <w:noProof/>
        </w:rPr>
        <w:t>en</w:t>
      </w:r>
      <w:r w:rsidRPr="00334031">
        <w:rPr>
          <w:noProof/>
        </w:rPr>
        <w:t xml:space="preserve">sure that climate and energy-related actions at European, regional, national and local level, including the ETS, contribute to EU climate neutrality and </w:t>
      </w:r>
      <w:r w:rsidR="00C92E8F">
        <w:rPr>
          <w:noProof/>
        </w:rPr>
        <w:t xml:space="preserve">the </w:t>
      </w:r>
      <w:r w:rsidRPr="00334031">
        <w:rPr>
          <w:noProof/>
        </w:rPr>
        <w:t>Energy Union</w:t>
      </w:r>
      <w:r w:rsidR="0013215C">
        <w:rPr>
          <w:noProof/>
        </w:rPr>
        <w:t>’</w:t>
      </w:r>
      <w:r w:rsidRPr="00334031">
        <w:rPr>
          <w:noProof/>
        </w:rPr>
        <w:t>s objectives. Several market analysts closely follow various aspects of the carbon market, and the Commission will continue to monitor th</w:t>
      </w:r>
      <w:r w:rsidR="00CB2777">
        <w:rPr>
          <w:noProof/>
        </w:rPr>
        <w:t>eir</w:t>
      </w:r>
      <w:r w:rsidRPr="00334031">
        <w:rPr>
          <w:noProof/>
        </w:rPr>
        <w:t xml:space="preserve"> work. </w:t>
      </w:r>
    </w:p>
    <w:p w14:paraId="31C79E4F" w14:textId="77777777" w:rsidR="008A21C0" w:rsidRPr="00334031" w:rsidRDefault="008A21C0" w:rsidP="008A21C0">
      <w:pPr>
        <w:rPr>
          <w:noProof/>
        </w:rPr>
      </w:pPr>
      <w:r>
        <w:rPr>
          <w:noProof/>
        </w:rPr>
        <w:t>T</w:t>
      </w:r>
      <w:r w:rsidR="00E072FF">
        <w:rPr>
          <w:noProof/>
        </w:rPr>
        <w:t xml:space="preserve">he Commission is in </w:t>
      </w:r>
      <w:r w:rsidRPr="00334031">
        <w:rPr>
          <w:noProof/>
        </w:rPr>
        <w:t xml:space="preserve">regular contact with </w:t>
      </w:r>
      <w:r w:rsidR="00757E34" w:rsidRPr="00334031">
        <w:rPr>
          <w:noProof/>
        </w:rPr>
        <w:t>stakeholders and</w:t>
      </w:r>
      <w:r w:rsidR="00E072FF">
        <w:rPr>
          <w:noProof/>
        </w:rPr>
        <w:t xml:space="preserve"> </w:t>
      </w:r>
      <w:r w:rsidRPr="00334031">
        <w:rPr>
          <w:noProof/>
        </w:rPr>
        <w:t xml:space="preserve">is </w:t>
      </w:r>
      <w:r w:rsidR="00E072FF">
        <w:rPr>
          <w:noProof/>
        </w:rPr>
        <w:t xml:space="preserve">therefore </w:t>
      </w:r>
      <w:r w:rsidRPr="00334031">
        <w:rPr>
          <w:noProof/>
        </w:rPr>
        <w:t>alert to their views and concerns about the functioning of the ETS. ETS-related matters are discussed in a dedicated forum, the Climate Change Expert Group (CCEG)</w:t>
      </w:r>
      <w:r w:rsidR="00CF2135">
        <w:rPr>
          <w:noProof/>
        </w:rPr>
        <w:t>,</w:t>
      </w:r>
      <w:r w:rsidRPr="00334031">
        <w:rPr>
          <w:noProof/>
        </w:rPr>
        <w:t xml:space="preserve"> which brings together Member States</w:t>
      </w:r>
      <w:r w:rsidR="00CF2135">
        <w:rPr>
          <w:noProof/>
        </w:rPr>
        <w:t>’</w:t>
      </w:r>
      <w:r w:rsidRPr="00334031">
        <w:rPr>
          <w:noProof/>
        </w:rPr>
        <w:t xml:space="preserve"> </w:t>
      </w:r>
      <w:r>
        <w:rPr>
          <w:noProof/>
        </w:rPr>
        <w:t>c</w:t>
      </w:r>
      <w:r w:rsidRPr="00334031">
        <w:rPr>
          <w:noProof/>
        </w:rPr>
        <w:t xml:space="preserve">ompetent </w:t>
      </w:r>
      <w:r>
        <w:rPr>
          <w:noProof/>
        </w:rPr>
        <w:t>a</w:t>
      </w:r>
      <w:r w:rsidRPr="00334031">
        <w:rPr>
          <w:noProof/>
        </w:rPr>
        <w:t>uthorities, industry associations and NGOs</w:t>
      </w:r>
      <w:r w:rsidR="00A709C7">
        <w:rPr>
          <w:noProof/>
        </w:rPr>
        <w:t>,</w:t>
      </w:r>
      <w:r w:rsidRPr="00334031">
        <w:rPr>
          <w:noProof/>
        </w:rPr>
        <w:t xml:space="preserve"> and the Commission. In its different formations, the CCEG discusses the implementation of free allocation, auctioning and issues related to the functioning of the Union Registry</w:t>
      </w:r>
      <w:r w:rsidR="00CF2135">
        <w:rPr>
          <w:noProof/>
        </w:rPr>
        <w:t>, among other aspects</w:t>
      </w:r>
      <w:r w:rsidRPr="00334031">
        <w:rPr>
          <w:noProof/>
        </w:rPr>
        <w:t xml:space="preserve">. In addition, the ETS Compliance Forum provides the </w:t>
      </w:r>
      <w:r>
        <w:rPr>
          <w:noProof/>
        </w:rPr>
        <w:t>c</w:t>
      </w:r>
      <w:r w:rsidRPr="00334031">
        <w:rPr>
          <w:noProof/>
        </w:rPr>
        <w:t xml:space="preserve">ompetent </w:t>
      </w:r>
      <w:r>
        <w:rPr>
          <w:noProof/>
        </w:rPr>
        <w:t>a</w:t>
      </w:r>
      <w:r w:rsidRPr="00334031">
        <w:rPr>
          <w:noProof/>
        </w:rPr>
        <w:t xml:space="preserve">uthorities of all ETS countries (the 27 Member States, Norway, Iceland and Liechtenstein) with a platform for sharing information, learning and experience, leading to effective implementation of the ETS. The forum </w:t>
      </w:r>
      <w:r w:rsidR="00CF2135">
        <w:rPr>
          <w:noProof/>
        </w:rPr>
        <w:t>organises</w:t>
      </w:r>
      <w:r w:rsidRPr="00334031">
        <w:rPr>
          <w:noProof/>
        </w:rPr>
        <w:t xml:space="preserve"> targeted events, such as the Compliance Forum Conference, </w:t>
      </w:r>
      <w:r w:rsidR="00CF2135">
        <w:rPr>
          <w:noProof/>
        </w:rPr>
        <w:t xml:space="preserve">which is </w:t>
      </w:r>
      <w:r w:rsidR="002049B5">
        <w:rPr>
          <w:noProof/>
        </w:rPr>
        <w:t>held</w:t>
      </w:r>
      <w:r w:rsidR="002049B5" w:rsidRPr="00334031">
        <w:rPr>
          <w:noProof/>
        </w:rPr>
        <w:t xml:space="preserve"> </w:t>
      </w:r>
      <w:r w:rsidRPr="00334031">
        <w:rPr>
          <w:noProof/>
        </w:rPr>
        <w:t xml:space="preserve">annually </w:t>
      </w:r>
      <w:r w:rsidR="002049B5">
        <w:rPr>
          <w:noProof/>
        </w:rPr>
        <w:t>with the aim of</w:t>
      </w:r>
      <w:r w:rsidRPr="00334031">
        <w:rPr>
          <w:noProof/>
        </w:rPr>
        <w:t xml:space="preserve"> sharing experiences and facilitating dialogue among Member States</w:t>
      </w:r>
      <w:r w:rsidR="002049B5">
        <w:rPr>
          <w:noProof/>
        </w:rPr>
        <w:t>’</w:t>
      </w:r>
      <w:r w:rsidRPr="00334031">
        <w:rPr>
          <w:noProof/>
        </w:rPr>
        <w:t xml:space="preserve"> </w:t>
      </w:r>
      <w:r>
        <w:rPr>
          <w:noProof/>
        </w:rPr>
        <w:t>c</w:t>
      </w:r>
      <w:r w:rsidRPr="00334031">
        <w:rPr>
          <w:noProof/>
        </w:rPr>
        <w:t xml:space="preserve">ompetent </w:t>
      </w:r>
      <w:r>
        <w:rPr>
          <w:noProof/>
        </w:rPr>
        <w:t>a</w:t>
      </w:r>
      <w:r w:rsidRPr="00334031">
        <w:rPr>
          <w:noProof/>
        </w:rPr>
        <w:t xml:space="preserve">uthorities, as well as </w:t>
      </w:r>
      <w:r>
        <w:rPr>
          <w:noProof/>
        </w:rPr>
        <w:t>task</w:t>
      </w:r>
      <w:r w:rsidRPr="00334031">
        <w:rPr>
          <w:noProof/>
        </w:rPr>
        <w:t xml:space="preserve"> </w:t>
      </w:r>
      <w:r>
        <w:rPr>
          <w:noProof/>
        </w:rPr>
        <w:t>f</w:t>
      </w:r>
      <w:r w:rsidRPr="00334031">
        <w:rPr>
          <w:noProof/>
        </w:rPr>
        <w:t xml:space="preserve">orces dedicated to specific topics and training events. National </w:t>
      </w:r>
      <w:r w:rsidR="002049B5">
        <w:rPr>
          <w:noProof/>
        </w:rPr>
        <w:t>a</w:t>
      </w:r>
      <w:r w:rsidRPr="00334031">
        <w:rPr>
          <w:noProof/>
        </w:rPr>
        <w:t xml:space="preserve">ccreditation </w:t>
      </w:r>
      <w:r w:rsidR="002049B5">
        <w:rPr>
          <w:noProof/>
        </w:rPr>
        <w:t>b</w:t>
      </w:r>
      <w:r w:rsidRPr="00334031">
        <w:rPr>
          <w:noProof/>
        </w:rPr>
        <w:t xml:space="preserve">odies and verifiers are sometimes invited to participate </w:t>
      </w:r>
      <w:r w:rsidR="002049B5">
        <w:rPr>
          <w:noProof/>
        </w:rPr>
        <w:t>in</w:t>
      </w:r>
      <w:r w:rsidRPr="00334031">
        <w:rPr>
          <w:noProof/>
        </w:rPr>
        <w:t xml:space="preserve"> the activities of the ETS Compliance Forum. Furthermore, the Technical Working Group on ETS MRVA brings together representatives of Member States</w:t>
      </w:r>
      <w:r w:rsidR="00210F8E">
        <w:rPr>
          <w:noProof/>
        </w:rPr>
        <w:t>’</w:t>
      </w:r>
      <w:r w:rsidRPr="00334031">
        <w:rPr>
          <w:noProof/>
        </w:rPr>
        <w:t xml:space="preserve"> </w:t>
      </w:r>
      <w:r>
        <w:rPr>
          <w:noProof/>
        </w:rPr>
        <w:t>c</w:t>
      </w:r>
      <w:r w:rsidRPr="00334031">
        <w:rPr>
          <w:noProof/>
        </w:rPr>
        <w:t xml:space="preserve">ompetent </w:t>
      </w:r>
      <w:r>
        <w:rPr>
          <w:noProof/>
        </w:rPr>
        <w:t>a</w:t>
      </w:r>
      <w:r w:rsidRPr="00334031">
        <w:rPr>
          <w:noProof/>
        </w:rPr>
        <w:t xml:space="preserve">uthorities to share experiences and suggestions concerning </w:t>
      </w:r>
      <w:r w:rsidR="00210F8E">
        <w:rPr>
          <w:noProof/>
        </w:rPr>
        <w:t xml:space="preserve">the </w:t>
      </w:r>
      <w:r w:rsidRPr="00334031">
        <w:rPr>
          <w:noProof/>
        </w:rPr>
        <w:t>effective and efficient implementation of Commission Implementing Regulation (EU) No 2018/2066 (Monitoring and Reporting Regulation) and Commission Implementing Regulation (EU) No. 2018/2067 (Accreditation and Verification Regulation)</w:t>
      </w:r>
      <w:r w:rsidR="004C79C1">
        <w:rPr>
          <w:rStyle w:val="FootnoteReference"/>
          <w:noProof/>
        </w:rPr>
        <w:footnoteReference w:id="39"/>
      </w:r>
      <w:r w:rsidR="00015175">
        <w:rPr>
          <w:noProof/>
        </w:rPr>
        <w:t xml:space="preserve"> </w:t>
      </w:r>
      <w:r w:rsidR="00210F8E">
        <w:rPr>
          <w:noProof/>
        </w:rPr>
        <w:t>and</w:t>
      </w:r>
      <w:r w:rsidRPr="00334031">
        <w:rPr>
          <w:noProof/>
        </w:rPr>
        <w:t xml:space="preserve"> to discuss potential updates and improvements </w:t>
      </w:r>
      <w:r w:rsidR="00210F8E">
        <w:rPr>
          <w:noProof/>
        </w:rPr>
        <w:t>to</w:t>
      </w:r>
      <w:r w:rsidR="00210F8E" w:rsidRPr="00334031">
        <w:rPr>
          <w:noProof/>
        </w:rPr>
        <w:t xml:space="preserve"> </w:t>
      </w:r>
      <w:r w:rsidRPr="00334031">
        <w:rPr>
          <w:noProof/>
        </w:rPr>
        <w:t xml:space="preserve">the ETS MRVA </w:t>
      </w:r>
      <w:r>
        <w:rPr>
          <w:noProof/>
        </w:rPr>
        <w:t>framework</w:t>
      </w:r>
      <w:r w:rsidRPr="00334031">
        <w:rPr>
          <w:noProof/>
        </w:rPr>
        <w:t xml:space="preserve">. </w:t>
      </w:r>
    </w:p>
    <w:p w14:paraId="5210FA97" w14:textId="77777777" w:rsidR="006052EE" w:rsidRPr="00616539" w:rsidRDefault="006052EE" w:rsidP="00616539">
      <w:pPr>
        <w:pStyle w:val="Bullet0"/>
        <w:rPr>
          <w:b/>
          <w:bCs/>
          <w:noProof/>
        </w:rPr>
      </w:pPr>
      <w:r w:rsidRPr="00616539">
        <w:rPr>
          <w:b/>
          <w:bCs/>
          <w:noProof/>
        </w:rPr>
        <w:t>Explanatory documents (for directives)</w:t>
      </w:r>
    </w:p>
    <w:p w14:paraId="706A4E0A" w14:textId="77777777" w:rsidR="00B55BE6" w:rsidRPr="00EF415E" w:rsidRDefault="008A21C0" w:rsidP="008A21C0">
      <w:pPr>
        <w:rPr>
          <w:noProof/>
        </w:rPr>
      </w:pPr>
      <w:r w:rsidRPr="00EF415E">
        <w:rPr>
          <w:noProof/>
        </w:rPr>
        <w:t xml:space="preserve">Member States have undertaken to </w:t>
      </w:r>
      <w:r w:rsidR="00210F8E">
        <w:rPr>
          <w:noProof/>
        </w:rPr>
        <w:t>send</w:t>
      </w:r>
      <w:r w:rsidRPr="00EF415E">
        <w:rPr>
          <w:noProof/>
        </w:rPr>
        <w:t xml:space="preserve"> the notification of their transposition measures with one or more documents explaining </w:t>
      </w:r>
      <w:r w:rsidR="003D51B6">
        <w:rPr>
          <w:noProof/>
        </w:rPr>
        <w:t>how</w:t>
      </w:r>
      <w:r w:rsidRPr="00EF415E">
        <w:rPr>
          <w:noProof/>
        </w:rPr>
        <w:t xml:space="preserve"> the components of a directive and the corresponding parts of national transposition instruments</w:t>
      </w:r>
      <w:r w:rsidR="003D51B6">
        <w:rPr>
          <w:noProof/>
        </w:rPr>
        <w:t xml:space="preserve"> relate to each other, in justified cases</w:t>
      </w:r>
      <w:r w:rsidRPr="00EF415E">
        <w:rPr>
          <w:noProof/>
        </w:rPr>
        <w:t xml:space="preserve">. </w:t>
      </w:r>
      <w:r w:rsidR="00B55BE6" w:rsidRPr="00EF415E">
        <w:rPr>
          <w:noProof/>
        </w:rPr>
        <w:t>Th</w:t>
      </w:r>
      <w:r w:rsidR="00B55BE6">
        <w:rPr>
          <w:noProof/>
        </w:rPr>
        <w:t>is</w:t>
      </w:r>
      <w:r w:rsidR="00B55BE6" w:rsidRPr="00EF415E">
        <w:rPr>
          <w:noProof/>
        </w:rPr>
        <w:t xml:space="preserve"> is considered </w:t>
      </w:r>
      <w:r w:rsidR="00B55BE6">
        <w:rPr>
          <w:noProof/>
        </w:rPr>
        <w:t xml:space="preserve">to be </w:t>
      </w:r>
      <w:r w:rsidR="00B55BE6" w:rsidRPr="00EF415E">
        <w:rPr>
          <w:noProof/>
        </w:rPr>
        <w:t>justified for this proposal</w:t>
      </w:r>
      <w:r w:rsidR="00B55BE6">
        <w:rPr>
          <w:noProof/>
        </w:rPr>
        <w:t>,</w:t>
      </w:r>
      <w:r w:rsidR="00B55BE6" w:rsidRPr="00EF415E">
        <w:rPr>
          <w:noProof/>
        </w:rPr>
        <w:t xml:space="preserve"> </w:t>
      </w:r>
      <w:r w:rsidR="00B55BE6">
        <w:rPr>
          <w:noProof/>
        </w:rPr>
        <w:t>since</w:t>
      </w:r>
      <w:r w:rsidR="00B55BE6" w:rsidRPr="00EF415E">
        <w:rPr>
          <w:noProof/>
        </w:rPr>
        <w:t xml:space="preserve"> targeted amendments will be required</w:t>
      </w:r>
      <w:r w:rsidR="00B55BE6">
        <w:rPr>
          <w:noProof/>
        </w:rPr>
        <w:t xml:space="preserve"> to be made</w:t>
      </w:r>
      <w:r w:rsidR="00B55BE6" w:rsidRPr="00EF415E">
        <w:rPr>
          <w:noProof/>
        </w:rPr>
        <w:t xml:space="preserve"> </w:t>
      </w:r>
      <w:r w:rsidR="00B55BE6">
        <w:rPr>
          <w:noProof/>
        </w:rPr>
        <w:t>to</w:t>
      </w:r>
      <w:r w:rsidR="00B55BE6" w:rsidRPr="00EF415E">
        <w:rPr>
          <w:noProof/>
        </w:rPr>
        <w:t xml:space="preserve"> national laws, </w:t>
      </w:r>
      <w:r w:rsidR="00B55BE6">
        <w:rPr>
          <w:noProof/>
        </w:rPr>
        <w:t>and these</w:t>
      </w:r>
      <w:r w:rsidR="00B55BE6" w:rsidRPr="00EF415E">
        <w:rPr>
          <w:noProof/>
        </w:rPr>
        <w:t xml:space="preserve"> </w:t>
      </w:r>
      <w:r w:rsidR="00B55BE6">
        <w:rPr>
          <w:noProof/>
        </w:rPr>
        <w:t xml:space="preserve">will have to be </w:t>
      </w:r>
      <w:r w:rsidR="00B55BE6" w:rsidRPr="00EF415E">
        <w:rPr>
          <w:noProof/>
        </w:rPr>
        <w:t>identifi</w:t>
      </w:r>
      <w:r w:rsidR="00B55BE6">
        <w:rPr>
          <w:noProof/>
        </w:rPr>
        <w:t>ed</w:t>
      </w:r>
      <w:r w:rsidR="00B55BE6" w:rsidRPr="00EF415E">
        <w:rPr>
          <w:noProof/>
        </w:rPr>
        <w:t xml:space="preserve">, </w:t>
      </w:r>
      <w:r w:rsidR="00B55BE6">
        <w:rPr>
          <w:noProof/>
        </w:rPr>
        <w:t>as will</w:t>
      </w:r>
      <w:r w:rsidR="00B55BE6" w:rsidRPr="00EF415E">
        <w:rPr>
          <w:noProof/>
        </w:rPr>
        <w:t xml:space="preserve"> those provisions </w:t>
      </w:r>
      <w:r w:rsidR="00B55BE6">
        <w:rPr>
          <w:noProof/>
        </w:rPr>
        <w:t xml:space="preserve">in respect of which </w:t>
      </w:r>
      <w:r w:rsidR="00B55BE6" w:rsidRPr="00EF415E">
        <w:rPr>
          <w:noProof/>
        </w:rPr>
        <w:t>transposition</w:t>
      </w:r>
      <w:r w:rsidR="00B55BE6" w:rsidRPr="00A377FB">
        <w:rPr>
          <w:noProof/>
        </w:rPr>
        <w:t xml:space="preserve"> </w:t>
      </w:r>
      <w:r w:rsidR="00B55BE6">
        <w:rPr>
          <w:noProof/>
        </w:rPr>
        <w:t xml:space="preserve">was </w:t>
      </w:r>
      <w:r w:rsidR="00B55BE6" w:rsidRPr="00EF415E">
        <w:rPr>
          <w:noProof/>
        </w:rPr>
        <w:t xml:space="preserve">not considered </w:t>
      </w:r>
      <w:r w:rsidR="00B55BE6">
        <w:rPr>
          <w:noProof/>
        </w:rPr>
        <w:t>necessary.</w:t>
      </w:r>
    </w:p>
    <w:p w14:paraId="3940D802" w14:textId="77777777" w:rsidR="006052EE" w:rsidRPr="00616539" w:rsidRDefault="006052EE" w:rsidP="00616539">
      <w:pPr>
        <w:pStyle w:val="Bullet0"/>
        <w:rPr>
          <w:b/>
          <w:bCs/>
          <w:noProof/>
        </w:rPr>
      </w:pPr>
      <w:r w:rsidRPr="00616539">
        <w:rPr>
          <w:b/>
          <w:bCs/>
          <w:noProof/>
        </w:rPr>
        <w:t>Detailed explanation of the specific provisions of the proposal</w:t>
      </w:r>
    </w:p>
    <w:p w14:paraId="07ABA0AB" w14:textId="77777777" w:rsidR="008A21C0" w:rsidRPr="0007465A" w:rsidRDefault="008A21C0" w:rsidP="008A21C0">
      <w:pPr>
        <w:pBdr>
          <w:top w:val="nil"/>
          <w:left w:val="nil"/>
          <w:bottom w:val="nil"/>
          <w:right w:val="nil"/>
          <w:between w:val="nil"/>
          <w:bar w:val="nil"/>
        </w:pBdr>
        <w:spacing w:before="0" w:after="240"/>
        <w:rPr>
          <w:rFonts w:eastAsia="Arial Unicode MS"/>
          <w:noProof/>
        </w:rPr>
      </w:pPr>
      <w:r w:rsidRPr="0007465A">
        <w:rPr>
          <w:rFonts w:eastAsia="Arial Unicode MS"/>
          <w:noProof/>
        </w:rPr>
        <w:t>The main el</w:t>
      </w:r>
      <w:r w:rsidRPr="3344A574">
        <w:rPr>
          <w:rFonts w:eastAsia="Arial Unicode MS"/>
          <w:noProof/>
        </w:rPr>
        <w:t xml:space="preserve">ements of the ETS Directive which </w:t>
      </w:r>
      <w:r w:rsidR="00935DC3">
        <w:rPr>
          <w:rFonts w:eastAsia="Arial Unicode MS"/>
          <w:noProof/>
        </w:rPr>
        <w:t>have been</w:t>
      </w:r>
      <w:r w:rsidR="00935DC3" w:rsidRPr="3344A574">
        <w:rPr>
          <w:rFonts w:eastAsia="Arial Unicode MS"/>
          <w:noProof/>
        </w:rPr>
        <w:t xml:space="preserve"> </w:t>
      </w:r>
      <w:r w:rsidRPr="3344A574">
        <w:rPr>
          <w:rFonts w:eastAsia="Arial Unicode MS"/>
          <w:noProof/>
        </w:rPr>
        <w:t>amended are the following:</w:t>
      </w:r>
    </w:p>
    <w:p w14:paraId="5E3F6EBA" w14:textId="77777777" w:rsidR="008A21C0" w:rsidRPr="008A21C0" w:rsidRDefault="008A21C0" w:rsidP="004830AF">
      <w:pPr>
        <w:pStyle w:val="Bullet1"/>
        <w:numPr>
          <w:ilvl w:val="0"/>
          <w:numId w:val="17"/>
        </w:numPr>
        <w:rPr>
          <w:b/>
          <w:noProof/>
          <w:lang w:eastAsia="en-GB"/>
        </w:rPr>
      </w:pPr>
      <w:bookmarkStart w:id="5" w:name="_Toc211962803"/>
      <w:r w:rsidRPr="008A21C0">
        <w:rPr>
          <w:b/>
          <w:noProof/>
          <w:lang w:eastAsia="en-GB"/>
        </w:rPr>
        <w:t xml:space="preserve">Cap: </w:t>
      </w:r>
      <w:r w:rsidR="00D97A2E" w:rsidRPr="00D97A2E">
        <w:rPr>
          <w:noProof/>
          <w:lang w:eastAsia="en-GB"/>
        </w:rPr>
        <w:t xml:space="preserve">to align the system with the Union’s 2040 emission reduction target of -90%, </w:t>
      </w:r>
      <w:r w:rsidR="00A65D05">
        <w:rPr>
          <w:noProof/>
          <w:lang w:eastAsia="en-GB"/>
        </w:rPr>
        <w:t xml:space="preserve">it is proposed to amend </w:t>
      </w:r>
      <w:r w:rsidR="00E7220B">
        <w:rPr>
          <w:noProof/>
          <w:lang w:eastAsia="en-GB"/>
        </w:rPr>
        <w:t>Art</w:t>
      </w:r>
      <w:r w:rsidR="00E55D35">
        <w:rPr>
          <w:noProof/>
          <w:lang w:eastAsia="en-GB"/>
        </w:rPr>
        <w:t xml:space="preserve">icle 9 of </w:t>
      </w:r>
      <w:r w:rsidR="00D97A2E" w:rsidRPr="00D97A2E">
        <w:rPr>
          <w:noProof/>
          <w:lang w:eastAsia="en-GB"/>
        </w:rPr>
        <w:t xml:space="preserve">the ETS </w:t>
      </w:r>
      <w:r w:rsidR="00756DDB">
        <w:rPr>
          <w:noProof/>
          <w:lang w:eastAsia="en-GB"/>
        </w:rPr>
        <w:t>Directive in order to</w:t>
      </w:r>
      <w:r w:rsidR="00096704">
        <w:rPr>
          <w:noProof/>
          <w:lang w:eastAsia="en-GB"/>
        </w:rPr>
        <w:t xml:space="preserve"> adjust the EU ETS</w:t>
      </w:r>
      <w:r w:rsidR="00D97A2E" w:rsidRPr="00D97A2E">
        <w:rPr>
          <w:noProof/>
          <w:lang w:eastAsia="en-GB"/>
        </w:rPr>
        <w:t xml:space="preserve"> trajectory from 2031 </w:t>
      </w:r>
      <w:r w:rsidR="0072009A">
        <w:rPr>
          <w:noProof/>
          <w:lang w:eastAsia="en-GB"/>
        </w:rPr>
        <w:t>onwards</w:t>
      </w:r>
      <w:r w:rsidR="00D97A2E" w:rsidRPr="00D97A2E">
        <w:rPr>
          <w:noProof/>
          <w:lang w:eastAsia="en-GB"/>
        </w:rPr>
        <w:t xml:space="preserve">. This change </w:t>
      </w:r>
      <w:r w:rsidR="0072009A">
        <w:rPr>
          <w:noProof/>
          <w:lang w:eastAsia="en-GB"/>
        </w:rPr>
        <w:t>would allow</w:t>
      </w:r>
      <w:r w:rsidR="0072009A" w:rsidRPr="00D97A2E">
        <w:rPr>
          <w:noProof/>
          <w:lang w:eastAsia="en-GB"/>
        </w:rPr>
        <w:t xml:space="preserve"> </w:t>
      </w:r>
      <w:r w:rsidR="000F15F0">
        <w:rPr>
          <w:noProof/>
          <w:lang w:eastAsia="en-GB"/>
        </w:rPr>
        <w:t xml:space="preserve">a slower annual decline and </w:t>
      </w:r>
      <w:r w:rsidR="00D97A2E" w:rsidRPr="00D97A2E">
        <w:rPr>
          <w:noProof/>
          <w:lang w:eastAsia="en-GB"/>
        </w:rPr>
        <w:t>continued issuance of allowances into the 2040s</w:t>
      </w:r>
      <w:r w:rsidRPr="008A21C0">
        <w:rPr>
          <w:noProof/>
          <w:lang w:eastAsia="en-GB"/>
        </w:rPr>
        <w:t>.</w:t>
      </w:r>
    </w:p>
    <w:p w14:paraId="4287AEA9" w14:textId="250570EE" w:rsidR="008A21C0" w:rsidRPr="008A21C0" w:rsidRDefault="008A21C0" w:rsidP="00A03159">
      <w:pPr>
        <w:pStyle w:val="Bullet1"/>
        <w:rPr>
          <w:noProof/>
        </w:rPr>
      </w:pPr>
      <w:r w:rsidRPr="1CD0FBA2">
        <w:rPr>
          <w:b/>
          <w:bCs/>
          <w:noProof/>
          <w:lang w:eastAsia="en-GB"/>
        </w:rPr>
        <w:t>International credits</w:t>
      </w:r>
      <w:r w:rsidRPr="1CD0FBA2">
        <w:rPr>
          <w:noProof/>
          <w:lang w:eastAsia="en-GB"/>
        </w:rPr>
        <w:t>:</w:t>
      </w:r>
      <w:r w:rsidR="00C930E0" w:rsidRPr="1CD0FBA2">
        <w:rPr>
          <w:noProof/>
          <w:lang w:eastAsia="en-GB"/>
        </w:rPr>
        <w:t xml:space="preserve"> </w:t>
      </w:r>
      <w:r w:rsidR="009B6D0E" w:rsidRPr="1CD0FBA2">
        <w:rPr>
          <w:noProof/>
          <w:lang w:eastAsia="en-GB"/>
        </w:rPr>
        <w:t>it is proposed to</w:t>
      </w:r>
      <w:r w:rsidR="00F25413" w:rsidRPr="1CD0FBA2">
        <w:rPr>
          <w:noProof/>
          <w:lang w:eastAsia="en-GB"/>
        </w:rPr>
        <w:t xml:space="preserve"> consider the planned purchase of high-integrity international credits from 2036, reducing the need for domestic abatement of up to 5 percentage points in 2040 while ensuring cost-efficiency and alignment with the Paris Agreement. </w:t>
      </w:r>
      <w:r w:rsidR="0005645E" w:rsidRPr="1CD0FBA2">
        <w:rPr>
          <w:noProof/>
          <w:lang w:eastAsia="en-GB"/>
        </w:rPr>
        <w:t>It is proposed to lower t</w:t>
      </w:r>
      <w:r w:rsidR="00F25413" w:rsidRPr="1CD0FBA2">
        <w:rPr>
          <w:noProof/>
          <w:lang w:eastAsia="en-GB"/>
        </w:rPr>
        <w:t xml:space="preserve">he EU ETS cap to reflect this adjustment, with a reduced LRF from 2036 aligned with reaching an ambition of </w:t>
      </w:r>
      <w:r w:rsidR="00B26BF3" w:rsidRPr="1CD0FBA2">
        <w:rPr>
          <w:noProof/>
          <w:lang w:eastAsia="en-GB"/>
        </w:rPr>
        <w:t>85</w:t>
      </w:r>
      <w:r w:rsidR="00F25413" w:rsidRPr="1CD0FBA2">
        <w:rPr>
          <w:noProof/>
          <w:lang w:eastAsia="en-GB"/>
        </w:rPr>
        <w:t xml:space="preserve">% EU domestic emission reductions by </w:t>
      </w:r>
      <w:r w:rsidR="00757E34" w:rsidRPr="1CD0FBA2">
        <w:rPr>
          <w:noProof/>
          <w:lang w:eastAsia="en-GB"/>
        </w:rPr>
        <w:t>2040 and</w:t>
      </w:r>
      <w:r w:rsidR="00F25413" w:rsidRPr="1CD0FBA2">
        <w:rPr>
          <w:noProof/>
          <w:lang w:eastAsia="en-GB"/>
        </w:rPr>
        <w:t xml:space="preserve"> </w:t>
      </w:r>
      <w:r w:rsidR="0005645E" w:rsidRPr="1CD0FBA2">
        <w:rPr>
          <w:noProof/>
          <w:lang w:eastAsia="en-GB"/>
        </w:rPr>
        <w:t xml:space="preserve">set aside </w:t>
      </w:r>
      <w:r w:rsidR="00F25413" w:rsidRPr="1CD0FBA2">
        <w:rPr>
          <w:noProof/>
          <w:lang w:eastAsia="en-GB"/>
        </w:rPr>
        <w:t>allowances to fund the purchase of the amount of international credits</w:t>
      </w:r>
      <w:r w:rsidR="00B26BF3" w:rsidRPr="1CD0FBA2">
        <w:rPr>
          <w:noProof/>
          <w:lang w:eastAsia="en-GB"/>
        </w:rPr>
        <w:t xml:space="preserve"> (</w:t>
      </w:r>
      <w:r w:rsidR="00927BE4">
        <w:rPr>
          <w:noProof/>
          <w:lang w:eastAsia="en-GB"/>
        </w:rPr>
        <w:t>260</w:t>
      </w:r>
      <w:r w:rsidR="00B26BF3" w:rsidRPr="1CD0FBA2">
        <w:rPr>
          <w:noProof/>
          <w:lang w:eastAsia="en-GB"/>
        </w:rPr>
        <w:t xml:space="preserve"> Mt)</w:t>
      </w:r>
      <w:r w:rsidR="00F25413" w:rsidRPr="1CD0FBA2">
        <w:rPr>
          <w:noProof/>
          <w:lang w:eastAsia="en-GB"/>
        </w:rPr>
        <w:t xml:space="preserve"> corresponding to the EU ETS ambition reduction. A fallback mechanism </w:t>
      </w:r>
      <w:r w:rsidR="0005645E" w:rsidRPr="1CD0FBA2">
        <w:rPr>
          <w:noProof/>
          <w:lang w:eastAsia="en-GB"/>
        </w:rPr>
        <w:t xml:space="preserve">is proposed to </w:t>
      </w:r>
      <w:r w:rsidR="00F25413" w:rsidRPr="1CD0FBA2">
        <w:rPr>
          <w:noProof/>
          <w:lang w:eastAsia="en-GB"/>
        </w:rPr>
        <w:t>preserve</w:t>
      </w:r>
      <w:r w:rsidR="0005645E" w:rsidRPr="1CD0FBA2">
        <w:rPr>
          <w:noProof/>
          <w:lang w:eastAsia="en-GB"/>
        </w:rPr>
        <w:t xml:space="preserve"> the</w:t>
      </w:r>
      <w:r w:rsidR="00F25413" w:rsidRPr="1CD0FBA2">
        <w:rPr>
          <w:noProof/>
          <w:lang w:eastAsia="en-GB"/>
        </w:rPr>
        <w:t xml:space="preserve"> environmental integrity by reverting to a trajectory for ETS sectors aligned with an EU domestic reduction of 90% by 2040 </w:t>
      </w:r>
      <w:r>
        <w:rPr>
          <w:noProof/>
          <w:lang w:eastAsia="en-GB"/>
        </w:rPr>
        <w:t>in</w:t>
      </w:r>
      <w:r w:rsidR="006A217C">
        <w:rPr>
          <w:noProof/>
          <w:lang w:eastAsia="en-GB"/>
        </w:rPr>
        <w:t xml:space="preserve"> the </w:t>
      </w:r>
      <w:r>
        <w:rPr>
          <w:noProof/>
          <w:lang w:eastAsia="en-GB"/>
        </w:rPr>
        <w:t>event</w:t>
      </w:r>
      <w:r w:rsidR="006A217C">
        <w:rPr>
          <w:noProof/>
          <w:lang w:eastAsia="en-GB"/>
        </w:rPr>
        <w:t xml:space="preserve"> </w:t>
      </w:r>
      <w:r w:rsidR="00B26BF3" w:rsidRPr="1CD0FBA2">
        <w:rPr>
          <w:noProof/>
          <w:lang w:eastAsia="en-GB"/>
        </w:rPr>
        <w:t>high-quality and high-integrity, cost-effective international credits are not available, subject to the report from the  Commission on the development of a high-quality and high-integrity international credit market, taking into account the criteria set out in Regulation 2021/1119/EU, and the contribution of these credits to the climate ambition of the ETS sectors</w:t>
      </w:r>
      <w:r w:rsidR="00F25413" w:rsidRPr="1CD0FBA2">
        <w:rPr>
          <w:noProof/>
          <w:lang w:eastAsia="en-GB"/>
        </w:rPr>
        <w:t xml:space="preserve"> (see proposed new Article 9b).</w:t>
      </w:r>
    </w:p>
    <w:p w14:paraId="6A44621B" w14:textId="77777777" w:rsidR="008A21C0" w:rsidRPr="008A21C0" w:rsidRDefault="008A21C0" w:rsidP="1CD0FBA2">
      <w:pPr>
        <w:pStyle w:val="Bullet1"/>
        <w:rPr>
          <w:b/>
          <w:bCs/>
          <w:noProof/>
          <w:lang w:eastAsia="en-GB"/>
        </w:rPr>
      </w:pPr>
      <w:r w:rsidRPr="1CD0FBA2">
        <w:rPr>
          <w:b/>
          <w:bCs/>
          <w:noProof/>
          <w:lang w:eastAsia="en-GB"/>
        </w:rPr>
        <w:t xml:space="preserve">Carbon removals: </w:t>
      </w:r>
      <w:bookmarkEnd w:id="5"/>
      <w:r w:rsidR="00B25B96" w:rsidRPr="1CD0FBA2">
        <w:rPr>
          <w:noProof/>
          <w:lang w:eastAsia="en-GB"/>
        </w:rPr>
        <w:t>it is proposed to introduce in the ETS Directive</w:t>
      </w:r>
      <w:r w:rsidR="00B25B96" w:rsidRPr="1CD0FBA2">
        <w:rPr>
          <w:b/>
          <w:bCs/>
          <w:noProof/>
          <w:lang w:eastAsia="en-GB"/>
        </w:rPr>
        <w:t xml:space="preserve"> </w:t>
      </w:r>
      <w:r w:rsidR="00B25B96" w:rsidRPr="1CD0FBA2">
        <w:rPr>
          <w:noProof/>
          <w:lang w:eastAsia="en-GB"/>
        </w:rPr>
        <w:t xml:space="preserve">a </w:t>
      </w:r>
      <w:r w:rsidRPr="1CD0FBA2">
        <w:rPr>
          <w:noProof/>
          <w:lang w:eastAsia="en-GB"/>
        </w:rPr>
        <w:t>new Article 9c incorporat</w:t>
      </w:r>
      <w:r w:rsidR="00B25B96" w:rsidRPr="1CD0FBA2">
        <w:rPr>
          <w:noProof/>
          <w:lang w:eastAsia="en-GB"/>
        </w:rPr>
        <w:t>ing</w:t>
      </w:r>
      <w:r w:rsidRPr="1CD0FBA2">
        <w:rPr>
          <w:noProof/>
          <w:lang w:eastAsia="en-GB"/>
        </w:rPr>
        <w:t xml:space="preserve"> permanent carbon removals into the EU ETS by increasing the cap by the number of allowances corresponding to the CRCF domestic permanent </w:t>
      </w:r>
      <w:r w:rsidR="001423D1" w:rsidRPr="1CD0FBA2">
        <w:rPr>
          <w:noProof/>
          <w:lang w:eastAsia="en-GB"/>
        </w:rPr>
        <w:t>biogenic emissions capture with carbon storage (</w:t>
      </w:r>
      <w:r w:rsidRPr="1CD0FBA2">
        <w:rPr>
          <w:noProof/>
          <w:lang w:eastAsia="en-GB"/>
        </w:rPr>
        <w:t>BioCCS</w:t>
      </w:r>
      <w:r w:rsidR="001423D1" w:rsidRPr="1CD0FBA2">
        <w:rPr>
          <w:noProof/>
          <w:lang w:eastAsia="en-GB"/>
        </w:rPr>
        <w:t>)</w:t>
      </w:r>
      <w:r w:rsidRPr="1CD0FBA2">
        <w:rPr>
          <w:noProof/>
          <w:lang w:eastAsia="en-GB"/>
        </w:rPr>
        <w:t xml:space="preserve"> and </w:t>
      </w:r>
      <w:r w:rsidR="001423D1" w:rsidRPr="1CD0FBA2">
        <w:rPr>
          <w:noProof/>
          <w:lang w:eastAsia="en-GB"/>
        </w:rPr>
        <w:t>direct air capture with carbon storage (</w:t>
      </w:r>
      <w:r w:rsidRPr="1CD0FBA2">
        <w:rPr>
          <w:noProof/>
          <w:lang w:eastAsia="en-GB"/>
        </w:rPr>
        <w:t>DACCS</w:t>
      </w:r>
      <w:r w:rsidR="001423D1" w:rsidRPr="1CD0FBA2">
        <w:rPr>
          <w:noProof/>
          <w:lang w:eastAsia="en-GB"/>
        </w:rPr>
        <w:t>)</w:t>
      </w:r>
      <w:r w:rsidRPr="1CD0FBA2">
        <w:rPr>
          <w:noProof/>
          <w:lang w:eastAsia="en-GB"/>
        </w:rPr>
        <w:t xml:space="preserve"> removal units (1:1) that the Commission is mandated to purchase. These newly created allowances </w:t>
      </w:r>
      <w:r w:rsidR="00B81028" w:rsidRPr="1CD0FBA2">
        <w:rPr>
          <w:noProof/>
          <w:lang w:eastAsia="en-GB"/>
        </w:rPr>
        <w:t xml:space="preserve">would be </w:t>
      </w:r>
      <w:r w:rsidRPr="1CD0FBA2">
        <w:rPr>
          <w:noProof/>
          <w:lang w:eastAsia="en-GB"/>
        </w:rPr>
        <w:t xml:space="preserve">assigned for the purchase of the removals. </w:t>
      </w:r>
      <w:r w:rsidR="00A77463" w:rsidRPr="1CD0FBA2">
        <w:rPr>
          <w:noProof/>
          <w:lang w:eastAsia="en-GB"/>
        </w:rPr>
        <w:t>It is proposed to</w:t>
      </w:r>
      <w:r w:rsidRPr="1CD0FBA2">
        <w:rPr>
          <w:noProof/>
          <w:lang w:eastAsia="en-GB"/>
        </w:rPr>
        <w:t xml:space="preserve"> allocate additional allowances to the Commission to address the price gap between removals and allowances. The net EU ETS target </w:t>
      </w:r>
      <w:r w:rsidR="00FE6D71" w:rsidRPr="1CD0FBA2">
        <w:rPr>
          <w:noProof/>
          <w:lang w:eastAsia="en-GB"/>
        </w:rPr>
        <w:t xml:space="preserve">would be </w:t>
      </w:r>
      <w:r w:rsidRPr="1CD0FBA2">
        <w:rPr>
          <w:noProof/>
          <w:lang w:eastAsia="en-GB"/>
        </w:rPr>
        <w:t xml:space="preserve">calculated as </w:t>
      </w:r>
      <w:r w:rsidR="00DE1A3D" w:rsidRPr="1CD0FBA2">
        <w:rPr>
          <w:noProof/>
          <w:lang w:eastAsia="en-GB"/>
        </w:rPr>
        <w:t>the</w:t>
      </w:r>
      <w:r w:rsidR="003D3C33" w:rsidRPr="1CD0FBA2">
        <w:rPr>
          <w:noProof/>
          <w:lang w:eastAsia="en-GB"/>
        </w:rPr>
        <w:t xml:space="preserve"> </w:t>
      </w:r>
      <w:r w:rsidRPr="1CD0FBA2">
        <w:rPr>
          <w:noProof/>
          <w:lang w:eastAsia="en-GB"/>
        </w:rPr>
        <w:t>gross emissions</w:t>
      </w:r>
      <w:r w:rsidR="003D3C33" w:rsidRPr="1CD0FBA2">
        <w:rPr>
          <w:noProof/>
          <w:lang w:eastAsia="en-GB"/>
        </w:rPr>
        <w:t xml:space="preserve"> (corresponding to </w:t>
      </w:r>
      <w:r w:rsidR="00DE1A3D" w:rsidRPr="1CD0FBA2">
        <w:rPr>
          <w:noProof/>
          <w:lang w:eastAsia="en-GB"/>
        </w:rPr>
        <w:t>the total amount of allowances)</w:t>
      </w:r>
      <w:r w:rsidRPr="1CD0FBA2">
        <w:rPr>
          <w:noProof/>
          <w:lang w:eastAsia="en-GB"/>
        </w:rPr>
        <w:t xml:space="preserve"> minus </w:t>
      </w:r>
      <w:r w:rsidR="00DE1A3D" w:rsidRPr="1CD0FBA2">
        <w:rPr>
          <w:noProof/>
          <w:lang w:eastAsia="en-GB"/>
        </w:rPr>
        <w:t xml:space="preserve">the amount </w:t>
      </w:r>
      <w:r w:rsidRPr="1CD0FBA2">
        <w:rPr>
          <w:noProof/>
          <w:lang w:eastAsia="en-GB"/>
        </w:rPr>
        <w:t>removals</w:t>
      </w:r>
      <w:r w:rsidR="00BC2B62" w:rsidRPr="1CD0FBA2">
        <w:rPr>
          <w:noProof/>
          <w:lang w:eastAsia="en-GB"/>
        </w:rPr>
        <w:t xml:space="preserve"> planned to be purchased</w:t>
      </w:r>
      <w:r w:rsidRPr="1CD0FBA2">
        <w:rPr>
          <w:noProof/>
          <w:lang w:eastAsia="en-GB"/>
        </w:rPr>
        <w:t>. To facilitate operator</w:t>
      </w:r>
      <w:r w:rsidR="00CE2D8C" w:rsidRPr="1CD0FBA2">
        <w:rPr>
          <w:noProof/>
          <w:lang w:eastAsia="en-GB"/>
        </w:rPr>
        <w:t>’s</w:t>
      </w:r>
      <w:r w:rsidRPr="1CD0FBA2">
        <w:rPr>
          <w:noProof/>
          <w:lang w:eastAsia="en-GB"/>
        </w:rPr>
        <w:t xml:space="preserve"> use of</w:t>
      </w:r>
      <w:r w:rsidR="00CE2D8C" w:rsidRPr="1CD0FBA2">
        <w:rPr>
          <w:noProof/>
          <w:lang w:eastAsia="en-GB"/>
        </w:rPr>
        <w:t xml:space="preserve"> own</w:t>
      </w:r>
      <w:r w:rsidRPr="1CD0FBA2">
        <w:rPr>
          <w:noProof/>
          <w:lang w:eastAsia="en-GB"/>
        </w:rPr>
        <w:t xml:space="preserve"> removals, </w:t>
      </w:r>
      <w:r w:rsidR="005B007B" w:rsidRPr="1CD0FBA2">
        <w:rPr>
          <w:noProof/>
          <w:lang w:eastAsia="en-GB"/>
        </w:rPr>
        <w:t>it is proposed to</w:t>
      </w:r>
      <w:r w:rsidRPr="1CD0FBA2">
        <w:rPr>
          <w:noProof/>
          <w:lang w:eastAsia="en-GB"/>
        </w:rPr>
        <w:t xml:space="preserve"> allow operators</w:t>
      </w:r>
      <w:r w:rsidR="00F934FE" w:rsidRPr="1CD0FBA2">
        <w:rPr>
          <w:noProof/>
          <w:lang w:eastAsia="en-GB"/>
        </w:rPr>
        <w:t xml:space="preserve">, shipping companies and aircraft operators, if relevant, </w:t>
      </w:r>
      <w:r w:rsidRPr="1CD0FBA2">
        <w:rPr>
          <w:noProof/>
          <w:lang w:eastAsia="en-GB"/>
        </w:rPr>
        <w:t>to compensate their own fossil emissions with CRCF-certified BioCCS removals that they themselves generate (Article 14(1a)</w:t>
      </w:r>
      <w:r w:rsidR="00AE4423" w:rsidRPr="1CD0FBA2">
        <w:rPr>
          <w:noProof/>
          <w:lang w:eastAsia="en-GB"/>
        </w:rPr>
        <w:t>)</w:t>
      </w:r>
      <w:r w:rsidRPr="1CD0FBA2">
        <w:rPr>
          <w:noProof/>
          <w:lang w:eastAsia="en-GB"/>
        </w:rPr>
        <w:t xml:space="preserve"> This compensation mechanism </w:t>
      </w:r>
      <w:r w:rsidR="008140A1" w:rsidRPr="1CD0FBA2">
        <w:rPr>
          <w:noProof/>
          <w:lang w:eastAsia="en-GB"/>
        </w:rPr>
        <w:t xml:space="preserve">would </w:t>
      </w:r>
      <w:r w:rsidRPr="1CD0FBA2">
        <w:rPr>
          <w:noProof/>
          <w:lang w:eastAsia="en-GB"/>
        </w:rPr>
        <w:t xml:space="preserve">not go beyond zero – it cannot </w:t>
      </w:r>
      <w:r w:rsidR="003514C2" w:rsidRPr="1CD0FBA2">
        <w:rPr>
          <w:noProof/>
          <w:lang w:eastAsia="en-GB"/>
        </w:rPr>
        <w:t>generate negative emissions and the obtention of EUAs</w:t>
      </w:r>
      <w:r w:rsidR="00B11CF2" w:rsidRPr="1CD0FBA2">
        <w:rPr>
          <w:noProof/>
          <w:lang w:eastAsia="en-GB"/>
        </w:rPr>
        <w:t xml:space="preserve"> – and requires an adjustment mechanism to the allowances assigned for the purchase of carbon removals and </w:t>
      </w:r>
      <w:r w:rsidR="00FE574C" w:rsidRPr="1CD0FBA2">
        <w:rPr>
          <w:noProof/>
          <w:lang w:eastAsia="en-GB"/>
        </w:rPr>
        <w:t xml:space="preserve">to </w:t>
      </w:r>
      <w:r w:rsidR="00B11CF2" w:rsidRPr="1CD0FBA2">
        <w:rPr>
          <w:noProof/>
          <w:lang w:eastAsia="en-GB"/>
        </w:rPr>
        <w:t>the carbon removals that are to be purchased, to prevent the total emission space from increasing beyond the limit implied by the integration through the purchasing programme</w:t>
      </w:r>
      <w:r w:rsidRPr="1CD0FBA2">
        <w:rPr>
          <w:noProof/>
          <w:lang w:eastAsia="en-GB"/>
        </w:rPr>
        <w:t xml:space="preserve">. </w:t>
      </w:r>
    </w:p>
    <w:p w14:paraId="5C74A868" w14:textId="77777777" w:rsidR="008A21C0" w:rsidRPr="00616539" w:rsidRDefault="008A21C0" w:rsidP="1CD0FBA2">
      <w:pPr>
        <w:pStyle w:val="Bullet1"/>
        <w:rPr>
          <w:b/>
          <w:bCs/>
          <w:noProof/>
          <w:lang w:eastAsia="en-GB"/>
        </w:rPr>
      </w:pPr>
      <w:bookmarkStart w:id="6" w:name="_Toc211962805"/>
      <w:r w:rsidRPr="1CD0FBA2">
        <w:rPr>
          <w:b/>
          <w:bCs/>
          <w:noProof/>
          <w:lang w:eastAsia="en-GB"/>
        </w:rPr>
        <w:t xml:space="preserve">Industrial Decarbonisation Bank: </w:t>
      </w:r>
      <w:r w:rsidR="003514C2" w:rsidRPr="1CD0FBA2">
        <w:rPr>
          <w:noProof/>
          <w:lang w:eastAsia="en-GB"/>
        </w:rPr>
        <w:t>as of 2028,</w:t>
      </w:r>
      <w:r w:rsidR="003514C2" w:rsidRPr="1CD0FBA2">
        <w:rPr>
          <w:b/>
          <w:bCs/>
          <w:noProof/>
          <w:lang w:eastAsia="en-GB"/>
        </w:rPr>
        <w:t xml:space="preserve"> </w:t>
      </w:r>
      <w:r w:rsidR="00C475D9" w:rsidRPr="1CD0FBA2">
        <w:rPr>
          <w:noProof/>
          <w:lang w:eastAsia="en-GB"/>
        </w:rPr>
        <w:t>it is proposed to</w:t>
      </w:r>
      <w:r w:rsidR="00C475D9" w:rsidRPr="1CD0FBA2">
        <w:rPr>
          <w:b/>
          <w:bCs/>
          <w:noProof/>
          <w:lang w:eastAsia="en-GB"/>
        </w:rPr>
        <w:t xml:space="preserve"> </w:t>
      </w:r>
      <w:r w:rsidRPr="1CD0FBA2">
        <w:rPr>
          <w:noProof/>
          <w:lang w:eastAsia="en-GB"/>
        </w:rPr>
        <w:t>establish the Industrial Decarbonisation Bank as an EU</w:t>
      </w:r>
      <w:r>
        <w:rPr>
          <w:noProof/>
        </w:rPr>
        <w:noBreakHyphen/>
      </w:r>
      <w:r w:rsidRPr="1CD0FBA2">
        <w:rPr>
          <w:noProof/>
          <w:lang w:eastAsia="en-GB"/>
        </w:rPr>
        <w:t xml:space="preserve">level </w:t>
      </w:r>
      <w:r w:rsidR="003514C2" w:rsidRPr="1CD0FBA2">
        <w:rPr>
          <w:noProof/>
          <w:lang w:eastAsia="en-GB"/>
        </w:rPr>
        <w:t xml:space="preserve">entity </w:t>
      </w:r>
      <w:r w:rsidRPr="1CD0FBA2">
        <w:rPr>
          <w:noProof/>
          <w:lang w:eastAsia="en-GB"/>
        </w:rPr>
        <w:t>to support the scaling</w:t>
      </w:r>
      <w:r w:rsidR="003514C2" w:rsidRPr="1CD0FBA2">
        <w:rPr>
          <w:noProof/>
          <w:lang w:eastAsia="en-GB"/>
        </w:rPr>
        <w:t>-</w:t>
      </w:r>
      <w:r w:rsidRPr="1CD0FBA2">
        <w:rPr>
          <w:noProof/>
          <w:lang w:eastAsia="en-GB"/>
        </w:rPr>
        <w:t xml:space="preserve">up and deployment of technologies, processes and techniques that directly reduce emissions in stationary installations covered by Annex I and </w:t>
      </w:r>
      <w:r w:rsidR="003514C2" w:rsidRPr="1CD0FBA2">
        <w:rPr>
          <w:noProof/>
          <w:lang w:eastAsia="en-GB"/>
        </w:rPr>
        <w:t xml:space="preserve">that can, </w:t>
      </w:r>
      <w:r w:rsidRPr="1CD0FBA2">
        <w:rPr>
          <w:noProof/>
          <w:lang w:eastAsia="en-GB"/>
        </w:rPr>
        <w:t>as such</w:t>
      </w:r>
      <w:r w:rsidR="00053B33" w:rsidRPr="1CD0FBA2">
        <w:rPr>
          <w:noProof/>
          <w:lang w:eastAsia="en-GB"/>
        </w:rPr>
        <w:t>,</w:t>
      </w:r>
      <w:r w:rsidRPr="1CD0FBA2">
        <w:rPr>
          <w:noProof/>
          <w:lang w:eastAsia="en-GB"/>
        </w:rPr>
        <w:t xml:space="preserve"> also generate permanent carbon removals. The Bank </w:t>
      </w:r>
      <w:r w:rsidR="00053B33" w:rsidRPr="1CD0FBA2">
        <w:rPr>
          <w:noProof/>
          <w:lang w:eastAsia="en-GB"/>
        </w:rPr>
        <w:t>will begin to operate</w:t>
      </w:r>
      <w:r w:rsidR="00231E6E" w:rsidRPr="1CD0FBA2">
        <w:rPr>
          <w:noProof/>
          <w:lang w:eastAsia="en-GB"/>
        </w:rPr>
        <w:t xml:space="preserve"> </w:t>
      </w:r>
      <w:r w:rsidRPr="1CD0FBA2">
        <w:rPr>
          <w:noProof/>
          <w:lang w:eastAsia="en-GB"/>
        </w:rPr>
        <w:t>in two phases</w:t>
      </w:r>
      <w:r w:rsidR="000F1725" w:rsidRPr="1CD0FBA2">
        <w:rPr>
          <w:noProof/>
          <w:lang w:eastAsia="en-GB"/>
        </w:rPr>
        <w:t xml:space="preserve"> (</w:t>
      </w:r>
      <w:r w:rsidR="004724DB" w:rsidRPr="1CD0FBA2">
        <w:rPr>
          <w:noProof/>
          <w:lang w:eastAsia="en-GB"/>
        </w:rPr>
        <w:t xml:space="preserve">new </w:t>
      </w:r>
      <w:r w:rsidR="000F1725" w:rsidRPr="1CD0FBA2">
        <w:rPr>
          <w:noProof/>
          <w:lang w:eastAsia="en-GB"/>
        </w:rPr>
        <w:t xml:space="preserve">Article </w:t>
      </w:r>
      <w:r w:rsidR="00565443" w:rsidRPr="1CD0FBA2">
        <w:rPr>
          <w:noProof/>
          <w:lang w:eastAsia="en-GB"/>
        </w:rPr>
        <w:t>10cc</w:t>
      </w:r>
      <w:r w:rsidR="000F1725" w:rsidRPr="1CD0FBA2">
        <w:rPr>
          <w:noProof/>
          <w:lang w:eastAsia="en-GB"/>
        </w:rPr>
        <w:t>)</w:t>
      </w:r>
      <w:r w:rsidRPr="1CD0FBA2">
        <w:rPr>
          <w:noProof/>
          <w:lang w:eastAsia="en-GB"/>
        </w:rPr>
        <w:t xml:space="preserve">. First, in the period 2028–2031, an </w:t>
      </w:r>
      <w:r w:rsidR="00355C95" w:rsidRPr="1CD0FBA2">
        <w:rPr>
          <w:noProof/>
          <w:lang w:eastAsia="en-GB"/>
        </w:rPr>
        <w:t>‘</w:t>
      </w:r>
      <w:r w:rsidRPr="1CD0FBA2">
        <w:rPr>
          <w:noProof/>
          <w:lang w:eastAsia="en-GB"/>
        </w:rPr>
        <w:t>Investment Booster</w:t>
      </w:r>
      <w:r w:rsidR="00355C95" w:rsidRPr="1CD0FBA2">
        <w:rPr>
          <w:noProof/>
          <w:lang w:eastAsia="en-GB"/>
        </w:rPr>
        <w:t>’</w:t>
      </w:r>
      <w:r w:rsidRPr="1CD0FBA2">
        <w:rPr>
          <w:noProof/>
          <w:lang w:eastAsia="en-GB"/>
        </w:rPr>
        <w:t xml:space="preserve"> </w:t>
      </w:r>
      <w:r w:rsidR="00355C95" w:rsidRPr="1CD0FBA2">
        <w:rPr>
          <w:noProof/>
          <w:lang w:eastAsia="en-GB"/>
        </w:rPr>
        <w:t>will</w:t>
      </w:r>
      <w:r w:rsidRPr="1CD0FBA2">
        <w:rPr>
          <w:noProof/>
          <w:lang w:eastAsia="en-GB"/>
        </w:rPr>
        <w:t xml:space="preserve"> reserve 400 million allowances to provide fixed carbon </w:t>
      </w:r>
      <w:r w:rsidR="002E49AC" w:rsidRPr="1CD0FBA2">
        <w:rPr>
          <w:noProof/>
          <w:lang w:eastAsia="en-GB"/>
        </w:rPr>
        <w:t xml:space="preserve">premia </w:t>
      </w:r>
      <w:r w:rsidR="00742A11" w:rsidRPr="1CD0FBA2">
        <w:rPr>
          <w:noProof/>
          <w:lang w:eastAsia="en-GB"/>
        </w:rPr>
        <w:t>using</w:t>
      </w:r>
      <w:r w:rsidRPr="1CD0FBA2">
        <w:rPr>
          <w:noProof/>
          <w:lang w:eastAsia="en-GB"/>
        </w:rPr>
        <w:t xml:space="preserve"> a ‘first in, first served’ </w:t>
      </w:r>
      <w:r w:rsidR="00742A11" w:rsidRPr="1CD0FBA2">
        <w:rPr>
          <w:noProof/>
          <w:lang w:eastAsia="en-GB"/>
        </w:rPr>
        <w:t xml:space="preserve">system </w:t>
      </w:r>
      <w:r w:rsidRPr="1CD0FBA2">
        <w:rPr>
          <w:noProof/>
          <w:lang w:eastAsia="en-GB"/>
        </w:rPr>
        <w:t>to fast</w:t>
      </w:r>
      <w:r>
        <w:rPr>
          <w:noProof/>
        </w:rPr>
        <w:noBreakHyphen/>
      </w:r>
      <w:r w:rsidRPr="1CD0FBA2">
        <w:rPr>
          <w:noProof/>
          <w:lang w:eastAsia="en-GB"/>
        </w:rPr>
        <w:t xml:space="preserve">track investments </w:t>
      </w:r>
      <w:r w:rsidR="002A3739" w:rsidRPr="1CD0FBA2">
        <w:rPr>
          <w:noProof/>
          <w:lang w:eastAsia="en-GB"/>
        </w:rPr>
        <w:t xml:space="preserve">on the basis of </w:t>
      </w:r>
      <w:r w:rsidRPr="1CD0FBA2">
        <w:rPr>
          <w:noProof/>
          <w:lang w:eastAsia="en-GB"/>
        </w:rPr>
        <w:t xml:space="preserve">speed </w:t>
      </w:r>
      <w:r w:rsidR="000F1725" w:rsidRPr="1CD0FBA2">
        <w:rPr>
          <w:noProof/>
          <w:lang w:eastAsia="en-GB"/>
        </w:rPr>
        <w:t>(</w:t>
      </w:r>
      <w:r w:rsidR="004724DB" w:rsidRPr="1CD0FBA2">
        <w:rPr>
          <w:noProof/>
          <w:lang w:eastAsia="en-GB"/>
        </w:rPr>
        <w:t xml:space="preserve">new </w:t>
      </w:r>
      <w:r w:rsidR="000F1725" w:rsidRPr="1CD0FBA2">
        <w:rPr>
          <w:noProof/>
          <w:lang w:eastAsia="en-GB"/>
        </w:rPr>
        <w:t xml:space="preserve">Article </w:t>
      </w:r>
      <w:r w:rsidR="00565443" w:rsidRPr="1CD0FBA2">
        <w:rPr>
          <w:noProof/>
          <w:lang w:eastAsia="en-GB"/>
        </w:rPr>
        <w:t>10cd</w:t>
      </w:r>
      <w:r w:rsidR="000F1725" w:rsidRPr="1CD0FBA2">
        <w:rPr>
          <w:noProof/>
          <w:lang w:eastAsia="en-GB"/>
        </w:rPr>
        <w:t>)</w:t>
      </w:r>
      <w:r w:rsidRPr="1CD0FBA2">
        <w:rPr>
          <w:noProof/>
          <w:lang w:eastAsia="en-GB"/>
        </w:rPr>
        <w:t xml:space="preserve">. A dedicated share </w:t>
      </w:r>
      <w:r w:rsidR="00943B03" w:rsidRPr="1CD0FBA2">
        <w:rPr>
          <w:noProof/>
          <w:lang w:eastAsia="en-GB"/>
        </w:rPr>
        <w:t xml:space="preserve">will be </w:t>
      </w:r>
      <w:r w:rsidRPr="1CD0FBA2">
        <w:rPr>
          <w:noProof/>
          <w:lang w:eastAsia="en-GB"/>
        </w:rPr>
        <w:t>reserved for lower</w:t>
      </w:r>
      <w:r>
        <w:rPr>
          <w:noProof/>
        </w:rPr>
        <w:noBreakHyphen/>
      </w:r>
      <w:r w:rsidRPr="1CD0FBA2">
        <w:rPr>
          <w:noProof/>
          <w:lang w:eastAsia="en-GB"/>
        </w:rPr>
        <w:t xml:space="preserve">income Member States to ensure solidarity. </w:t>
      </w:r>
      <w:r w:rsidR="00E85768" w:rsidRPr="1CD0FBA2">
        <w:rPr>
          <w:noProof/>
          <w:lang w:eastAsia="en-GB"/>
        </w:rPr>
        <w:t>Support will be conditional on compliance with strict completion deadlines and performance will be guaranteed through the issuance of completion bonds</w:t>
      </w:r>
      <w:r w:rsidRPr="1CD0FBA2">
        <w:rPr>
          <w:noProof/>
          <w:lang w:eastAsia="en-GB"/>
        </w:rPr>
        <w:t xml:space="preserve">. Payments </w:t>
      </w:r>
      <w:r w:rsidR="00E85768" w:rsidRPr="1CD0FBA2">
        <w:rPr>
          <w:noProof/>
          <w:lang w:eastAsia="en-GB"/>
        </w:rPr>
        <w:t xml:space="preserve">will be </w:t>
      </w:r>
      <w:r w:rsidRPr="1CD0FBA2">
        <w:rPr>
          <w:noProof/>
          <w:lang w:eastAsia="en-GB"/>
        </w:rPr>
        <w:t>linked to independently verified emissions avoidance and may be delivered in allowances.</w:t>
      </w:r>
      <w:r w:rsidR="00616539" w:rsidRPr="1CD0FBA2">
        <w:rPr>
          <w:noProof/>
          <w:lang w:eastAsia="en-GB"/>
        </w:rPr>
        <w:t xml:space="preserve"> </w:t>
      </w:r>
      <w:r w:rsidRPr="1CD0FBA2">
        <w:rPr>
          <w:noProof/>
          <w:lang w:eastAsia="en-GB"/>
        </w:rPr>
        <w:t xml:space="preserve">Second, from 2031 onwards, the Bank </w:t>
      </w:r>
      <w:r w:rsidR="00E85768" w:rsidRPr="1CD0FBA2">
        <w:rPr>
          <w:noProof/>
          <w:lang w:eastAsia="en-GB"/>
        </w:rPr>
        <w:t>wil</w:t>
      </w:r>
      <w:r w:rsidR="00360E31" w:rsidRPr="1CD0FBA2">
        <w:rPr>
          <w:noProof/>
          <w:lang w:eastAsia="en-GB"/>
        </w:rPr>
        <w:t xml:space="preserve">l </w:t>
      </w:r>
      <w:r w:rsidRPr="1CD0FBA2">
        <w:rPr>
          <w:noProof/>
          <w:lang w:eastAsia="en-GB"/>
        </w:rPr>
        <w:t>support projects</w:t>
      </w:r>
      <w:r w:rsidR="00360E31" w:rsidRPr="1CD0FBA2">
        <w:rPr>
          <w:noProof/>
          <w:lang w:eastAsia="en-GB"/>
        </w:rPr>
        <w:t>,</w:t>
      </w:r>
      <w:r w:rsidRPr="1CD0FBA2">
        <w:rPr>
          <w:noProof/>
          <w:lang w:eastAsia="en-GB"/>
        </w:rPr>
        <w:t xml:space="preserve"> mainly through competitive bidding procedures </w:t>
      </w:r>
      <w:r w:rsidR="00360E31" w:rsidRPr="1CD0FBA2">
        <w:rPr>
          <w:noProof/>
          <w:lang w:eastAsia="en-GB"/>
        </w:rPr>
        <w:t xml:space="preserve">that </w:t>
      </w:r>
      <w:r w:rsidRPr="1CD0FBA2">
        <w:rPr>
          <w:noProof/>
          <w:lang w:eastAsia="en-GB"/>
        </w:rPr>
        <w:t>award Carbon Contracts for Difference or carbon premi</w:t>
      </w:r>
      <w:r w:rsidR="00360E31" w:rsidRPr="1CD0FBA2">
        <w:rPr>
          <w:noProof/>
          <w:lang w:eastAsia="en-GB"/>
        </w:rPr>
        <w:t>ums</w:t>
      </w:r>
      <w:r w:rsidRPr="1CD0FBA2">
        <w:rPr>
          <w:noProof/>
          <w:lang w:eastAsia="en-GB"/>
        </w:rPr>
        <w:t>, thereby providing long</w:t>
      </w:r>
      <w:r>
        <w:rPr>
          <w:noProof/>
        </w:rPr>
        <w:noBreakHyphen/>
      </w:r>
      <w:r w:rsidRPr="1CD0FBA2">
        <w:rPr>
          <w:noProof/>
          <w:lang w:eastAsia="en-GB"/>
        </w:rPr>
        <w:t>term revenue stability and de</w:t>
      </w:r>
      <w:r>
        <w:rPr>
          <w:noProof/>
        </w:rPr>
        <w:noBreakHyphen/>
      </w:r>
      <w:r w:rsidRPr="1CD0FBA2">
        <w:rPr>
          <w:noProof/>
          <w:lang w:eastAsia="en-GB"/>
        </w:rPr>
        <w:t>risking investments</w:t>
      </w:r>
      <w:r w:rsidR="000F1725" w:rsidRPr="1CD0FBA2">
        <w:rPr>
          <w:noProof/>
          <w:lang w:eastAsia="en-GB"/>
        </w:rPr>
        <w:t xml:space="preserve"> (</w:t>
      </w:r>
      <w:r w:rsidR="004724DB" w:rsidRPr="1CD0FBA2">
        <w:rPr>
          <w:noProof/>
          <w:lang w:eastAsia="en-GB"/>
        </w:rPr>
        <w:t xml:space="preserve">new </w:t>
      </w:r>
      <w:r w:rsidR="000F1725" w:rsidRPr="1CD0FBA2">
        <w:rPr>
          <w:noProof/>
          <w:lang w:eastAsia="en-GB"/>
        </w:rPr>
        <w:t xml:space="preserve">Article </w:t>
      </w:r>
      <w:r w:rsidR="00565443" w:rsidRPr="1CD0FBA2">
        <w:rPr>
          <w:noProof/>
          <w:lang w:eastAsia="en-GB"/>
        </w:rPr>
        <w:t>10ce</w:t>
      </w:r>
      <w:r w:rsidR="000F1725" w:rsidRPr="1CD0FBA2">
        <w:rPr>
          <w:noProof/>
          <w:lang w:eastAsia="en-GB"/>
        </w:rPr>
        <w:t>)</w:t>
      </w:r>
      <w:r w:rsidRPr="1CD0FBA2">
        <w:rPr>
          <w:noProof/>
          <w:lang w:eastAsia="en-GB"/>
        </w:rPr>
        <w:t xml:space="preserve">. The proposal provides for bid bonds and completion bonds to ensure serious intent and timely delivery, allows budgetary commitments to be broken down into annual instalments, and includes provisions on repayments and revenues as external assigned revenue to the Bank. Synergies with the European Competitiveness Fund </w:t>
      </w:r>
      <w:r w:rsidR="007039E6" w:rsidRPr="1CD0FBA2">
        <w:rPr>
          <w:noProof/>
          <w:lang w:eastAsia="en-GB"/>
        </w:rPr>
        <w:t xml:space="preserve">will be </w:t>
      </w:r>
      <w:r w:rsidRPr="1CD0FBA2">
        <w:rPr>
          <w:noProof/>
          <w:lang w:eastAsia="en-GB"/>
        </w:rPr>
        <w:t xml:space="preserve">strengthened </w:t>
      </w:r>
      <w:r w:rsidR="00C641DE" w:rsidRPr="1CD0FBA2">
        <w:rPr>
          <w:noProof/>
          <w:lang w:eastAsia="en-GB"/>
        </w:rPr>
        <w:t xml:space="preserve">by </w:t>
      </w:r>
      <w:r w:rsidRPr="1CD0FBA2">
        <w:rPr>
          <w:noProof/>
          <w:lang w:eastAsia="en-GB"/>
        </w:rPr>
        <w:t xml:space="preserve">the possibility </w:t>
      </w:r>
      <w:r w:rsidR="00C641DE" w:rsidRPr="1CD0FBA2">
        <w:rPr>
          <w:noProof/>
          <w:lang w:eastAsia="en-GB"/>
        </w:rPr>
        <w:t xml:space="preserve">of </w:t>
      </w:r>
      <w:r w:rsidRPr="1CD0FBA2">
        <w:rPr>
          <w:noProof/>
          <w:lang w:eastAsia="en-GB"/>
        </w:rPr>
        <w:t>award</w:t>
      </w:r>
      <w:r w:rsidR="00C641DE" w:rsidRPr="1CD0FBA2">
        <w:rPr>
          <w:noProof/>
          <w:lang w:eastAsia="en-GB"/>
        </w:rPr>
        <w:t>ing</w:t>
      </w:r>
      <w:r w:rsidRPr="1CD0FBA2">
        <w:rPr>
          <w:noProof/>
          <w:lang w:eastAsia="en-GB"/>
        </w:rPr>
        <w:t xml:space="preserve"> a </w:t>
      </w:r>
      <w:r w:rsidR="00C641DE" w:rsidRPr="1CD0FBA2">
        <w:rPr>
          <w:noProof/>
          <w:lang w:eastAsia="en-GB"/>
        </w:rPr>
        <w:t>‘</w:t>
      </w:r>
      <w:r w:rsidRPr="1CD0FBA2">
        <w:rPr>
          <w:noProof/>
          <w:lang w:eastAsia="en-GB"/>
        </w:rPr>
        <w:t>Competitiveness Seal</w:t>
      </w:r>
      <w:r w:rsidR="00C641DE" w:rsidRPr="1CD0FBA2">
        <w:rPr>
          <w:noProof/>
          <w:lang w:eastAsia="en-GB"/>
        </w:rPr>
        <w:t>’</w:t>
      </w:r>
      <w:r w:rsidRPr="1CD0FBA2">
        <w:rPr>
          <w:noProof/>
          <w:lang w:eastAsia="en-GB"/>
        </w:rPr>
        <w:t xml:space="preserve"> to projects assessed </w:t>
      </w:r>
      <w:r w:rsidR="00C641DE" w:rsidRPr="1CD0FBA2">
        <w:rPr>
          <w:noProof/>
          <w:lang w:eastAsia="en-GB"/>
        </w:rPr>
        <w:t xml:space="preserve">by </w:t>
      </w:r>
      <w:r w:rsidRPr="1CD0FBA2">
        <w:rPr>
          <w:noProof/>
          <w:lang w:eastAsia="en-GB"/>
        </w:rPr>
        <w:t xml:space="preserve">the Bank. </w:t>
      </w:r>
    </w:p>
    <w:p w14:paraId="026D8EA1" w14:textId="77777777" w:rsidR="008A21C0" w:rsidRPr="008A21C0" w:rsidRDefault="008A21C0" w:rsidP="00C27BED">
      <w:pPr>
        <w:pStyle w:val="Bullet1"/>
        <w:rPr>
          <w:noProof/>
          <w:lang w:eastAsia="en-GB"/>
        </w:rPr>
      </w:pPr>
      <w:r w:rsidRPr="1CD0FBA2">
        <w:rPr>
          <w:b/>
          <w:bCs/>
          <w:noProof/>
          <w:lang w:eastAsia="en-GB"/>
        </w:rPr>
        <w:t xml:space="preserve">Innovation Fund: </w:t>
      </w:r>
      <w:r w:rsidRPr="1CD0FBA2">
        <w:rPr>
          <w:noProof/>
          <w:lang w:eastAsia="en-GB"/>
        </w:rPr>
        <w:t>the proposal updates the legal basis of the Innovation Fund to ensure continued, predictable support for bringing innovation to market and scaling up low- and zero-carbon technologies that contribute significantly to the decarbonisation of EU ETS sectors</w:t>
      </w:r>
      <w:r w:rsidR="000F1725" w:rsidRPr="1CD0FBA2">
        <w:rPr>
          <w:noProof/>
          <w:lang w:eastAsia="en-GB"/>
        </w:rPr>
        <w:t xml:space="preserve"> (Article </w:t>
      </w:r>
      <w:r w:rsidR="00565443" w:rsidRPr="1CD0FBA2">
        <w:rPr>
          <w:noProof/>
          <w:lang w:eastAsia="en-GB"/>
        </w:rPr>
        <w:t>10cb)</w:t>
      </w:r>
      <w:r w:rsidRPr="1CD0FBA2">
        <w:rPr>
          <w:noProof/>
          <w:lang w:eastAsia="en-GB"/>
        </w:rPr>
        <w:t xml:space="preserve">. The proposal also strengthens implementation principles, including project development and technical assistance for Member States with low participation, introduces measures to deter speculative applications, and enhances transparency through annual public reporting. </w:t>
      </w:r>
      <w:r w:rsidR="00017C85" w:rsidRPr="1CD0FBA2">
        <w:rPr>
          <w:noProof/>
          <w:lang w:eastAsia="en-GB"/>
        </w:rPr>
        <w:t xml:space="preserve">Transitional rules are provided to ensure the continued application of Article 10a(8) up to 2030. </w:t>
      </w:r>
    </w:p>
    <w:p w14:paraId="400558BB" w14:textId="77777777" w:rsidR="008A21C0" w:rsidRPr="008A21C0" w:rsidRDefault="3D1FF811" w:rsidP="00C27BED">
      <w:pPr>
        <w:pStyle w:val="Bullet1"/>
        <w:rPr>
          <w:noProof/>
          <w:lang w:eastAsia="en-GB"/>
        </w:rPr>
      </w:pPr>
      <w:r w:rsidRPr="1CD0FBA2">
        <w:rPr>
          <w:b/>
          <w:bCs/>
          <w:noProof/>
          <w:lang w:eastAsia="en-GB"/>
        </w:rPr>
        <w:t xml:space="preserve">Modernisation Fund: </w:t>
      </w:r>
      <w:r w:rsidRPr="1CD0FBA2">
        <w:rPr>
          <w:noProof/>
          <w:lang w:eastAsia="en-GB"/>
        </w:rPr>
        <w:t>the proposal adjusts the Modernisation Fund (</w:t>
      </w:r>
      <w:r w:rsidR="68329B63" w:rsidRPr="1CD0FBA2">
        <w:rPr>
          <w:noProof/>
          <w:lang w:eastAsia="en-GB"/>
        </w:rPr>
        <w:t xml:space="preserve">amended </w:t>
      </w:r>
      <w:r w:rsidRPr="1CD0FBA2">
        <w:rPr>
          <w:noProof/>
          <w:lang w:eastAsia="en-GB"/>
        </w:rPr>
        <w:t xml:space="preserve">Article 10d) to better align with strengthened climate ambition and fairness objectives, by updating eligibility and distribution indicators using the latest available data. It extends the eligible investment areas to include electrification and industrial decarbonisation, including </w:t>
      </w:r>
      <w:r w:rsidR="2EDAF70D" w:rsidRPr="1CD0FBA2">
        <w:rPr>
          <w:noProof/>
          <w:lang w:eastAsia="en-GB"/>
        </w:rPr>
        <w:t>CCS/</w:t>
      </w:r>
      <w:r w:rsidR="36507072" w:rsidRPr="1CD0FBA2">
        <w:rPr>
          <w:noProof/>
          <w:lang w:eastAsia="en-GB"/>
        </w:rPr>
        <w:t>CCU</w:t>
      </w:r>
      <w:r w:rsidRPr="1CD0FBA2">
        <w:rPr>
          <w:noProof/>
          <w:lang w:eastAsia="en-GB"/>
        </w:rPr>
        <w:t xml:space="preserve">, while </w:t>
      </w:r>
      <w:r w:rsidR="3A59658F" w:rsidRPr="1CD0FBA2">
        <w:rPr>
          <w:noProof/>
          <w:lang w:eastAsia="en-GB"/>
        </w:rPr>
        <w:t>continuing to</w:t>
      </w:r>
      <w:r w:rsidRPr="1CD0FBA2">
        <w:rPr>
          <w:noProof/>
          <w:lang w:eastAsia="en-GB"/>
        </w:rPr>
        <w:t xml:space="preserve"> prohibit support </w:t>
      </w:r>
      <w:r w:rsidR="3A59658F" w:rsidRPr="1CD0FBA2">
        <w:rPr>
          <w:noProof/>
          <w:lang w:eastAsia="en-GB"/>
        </w:rPr>
        <w:t>for</w:t>
      </w:r>
      <w:r w:rsidRPr="1CD0FBA2">
        <w:rPr>
          <w:noProof/>
          <w:lang w:eastAsia="en-GB"/>
        </w:rPr>
        <w:t xml:space="preserve"> fossil fuel-based energy generation. The proposal also channels allowances redistributed for solidarity purposes through the Modernisation Fund to maximise </w:t>
      </w:r>
      <w:r w:rsidR="27047537" w:rsidRPr="1CD0FBA2">
        <w:rPr>
          <w:noProof/>
          <w:lang w:eastAsia="en-GB"/>
        </w:rPr>
        <w:t>impact and</w:t>
      </w:r>
      <w:r w:rsidRPr="1CD0FBA2">
        <w:rPr>
          <w:noProof/>
          <w:lang w:eastAsia="en-GB"/>
        </w:rPr>
        <w:t xml:space="preserve"> enables Member States to voluntarily transfer additional allowances from their auction volumes to increase resources</w:t>
      </w:r>
      <w:r w:rsidR="7BB155F8" w:rsidRPr="1CD0FBA2">
        <w:rPr>
          <w:noProof/>
          <w:lang w:eastAsia="en-GB"/>
        </w:rPr>
        <w:t xml:space="preserve"> of the Fund</w:t>
      </w:r>
      <w:r w:rsidRPr="1CD0FBA2">
        <w:rPr>
          <w:noProof/>
          <w:lang w:eastAsia="en-GB"/>
        </w:rPr>
        <w:t>. In addition, an extra share of the EU ETS cap is allocated for beneficiary Member States to support investments via the Industrial Decarbonisation Bank, reinforcing industrial decarbonisation in lower</w:t>
      </w:r>
      <w:r>
        <w:rPr>
          <w:noProof/>
        </w:rPr>
        <w:noBreakHyphen/>
      </w:r>
      <w:r w:rsidRPr="1CD0FBA2">
        <w:rPr>
          <w:noProof/>
          <w:lang w:eastAsia="en-GB"/>
        </w:rPr>
        <w:t>income Member States.</w:t>
      </w:r>
    </w:p>
    <w:bookmarkEnd w:id="6"/>
    <w:p w14:paraId="2829D827" w14:textId="4F8B1617" w:rsidR="008A21C0" w:rsidRPr="008A21C0" w:rsidRDefault="008A21C0">
      <w:pPr>
        <w:pStyle w:val="Bullet1"/>
        <w:rPr>
          <w:noProof/>
        </w:rPr>
      </w:pPr>
      <w:r w:rsidRPr="1CD0FBA2">
        <w:rPr>
          <w:rFonts w:eastAsia="Calibri"/>
          <w:b/>
          <w:bCs/>
          <w:noProof/>
        </w:rPr>
        <w:t xml:space="preserve">Auction revenues: </w:t>
      </w:r>
      <w:r w:rsidRPr="008A21C0">
        <w:rPr>
          <w:noProof/>
        </w:rPr>
        <w:t xml:space="preserve">the </w:t>
      </w:r>
      <w:r w:rsidRPr="00616539">
        <w:rPr>
          <w:rFonts w:eastAsia="Calibri"/>
          <w:noProof/>
        </w:rPr>
        <w:t>proposal introduces</w:t>
      </w:r>
      <w:r w:rsidRPr="008A21C0">
        <w:rPr>
          <w:noProof/>
        </w:rPr>
        <w:t xml:space="preserve"> targeted reforms to ensure revenues are used more effectively, transparently, and in full alignment with the EU’s climate objectives (</w:t>
      </w:r>
      <w:r w:rsidR="00373A8A">
        <w:rPr>
          <w:noProof/>
        </w:rPr>
        <w:t xml:space="preserve">amended </w:t>
      </w:r>
      <w:r w:rsidRPr="008A21C0">
        <w:rPr>
          <w:noProof/>
        </w:rPr>
        <w:t xml:space="preserve">Article 10(3)). </w:t>
      </w:r>
      <w:r w:rsidR="00272408">
        <w:rPr>
          <w:noProof/>
        </w:rPr>
        <w:t>It is proposed to</w:t>
      </w:r>
      <w:r w:rsidRPr="008A21C0">
        <w:rPr>
          <w:noProof/>
        </w:rPr>
        <w:t xml:space="preserve"> </w:t>
      </w:r>
      <w:r w:rsidRPr="00616539">
        <w:rPr>
          <w:rFonts w:eastAsia="Calibri"/>
          <w:noProof/>
        </w:rPr>
        <w:t>define</w:t>
      </w:r>
      <w:r w:rsidRPr="008A21C0">
        <w:rPr>
          <w:noProof/>
        </w:rPr>
        <w:t xml:space="preserve"> clear priority areas for spending, reflecting the principle that ETS sectors paying the carbon price should be supported with the revenues the ETS raises and therefore focusing on high-impact sectors where ETS revenues can deliver the greatest emissions reductions and co-benefits. These </w:t>
      </w:r>
      <w:r w:rsidR="00002215" w:rsidRPr="008A21C0">
        <w:rPr>
          <w:noProof/>
        </w:rPr>
        <w:t>priorit</w:t>
      </w:r>
      <w:r w:rsidR="00002215">
        <w:rPr>
          <w:noProof/>
        </w:rPr>
        <w:t>ie</w:t>
      </w:r>
      <w:r w:rsidR="00002215" w:rsidRPr="008A21C0">
        <w:rPr>
          <w:noProof/>
        </w:rPr>
        <w:t>s</w:t>
      </w:r>
      <w:r w:rsidRPr="008A21C0">
        <w:rPr>
          <w:noProof/>
        </w:rPr>
        <w:t xml:space="preserve"> include EU climate funds, </w:t>
      </w:r>
      <w:r>
        <w:rPr>
          <w:noProof/>
        </w:rPr>
        <w:t xml:space="preserve">clean energies and grids, low-carbon transport (especially for maritime and aviation), </w:t>
      </w:r>
      <w:r w:rsidRPr="008A21C0">
        <w:rPr>
          <w:noProof/>
        </w:rPr>
        <w:t xml:space="preserve">industrial decarbonisation (including </w:t>
      </w:r>
      <w:r w:rsidR="002D5FE5">
        <w:rPr>
          <w:noProof/>
        </w:rPr>
        <w:t>electrification</w:t>
      </w:r>
      <w:r w:rsidRPr="008A21C0">
        <w:rPr>
          <w:noProof/>
        </w:rPr>
        <w:t>, CCS and clean tech</w:t>
      </w:r>
      <w:r>
        <w:rPr>
          <w:noProof/>
        </w:rPr>
        <w:t>) ,</w:t>
      </w:r>
      <w:r w:rsidRPr="008A21C0">
        <w:rPr>
          <w:noProof/>
        </w:rPr>
        <w:t xml:space="preserve"> waste management decarbonisation, </w:t>
      </w:r>
      <w:r w:rsidR="00D07A21">
        <w:rPr>
          <w:noProof/>
        </w:rPr>
        <w:t>circularity</w:t>
      </w:r>
      <w:r w:rsidR="00AC228F">
        <w:rPr>
          <w:noProof/>
        </w:rPr>
        <w:t>,</w:t>
      </w:r>
      <w:r w:rsidR="00AC228F" w:rsidRPr="008A21C0">
        <w:rPr>
          <w:noProof/>
        </w:rPr>
        <w:t xml:space="preserve"> </w:t>
      </w:r>
      <w:r w:rsidRPr="008A21C0">
        <w:rPr>
          <w:noProof/>
        </w:rPr>
        <w:t xml:space="preserve">and supporting research and innovation in these areas. To ensure focused and high-impact spending, Member States </w:t>
      </w:r>
      <w:r w:rsidRPr="00616539">
        <w:rPr>
          <w:rFonts w:eastAsia="Calibri"/>
          <w:noProof/>
        </w:rPr>
        <w:t>are</w:t>
      </w:r>
      <w:r w:rsidRPr="008A21C0">
        <w:rPr>
          <w:noProof/>
        </w:rPr>
        <w:t xml:space="preserve"> required by the proposal to allocate at least </w:t>
      </w:r>
      <w:r w:rsidR="00D91863">
        <w:rPr>
          <w:noProof/>
        </w:rPr>
        <w:t>50</w:t>
      </w:r>
      <w:r w:rsidRPr="008A21C0">
        <w:rPr>
          <w:noProof/>
        </w:rPr>
        <w:t xml:space="preserve">% of ETS revenues to these priority areas. This binding minimum will help correct the current imbalance in spending, where critical sectors receive disproportionately low funding despite their significant role in achieving emission reductions. The proposal will ensure full alignment with climate neutrality by prohibiting investments that undermine the EU’s long-term climate goals. This includes spending on measures that create or prolong dependencies on carbon-intensive technologies, with fossil fuel lock-in serving as a key example of such misalignment. </w:t>
      </w:r>
      <w:r w:rsidR="00272408">
        <w:rPr>
          <w:noProof/>
        </w:rPr>
        <w:t>It is also proposed to</w:t>
      </w:r>
      <w:r w:rsidRPr="008A21C0">
        <w:rPr>
          <w:noProof/>
        </w:rPr>
        <w:t xml:space="preserve"> strengthen visibility requirements to ensure </w:t>
      </w:r>
      <w:r w:rsidR="00A67231">
        <w:rPr>
          <w:noProof/>
        </w:rPr>
        <w:t>that the public</w:t>
      </w:r>
      <w:r w:rsidRPr="008A21C0">
        <w:rPr>
          <w:noProof/>
        </w:rPr>
        <w:t xml:space="preserve"> and stakeholders can clearly identify how ETS revenues are used (</w:t>
      </w:r>
      <w:r w:rsidR="004F0AEC">
        <w:rPr>
          <w:noProof/>
        </w:rPr>
        <w:t xml:space="preserve">amended </w:t>
      </w:r>
      <w:r w:rsidRPr="008A21C0">
        <w:rPr>
          <w:noProof/>
        </w:rPr>
        <w:t xml:space="preserve">Article 30m) </w:t>
      </w:r>
      <w:r w:rsidR="00F831B4">
        <w:rPr>
          <w:noProof/>
        </w:rPr>
        <w:t xml:space="preserve">by obliging </w:t>
      </w:r>
      <w:r w:rsidRPr="008A21C0">
        <w:rPr>
          <w:noProof/>
        </w:rPr>
        <w:t xml:space="preserve">Member States to publicly communicate the origin of ETS-funded measures through multiple channels, such as project documentation and public displays. </w:t>
      </w:r>
      <w:r w:rsidRPr="00616539">
        <w:rPr>
          <w:rFonts w:eastAsia="Calibri"/>
          <w:noProof/>
        </w:rPr>
        <w:t>The</w:t>
      </w:r>
      <w:r w:rsidRPr="008A21C0">
        <w:rPr>
          <w:noProof/>
        </w:rPr>
        <w:t xml:space="preserve"> </w:t>
      </w:r>
      <w:r w:rsidR="00656FE7">
        <w:rPr>
          <w:noProof/>
        </w:rPr>
        <w:t xml:space="preserve">use of the </w:t>
      </w:r>
      <w:r w:rsidRPr="008A21C0">
        <w:rPr>
          <w:noProof/>
        </w:rPr>
        <w:t>standardised EU label (</w:t>
      </w:r>
      <w:r w:rsidR="00AF4CB5">
        <w:rPr>
          <w:noProof/>
        </w:rPr>
        <w:t>‘</w:t>
      </w:r>
      <w:r w:rsidR="008632E6">
        <w:rPr>
          <w:noProof/>
        </w:rPr>
        <w:t>(Co-)</w:t>
      </w:r>
      <w:r w:rsidR="008632E6" w:rsidRPr="1CD0FBA2">
        <w:rPr>
          <w:noProof/>
        </w:rPr>
        <w:t>f</w:t>
      </w:r>
      <w:r w:rsidR="00AF4CB5" w:rsidRPr="1CD0FBA2">
        <w:rPr>
          <w:noProof/>
        </w:rPr>
        <w:t xml:space="preserve">unded by the </w:t>
      </w:r>
      <w:r w:rsidR="00822030" w:rsidRPr="1CD0FBA2">
        <w:rPr>
          <w:noProof/>
        </w:rPr>
        <w:t xml:space="preserve">European Union </w:t>
      </w:r>
      <w:r w:rsidR="00AF4CB5" w:rsidRPr="1CD0FBA2">
        <w:rPr>
          <w:noProof/>
        </w:rPr>
        <w:t>Emissions Trading System</w:t>
      </w:r>
      <w:r w:rsidR="00AF4CB5">
        <w:rPr>
          <w:noProof/>
        </w:rPr>
        <w:t>’</w:t>
      </w:r>
      <w:r w:rsidR="00AF4CB5" w:rsidRPr="008A21C0">
        <w:rPr>
          <w:noProof/>
        </w:rPr>
        <w:t xml:space="preserve">) </w:t>
      </w:r>
      <w:r w:rsidRPr="008A21C0">
        <w:rPr>
          <w:noProof/>
        </w:rPr>
        <w:t xml:space="preserve">will be </w:t>
      </w:r>
      <w:r w:rsidRPr="00616539">
        <w:rPr>
          <w:rFonts w:eastAsia="Calibri"/>
          <w:noProof/>
        </w:rPr>
        <w:t>a key</w:t>
      </w:r>
      <w:r w:rsidRPr="008A21C0">
        <w:rPr>
          <w:noProof/>
        </w:rPr>
        <w:t xml:space="preserve"> tool to achieve this visibility.</w:t>
      </w:r>
      <w:r w:rsidR="00616539">
        <w:rPr>
          <w:noProof/>
        </w:rPr>
        <w:t xml:space="preserve"> </w:t>
      </w:r>
      <w:r w:rsidR="0007251D" w:rsidRPr="1CD0FBA2">
        <w:rPr>
          <w:rFonts w:eastAsia="Calibri"/>
          <w:noProof/>
        </w:rPr>
        <w:t xml:space="preserve">The priority areas for spending include </w:t>
      </w:r>
      <w:r w:rsidR="006C69DE" w:rsidRPr="1CD0FBA2">
        <w:rPr>
          <w:rFonts w:eastAsia="Calibri"/>
          <w:noProof/>
        </w:rPr>
        <w:t xml:space="preserve">the </w:t>
      </w:r>
      <w:r w:rsidR="00CE6177" w:rsidRPr="1CD0FBA2">
        <w:rPr>
          <w:rFonts w:eastAsia="Calibri"/>
          <w:noProof/>
        </w:rPr>
        <w:t xml:space="preserve">top-up </w:t>
      </w:r>
      <w:r w:rsidR="006C69DE" w:rsidRPr="1CD0FBA2">
        <w:rPr>
          <w:rFonts w:eastAsia="Calibri"/>
          <w:noProof/>
        </w:rPr>
        <w:t xml:space="preserve">of </w:t>
      </w:r>
      <w:r w:rsidR="00CE6177" w:rsidRPr="1CD0FBA2">
        <w:rPr>
          <w:rFonts w:eastAsia="Calibri"/>
          <w:noProof/>
        </w:rPr>
        <w:t>the support mechanisms in the Directive for reducing climate impacts from ETS sectors</w:t>
      </w:r>
      <w:r w:rsidR="006C69DE" w:rsidRPr="1CD0FBA2">
        <w:rPr>
          <w:rFonts w:eastAsia="Calibri"/>
          <w:noProof/>
        </w:rPr>
        <w:t>.</w:t>
      </w:r>
      <w:r w:rsidR="0007251D">
        <w:rPr>
          <w:noProof/>
        </w:rPr>
        <w:t xml:space="preserve"> </w:t>
      </w:r>
      <w:r w:rsidR="0007251D" w:rsidRPr="0007251D">
        <w:rPr>
          <w:noProof/>
        </w:rPr>
        <w:t xml:space="preserve">It is already the case that Member States may decide not to auction allowances for certain </w:t>
      </w:r>
      <w:r w:rsidR="00757E34" w:rsidRPr="0007251D">
        <w:rPr>
          <w:noProof/>
        </w:rPr>
        <w:t>purposes,</w:t>
      </w:r>
      <w:r w:rsidR="0007251D" w:rsidRPr="0007251D">
        <w:rPr>
          <w:noProof/>
        </w:rPr>
        <w:t xml:space="preserve"> and, in such cases, the quantities not auctioned should be used to calculate the amount of own resources based on emission trading, in line with the Commission proposal on the system of own resources (COM(2025)574, recital 14).</w:t>
      </w:r>
      <w:r w:rsidR="00616539">
        <w:rPr>
          <w:noProof/>
        </w:rPr>
        <w:t xml:space="preserve"> </w:t>
      </w:r>
      <w:r w:rsidRPr="008A21C0">
        <w:rPr>
          <w:noProof/>
        </w:rPr>
        <w:t>These reforms will be complemented by amendments to the upcoming Governance Regulation</w:t>
      </w:r>
      <w:r w:rsidR="002C157B">
        <w:rPr>
          <w:rStyle w:val="FootnoteReference"/>
          <w:noProof/>
        </w:rPr>
        <w:footnoteReference w:id="40"/>
      </w:r>
      <w:r w:rsidRPr="008A21C0">
        <w:rPr>
          <w:noProof/>
        </w:rPr>
        <w:t xml:space="preserve">, which will require Member States to integrate their planned use of ETS auction revenues into their </w:t>
      </w:r>
      <w:r w:rsidR="00701817" w:rsidRPr="008A21C0">
        <w:rPr>
          <w:noProof/>
        </w:rPr>
        <w:t>NECPs</w:t>
      </w:r>
      <w:r w:rsidRPr="008A21C0">
        <w:rPr>
          <w:noProof/>
        </w:rPr>
        <w:t xml:space="preserve">. This </w:t>
      </w:r>
      <w:r w:rsidR="00231E6E" w:rsidRPr="008A21C0">
        <w:rPr>
          <w:noProof/>
        </w:rPr>
        <w:t>ex</w:t>
      </w:r>
      <w:r w:rsidR="00231E6E">
        <w:rPr>
          <w:noProof/>
        </w:rPr>
        <w:t>-ante</w:t>
      </w:r>
      <w:r w:rsidRPr="008A21C0">
        <w:rPr>
          <w:noProof/>
        </w:rPr>
        <w:t xml:space="preserve"> planning obligation will ensure that spending is strategically aligned with national and EU-wide climate targets before revenues are allocated</w:t>
      </w:r>
      <w:r w:rsidR="00916325">
        <w:rPr>
          <w:noProof/>
        </w:rPr>
        <w:t>,</w:t>
      </w:r>
      <w:r w:rsidRPr="008A21C0">
        <w:rPr>
          <w:noProof/>
        </w:rPr>
        <w:t xml:space="preserve"> </w:t>
      </w:r>
      <w:r w:rsidR="00D420B3">
        <w:rPr>
          <w:noProof/>
        </w:rPr>
        <w:t>together with</w:t>
      </w:r>
      <w:r w:rsidRPr="008A21C0">
        <w:rPr>
          <w:noProof/>
        </w:rPr>
        <w:t xml:space="preserve"> better monitoring</w:t>
      </w:r>
      <w:r w:rsidR="00D420B3">
        <w:rPr>
          <w:noProof/>
        </w:rPr>
        <w:t xml:space="preserve">, </w:t>
      </w:r>
      <w:r w:rsidRPr="008A21C0">
        <w:rPr>
          <w:noProof/>
        </w:rPr>
        <w:t>public scrutiny</w:t>
      </w:r>
      <w:r w:rsidR="004372B8">
        <w:rPr>
          <w:noProof/>
        </w:rPr>
        <w:t>,</w:t>
      </w:r>
      <w:r w:rsidRPr="008A21C0">
        <w:rPr>
          <w:noProof/>
        </w:rPr>
        <w:t xml:space="preserve"> and visibility. </w:t>
      </w:r>
    </w:p>
    <w:p w14:paraId="68560EF5" w14:textId="46FEC3F6" w:rsidR="008A21C0" w:rsidRPr="008A21C0" w:rsidRDefault="008A21C0" w:rsidP="00C27BED">
      <w:pPr>
        <w:pStyle w:val="Bullet1"/>
        <w:rPr>
          <w:noProof/>
          <w:lang w:eastAsia="en-GB"/>
        </w:rPr>
      </w:pPr>
      <w:r w:rsidRPr="1CD0FBA2">
        <w:rPr>
          <w:b/>
          <w:bCs/>
          <w:noProof/>
          <w:lang w:eastAsia="en-GB"/>
        </w:rPr>
        <w:t>Aviation emissions:</w:t>
      </w:r>
      <w:r w:rsidRPr="1CD0FBA2">
        <w:rPr>
          <w:noProof/>
          <w:lang w:eastAsia="en-GB"/>
        </w:rPr>
        <w:t xml:space="preserve"> </w:t>
      </w:r>
      <w:r w:rsidR="00D9448A" w:rsidRPr="1CD0FBA2">
        <w:rPr>
          <w:noProof/>
          <w:lang w:eastAsia="en-GB"/>
        </w:rPr>
        <w:t>it is proposed to</w:t>
      </w:r>
      <w:r w:rsidRPr="1CD0FBA2">
        <w:rPr>
          <w:noProof/>
          <w:lang w:eastAsia="en-GB"/>
        </w:rPr>
        <w:t xml:space="preserve"> increase the coverage of effective carbon pricing by applying the ETS as appropriate to</w:t>
      </w:r>
      <w:r w:rsidR="00944676">
        <w:rPr>
          <w:noProof/>
          <w:lang w:eastAsia="en-GB"/>
        </w:rPr>
        <w:t xml:space="preserve"> the EU’s fair share of certain </w:t>
      </w:r>
      <w:r w:rsidRPr="1CD0FBA2">
        <w:rPr>
          <w:noProof/>
          <w:lang w:eastAsia="en-GB"/>
        </w:rPr>
        <w:t xml:space="preserve"> extra-European departing flights (amended Article 28a(1)</w:t>
      </w:r>
      <w:r w:rsidR="00944676">
        <w:rPr>
          <w:noProof/>
          <w:lang w:eastAsia="en-GB"/>
        </w:rPr>
        <w:t xml:space="preserve"> and Annex I</w:t>
      </w:r>
      <w:r w:rsidRPr="1CD0FBA2">
        <w:rPr>
          <w:noProof/>
          <w:lang w:eastAsia="en-GB"/>
        </w:rPr>
        <w:t>) and to business flights (amended Article 3</w:t>
      </w:r>
      <w:r w:rsidR="00701817" w:rsidRPr="1CD0FBA2">
        <w:rPr>
          <w:noProof/>
          <w:lang w:eastAsia="en-GB"/>
        </w:rPr>
        <w:t xml:space="preserve">, points </w:t>
      </w:r>
      <w:r w:rsidRPr="1CD0FBA2">
        <w:rPr>
          <w:noProof/>
          <w:lang w:eastAsia="en-GB"/>
        </w:rPr>
        <w:t>(o), (p)</w:t>
      </w:r>
      <w:r w:rsidR="000E064E" w:rsidRPr="1CD0FBA2">
        <w:rPr>
          <w:noProof/>
          <w:lang w:eastAsia="en-GB"/>
        </w:rPr>
        <w:t xml:space="preserve"> and</w:t>
      </w:r>
      <w:r w:rsidRPr="1CD0FBA2">
        <w:rPr>
          <w:noProof/>
          <w:lang w:eastAsia="en-GB"/>
        </w:rPr>
        <w:t xml:space="preserve">, (am), </w:t>
      </w:r>
      <w:r w:rsidR="000E064E" w:rsidRPr="1CD0FBA2">
        <w:rPr>
          <w:noProof/>
          <w:lang w:eastAsia="en-GB"/>
        </w:rPr>
        <w:t>Article</w:t>
      </w:r>
      <w:r w:rsidRPr="1CD0FBA2">
        <w:rPr>
          <w:noProof/>
          <w:lang w:eastAsia="en-GB"/>
        </w:rPr>
        <w:t xml:space="preserve"> 28a(4)</w:t>
      </w:r>
      <w:r w:rsidR="000E064E" w:rsidRPr="1CD0FBA2">
        <w:rPr>
          <w:noProof/>
          <w:lang w:eastAsia="en-GB"/>
        </w:rPr>
        <w:t xml:space="preserve"> and</w:t>
      </w:r>
      <w:r w:rsidRPr="1CD0FBA2">
        <w:rPr>
          <w:noProof/>
          <w:lang w:eastAsia="en-GB"/>
        </w:rPr>
        <w:t>, Annex I</w:t>
      </w:r>
      <w:r w:rsidR="000E064E" w:rsidRPr="1CD0FBA2">
        <w:rPr>
          <w:noProof/>
          <w:lang w:eastAsia="en-GB"/>
        </w:rPr>
        <w:t>,</w:t>
      </w:r>
      <w:r w:rsidRPr="1CD0FBA2">
        <w:rPr>
          <w:noProof/>
          <w:lang w:eastAsia="en-GB"/>
        </w:rPr>
        <w:t xml:space="preserve"> points (j) and (k)). This is accompanied by </w:t>
      </w:r>
      <w:r w:rsidR="00B65A73" w:rsidRPr="1CD0FBA2">
        <w:rPr>
          <w:noProof/>
          <w:lang w:eastAsia="en-GB"/>
        </w:rPr>
        <w:t>commensurate</w:t>
      </w:r>
      <w:r w:rsidRPr="1CD0FBA2">
        <w:rPr>
          <w:noProof/>
          <w:lang w:eastAsia="en-GB"/>
        </w:rPr>
        <w:t xml:space="preserve"> increase</w:t>
      </w:r>
      <w:r w:rsidR="00944676">
        <w:rPr>
          <w:noProof/>
          <w:lang w:eastAsia="en-GB"/>
        </w:rPr>
        <w:t>s</w:t>
      </w:r>
      <w:r w:rsidRPr="1CD0FBA2">
        <w:rPr>
          <w:noProof/>
          <w:lang w:eastAsia="en-GB"/>
        </w:rPr>
        <w:t xml:space="preserve"> in the cap (amended Article 28a(1)). </w:t>
      </w:r>
      <w:r w:rsidR="003938B5" w:rsidRPr="1CD0FBA2">
        <w:rPr>
          <w:noProof/>
          <w:lang w:eastAsia="en-GB"/>
        </w:rPr>
        <w:t>S</w:t>
      </w:r>
      <w:r w:rsidRPr="1CD0FBA2">
        <w:rPr>
          <w:noProof/>
          <w:lang w:eastAsia="en-GB"/>
        </w:rPr>
        <w:t xml:space="preserve">upport for multilateral action </w:t>
      </w:r>
      <w:r w:rsidR="003938B5" w:rsidRPr="1CD0FBA2">
        <w:rPr>
          <w:noProof/>
          <w:lang w:eastAsia="en-GB"/>
        </w:rPr>
        <w:t>is continued</w:t>
      </w:r>
      <w:r w:rsidRPr="1CD0FBA2">
        <w:rPr>
          <w:noProof/>
          <w:lang w:eastAsia="en-GB"/>
        </w:rPr>
        <w:t xml:space="preserve"> by allowing a reduction of the ETS surrender obligation with costs for the emissions covered by CORSIA (amended Article 12(3)</w:t>
      </w:r>
      <w:r w:rsidR="005F558F" w:rsidRPr="1CD0FBA2">
        <w:rPr>
          <w:noProof/>
          <w:lang w:eastAsia="en-GB"/>
        </w:rPr>
        <w:t xml:space="preserve"> point </w:t>
      </w:r>
      <w:r w:rsidRPr="1CD0FBA2">
        <w:rPr>
          <w:noProof/>
          <w:lang w:eastAsia="en-GB"/>
        </w:rPr>
        <w:t xml:space="preserve">(b)). </w:t>
      </w:r>
      <w:r w:rsidR="00EC2B28" w:rsidRPr="1CD0FBA2">
        <w:rPr>
          <w:noProof/>
          <w:lang w:eastAsia="en-GB"/>
        </w:rPr>
        <w:t xml:space="preserve">It is proposed that implementation of the CORSIA unit cancellation be </w:t>
      </w:r>
      <w:r w:rsidR="00944676">
        <w:rPr>
          <w:noProof/>
          <w:lang w:eastAsia="en-GB"/>
        </w:rPr>
        <w:t xml:space="preserve">extended </w:t>
      </w:r>
      <w:r w:rsidR="00EC2B28" w:rsidRPr="1CD0FBA2">
        <w:rPr>
          <w:noProof/>
          <w:lang w:eastAsia="en-GB"/>
        </w:rPr>
        <w:t>until 2035</w:t>
      </w:r>
      <w:r w:rsidRPr="1CD0FBA2">
        <w:rPr>
          <w:noProof/>
          <w:lang w:eastAsia="en-GB"/>
        </w:rPr>
        <w:t xml:space="preserve"> (amended Article 12(9). </w:t>
      </w:r>
      <w:r w:rsidR="00F13540" w:rsidRPr="1CD0FBA2">
        <w:rPr>
          <w:noProof/>
          <w:lang w:eastAsia="en-GB"/>
        </w:rPr>
        <w:t>Allowanc</w:t>
      </w:r>
      <w:r w:rsidR="00C34CA9" w:rsidRPr="1CD0FBA2">
        <w:rPr>
          <w:noProof/>
          <w:lang w:eastAsia="en-GB"/>
        </w:rPr>
        <w:t xml:space="preserve">es from the increased coverage are recycled to drive investment in </w:t>
      </w:r>
      <w:r w:rsidR="00F13540" w:rsidRPr="1CD0FBA2">
        <w:rPr>
          <w:noProof/>
          <w:lang w:eastAsia="en-GB"/>
        </w:rPr>
        <w:t xml:space="preserve">reducing </w:t>
      </w:r>
      <w:r w:rsidR="00C34CA9" w:rsidRPr="1CD0FBA2">
        <w:rPr>
          <w:noProof/>
          <w:lang w:eastAsia="en-GB"/>
        </w:rPr>
        <w:t>aviation</w:t>
      </w:r>
      <w:r w:rsidR="00F13540" w:rsidRPr="1CD0FBA2">
        <w:rPr>
          <w:noProof/>
          <w:lang w:eastAsia="en-GB"/>
        </w:rPr>
        <w:t>’s climate im</w:t>
      </w:r>
      <w:r w:rsidR="00D73963" w:rsidRPr="1CD0FBA2">
        <w:rPr>
          <w:noProof/>
          <w:lang w:eastAsia="en-GB"/>
        </w:rPr>
        <w:t xml:space="preserve">pacts, </w:t>
      </w:r>
      <w:r w:rsidR="00C34CA9" w:rsidRPr="1CD0FBA2">
        <w:rPr>
          <w:noProof/>
          <w:lang w:eastAsia="en-GB"/>
        </w:rPr>
        <w:t>through the uptake of sustainable aviation fuels and scalable decarbonisation solutions, and the cost-effective reduction of climate impacts from contrails for flights covered by the ETS (amended Article 3c(6))</w:t>
      </w:r>
      <w:r w:rsidRPr="1CD0FBA2">
        <w:rPr>
          <w:noProof/>
          <w:lang w:eastAsia="en-GB"/>
        </w:rPr>
        <w:t xml:space="preserve">. The proposal includes simplification provisions for reporting (amended Article 28a(4)) and for claiming ETS-financed support for aviation decarbonisation (amended Article 3c(6)). </w:t>
      </w:r>
    </w:p>
    <w:p w14:paraId="4888AF16" w14:textId="4C20E4AE" w:rsidR="008A21C0" w:rsidRDefault="5B83A6F5" w:rsidP="2193DBD9">
      <w:pPr>
        <w:pStyle w:val="Bullet1"/>
        <w:rPr>
          <w:noProof/>
        </w:rPr>
      </w:pPr>
      <w:bookmarkStart w:id="7" w:name="_Toc211962807"/>
      <w:r w:rsidRPr="2193DBD9">
        <w:rPr>
          <w:b/>
          <w:bCs/>
          <w:noProof/>
          <w:lang w:eastAsia="en-GB"/>
        </w:rPr>
        <w:t>Maritime transport emissions</w:t>
      </w:r>
      <w:r w:rsidRPr="2193DBD9">
        <w:rPr>
          <w:noProof/>
          <w:lang w:eastAsia="en-GB"/>
        </w:rPr>
        <w:t>:</w:t>
      </w:r>
      <w:bookmarkEnd w:id="7"/>
      <w:r w:rsidRPr="2193DBD9">
        <w:rPr>
          <w:noProof/>
          <w:lang w:eastAsia="en-GB"/>
        </w:rPr>
        <w:t xml:space="preserve"> the proposal enhances the effectiveness of the current system (i) by establishing a Sustainable Maritime Alternative Propulsion (SMAP) mechanism (new Article 3gaa), which aims to recycle </w:t>
      </w:r>
      <w:r w:rsidR="5FBDFA3A" w:rsidRPr="2193DBD9">
        <w:rPr>
          <w:noProof/>
          <w:lang w:eastAsia="en-GB"/>
        </w:rPr>
        <w:t xml:space="preserve">further </w:t>
      </w:r>
      <w:r w:rsidRPr="2193DBD9">
        <w:rPr>
          <w:noProof/>
          <w:lang w:eastAsia="en-GB"/>
        </w:rPr>
        <w:t>EU ETS revenues to support the decarbonisation of the maritime sector</w:t>
      </w:r>
      <w:r w:rsidR="5FBDFA3A" w:rsidRPr="2193DBD9">
        <w:rPr>
          <w:noProof/>
          <w:lang w:eastAsia="en-GB"/>
        </w:rPr>
        <w:t>;</w:t>
      </w:r>
      <w:r w:rsidRPr="2193DBD9">
        <w:rPr>
          <w:noProof/>
          <w:lang w:eastAsia="en-GB"/>
        </w:rPr>
        <w:t xml:space="preserve"> (ii) by reinforcing safeguards against the risk of evasion by containerships and vessels engaged in or supporting offshore operations (amended Article 3ga(1) and Article 3), </w:t>
      </w:r>
      <w:r w:rsidR="2917D7D9" w:rsidRPr="2193DBD9">
        <w:rPr>
          <w:noProof/>
          <w:lang w:eastAsia="en-GB"/>
        </w:rPr>
        <w:t xml:space="preserve">and </w:t>
      </w:r>
      <w:r w:rsidRPr="2193DBD9">
        <w:rPr>
          <w:noProof/>
          <w:lang w:eastAsia="en-GB"/>
        </w:rPr>
        <w:t>ongoing monitoring of such risk</w:t>
      </w:r>
      <w:r w:rsidR="2917D7D9" w:rsidRPr="2193DBD9">
        <w:rPr>
          <w:noProof/>
          <w:lang w:eastAsia="en-GB"/>
        </w:rPr>
        <w:t>;</w:t>
      </w:r>
      <w:r w:rsidRPr="2193DBD9">
        <w:rPr>
          <w:noProof/>
          <w:lang w:eastAsia="en-GB"/>
        </w:rPr>
        <w:t xml:space="preserve">  Considering that the large-scale deployment of emission reduction solutions related to ice-class vessels and fleets servicing routes subject to derogations until 31 December 2030 remains constrained, it is proposed </w:t>
      </w:r>
      <w:r w:rsidR="6832567F" w:rsidRPr="2193DBD9">
        <w:rPr>
          <w:noProof/>
          <w:lang w:eastAsia="en-GB"/>
        </w:rPr>
        <w:t>that</w:t>
      </w:r>
      <w:r w:rsidRPr="2193DBD9">
        <w:rPr>
          <w:noProof/>
          <w:lang w:eastAsia="en-GB"/>
        </w:rPr>
        <w:t xml:space="preserve"> the duration of certain derogations </w:t>
      </w:r>
      <w:r w:rsidR="6832567F" w:rsidRPr="2193DBD9">
        <w:rPr>
          <w:noProof/>
          <w:lang w:eastAsia="en-GB"/>
        </w:rPr>
        <w:t>be extended</w:t>
      </w:r>
      <w:r w:rsidRPr="2193DBD9">
        <w:rPr>
          <w:noProof/>
          <w:lang w:eastAsia="en-GB"/>
        </w:rPr>
        <w:t xml:space="preserve"> until 31 December 2035 (amended Article 12(3-e) to (3-b)). </w:t>
      </w:r>
      <w:r w:rsidR="00F6740E">
        <w:rPr>
          <w:noProof/>
        </w:rPr>
        <w:t xml:space="preserve">The proposal also extends until 31 December 2038 the temporary redistribution mechanism established in Article 3ga(3), second subparagraph. </w:t>
      </w:r>
      <w:r w:rsidRPr="2193DBD9">
        <w:rPr>
          <w:noProof/>
          <w:lang w:eastAsia="en-GB"/>
        </w:rPr>
        <w:t xml:space="preserve">The proposal reinforces the level-playing field through a targeted extension of the scope of the EU ETS to certain categories of small vessels (below 5 000 gross tonnage but not below 400 gross tonnage) (amended Annex I). </w:t>
      </w:r>
      <w:r w:rsidR="414CE59B" w:rsidRPr="2193DBD9">
        <w:rPr>
          <w:noProof/>
          <w:lang w:eastAsia="en-GB"/>
        </w:rPr>
        <w:t>This kind of</w:t>
      </w:r>
      <w:r w:rsidRPr="2193DBD9">
        <w:rPr>
          <w:noProof/>
          <w:lang w:eastAsia="en-GB"/>
        </w:rPr>
        <w:t xml:space="preserve"> targeted extension requires the cap </w:t>
      </w:r>
      <w:r w:rsidR="3F38B539" w:rsidRPr="2193DBD9">
        <w:rPr>
          <w:noProof/>
          <w:lang w:eastAsia="en-GB"/>
        </w:rPr>
        <w:t>to be increased</w:t>
      </w:r>
      <w:r w:rsidRPr="2193DBD9">
        <w:rPr>
          <w:noProof/>
          <w:lang w:eastAsia="en-GB"/>
        </w:rPr>
        <w:t xml:space="preserve"> (amended Article 9). </w:t>
      </w:r>
      <w:r w:rsidR="00104A25" w:rsidRPr="2193DBD9">
        <w:rPr>
          <w:noProof/>
          <w:lang w:eastAsia="en-GB"/>
        </w:rPr>
        <w:t>Since the EU ET</w:t>
      </w:r>
      <w:r w:rsidR="00104A25">
        <w:rPr>
          <w:noProof/>
        </w:rPr>
        <w:t xml:space="preserve">S for maritime transport interacts with global measures under development at the IMO, the proposal provides for a </w:t>
      </w:r>
      <w:r>
        <w:rPr>
          <w:noProof/>
          <w:lang w:eastAsia="en-GB"/>
        </w:rPr>
        <w:t xml:space="preserve">review clause that refers to a </w:t>
      </w:r>
      <w:r w:rsidRPr="000541BD">
        <w:rPr>
          <w:noProof/>
          <w:lang w:eastAsia="en-GB"/>
        </w:rPr>
        <w:t>possibility</w:t>
      </w:r>
      <w:r>
        <w:rPr>
          <w:noProof/>
          <w:lang w:eastAsia="en-GB"/>
        </w:rPr>
        <w:t xml:space="preserve"> for a </w:t>
      </w:r>
      <w:r w:rsidR="00104A25">
        <w:rPr>
          <w:noProof/>
        </w:rPr>
        <w:t xml:space="preserve">measure </w:t>
      </w:r>
      <w:r>
        <w:rPr>
          <w:noProof/>
          <w:lang w:eastAsia="en-GB"/>
        </w:rPr>
        <w:t>to avoid</w:t>
      </w:r>
      <w:r w:rsidR="00104A25">
        <w:rPr>
          <w:noProof/>
        </w:rPr>
        <w:t xml:space="preserve"> double payments </w:t>
      </w:r>
      <w:r>
        <w:rPr>
          <w:noProof/>
          <w:lang w:eastAsia="en-GB"/>
        </w:rPr>
        <w:t>(Article 3gg). The proposal provides also</w:t>
      </w:r>
      <w:r w:rsidR="00104A25">
        <w:rPr>
          <w:noProof/>
        </w:rPr>
        <w:t xml:space="preserve"> for a certain amount of allowances to be reserved and allocated to support least developed countries and small island developing countries (new Article 3gab)</w:t>
      </w:r>
      <w:r w:rsidR="60A05A39">
        <w:rPr>
          <w:noProof/>
        </w:rPr>
        <w:t>.</w:t>
      </w:r>
      <w:r w:rsidR="00104A25">
        <w:rPr>
          <w:noProof/>
        </w:rPr>
        <w:t xml:space="preserve"> </w:t>
      </w:r>
    </w:p>
    <w:p w14:paraId="3EB1AFEA" w14:textId="77777777" w:rsidR="008A21C0" w:rsidRPr="008A21C0" w:rsidRDefault="008A21C0" w:rsidP="00C27BED">
      <w:pPr>
        <w:pStyle w:val="Bullet1"/>
        <w:rPr>
          <w:noProof/>
          <w:sz w:val="28"/>
          <w:szCs w:val="28"/>
        </w:rPr>
      </w:pPr>
      <w:r w:rsidRPr="1CD0FBA2">
        <w:rPr>
          <w:b/>
          <w:bCs/>
          <w:noProof/>
          <w:lang w:eastAsia="en-GB"/>
        </w:rPr>
        <w:t xml:space="preserve">‘ETS as a service’: </w:t>
      </w:r>
      <w:r w:rsidRPr="1CD0FBA2">
        <w:rPr>
          <w:noProof/>
          <w:lang w:eastAsia="en-GB"/>
        </w:rPr>
        <w:t xml:space="preserve">to support global climate action and facilitate </w:t>
      </w:r>
      <w:r w:rsidR="00F73451" w:rsidRPr="1CD0FBA2">
        <w:rPr>
          <w:noProof/>
          <w:lang w:eastAsia="en-GB"/>
        </w:rPr>
        <w:t xml:space="preserve">the </w:t>
      </w:r>
      <w:r w:rsidRPr="1CD0FBA2">
        <w:rPr>
          <w:noProof/>
          <w:lang w:eastAsia="en-GB"/>
        </w:rPr>
        <w:t xml:space="preserve">pricing </w:t>
      </w:r>
      <w:r w:rsidR="00792926" w:rsidRPr="1CD0FBA2">
        <w:rPr>
          <w:noProof/>
          <w:lang w:eastAsia="en-GB"/>
        </w:rPr>
        <w:t>GHG</w:t>
      </w:r>
      <w:r w:rsidRPr="1CD0FBA2">
        <w:rPr>
          <w:noProof/>
          <w:lang w:eastAsia="en-GB"/>
        </w:rPr>
        <w:t xml:space="preserve"> emissions in </w:t>
      </w:r>
      <w:r w:rsidR="00792926" w:rsidRPr="1CD0FBA2">
        <w:rPr>
          <w:noProof/>
          <w:lang w:eastAsia="en-GB"/>
        </w:rPr>
        <w:t xml:space="preserve">non-EU </w:t>
      </w:r>
      <w:r w:rsidRPr="1CD0FBA2">
        <w:rPr>
          <w:noProof/>
          <w:lang w:eastAsia="en-GB"/>
        </w:rPr>
        <w:t xml:space="preserve">countries, </w:t>
      </w:r>
      <w:r w:rsidR="003938B5" w:rsidRPr="1CD0FBA2">
        <w:rPr>
          <w:noProof/>
          <w:lang w:eastAsia="en-GB"/>
        </w:rPr>
        <w:t>it is proposed to</w:t>
      </w:r>
      <w:r w:rsidRPr="1CD0FBA2">
        <w:rPr>
          <w:noProof/>
          <w:lang w:eastAsia="en-GB"/>
        </w:rPr>
        <w:t xml:space="preserve"> establish </w:t>
      </w:r>
      <w:r w:rsidR="00792926" w:rsidRPr="1CD0FBA2">
        <w:rPr>
          <w:noProof/>
          <w:lang w:eastAsia="en-GB"/>
        </w:rPr>
        <w:t>the</w:t>
      </w:r>
      <w:r w:rsidRPr="1CD0FBA2">
        <w:rPr>
          <w:noProof/>
          <w:lang w:eastAsia="en-GB"/>
        </w:rPr>
        <w:t xml:space="preserve"> ‘ETS as a service’</w:t>
      </w:r>
      <w:r w:rsidR="00CF2B3D" w:rsidRPr="1CD0FBA2">
        <w:rPr>
          <w:noProof/>
          <w:lang w:eastAsia="en-GB"/>
        </w:rPr>
        <w:t xml:space="preserve"> mechanism</w:t>
      </w:r>
      <w:r w:rsidRPr="1CD0FBA2">
        <w:rPr>
          <w:noProof/>
          <w:lang w:eastAsia="en-GB"/>
        </w:rPr>
        <w:t xml:space="preserve">, to provide support to </w:t>
      </w:r>
      <w:r w:rsidR="00CF2B3D" w:rsidRPr="1CD0FBA2">
        <w:rPr>
          <w:noProof/>
          <w:lang w:eastAsia="en-GB"/>
        </w:rPr>
        <w:t xml:space="preserve">non-EU </w:t>
      </w:r>
      <w:r w:rsidRPr="1CD0FBA2">
        <w:rPr>
          <w:noProof/>
          <w:lang w:eastAsia="en-GB"/>
        </w:rPr>
        <w:t xml:space="preserve">countries in respect of emissions not already subject to surrender obligations under the EU ETS (new Article 25b). </w:t>
      </w:r>
    </w:p>
    <w:p w14:paraId="41B68471" w14:textId="317F5220" w:rsidR="008A21C0" w:rsidRDefault="008A21C0" w:rsidP="00C27BED">
      <w:pPr>
        <w:pStyle w:val="Bullet1"/>
        <w:rPr>
          <w:noProof/>
          <w:lang w:val="en-IE"/>
        </w:rPr>
      </w:pPr>
      <w:r w:rsidRPr="1CD0FBA2">
        <w:rPr>
          <w:b/>
          <w:bCs/>
          <w:noProof/>
        </w:rPr>
        <w:t>Risk of carbon leakage, free allocation and benchmarks post 2031:</w:t>
      </w:r>
      <w:r w:rsidRPr="1CD0FBA2">
        <w:rPr>
          <w:noProof/>
        </w:rPr>
        <w:t xml:space="preserve"> </w:t>
      </w:r>
      <w:r w:rsidR="003938B5" w:rsidRPr="1CD0FBA2">
        <w:rPr>
          <w:noProof/>
        </w:rPr>
        <w:t xml:space="preserve">it is proposed to </w:t>
      </w:r>
      <w:r w:rsidRPr="1CD0FBA2">
        <w:rPr>
          <w:noProof/>
        </w:rPr>
        <w:t xml:space="preserve">extend the current instruments (free allocation, carbon leakage list) to the next period. </w:t>
      </w:r>
      <w:r w:rsidR="00C6064C" w:rsidRPr="1CD0FBA2">
        <w:rPr>
          <w:noProof/>
          <w:lang w:val="en-IE"/>
        </w:rPr>
        <w:t>The proposal extends the validity of the transitional measures under Article 10b(1) to support certain EIIs deemed to be exposed to carbon leakage until 2040.</w:t>
      </w:r>
      <w:r w:rsidR="0397DA48" w:rsidRPr="1CD0FBA2">
        <w:rPr>
          <w:noProof/>
          <w:lang w:val="en-IE"/>
        </w:rPr>
        <w:t xml:space="preserve"> </w:t>
      </w:r>
      <w:r w:rsidRPr="1CD0FBA2">
        <w:rPr>
          <w:noProof/>
          <w:lang w:val="en-IE"/>
        </w:rPr>
        <w:t xml:space="preserve">The proposal </w:t>
      </w:r>
      <w:r w:rsidR="00C6064C" w:rsidRPr="1CD0FBA2">
        <w:rPr>
          <w:noProof/>
          <w:lang w:val="en-IE"/>
        </w:rPr>
        <w:t xml:space="preserve">also </w:t>
      </w:r>
      <w:r w:rsidRPr="1CD0FBA2">
        <w:rPr>
          <w:noProof/>
          <w:lang w:val="en-IE"/>
        </w:rPr>
        <w:t xml:space="preserve">sets rules </w:t>
      </w:r>
      <w:r w:rsidR="005C67E3" w:rsidRPr="1CD0FBA2">
        <w:rPr>
          <w:noProof/>
          <w:lang w:val="en-IE"/>
        </w:rPr>
        <w:t>on</w:t>
      </w:r>
      <w:r w:rsidRPr="1CD0FBA2">
        <w:rPr>
          <w:noProof/>
          <w:lang w:val="en-IE"/>
        </w:rPr>
        <w:t xml:space="preserve"> free allocation in the EU ETS for stationary installations for the five-year periods referred to in Article 11 of the ETS Directive until 2040</w:t>
      </w:r>
      <w:r w:rsidR="003D0F78" w:rsidRPr="003D0F78">
        <w:rPr>
          <w:noProof/>
          <w:lang w:val="en-IE"/>
        </w:rPr>
        <w:t>, adjusting the maximum update rate for the benchmarks in Article 10a(2) to reflect the actual decarbonisation pathway of industrial sectors. For the event that demand for free allowances triggers the need to apply a uniform cross-sectoral correction factor before 2040, the buffer is increased to 4 % of the total quantity of allowances</w:t>
      </w:r>
      <w:r w:rsidRPr="1CD0FBA2">
        <w:rPr>
          <w:noProof/>
          <w:lang w:val="en-IE"/>
        </w:rPr>
        <w:t xml:space="preserve">. </w:t>
      </w:r>
      <w:r w:rsidR="00A63157" w:rsidRPr="1CD0FBA2">
        <w:rPr>
          <w:noProof/>
          <w:lang w:val="en-IE"/>
        </w:rPr>
        <w:t>The proposal e</w:t>
      </w:r>
      <w:r w:rsidRPr="1CD0FBA2">
        <w:rPr>
          <w:noProof/>
          <w:lang w:val="en-IE"/>
        </w:rPr>
        <w:t>xpand</w:t>
      </w:r>
      <w:r w:rsidR="00A63157" w:rsidRPr="1CD0FBA2">
        <w:rPr>
          <w:noProof/>
          <w:lang w:val="en-IE"/>
        </w:rPr>
        <w:t>s</w:t>
      </w:r>
      <w:r w:rsidRPr="1CD0FBA2">
        <w:rPr>
          <w:noProof/>
          <w:lang w:val="en-IE"/>
        </w:rPr>
        <w:t xml:space="preserve"> the existing approach on conditionality for district heating, </w:t>
      </w:r>
      <w:r w:rsidR="006A3C4A" w:rsidRPr="1CD0FBA2">
        <w:rPr>
          <w:noProof/>
          <w:lang w:val="en-IE"/>
        </w:rPr>
        <w:t xml:space="preserve">and </w:t>
      </w:r>
      <w:r w:rsidR="00482240" w:rsidRPr="1CD0FBA2">
        <w:rPr>
          <w:noProof/>
          <w:lang w:val="en-IE"/>
        </w:rPr>
        <w:t>conditions</w:t>
      </w:r>
      <w:r w:rsidR="00B455A1" w:rsidRPr="1CD0FBA2">
        <w:rPr>
          <w:noProof/>
          <w:lang w:val="en-IE"/>
        </w:rPr>
        <w:t xml:space="preserve"> all free allocation in the EU ETS</w:t>
      </w:r>
      <w:r w:rsidRPr="1CD0FBA2">
        <w:rPr>
          <w:noProof/>
          <w:lang w:val="en-IE"/>
        </w:rPr>
        <w:t xml:space="preserve"> as of the five-year period for free allocation starting on 1 January 2031, </w:t>
      </w:r>
      <w:r w:rsidR="004222FA" w:rsidRPr="1CD0FBA2">
        <w:rPr>
          <w:noProof/>
          <w:lang w:val="en-IE"/>
        </w:rPr>
        <w:t>upon</w:t>
      </w:r>
      <w:r w:rsidRPr="1CD0FBA2">
        <w:rPr>
          <w:noProof/>
          <w:lang w:val="en-IE"/>
        </w:rPr>
        <w:t xml:space="preserve"> establishment of a </w:t>
      </w:r>
      <w:r w:rsidR="00B455A1" w:rsidRPr="1CD0FBA2">
        <w:rPr>
          <w:noProof/>
          <w:lang w:val="en-IE"/>
        </w:rPr>
        <w:t xml:space="preserve">plan to invest in decarbonisation in the EU (thereby enhancing homegrown production of decarbonised and low carbon products) </w:t>
      </w:r>
      <w:r w:rsidRPr="1CD0FBA2">
        <w:rPr>
          <w:noProof/>
          <w:lang w:val="en-IE"/>
        </w:rPr>
        <w:t xml:space="preserve">and implementation of decarbonisation investments leading to significant emissions reduction. </w:t>
      </w:r>
      <w:r w:rsidR="004F0EA9" w:rsidRPr="1CD0FBA2">
        <w:rPr>
          <w:noProof/>
          <w:lang w:val="en-IE"/>
        </w:rPr>
        <w:t xml:space="preserve">Concretely, </w:t>
      </w:r>
      <w:r w:rsidR="00AF09ED" w:rsidRPr="1CD0FBA2">
        <w:rPr>
          <w:noProof/>
          <w:lang w:val="en-IE"/>
        </w:rPr>
        <w:t>80 %</w:t>
      </w:r>
      <w:r w:rsidRPr="1CD0FBA2">
        <w:rPr>
          <w:noProof/>
          <w:lang w:val="en-IE"/>
        </w:rPr>
        <w:t xml:space="preserve"> of the amount of free allocation in each </w:t>
      </w:r>
      <w:r w:rsidR="00017B1D" w:rsidRPr="1CD0FBA2">
        <w:rPr>
          <w:noProof/>
          <w:lang w:val="en-IE"/>
        </w:rPr>
        <w:t>five-year</w:t>
      </w:r>
      <w:r w:rsidR="00231E6E" w:rsidRPr="1CD0FBA2">
        <w:rPr>
          <w:noProof/>
          <w:lang w:val="en-IE"/>
        </w:rPr>
        <w:t xml:space="preserve"> </w:t>
      </w:r>
      <w:r w:rsidRPr="1CD0FBA2">
        <w:rPr>
          <w:noProof/>
          <w:lang w:val="en-IE"/>
        </w:rPr>
        <w:t xml:space="preserve">period will be allocated annually upon submission of </w:t>
      </w:r>
      <w:r w:rsidR="00B455A1" w:rsidRPr="1CD0FBA2">
        <w:rPr>
          <w:noProof/>
          <w:lang w:val="en-IE"/>
        </w:rPr>
        <w:t>the</w:t>
      </w:r>
      <w:r w:rsidRPr="1CD0FBA2">
        <w:rPr>
          <w:noProof/>
          <w:lang w:val="en-IE"/>
        </w:rPr>
        <w:t xml:space="preserve"> </w:t>
      </w:r>
      <w:r w:rsidR="00B455A1" w:rsidRPr="1CD0FBA2">
        <w:rPr>
          <w:noProof/>
          <w:lang w:val="en-IE"/>
        </w:rPr>
        <w:t>plan to invest in decarbonisation in the EU</w:t>
      </w:r>
      <w:r w:rsidRPr="1CD0FBA2">
        <w:rPr>
          <w:noProof/>
          <w:lang w:val="en-IE"/>
        </w:rPr>
        <w:t xml:space="preserve">, including an investment and emission reduction plan </w:t>
      </w:r>
      <w:r w:rsidRPr="1CD0FBA2">
        <w:rPr>
          <w:noProof/>
        </w:rPr>
        <w:t xml:space="preserve">to reduce overall climate impacts </w:t>
      </w:r>
      <w:r w:rsidR="00AF09ED" w:rsidRPr="1CD0FBA2">
        <w:rPr>
          <w:noProof/>
        </w:rPr>
        <w:t>that is verified by ETS verifiers and approved by the competent au</w:t>
      </w:r>
      <w:r w:rsidR="006D0406" w:rsidRPr="1CD0FBA2">
        <w:rPr>
          <w:noProof/>
        </w:rPr>
        <w:t>th</w:t>
      </w:r>
      <w:r w:rsidR="00AF09ED" w:rsidRPr="1CD0FBA2">
        <w:rPr>
          <w:noProof/>
        </w:rPr>
        <w:t>ority</w:t>
      </w:r>
      <w:r w:rsidRPr="1CD0FBA2">
        <w:rPr>
          <w:noProof/>
          <w:lang w:val="en-IE"/>
        </w:rPr>
        <w:t>.</w:t>
      </w:r>
      <w:r w:rsidR="00223E55">
        <w:rPr>
          <w:noProof/>
          <w:lang w:val="en-IE"/>
        </w:rPr>
        <w:t xml:space="preserve"> </w:t>
      </w:r>
      <w:r w:rsidR="00223E55" w:rsidRPr="00BD1E0D">
        <w:rPr>
          <w:noProof/>
          <w:lang w:val="en-IE"/>
        </w:rPr>
        <w:t>To further incentivise industrial investment within the Union, operators are required to return the allowances</w:t>
      </w:r>
      <w:r w:rsidR="00053331" w:rsidRPr="00BD1E0D">
        <w:rPr>
          <w:noProof/>
          <w:lang w:val="en-IE"/>
        </w:rPr>
        <w:t xml:space="preserve"> </w:t>
      </w:r>
      <w:r>
        <w:rPr>
          <w:noProof/>
          <w:lang w:val="en-IE"/>
        </w:rPr>
        <w:t xml:space="preserve">received under Article 10a(3c) first subparagraph, </w:t>
      </w:r>
      <w:r w:rsidR="00223E55" w:rsidRPr="00BD1E0D">
        <w:rPr>
          <w:noProof/>
          <w:lang w:val="en-IE"/>
        </w:rPr>
        <w:t xml:space="preserve">if </w:t>
      </w:r>
      <w:r w:rsidR="00F42B41" w:rsidRPr="00BD1E0D">
        <w:rPr>
          <w:noProof/>
          <w:lang w:val="en-IE"/>
        </w:rPr>
        <w:t xml:space="preserve">the </w:t>
      </w:r>
      <w:r>
        <w:rPr>
          <w:noProof/>
          <w:lang w:val="en-IE"/>
        </w:rPr>
        <w:t>operator relocates</w:t>
      </w:r>
      <w:r w:rsidR="00223E55" w:rsidRPr="00BD1E0D">
        <w:rPr>
          <w:noProof/>
          <w:lang w:val="en-IE"/>
        </w:rPr>
        <w:t xml:space="preserve"> or otherwise </w:t>
      </w:r>
      <w:r>
        <w:rPr>
          <w:noProof/>
          <w:lang w:val="en-IE"/>
        </w:rPr>
        <w:t>transfers its relevant acitivities</w:t>
      </w:r>
      <w:r w:rsidR="00F75BAF" w:rsidRPr="00BD1E0D">
        <w:rPr>
          <w:noProof/>
          <w:lang w:val="en-IE"/>
        </w:rPr>
        <w:t xml:space="preserve"> </w:t>
      </w:r>
      <w:r w:rsidR="00223E55" w:rsidRPr="00BD1E0D">
        <w:rPr>
          <w:noProof/>
          <w:lang w:val="en-IE"/>
        </w:rPr>
        <w:t>outside of the Union.</w:t>
      </w:r>
      <w:r w:rsidRPr="1CD0FBA2">
        <w:rPr>
          <w:noProof/>
          <w:lang w:val="en-IE"/>
        </w:rPr>
        <w:t xml:space="preserve"> The remaining </w:t>
      </w:r>
      <w:r w:rsidR="00AF09ED" w:rsidRPr="1CD0FBA2">
        <w:rPr>
          <w:noProof/>
          <w:lang w:val="en-IE"/>
        </w:rPr>
        <w:t>20 %</w:t>
      </w:r>
      <w:r w:rsidRPr="1CD0FBA2">
        <w:rPr>
          <w:noProof/>
          <w:lang w:val="en-IE"/>
        </w:rPr>
        <w:t xml:space="preserve"> of the amount of free allocation for the period will be allocated only upon verification </w:t>
      </w:r>
      <w:r w:rsidR="00FD0A64" w:rsidRPr="1CD0FBA2">
        <w:rPr>
          <w:noProof/>
          <w:lang w:val="en-IE"/>
        </w:rPr>
        <w:t>that the</w:t>
      </w:r>
      <w:r w:rsidRPr="1CD0FBA2">
        <w:rPr>
          <w:noProof/>
          <w:lang w:val="en-IE"/>
        </w:rPr>
        <w:t xml:space="preserve"> decarbonisation investments </w:t>
      </w:r>
      <w:r w:rsidR="00AF209F" w:rsidRPr="1CD0FBA2">
        <w:rPr>
          <w:noProof/>
          <w:lang w:val="en-IE"/>
        </w:rPr>
        <w:t>have been successfully implemented,</w:t>
      </w:r>
      <w:r w:rsidRPr="1CD0FBA2">
        <w:rPr>
          <w:noProof/>
          <w:lang w:val="en-IE"/>
        </w:rPr>
        <w:t xml:space="preserve"> and </w:t>
      </w:r>
      <w:r w:rsidR="001B645B" w:rsidRPr="1CD0FBA2">
        <w:rPr>
          <w:noProof/>
          <w:lang w:val="en-IE"/>
        </w:rPr>
        <w:t>that</w:t>
      </w:r>
      <w:r w:rsidRPr="1CD0FBA2">
        <w:rPr>
          <w:noProof/>
          <w:lang w:val="en-IE"/>
        </w:rPr>
        <w:t xml:space="preserve"> the corresponding significant emission reduction</w:t>
      </w:r>
      <w:r w:rsidR="001B645B" w:rsidRPr="1CD0FBA2">
        <w:rPr>
          <w:noProof/>
          <w:lang w:val="en-IE"/>
        </w:rPr>
        <w:t xml:space="preserve"> has been achieved</w:t>
      </w:r>
      <w:r w:rsidRPr="1CD0FBA2">
        <w:rPr>
          <w:noProof/>
          <w:lang w:val="en-IE"/>
        </w:rPr>
        <w:t xml:space="preserve">, </w:t>
      </w:r>
      <w:r w:rsidRPr="1CD0FBA2">
        <w:rPr>
          <w:noProof/>
        </w:rPr>
        <w:t>by</w:t>
      </w:r>
      <w:r w:rsidRPr="1CD0FBA2">
        <w:rPr>
          <w:b/>
          <w:bCs/>
          <w:noProof/>
        </w:rPr>
        <w:t xml:space="preserve"> </w:t>
      </w:r>
      <w:r w:rsidRPr="1CD0FBA2">
        <w:rPr>
          <w:noProof/>
          <w:lang w:val="en-IE"/>
        </w:rPr>
        <w:t xml:space="preserve">the end of the five-year period. Concerning CBAM sectors, it is proposed </w:t>
      </w:r>
      <w:r w:rsidR="00ED5FD0" w:rsidRPr="1CD0FBA2">
        <w:rPr>
          <w:noProof/>
          <w:lang w:val="en-IE"/>
        </w:rPr>
        <w:t>that</w:t>
      </w:r>
      <w:r w:rsidRPr="1CD0FBA2">
        <w:rPr>
          <w:noProof/>
          <w:lang w:val="en-IE"/>
        </w:rPr>
        <w:t xml:space="preserve"> </w:t>
      </w:r>
      <w:r w:rsidR="00D91863" w:rsidRPr="1CD0FBA2">
        <w:rPr>
          <w:noProof/>
          <w:lang w:val="en-IE"/>
        </w:rPr>
        <w:t>15</w:t>
      </w:r>
      <w:r w:rsidRPr="1CD0FBA2">
        <w:rPr>
          <w:noProof/>
          <w:lang w:val="en-IE"/>
        </w:rPr>
        <w:t>% of the free allocation phased out due to the CBAM factor</w:t>
      </w:r>
      <w:r w:rsidR="00BD67A5" w:rsidRPr="1CD0FBA2">
        <w:rPr>
          <w:noProof/>
          <w:lang w:val="en-IE"/>
        </w:rPr>
        <w:t xml:space="preserve"> be reintroduced</w:t>
      </w:r>
      <w:r w:rsidRPr="1CD0FBA2">
        <w:rPr>
          <w:noProof/>
          <w:lang w:val="en-IE"/>
        </w:rPr>
        <w:t>, starting in 2028, to</w:t>
      </w:r>
      <w:r w:rsidR="003E19F1" w:rsidRPr="1CD0FBA2">
        <w:rPr>
          <w:noProof/>
          <w:lang w:val="en-IE"/>
        </w:rPr>
        <w:t xml:space="preserve"> reduce the speed at which </w:t>
      </w:r>
      <w:r w:rsidR="00E25E67" w:rsidRPr="1CD0FBA2">
        <w:rPr>
          <w:noProof/>
          <w:lang w:val="en-IE"/>
        </w:rPr>
        <w:t>CBAM is phased</w:t>
      </w:r>
      <w:r w:rsidR="00675B07" w:rsidRPr="1CD0FBA2">
        <w:rPr>
          <w:noProof/>
          <w:lang w:val="en-IE"/>
        </w:rPr>
        <w:t>-</w:t>
      </w:r>
      <w:r w:rsidR="00C21601" w:rsidRPr="1CD0FBA2">
        <w:rPr>
          <w:noProof/>
          <w:lang w:val="en-IE"/>
        </w:rPr>
        <w:t>in</w:t>
      </w:r>
      <w:r w:rsidRPr="1CD0FBA2">
        <w:rPr>
          <w:noProof/>
          <w:lang w:val="en-IE"/>
        </w:rPr>
        <w:t xml:space="preserve"> and mitigate </w:t>
      </w:r>
      <w:r w:rsidR="0013707E" w:rsidRPr="1CD0FBA2">
        <w:rPr>
          <w:noProof/>
          <w:lang w:val="en-IE"/>
        </w:rPr>
        <w:t>the</w:t>
      </w:r>
      <w:r w:rsidR="006213DD" w:rsidRPr="1CD0FBA2">
        <w:rPr>
          <w:noProof/>
          <w:lang w:val="en-IE"/>
        </w:rPr>
        <w:t xml:space="preserve"> </w:t>
      </w:r>
      <w:r w:rsidRPr="1CD0FBA2">
        <w:rPr>
          <w:noProof/>
          <w:lang w:val="en-IE"/>
        </w:rPr>
        <w:t xml:space="preserve">remaining carbon leakage risk. </w:t>
      </w:r>
      <w:r w:rsidR="001703C2" w:rsidRPr="1CD0FBA2">
        <w:rPr>
          <w:noProof/>
          <w:lang w:val="en-IE"/>
        </w:rPr>
        <w:t xml:space="preserve">This will be achieved by reducing and delaying the phase-out of free allocation </w:t>
      </w:r>
      <w:r w:rsidR="005C0514" w:rsidRPr="1CD0FBA2">
        <w:rPr>
          <w:noProof/>
          <w:lang w:val="en-IE"/>
        </w:rPr>
        <w:t>until</w:t>
      </w:r>
      <w:r w:rsidR="001703C2" w:rsidRPr="1CD0FBA2">
        <w:rPr>
          <w:noProof/>
          <w:lang w:val="en-IE"/>
        </w:rPr>
        <w:t xml:space="preserve"> 2038</w:t>
      </w:r>
      <w:r w:rsidR="00BF5E43" w:rsidRPr="1CD0FBA2">
        <w:rPr>
          <w:noProof/>
          <w:lang w:val="en-IE"/>
        </w:rPr>
        <w:t xml:space="preserve"> accordingly</w:t>
      </w:r>
      <w:r w:rsidR="00FF75CE" w:rsidRPr="1CD0FBA2">
        <w:rPr>
          <w:noProof/>
          <w:lang w:val="en-IE"/>
        </w:rPr>
        <w:t xml:space="preserve">. </w:t>
      </w:r>
      <w:r w:rsidRPr="1CD0FBA2">
        <w:rPr>
          <w:noProof/>
          <w:lang w:val="en-IE"/>
        </w:rPr>
        <w:t xml:space="preserve">Rules </w:t>
      </w:r>
      <w:r w:rsidR="00546BC7" w:rsidRPr="1CD0FBA2">
        <w:rPr>
          <w:noProof/>
          <w:lang w:val="en-IE"/>
        </w:rPr>
        <w:t xml:space="preserve">on </w:t>
      </w:r>
      <w:r w:rsidRPr="1CD0FBA2">
        <w:rPr>
          <w:noProof/>
          <w:lang w:val="en-IE"/>
        </w:rPr>
        <w:t xml:space="preserve">the update of the benchmark values for the periods 2031-2035 and 2036-2040 are also included, </w:t>
      </w:r>
      <w:r w:rsidR="00A84691" w:rsidRPr="1CD0FBA2">
        <w:rPr>
          <w:noProof/>
          <w:lang w:val="en-IE"/>
        </w:rPr>
        <w:t>thereby</w:t>
      </w:r>
      <w:r w:rsidR="00414A36" w:rsidRPr="1CD0FBA2">
        <w:rPr>
          <w:noProof/>
          <w:lang w:val="en-IE"/>
        </w:rPr>
        <w:t xml:space="preserve"> </w:t>
      </w:r>
      <w:r w:rsidRPr="1CD0FBA2">
        <w:rPr>
          <w:noProof/>
          <w:lang w:val="en-IE"/>
        </w:rPr>
        <w:t xml:space="preserve">extending the principles of the current methodology </w:t>
      </w:r>
      <w:r w:rsidR="00A84691" w:rsidRPr="1CD0FBA2">
        <w:rPr>
          <w:noProof/>
          <w:lang w:val="en-IE"/>
        </w:rPr>
        <w:t xml:space="preserve">into </w:t>
      </w:r>
      <w:r w:rsidRPr="1CD0FBA2">
        <w:rPr>
          <w:noProof/>
          <w:lang w:val="en-IE"/>
        </w:rPr>
        <w:t>th</w:t>
      </w:r>
      <w:r w:rsidR="00116A87" w:rsidRPr="1CD0FBA2">
        <w:rPr>
          <w:noProof/>
          <w:lang w:val="en-IE"/>
        </w:rPr>
        <w:t>os</w:t>
      </w:r>
      <w:r w:rsidRPr="1CD0FBA2">
        <w:rPr>
          <w:noProof/>
          <w:lang w:val="en-IE"/>
        </w:rPr>
        <w:t xml:space="preserve">e periods. </w:t>
      </w:r>
    </w:p>
    <w:p w14:paraId="1203B420" w14:textId="77777777" w:rsidR="002D12B0" w:rsidRPr="008A21C0" w:rsidRDefault="002D12B0" w:rsidP="00C27BED">
      <w:pPr>
        <w:pStyle w:val="Bullet1"/>
        <w:rPr>
          <w:noProof/>
          <w:lang w:val="en-IE"/>
        </w:rPr>
      </w:pPr>
      <w:r w:rsidRPr="1CD0FBA2">
        <w:rPr>
          <w:b/>
          <w:bCs/>
          <w:noProof/>
          <w:lang w:val="en-IE"/>
        </w:rPr>
        <w:t>New sectoral heat and fuel benchmarks:</w:t>
      </w:r>
      <w:r w:rsidRPr="1CD0FBA2">
        <w:rPr>
          <w:noProof/>
          <w:lang w:val="en-IE"/>
        </w:rPr>
        <w:t xml:space="preserve"> The proposal includes an empowering provision for the Commission to establish sector-specific heat and fuel benchmarks under the delegated acts referred to under Article 10a(1).</w:t>
      </w:r>
    </w:p>
    <w:p w14:paraId="3321F7A2" w14:textId="77777777" w:rsidR="008A21C0" w:rsidRPr="008A21C0" w:rsidRDefault="008A21C0" w:rsidP="00C27BED">
      <w:pPr>
        <w:pStyle w:val="Bullet1"/>
        <w:rPr>
          <w:rFonts w:eastAsia="Arial"/>
          <w:noProof/>
          <w:lang w:val="en-IE" w:eastAsia="en-GB"/>
        </w:rPr>
      </w:pPr>
      <w:r w:rsidRPr="1CD0FBA2">
        <w:rPr>
          <w:b/>
          <w:bCs/>
          <w:noProof/>
          <w:lang w:val="en-IE" w:eastAsia="en-GB"/>
        </w:rPr>
        <w:t xml:space="preserve">Indirect cost compensation: </w:t>
      </w:r>
      <w:r w:rsidRPr="1CD0FBA2">
        <w:rPr>
          <w:noProof/>
          <w:lang w:val="en-IE" w:eastAsia="en-GB"/>
        </w:rPr>
        <w:t xml:space="preserve">the proposal continues </w:t>
      </w:r>
      <w:r w:rsidR="00116A87" w:rsidRPr="1CD0FBA2">
        <w:rPr>
          <w:noProof/>
          <w:lang w:val="en-IE" w:eastAsia="en-GB"/>
        </w:rPr>
        <w:t>to allow</w:t>
      </w:r>
      <w:r w:rsidRPr="1CD0FBA2">
        <w:rPr>
          <w:noProof/>
          <w:lang w:val="en-IE" w:eastAsia="en-GB"/>
        </w:rPr>
        <w:t xml:space="preserve"> Member States to grant State aid to compensate certain electro-intensive industries for part of the carbon costs passed on through the electricity market (Article 10(6)). To reduce administrative burden, the proposal integrates the reporting on indirect cost compensation </w:t>
      </w:r>
      <w:r w:rsidR="00715B98" w:rsidRPr="1CD0FBA2">
        <w:rPr>
          <w:noProof/>
          <w:lang w:val="en-IE" w:eastAsia="en-GB"/>
        </w:rPr>
        <w:t>into</w:t>
      </w:r>
      <w:r w:rsidRPr="1CD0FBA2">
        <w:rPr>
          <w:noProof/>
          <w:lang w:val="en-IE" w:eastAsia="en-GB"/>
        </w:rPr>
        <w:t xml:space="preserve"> broader reporting on auction</w:t>
      </w:r>
      <w:r w:rsidR="00715B98" w:rsidRPr="1CD0FBA2">
        <w:rPr>
          <w:noProof/>
          <w:lang w:val="en-IE" w:eastAsia="en-GB"/>
        </w:rPr>
        <w:t>-</w:t>
      </w:r>
      <w:r w:rsidRPr="1CD0FBA2">
        <w:rPr>
          <w:noProof/>
          <w:lang w:val="en-IE" w:eastAsia="en-GB"/>
        </w:rPr>
        <w:t>revenue use under the Governance Regulation</w:t>
      </w:r>
      <w:r w:rsidR="00DB0072" w:rsidRPr="1CD0FBA2">
        <w:rPr>
          <w:noProof/>
          <w:lang w:val="en-IE" w:eastAsia="en-GB"/>
        </w:rPr>
        <w:t>, with t</w:t>
      </w:r>
      <w:r w:rsidRPr="1CD0FBA2">
        <w:rPr>
          <w:noProof/>
          <w:lang w:val="en-IE" w:eastAsia="en-GB"/>
        </w:rPr>
        <w:t xml:space="preserve">he upcoming amendment </w:t>
      </w:r>
      <w:r w:rsidR="00DB0072" w:rsidRPr="1CD0FBA2">
        <w:rPr>
          <w:noProof/>
          <w:lang w:val="en-IE" w:eastAsia="en-GB"/>
        </w:rPr>
        <w:t xml:space="preserve">to </w:t>
      </w:r>
      <w:r w:rsidRPr="1CD0FBA2">
        <w:rPr>
          <w:noProof/>
          <w:lang w:val="en-IE" w:eastAsia="en-GB"/>
        </w:rPr>
        <w:t>the Governance Regulation provid</w:t>
      </w:r>
      <w:r w:rsidR="00DB0072" w:rsidRPr="1CD0FBA2">
        <w:rPr>
          <w:noProof/>
          <w:lang w:val="en-IE" w:eastAsia="en-GB"/>
        </w:rPr>
        <w:t>ing</w:t>
      </w:r>
      <w:r w:rsidRPr="1CD0FBA2">
        <w:rPr>
          <w:noProof/>
          <w:lang w:val="en-IE" w:eastAsia="en-GB"/>
        </w:rPr>
        <w:t xml:space="preserve"> the relevant legal basis. </w:t>
      </w:r>
    </w:p>
    <w:p w14:paraId="3925CAAF" w14:textId="77777777" w:rsidR="008A21C0" w:rsidRPr="00FF4F52" w:rsidRDefault="008A21C0" w:rsidP="000B709E">
      <w:pPr>
        <w:pStyle w:val="Bullet2"/>
        <w:numPr>
          <w:ilvl w:val="0"/>
          <w:numId w:val="38"/>
        </w:numPr>
        <w:tabs>
          <w:tab w:val="clear" w:pos="1984"/>
          <w:tab w:val="num" w:pos="1843"/>
        </w:tabs>
        <w:ind w:left="1418"/>
        <w:rPr>
          <w:rFonts w:eastAsia="Calibri"/>
          <w:b/>
          <w:bCs/>
          <w:noProof/>
          <w:lang w:eastAsia="en-GB"/>
        </w:rPr>
      </w:pPr>
      <w:r w:rsidRPr="1CD0FBA2">
        <w:rPr>
          <w:rFonts w:eastAsia="Calibri"/>
          <w:b/>
          <w:bCs/>
          <w:noProof/>
          <w:lang w:eastAsia="en-GB"/>
        </w:rPr>
        <w:t xml:space="preserve">Municipal waste incineration: </w:t>
      </w:r>
      <w:r w:rsidR="00C9557C" w:rsidRPr="1CD0FBA2">
        <w:rPr>
          <w:noProof/>
        </w:rPr>
        <w:t>it is proposed to</w:t>
      </w:r>
      <w:r w:rsidRPr="1CD0FBA2">
        <w:rPr>
          <w:noProof/>
        </w:rPr>
        <w:t xml:space="preserve"> extend the </w:t>
      </w:r>
      <w:r w:rsidR="00B11504" w:rsidRPr="1CD0FBA2">
        <w:rPr>
          <w:noProof/>
        </w:rPr>
        <w:t xml:space="preserve">current coverage </w:t>
      </w:r>
      <w:r w:rsidRPr="1CD0FBA2">
        <w:rPr>
          <w:noProof/>
        </w:rPr>
        <w:t xml:space="preserve">of the </w:t>
      </w:r>
      <w:r w:rsidR="00F53EB3" w:rsidRPr="1CD0FBA2">
        <w:rPr>
          <w:noProof/>
        </w:rPr>
        <w:t xml:space="preserve">EU </w:t>
      </w:r>
      <w:r w:rsidR="00B11504" w:rsidRPr="1CD0FBA2">
        <w:rPr>
          <w:noProof/>
        </w:rPr>
        <w:t>ETS</w:t>
      </w:r>
      <w:r w:rsidRPr="1CD0FBA2">
        <w:rPr>
          <w:noProof/>
        </w:rPr>
        <w:t xml:space="preserve"> </w:t>
      </w:r>
      <w:r w:rsidR="0061237F" w:rsidRPr="1CD0FBA2">
        <w:rPr>
          <w:noProof/>
        </w:rPr>
        <w:t>on</w:t>
      </w:r>
      <w:r w:rsidRPr="1CD0FBA2">
        <w:rPr>
          <w:noProof/>
        </w:rPr>
        <w:t xml:space="preserve"> waste co-incineration</w:t>
      </w:r>
      <w:r w:rsidR="00E553D3" w:rsidRPr="1CD0FBA2">
        <w:rPr>
          <w:noProof/>
        </w:rPr>
        <w:t>,</w:t>
      </w:r>
      <w:r w:rsidRPr="1CD0FBA2">
        <w:rPr>
          <w:noProof/>
        </w:rPr>
        <w:t xml:space="preserve"> to cover all non-hazardous waste incineration and co-incineration. To this end, </w:t>
      </w:r>
      <w:r w:rsidR="002C3CFB" w:rsidRPr="1CD0FBA2">
        <w:rPr>
          <w:noProof/>
        </w:rPr>
        <w:t>it is proposed to</w:t>
      </w:r>
      <w:r w:rsidRPr="1CD0FBA2">
        <w:rPr>
          <w:noProof/>
        </w:rPr>
        <w:t xml:space="preserve"> add a new</w:t>
      </w:r>
      <w:r w:rsidR="000F13D2" w:rsidRPr="1CD0FBA2">
        <w:rPr>
          <w:noProof/>
        </w:rPr>
        <w:t>, separate</w:t>
      </w:r>
      <w:r w:rsidRPr="1CD0FBA2">
        <w:rPr>
          <w:noProof/>
        </w:rPr>
        <w:t xml:space="preserve"> activity in Annex I</w:t>
      </w:r>
      <w:r w:rsidR="00180BAE" w:rsidRPr="1CD0FBA2">
        <w:rPr>
          <w:noProof/>
        </w:rPr>
        <w:t xml:space="preserve"> </w:t>
      </w:r>
      <w:r w:rsidR="00364A8F" w:rsidRPr="1CD0FBA2">
        <w:rPr>
          <w:noProof/>
        </w:rPr>
        <w:t>encompassing</w:t>
      </w:r>
      <w:r w:rsidR="00180BAE" w:rsidRPr="1CD0FBA2">
        <w:rPr>
          <w:noProof/>
        </w:rPr>
        <w:t xml:space="preserve"> the disposal or recovery in waste incineration </w:t>
      </w:r>
      <w:r w:rsidR="00DF3C98" w:rsidRPr="1CD0FBA2">
        <w:rPr>
          <w:noProof/>
        </w:rPr>
        <w:t xml:space="preserve">and co-incineration </w:t>
      </w:r>
      <w:r w:rsidRPr="1CD0FBA2">
        <w:rPr>
          <w:noProof/>
        </w:rPr>
        <w:t xml:space="preserve">plants </w:t>
      </w:r>
      <w:r w:rsidR="00E553D3" w:rsidRPr="1CD0FBA2">
        <w:rPr>
          <w:noProof/>
        </w:rPr>
        <w:t>for non-hazardous waste</w:t>
      </w:r>
      <w:r w:rsidR="00C029AC" w:rsidRPr="1CD0FBA2">
        <w:rPr>
          <w:noProof/>
        </w:rPr>
        <w:t xml:space="preserve">. </w:t>
      </w:r>
      <w:r w:rsidRPr="1CD0FBA2">
        <w:rPr>
          <w:noProof/>
        </w:rPr>
        <w:t xml:space="preserve">Further, it includes new definitions </w:t>
      </w:r>
      <w:r w:rsidR="00045F1B" w:rsidRPr="1CD0FBA2">
        <w:rPr>
          <w:noProof/>
        </w:rPr>
        <w:t>of</w:t>
      </w:r>
      <w:r w:rsidRPr="1CD0FBA2">
        <w:rPr>
          <w:noProof/>
        </w:rPr>
        <w:t xml:space="preserve"> </w:t>
      </w:r>
      <w:r w:rsidR="00045F1B" w:rsidRPr="1CD0FBA2">
        <w:rPr>
          <w:noProof/>
        </w:rPr>
        <w:t>‘</w:t>
      </w:r>
      <w:r w:rsidRPr="1CD0FBA2">
        <w:rPr>
          <w:noProof/>
        </w:rPr>
        <w:t>hazardous waste</w:t>
      </w:r>
      <w:r w:rsidR="00045F1B" w:rsidRPr="1CD0FBA2">
        <w:rPr>
          <w:noProof/>
        </w:rPr>
        <w:t>’</w:t>
      </w:r>
      <w:r w:rsidRPr="1CD0FBA2">
        <w:rPr>
          <w:noProof/>
        </w:rPr>
        <w:t xml:space="preserve"> and </w:t>
      </w:r>
      <w:r w:rsidR="00045F1B" w:rsidRPr="1CD0FBA2">
        <w:rPr>
          <w:noProof/>
        </w:rPr>
        <w:t>‘</w:t>
      </w:r>
      <w:r w:rsidRPr="1CD0FBA2">
        <w:rPr>
          <w:noProof/>
        </w:rPr>
        <w:t>municipal waste</w:t>
      </w:r>
      <w:r w:rsidR="00045F1B" w:rsidRPr="1CD0FBA2">
        <w:rPr>
          <w:noProof/>
        </w:rPr>
        <w:t>’</w:t>
      </w:r>
      <w:r w:rsidRPr="1CD0FBA2">
        <w:rPr>
          <w:noProof/>
        </w:rPr>
        <w:t xml:space="preserve"> in Article 3(</w:t>
      </w:r>
      <w:r w:rsidR="00936295" w:rsidRPr="1CD0FBA2">
        <w:rPr>
          <w:noProof/>
        </w:rPr>
        <w:t>ak</w:t>
      </w:r>
      <w:r w:rsidRPr="1CD0FBA2">
        <w:rPr>
          <w:noProof/>
        </w:rPr>
        <w:t>) and Article 3(</w:t>
      </w:r>
      <w:r w:rsidR="00936295" w:rsidRPr="1CD0FBA2">
        <w:rPr>
          <w:noProof/>
        </w:rPr>
        <w:t>al</w:t>
      </w:r>
      <w:r w:rsidRPr="1CD0FBA2">
        <w:rPr>
          <w:noProof/>
        </w:rPr>
        <w:t xml:space="preserve">) respectively. The extension of the EU ETS applies </w:t>
      </w:r>
      <w:r w:rsidR="008A7376" w:rsidRPr="1CD0FBA2">
        <w:rPr>
          <w:noProof/>
        </w:rPr>
        <w:t>to</w:t>
      </w:r>
      <w:r w:rsidRPr="1CD0FBA2">
        <w:rPr>
          <w:noProof/>
        </w:rPr>
        <w:t xml:space="preserve"> emissions from </w:t>
      </w:r>
      <w:r w:rsidR="00560D78" w:rsidRPr="1CD0FBA2">
        <w:rPr>
          <w:noProof/>
        </w:rPr>
        <w:t>non-hazardous waste</w:t>
      </w:r>
      <w:r w:rsidRPr="1CD0FBA2">
        <w:rPr>
          <w:noProof/>
        </w:rPr>
        <w:t xml:space="preserve"> incineration installations with a capacity exceeding 3 tonnes per hour as laid out in Directive 2010/75/EU. The obligation to surrender allowances in the municipal waste incineration sector </w:t>
      </w:r>
      <w:r w:rsidR="00407C44" w:rsidRPr="1CD0FBA2">
        <w:rPr>
          <w:noProof/>
        </w:rPr>
        <w:t>will be</w:t>
      </w:r>
      <w:r w:rsidRPr="1CD0FBA2">
        <w:rPr>
          <w:noProof/>
        </w:rPr>
        <w:t xml:space="preserve"> gradually </w:t>
      </w:r>
      <w:r w:rsidR="00757E34" w:rsidRPr="1CD0FBA2">
        <w:rPr>
          <w:noProof/>
        </w:rPr>
        <w:t>phased in</w:t>
      </w:r>
      <w:r w:rsidRPr="1CD0FBA2">
        <w:rPr>
          <w:noProof/>
        </w:rPr>
        <w:t xml:space="preserve"> over the period 2031 to 203</w:t>
      </w:r>
      <w:r w:rsidR="00084BBD" w:rsidRPr="1CD0FBA2">
        <w:rPr>
          <w:noProof/>
        </w:rPr>
        <w:t>4</w:t>
      </w:r>
      <w:r w:rsidRPr="1CD0FBA2">
        <w:rPr>
          <w:noProof/>
        </w:rPr>
        <w:t xml:space="preserve">, with municipal waste incineration installations </w:t>
      </w:r>
      <w:r w:rsidR="00EE4658" w:rsidRPr="1CD0FBA2">
        <w:rPr>
          <w:noProof/>
        </w:rPr>
        <w:t xml:space="preserve">obliged </w:t>
      </w:r>
      <w:r w:rsidRPr="1CD0FBA2">
        <w:rPr>
          <w:noProof/>
        </w:rPr>
        <w:t xml:space="preserve">to surrender 100% of their verified emissions as of </w:t>
      </w:r>
      <w:r w:rsidR="22AAC6DE" w:rsidRPr="1CD0FBA2">
        <w:rPr>
          <w:noProof/>
        </w:rPr>
        <w:t>203</w:t>
      </w:r>
      <w:r w:rsidR="00084BBD" w:rsidRPr="1CD0FBA2">
        <w:rPr>
          <w:noProof/>
        </w:rPr>
        <w:t>4</w:t>
      </w:r>
      <w:r w:rsidRPr="1CD0FBA2">
        <w:rPr>
          <w:noProof/>
        </w:rPr>
        <w:t xml:space="preserve"> (Article </w:t>
      </w:r>
      <w:r w:rsidR="6C468393" w:rsidRPr="1CD0FBA2">
        <w:rPr>
          <w:noProof/>
        </w:rPr>
        <w:t>12a</w:t>
      </w:r>
      <w:r w:rsidRPr="1CD0FBA2">
        <w:rPr>
          <w:noProof/>
        </w:rPr>
        <w:t xml:space="preserve">). </w:t>
      </w:r>
      <w:r w:rsidR="69F8F8D3" w:rsidRPr="1CD0FBA2">
        <w:rPr>
          <w:noProof/>
        </w:rPr>
        <w:t xml:space="preserve">By derogation, Member States implementing </w:t>
      </w:r>
      <w:r w:rsidR="69F8F8D3" w:rsidRPr="1CD0FBA2">
        <w:rPr>
          <w:rFonts w:eastAsia="Calibri"/>
          <w:noProof/>
          <w:lang w:eastAsia="en-GB"/>
        </w:rPr>
        <w:t xml:space="preserve">appropriate </w:t>
      </w:r>
      <w:r w:rsidR="69F8F8D3" w:rsidRPr="1CD0FBA2">
        <w:rPr>
          <w:noProof/>
        </w:rPr>
        <w:t xml:space="preserve">equivalent measures should be eligible to a temporary national opt-out. </w:t>
      </w:r>
      <w:r w:rsidR="00A35D00" w:rsidRPr="1CD0FBA2">
        <w:rPr>
          <w:noProof/>
        </w:rPr>
        <w:t>A</w:t>
      </w:r>
      <w:r w:rsidR="2A1F0948" w:rsidRPr="1CD0FBA2">
        <w:rPr>
          <w:noProof/>
        </w:rPr>
        <w:t>n</w:t>
      </w:r>
      <w:r w:rsidR="00A35D00" w:rsidRPr="1CD0FBA2">
        <w:rPr>
          <w:noProof/>
        </w:rPr>
        <w:t xml:space="preserve"> </w:t>
      </w:r>
      <w:r w:rsidR="31812919" w:rsidRPr="1CD0FBA2">
        <w:rPr>
          <w:noProof/>
        </w:rPr>
        <w:t xml:space="preserve">optional </w:t>
      </w:r>
      <w:r w:rsidR="00A35D00" w:rsidRPr="1CD0FBA2">
        <w:rPr>
          <w:noProof/>
        </w:rPr>
        <w:t xml:space="preserve">time-limited derogation is included for installations in Outermost Regions until 31 December 2035. </w:t>
      </w:r>
      <w:r w:rsidRPr="1CD0FBA2">
        <w:rPr>
          <w:noProof/>
        </w:rPr>
        <w:t xml:space="preserve">The number of allowances added to the total </w:t>
      </w:r>
      <w:r w:rsidR="00166661" w:rsidRPr="1CD0FBA2">
        <w:rPr>
          <w:noProof/>
        </w:rPr>
        <w:t>U</w:t>
      </w:r>
      <w:r w:rsidRPr="1CD0FBA2">
        <w:rPr>
          <w:noProof/>
        </w:rPr>
        <w:t xml:space="preserve">nion-wide </w:t>
      </w:r>
      <w:r w:rsidR="00A03684" w:rsidRPr="1CD0FBA2">
        <w:rPr>
          <w:noProof/>
        </w:rPr>
        <w:t xml:space="preserve">number </w:t>
      </w:r>
      <w:r w:rsidRPr="1CD0FBA2">
        <w:rPr>
          <w:noProof/>
        </w:rPr>
        <w:t xml:space="preserve">of allowances in respect of the sector should be commensurate to the phase-in trajectory from 2031 to </w:t>
      </w:r>
      <w:r w:rsidR="22AAC6DE" w:rsidRPr="1CD0FBA2">
        <w:rPr>
          <w:noProof/>
        </w:rPr>
        <w:t>203</w:t>
      </w:r>
      <w:r w:rsidR="0070081D" w:rsidRPr="1CD0FBA2">
        <w:rPr>
          <w:noProof/>
        </w:rPr>
        <w:t>4</w:t>
      </w:r>
      <w:r w:rsidR="477DD86F" w:rsidRPr="1CD0FBA2">
        <w:rPr>
          <w:noProof/>
        </w:rPr>
        <w:t xml:space="preserve"> (Article 9)</w:t>
      </w:r>
      <w:r w:rsidR="22AAC6DE" w:rsidRPr="1CD0FBA2">
        <w:rPr>
          <w:noProof/>
        </w:rPr>
        <w:t>.</w:t>
      </w:r>
      <w:r w:rsidRPr="1CD0FBA2">
        <w:rPr>
          <w:noProof/>
        </w:rPr>
        <w:t xml:space="preserve"> Monitoring and reporting, as well as verification and accreditation</w:t>
      </w:r>
      <w:r w:rsidR="00F740E6" w:rsidRPr="1CD0FBA2">
        <w:rPr>
          <w:noProof/>
        </w:rPr>
        <w:t>, will</w:t>
      </w:r>
      <w:r w:rsidRPr="1CD0FBA2">
        <w:rPr>
          <w:noProof/>
        </w:rPr>
        <w:t xml:space="preserve"> continue to apply (Articles 14 and 15). The monitoring and reporting rules laid out in </w:t>
      </w:r>
      <w:r w:rsidR="00F740E6" w:rsidRPr="1CD0FBA2">
        <w:rPr>
          <w:noProof/>
        </w:rPr>
        <w:t xml:space="preserve">Commission </w:t>
      </w:r>
      <w:r w:rsidRPr="1CD0FBA2">
        <w:rPr>
          <w:noProof/>
        </w:rPr>
        <w:t xml:space="preserve">Implementing Regulation (EU) 2018/2066 will be reviewed to the extent possible for application </w:t>
      </w:r>
      <w:r w:rsidR="00F740E6" w:rsidRPr="1CD0FBA2">
        <w:rPr>
          <w:noProof/>
        </w:rPr>
        <w:t>to the municipal waste incineration sector</w:t>
      </w:r>
      <w:r w:rsidRPr="1CD0FBA2">
        <w:rPr>
          <w:noProof/>
        </w:rPr>
        <w:t xml:space="preserve">. Waste-to-energy for district heating is eligible for free allocation under </w:t>
      </w:r>
      <w:r w:rsidR="00395E09" w:rsidRPr="1CD0FBA2">
        <w:rPr>
          <w:noProof/>
        </w:rPr>
        <w:t xml:space="preserve">the </w:t>
      </w:r>
      <w:r w:rsidRPr="1CD0FBA2">
        <w:rPr>
          <w:noProof/>
        </w:rPr>
        <w:t xml:space="preserve">provisions </w:t>
      </w:r>
      <w:r w:rsidR="00395E09" w:rsidRPr="1CD0FBA2">
        <w:rPr>
          <w:noProof/>
        </w:rPr>
        <w:t xml:space="preserve">on </w:t>
      </w:r>
      <w:r w:rsidRPr="1CD0FBA2">
        <w:rPr>
          <w:noProof/>
        </w:rPr>
        <w:t xml:space="preserve">district heating. Electricity generation </w:t>
      </w:r>
      <w:r w:rsidR="00E55799" w:rsidRPr="1CD0FBA2">
        <w:rPr>
          <w:noProof/>
        </w:rPr>
        <w:t>ha</w:t>
      </w:r>
      <w:r w:rsidR="00BF2B45" w:rsidRPr="1CD0FBA2">
        <w:rPr>
          <w:noProof/>
        </w:rPr>
        <w:t>s</w:t>
      </w:r>
      <w:r w:rsidR="00E55799" w:rsidRPr="1CD0FBA2">
        <w:rPr>
          <w:noProof/>
        </w:rPr>
        <w:t xml:space="preserve"> been in</w:t>
      </w:r>
      <w:r w:rsidRPr="1CD0FBA2">
        <w:rPr>
          <w:noProof/>
        </w:rPr>
        <w:t xml:space="preserve">eligible for free allocation since 2013. The list of eligible uses of auction revenues (Article 10(3)) </w:t>
      </w:r>
      <w:r w:rsidR="00957B13" w:rsidRPr="1CD0FBA2">
        <w:rPr>
          <w:noProof/>
        </w:rPr>
        <w:t xml:space="preserve">will be </w:t>
      </w:r>
      <w:r w:rsidRPr="1CD0FBA2">
        <w:rPr>
          <w:noProof/>
        </w:rPr>
        <w:t>extended to support local authorities in implement</w:t>
      </w:r>
      <w:r w:rsidR="00E93D45" w:rsidRPr="1CD0FBA2">
        <w:rPr>
          <w:noProof/>
        </w:rPr>
        <w:t xml:space="preserve">ing </w:t>
      </w:r>
      <w:r w:rsidRPr="1CD0FBA2">
        <w:rPr>
          <w:noProof/>
        </w:rPr>
        <w:t xml:space="preserve">measures in line with the higher steps of the waste hierarchy. Technologies, processes and techniques </w:t>
      </w:r>
      <w:r w:rsidR="00837861" w:rsidRPr="1CD0FBA2">
        <w:rPr>
          <w:noProof/>
        </w:rPr>
        <w:t>that</w:t>
      </w:r>
      <w:r w:rsidRPr="1CD0FBA2">
        <w:rPr>
          <w:noProof/>
        </w:rPr>
        <w:t xml:space="preserve"> directly reduc</w:t>
      </w:r>
      <w:r w:rsidR="008C36CB" w:rsidRPr="1CD0FBA2">
        <w:rPr>
          <w:noProof/>
        </w:rPr>
        <w:t>e</w:t>
      </w:r>
      <w:r w:rsidRPr="1CD0FBA2">
        <w:rPr>
          <w:noProof/>
        </w:rPr>
        <w:t xml:space="preserve"> municipal waste incineration installations’ emissions, </w:t>
      </w:r>
      <w:r w:rsidR="008C36CB" w:rsidRPr="1CD0FBA2">
        <w:rPr>
          <w:noProof/>
        </w:rPr>
        <w:t xml:space="preserve">in particular </w:t>
      </w:r>
      <w:r w:rsidRPr="1CD0FBA2">
        <w:rPr>
          <w:noProof/>
        </w:rPr>
        <w:t xml:space="preserve">carbon capture, </w:t>
      </w:r>
      <w:r w:rsidR="0078211A" w:rsidRPr="1CD0FBA2">
        <w:rPr>
          <w:noProof/>
        </w:rPr>
        <w:t xml:space="preserve">will be </w:t>
      </w:r>
      <w:r w:rsidRPr="1CD0FBA2">
        <w:rPr>
          <w:noProof/>
        </w:rPr>
        <w:t xml:space="preserve">eligible </w:t>
      </w:r>
      <w:r w:rsidR="0078211A" w:rsidRPr="1CD0FBA2">
        <w:rPr>
          <w:noProof/>
        </w:rPr>
        <w:t xml:space="preserve">for </w:t>
      </w:r>
      <w:r w:rsidRPr="1CD0FBA2">
        <w:rPr>
          <w:noProof/>
        </w:rPr>
        <w:t xml:space="preserve">support </w:t>
      </w:r>
      <w:r w:rsidR="0078211A" w:rsidRPr="1CD0FBA2">
        <w:rPr>
          <w:noProof/>
        </w:rPr>
        <w:t xml:space="preserve">from </w:t>
      </w:r>
      <w:r w:rsidRPr="1CD0FBA2">
        <w:rPr>
          <w:noProof/>
        </w:rPr>
        <w:t>the Industrial Decarbonisation Bank, Innovation Fund and Modernisation Fund</w:t>
      </w:r>
      <w:r w:rsidR="00383667" w:rsidRPr="1CD0FBA2">
        <w:rPr>
          <w:noProof/>
        </w:rPr>
        <w:t>, with a view</w:t>
      </w:r>
      <w:r w:rsidR="00E100F8" w:rsidRPr="1CD0FBA2">
        <w:rPr>
          <w:noProof/>
        </w:rPr>
        <w:t xml:space="preserve"> </w:t>
      </w:r>
      <w:r w:rsidRPr="1CD0FBA2">
        <w:rPr>
          <w:noProof/>
        </w:rPr>
        <w:t>to accelerat</w:t>
      </w:r>
      <w:r w:rsidR="00957B13" w:rsidRPr="1CD0FBA2">
        <w:rPr>
          <w:noProof/>
        </w:rPr>
        <w:t>ing</w:t>
      </w:r>
      <w:r w:rsidRPr="1CD0FBA2">
        <w:rPr>
          <w:noProof/>
        </w:rPr>
        <w:t xml:space="preserve"> industrial decarbonisation. In addition, waste-to-energy district heating </w:t>
      </w:r>
      <w:r w:rsidR="00413E5C" w:rsidRPr="1CD0FBA2">
        <w:rPr>
          <w:noProof/>
        </w:rPr>
        <w:t xml:space="preserve">will be </w:t>
      </w:r>
      <w:r w:rsidRPr="1CD0FBA2">
        <w:rPr>
          <w:noProof/>
        </w:rPr>
        <w:t xml:space="preserve">covered under the provision </w:t>
      </w:r>
      <w:r w:rsidR="00EB52FE" w:rsidRPr="1CD0FBA2">
        <w:rPr>
          <w:noProof/>
        </w:rPr>
        <w:t xml:space="preserve">on </w:t>
      </w:r>
      <w:r w:rsidRPr="1CD0FBA2">
        <w:rPr>
          <w:noProof/>
        </w:rPr>
        <w:t>free allocation to district heating installations</w:t>
      </w:r>
      <w:r w:rsidR="00413E5C" w:rsidRPr="1CD0FBA2">
        <w:rPr>
          <w:noProof/>
        </w:rPr>
        <w:t>,</w:t>
      </w:r>
      <w:r w:rsidRPr="1CD0FBA2">
        <w:rPr>
          <w:noProof/>
        </w:rPr>
        <w:t xml:space="preserve"> which are extended post-2030. To monitor methane emissions and unintended impacts</w:t>
      </w:r>
      <w:r w:rsidR="00EE1D04" w:rsidRPr="1CD0FBA2">
        <w:rPr>
          <w:noProof/>
        </w:rPr>
        <w:t xml:space="preserve"> of the scope extension for a complete coverage of waste incineration and co-incineration of non-hazardous waste</w:t>
      </w:r>
      <w:r w:rsidRPr="1CD0FBA2">
        <w:rPr>
          <w:noProof/>
        </w:rPr>
        <w:t xml:space="preserve">, monitoring and reporting, as well as verification and accreditation for landfilling of non-hazardous waste should apply by the time </w:t>
      </w:r>
      <w:r w:rsidR="00377FED" w:rsidRPr="1CD0FBA2">
        <w:rPr>
          <w:noProof/>
        </w:rPr>
        <w:t>that</w:t>
      </w:r>
      <w:r w:rsidRPr="1CD0FBA2">
        <w:rPr>
          <w:noProof/>
        </w:rPr>
        <w:t xml:space="preserve"> the EU ETS </w:t>
      </w:r>
      <w:r w:rsidR="00377FED" w:rsidRPr="1CD0FBA2">
        <w:rPr>
          <w:noProof/>
        </w:rPr>
        <w:t xml:space="preserve">has </w:t>
      </w:r>
      <w:r w:rsidR="00B55816" w:rsidRPr="1CD0FBA2">
        <w:rPr>
          <w:noProof/>
        </w:rPr>
        <w:t>been fully extended</w:t>
      </w:r>
      <w:r w:rsidRPr="1CD0FBA2">
        <w:rPr>
          <w:noProof/>
        </w:rPr>
        <w:t xml:space="preserve"> to emissions from municipal waste incineration. To this end, the proposal adds disposal or recovery of non-hazardous waste in landfills as a new activity in Annex I for the purpose of </w:t>
      </w:r>
      <w:r w:rsidR="00627FD6" w:rsidRPr="1CD0FBA2">
        <w:rPr>
          <w:noProof/>
        </w:rPr>
        <w:t xml:space="preserve">monitoring, reporting </w:t>
      </w:r>
      <w:r w:rsidRPr="1CD0FBA2">
        <w:rPr>
          <w:noProof/>
        </w:rPr>
        <w:t xml:space="preserve">and </w:t>
      </w:r>
      <w:r w:rsidR="00627FD6" w:rsidRPr="1CD0FBA2">
        <w:rPr>
          <w:noProof/>
        </w:rPr>
        <w:t xml:space="preserve">verification in accordance with </w:t>
      </w:r>
      <w:r w:rsidRPr="1CD0FBA2">
        <w:rPr>
          <w:noProof/>
        </w:rPr>
        <w:t>Articles 14 and 15</w:t>
      </w:r>
      <w:r w:rsidR="003B555C" w:rsidRPr="1CD0FBA2">
        <w:rPr>
          <w:noProof/>
        </w:rPr>
        <w:t xml:space="preserve"> of the ETS Directive</w:t>
      </w:r>
      <w:r w:rsidRPr="1CD0FBA2">
        <w:rPr>
          <w:noProof/>
        </w:rPr>
        <w:t xml:space="preserve">. </w:t>
      </w:r>
      <w:r w:rsidR="00370831" w:rsidRPr="1CD0FBA2">
        <w:rPr>
          <w:noProof/>
        </w:rPr>
        <w:t xml:space="preserve">When </w:t>
      </w:r>
      <w:r w:rsidRPr="1CD0FBA2">
        <w:rPr>
          <w:noProof/>
        </w:rPr>
        <w:t>develop</w:t>
      </w:r>
      <w:r w:rsidR="00F16CD8" w:rsidRPr="1CD0FBA2">
        <w:rPr>
          <w:noProof/>
        </w:rPr>
        <w:t xml:space="preserve">ing </w:t>
      </w:r>
      <w:r w:rsidRPr="1CD0FBA2">
        <w:rPr>
          <w:noProof/>
        </w:rPr>
        <w:t>monitoring and reporting rules</w:t>
      </w:r>
      <w:r w:rsidR="00F16CD8" w:rsidRPr="1CD0FBA2">
        <w:rPr>
          <w:noProof/>
        </w:rPr>
        <w:t>,</w:t>
      </w:r>
      <w:r w:rsidRPr="1CD0FBA2">
        <w:rPr>
          <w:noProof/>
        </w:rPr>
        <w:t xml:space="preserve"> the future Best Available Techniques for Landfills </w:t>
      </w:r>
      <w:r w:rsidR="001D2803" w:rsidRPr="1CD0FBA2">
        <w:rPr>
          <w:noProof/>
        </w:rPr>
        <w:t xml:space="preserve">should be considered </w:t>
      </w:r>
      <w:r w:rsidRPr="1CD0FBA2">
        <w:rPr>
          <w:noProof/>
        </w:rPr>
        <w:t>to ensure regulatory consistency and environmental integrity</w:t>
      </w:r>
      <w:r w:rsidR="001D2803" w:rsidRPr="1CD0FBA2">
        <w:rPr>
          <w:noProof/>
        </w:rPr>
        <w:t>,</w:t>
      </w:r>
      <w:r w:rsidRPr="1CD0FBA2">
        <w:rPr>
          <w:noProof/>
        </w:rPr>
        <w:t xml:space="preserve"> and </w:t>
      </w:r>
      <w:r w:rsidR="001D2803" w:rsidRPr="1CD0FBA2">
        <w:rPr>
          <w:noProof/>
        </w:rPr>
        <w:t>they should</w:t>
      </w:r>
      <w:r w:rsidRPr="1CD0FBA2">
        <w:rPr>
          <w:noProof/>
        </w:rPr>
        <w:t xml:space="preserve"> be based on a comprehensive landfill registry to avoid circumventions and ensure </w:t>
      </w:r>
      <w:r w:rsidR="002E2A30" w:rsidRPr="1CD0FBA2">
        <w:rPr>
          <w:noProof/>
        </w:rPr>
        <w:t>effectiveness</w:t>
      </w:r>
      <w:r w:rsidRPr="1CD0FBA2">
        <w:rPr>
          <w:noProof/>
        </w:rPr>
        <w:t xml:space="preserve">. A reporting and review clause </w:t>
      </w:r>
      <w:r w:rsidR="00460A51" w:rsidRPr="1CD0FBA2">
        <w:rPr>
          <w:noProof/>
        </w:rPr>
        <w:t>will be</w:t>
      </w:r>
      <w:r w:rsidRPr="1CD0FBA2">
        <w:rPr>
          <w:noProof/>
        </w:rPr>
        <w:t xml:space="preserve"> included (Article 30(9)) to monitor methane emissions from landfills take account of relevant developments in terms of waste diversion contrary to the waste hierarchy</w:t>
      </w:r>
      <w:r w:rsidR="001D2803" w:rsidRPr="1CD0FBA2">
        <w:rPr>
          <w:noProof/>
        </w:rPr>
        <w:t>,</w:t>
      </w:r>
      <w:r w:rsidRPr="1CD0FBA2">
        <w:rPr>
          <w:noProof/>
        </w:rPr>
        <w:t xml:space="preserve"> and assess the appropriateness of extending the EU ETS to emissions from landfilling.</w:t>
      </w:r>
      <w:r w:rsidR="00C029AC" w:rsidRPr="1CD0FBA2">
        <w:rPr>
          <w:noProof/>
        </w:rPr>
        <w:t xml:space="preserve"> Finally, point 5 of Annex I is amended to delete the exclusion of units for the incineration of municipal waste, which should be included in the permit of an </w:t>
      </w:r>
      <w:r w:rsidR="004A16F9" w:rsidRPr="1CD0FBA2">
        <w:rPr>
          <w:noProof/>
        </w:rPr>
        <w:t>installation when the capacity threshold of the relevant activity is exceede</w:t>
      </w:r>
      <w:r w:rsidR="00746A0D" w:rsidRPr="1CD0FBA2">
        <w:rPr>
          <w:noProof/>
        </w:rPr>
        <w:t>d</w:t>
      </w:r>
      <w:r w:rsidR="004A16F9" w:rsidRPr="1CD0FBA2">
        <w:rPr>
          <w:noProof/>
        </w:rPr>
        <w:t>.</w:t>
      </w:r>
      <w:r w:rsidR="00E100F8" w:rsidRPr="1CD0FBA2">
        <w:rPr>
          <w:noProof/>
        </w:rPr>
        <w:t xml:space="preserve"> </w:t>
      </w:r>
      <w:r w:rsidR="0010501D" w:rsidRPr="1CD0FBA2">
        <w:rPr>
          <w:noProof/>
        </w:rPr>
        <w:t>Installations for the incineration of hazardous waste and units for the incineration of hazardous waste should remain excluded.</w:t>
      </w:r>
    </w:p>
    <w:p w14:paraId="79DD6454" w14:textId="77777777" w:rsidR="008A21C0" w:rsidRPr="008A21C0" w:rsidRDefault="008A21C0" w:rsidP="00C27BED">
      <w:pPr>
        <w:pStyle w:val="Bullet1"/>
        <w:rPr>
          <w:rFonts w:eastAsia="Arial"/>
          <w:noProof/>
          <w:lang w:val="en-IE" w:eastAsia="en-GB"/>
        </w:rPr>
      </w:pPr>
      <w:r w:rsidRPr="1CD0FBA2">
        <w:rPr>
          <w:rFonts w:eastAsia="Calibri"/>
          <w:b/>
          <w:bCs/>
          <w:noProof/>
          <w:lang w:val="en-IE" w:eastAsia="en-GB"/>
        </w:rPr>
        <w:t>Non-permanent carbon capture and use</w:t>
      </w:r>
      <w:r w:rsidRPr="1CD0FBA2">
        <w:rPr>
          <w:rFonts w:eastAsia="Calibri"/>
          <w:b/>
          <w:bCs/>
          <w:noProof/>
          <w:lang w:val="en-IE"/>
        </w:rPr>
        <w:t xml:space="preserve"> (CCU)</w:t>
      </w:r>
      <w:r w:rsidRPr="1CD0FBA2">
        <w:rPr>
          <w:rFonts w:eastAsia="Calibri"/>
          <w:b/>
          <w:bCs/>
          <w:noProof/>
          <w:lang w:val="en-IE" w:eastAsia="en-GB"/>
        </w:rPr>
        <w:t>:</w:t>
      </w:r>
      <w:r w:rsidRPr="1CD0FBA2">
        <w:rPr>
          <w:rFonts w:eastAsia="Calibri"/>
          <w:noProof/>
          <w:lang w:val="en-IE" w:eastAsia="en-GB"/>
        </w:rPr>
        <w:t xml:space="preserve"> t</w:t>
      </w:r>
      <w:r w:rsidRPr="1CD0FBA2">
        <w:rPr>
          <w:noProof/>
        </w:rPr>
        <w:t xml:space="preserve">he inclusion of waste incineration means that most stages </w:t>
      </w:r>
      <w:r w:rsidR="00B27183" w:rsidRPr="1CD0FBA2">
        <w:rPr>
          <w:noProof/>
        </w:rPr>
        <w:t xml:space="preserve">in </w:t>
      </w:r>
      <w:r w:rsidRPr="1CD0FBA2">
        <w:rPr>
          <w:noProof/>
        </w:rPr>
        <w:t>the life</w:t>
      </w:r>
      <w:r w:rsidR="00AF1C01" w:rsidRPr="1CD0FBA2">
        <w:rPr>
          <w:noProof/>
        </w:rPr>
        <w:t xml:space="preserve"> cycle</w:t>
      </w:r>
      <w:r w:rsidRPr="1CD0FBA2">
        <w:rPr>
          <w:noProof/>
        </w:rPr>
        <w:t xml:space="preserve"> of a CCU product </w:t>
      </w:r>
      <w:r w:rsidR="00A37F84" w:rsidRPr="1CD0FBA2">
        <w:rPr>
          <w:noProof/>
        </w:rPr>
        <w:t xml:space="preserve">from </w:t>
      </w:r>
      <w:r w:rsidR="00E100F8" w:rsidRPr="1CD0FBA2">
        <w:rPr>
          <w:noProof/>
        </w:rPr>
        <w:t>w</w:t>
      </w:r>
      <w:r w:rsidR="00A37F84" w:rsidRPr="1CD0FBA2">
        <w:rPr>
          <w:noProof/>
        </w:rPr>
        <w:t xml:space="preserve">hich </w:t>
      </w:r>
      <w:r w:rsidRPr="1CD0FBA2">
        <w:rPr>
          <w:noProof/>
        </w:rPr>
        <w:t xml:space="preserve">the embedded carbon can be released are now subject to carbon pricing. This allows the accounting of emissions to be done at the point </w:t>
      </w:r>
      <w:r w:rsidR="00A37F84" w:rsidRPr="1CD0FBA2">
        <w:rPr>
          <w:noProof/>
        </w:rPr>
        <w:t xml:space="preserve">they are </w:t>
      </w:r>
      <w:r w:rsidRPr="1CD0FBA2">
        <w:rPr>
          <w:noProof/>
        </w:rPr>
        <w:t>release</w:t>
      </w:r>
      <w:r w:rsidR="00A37F84" w:rsidRPr="1CD0FBA2">
        <w:rPr>
          <w:noProof/>
        </w:rPr>
        <w:t>d</w:t>
      </w:r>
      <w:r w:rsidRPr="1CD0FBA2">
        <w:rPr>
          <w:noProof/>
        </w:rPr>
        <w:t xml:space="preserve"> from products </w:t>
      </w:r>
      <w:r w:rsidR="00E60D65" w:rsidRPr="1CD0FBA2">
        <w:rPr>
          <w:noProof/>
        </w:rPr>
        <w:t>instead of at point of capture</w:t>
      </w:r>
      <w:r w:rsidR="001D4872" w:rsidRPr="1CD0FBA2">
        <w:rPr>
          <w:noProof/>
        </w:rPr>
        <w:t xml:space="preserve">, thereby </w:t>
      </w:r>
      <w:r w:rsidRPr="1CD0FBA2">
        <w:rPr>
          <w:noProof/>
        </w:rPr>
        <w:t>avoid</w:t>
      </w:r>
      <w:r w:rsidR="001D4872" w:rsidRPr="1CD0FBA2">
        <w:rPr>
          <w:noProof/>
        </w:rPr>
        <w:t>ing</w:t>
      </w:r>
      <w:r w:rsidRPr="1CD0FBA2">
        <w:rPr>
          <w:noProof/>
        </w:rPr>
        <w:t xml:space="preserve"> the risk of double counting of emissions</w:t>
      </w:r>
      <w:r w:rsidR="00E60D65" w:rsidRPr="1CD0FBA2">
        <w:rPr>
          <w:noProof/>
        </w:rPr>
        <w:t>,</w:t>
      </w:r>
      <w:r w:rsidRPr="1CD0FBA2">
        <w:rPr>
          <w:noProof/>
        </w:rPr>
        <w:t xml:space="preserve"> and under</w:t>
      </w:r>
      <w:r w:rsidR="008D7465" w:rsidRPr="1CD0FBA2">
        <w:rPr>
          <w:noProof/>
        </w:rPr>
        <w:t>-</w:t>
      </w:r>
      <w:r w:rsidRPr="1CD0FBA2">
        <w:rPr>
          <w:noProof/>
        </w:rPr>
        <w:t>accounting</w:t>
      </w:r>
      <w:r w:rsidR="00683441" w:rsidRPr="1CD0FBA2">
        <w:rPr>
          <w:noProof/>
        </w:rPr>
        <w:t>.</w:t>
      </w:r>
      <w:r w:rsidR="00231E6E" w:rsidRPr="1CD0FBA2">
        <w:rPr>
          <w:noProof/>
        </w:rPr>
        <w:t xml:space="preserve"> </w:t>
      </w:r>
      <w:r w:rsidRPr="1CD0FBA2">
        <w:rPr>
          <w:noProof/>
        </w:rPr>
        <w:t xml:space="preserve">As a result, in those cases </w:t>
      </w:r>
      <w:r w:rsidR="00FE59B2" w:rsidRPr="1CD0FBA2">
        <w:rPr>
          <w:noProof/>
        </w:rPr>
        <w:t>in which</w:t>
      </w:r>
      <w:r w:rsidRPr="1CD0FBA2">
        <w:rPr>
          <w:noProof/>
        </w:rPr>
        <w:t xml:space="preserve"> carbon dioxide is captured non-permanently, in intermediate or final products from which the carbon is expected to be re-emitted in activities already covered by the EU ETS (e.g. </w:t>
      </w:r>
      <w:r w:rsidR="008C52D9" w:rsidRPr="1CD0FBA2">
        <w:rPr>
          <w:noProof/>
        </w:rPr>
        <w:t xml:space="preserve">incinerated </w:t>
      </w:r>
      <w:r w:rsidRPr="1CD0FBA2">
        <w:rPr>
          <w:noProof/>
        </w:rPr>
        <w:t xml:space="preserve">plastic waste), </w:t>
      </w:r>
      <w:r w:rsidR="004F0780" w:rsidRPr="1CD0FBA2">
        <w:rPr>
          <w:noProof/>
        </w:rPr>
        <w:t xml:space="preserve">Article 12(3b) of the ETS Directive defers </w:t>
      </w:r>
      <w:r w:rsidRPr="1CD0FBA2">
        <w:rPr>
          <w:noProof/>
        </w:rPr>
        <w:t xml:space="preserve">the obligation to surrender allowances is until the CO₂ is released in a process listed in Annex I (downstream) </w:t>
      </w:r>
      <w:r w:rsidR="004F0780" w:rsidRPr="1CD0FBA2">
        <w:rPr>
          <w:noProof/>
        </w:rPr>
        <w:t>to the ETS Directive</w:t>
      </w:r>
      <w:r w:rsidRPr="1CD0FBA2">
        <w:rPr>
          <w:noProof/>
        </w:rPr>
        <w:t xml:space="preserve">. The proposal empowers the Commission to establish a list of products from which carbon is expected to be re-emitted in activities already covered by the ETS. As an exception, the point of accounting </w:t>
      </w:r>
      <w:r w:rsidR="00D97DA0" w:rsidRPr="1CD0FBA2">
        <w:rPr>
          <w:noProof/>
        </w:rPr>
        <w:t>for</w:t>
      </w:r>
      <w:r w:rsidRPr="1CD0FBA2">
        <w:rPr>
          <w:noProof/>
        </w:rPr>
        <w:t xml:space="preserve"> captured carbon embedded in synthetic fuels is the point </w:t>
      </w:r>
      <w:r w:rsidR="005561D6" w:rsidRPr="1CD0FBA2">
        <w:rPr>
          <w:noProof/>
        </w:rPr>
        <w:t>at which</w:t>
      </w:r>
      <w:r w:rsidR="00231E6E" w:rsidRPr="1CD0FBA2">
        <w:rPr>
          <w:noProof/>
        </w:rPr>
        <w:t xml:space="preserve"> </w:t>
      </w:r>
      <w:r w:rsidRPr="1CD0FBA2">
        <w:rPr>
          <w:noProof/>
        </w:rPr>
        <w:t xml:space="preserve">the fuels are </w:t>
      </w:r>
      <w:r w:rsidR="008D3C09" w:rsidRPr="1CD0FBA2">
        <w:rPr>
          <w:noProof/>
        </w:rPr>
        <w:t xml:space="preserve">distributed </w:t>
      </w:r>
      <w:r w:rsidRPr="1CD0FBA2">
        <w:rPr>
          <w:noProof/>
        </w:rPr>
        <w:t xml:space="preserve">for consumption (midstream), </w:t>
      </w:r>
      <w:r w:rsidR="001E64D0" w:rsidRPr="1CD0FBA2">
        <w:rPr>
          <w:noProof/>
        </w:rPr>
        <w:t>and not</w:t>
      </w:r>
      <w:r w:rsidRPr="1CD0FBA2">
        <w:rPr>
          <w:noProof/>
        </w:rPr>
        <w:t xml:space="preserve"> at the point </w:t>
      </w:r>
      <w:r w:rsidR="00F965A8" w:rsidRPr="1CD0FBA2">
        <w:rPr>
          <w:noProof/>
        </w:rPr>
        <w:t xml:space="preserve">at </w:t>
      </w:r>
      <w:r w:rsidR="00156B35" w:rsidRPr="1CD0FBA2">
        <w:rPr>
          <w:noProof/>
        </w:rPr>
        <w:t>which</w:t>
      </w:r>
      <w:r w:rsidR="00F965A8" w:rsidRPr="1CD0FBA2">
        <w:rPr>
          <w:noProof/>
        </w:rPr>
        <w:t xml:space="preserve"> the </w:t>
      </w:r>
      <w:r w:rsidRPr="1CD0FBA2">
        <w:rPr>
          <w:noProof/>
        </w:rPr>
        <w:t xml:space="preserve">fuels </w:t>
      </w:r>
      <w:r w:rsidR="00F965A8" w:rsidRPr="1CD0FBA2">
        <w:rPr>
          <w:noProof/>
        </w:rPr>
        <w:t xml:space="preserve">are </w:t>
      </w:r>
      <w:r w:rsidR="00231E6E" w:rsidRPr="1CD0FBA2">
        <w:rPr>
          <w:noProof/>
        </w:rPr>
        <w:t>combusted</w:t>
      </w:r>
      <w:r w:rsidRPr="1CD0FBA2">
        <w:rPr>
          <w:noProof/>
        </w:rPr>
        <w:t xml:space="preserve"> in industrial facilities or in the transport sector. </w:t>
      </w:r>
      <w:r w:rsidR="00920219" w:rsidRPr="1CD0FBA2">
        <w:rPr>
          <w:noProof/>
        </w:rPr>
        <w:t>Specifically</w:t>
      </w:r>
      <w:r w:rsidRPr="1CD0FBA2">
        <w:rPr>
          <w:noProof/>
        </w:rPr>
        <w:t>, th</w:t>
      </w:r>
      <w:r w:rsidR="00920219" w:rsidRPr="1CD0FBA2">
        <w:rPr>
          <w:noProof/>
        </w:rPr>
        <w:t>e</w:t>
      </w:r>
      <w:r w:rsidRPr="1CD0FBA2">
        <w:rPr>
          <w:noProof/>
        </w:rPr>
        <w:t xml:space="preserve"> new point of accounting would be the point </w:t>
      </w:r>
      <w:r w:rsidR="00C969DD" w:rsidRPr="1CD0FBA2">
        <w:rPr>
          <w:noProof/>
        </w:rPr>
        <w:t xml:space="preserve">at which </w:t>
      </w:r>
      <w:r w:rsidR="00CF68FB" w:rsidRPr="1CD0FBA2">
        <w:rPr>
          <w:noProof/>
        </w:rPr>
        <w:t xml:space="preserve">the fuels are </w:t>
      </w:r>
      <w:r w:rsidRPr="1CD0FBA2">
        <w:rPr>
          <w:noProof/>
        </w:rPr>
        <w:t>distribut</w:t>
      </w:r>
      <w:r w:rsidR="00C32639" w:rsidRPr="1CD0FBA2">
        <w:rPr>
          <w:noProof/>
        </w:rPr>
        <w:t>ed</w:t>
      </w:r>
      <w:r w:rsidRPr="1CD0FBA2">
        <w:rPr>
          <w:noProof/>
        </w:rPr>
        <w:t xml:space="preserve">, for which a new activity is included in Annex I. In addition, to ensure complete coverage of all carbon dioxide emissions </w:t>
      </w:r>
      <w:r w:rsidR="002B2808" w:rsidRPr="1CD0FBA2">
        <w:rPr>
          <w:noProof/>
        </w:rPr>
        <w:t>in</w:t>
      </w:r>
      <w:r w:rsidRPr="1CD0FBA2">
        <w:rPr>
          <w:noProof/>
        </w:rPr>
        <w:t xml:space="preserve"> the </w:t>
      </w:r>
      <w:r w:rsidR="002B2808" w:rsidRPr="1CD0FBA2">
        <w:rPr>
          <w:noProof/>
        </w:rPr>
        <w:t>CCU</w:t>
      </w:r>
      <w:r w:rsidRPr="1CD0FBA2">
        <w:rPr>
          <w:noProof/>
        </w:rPr>
        <w:t xml:space="preserve"> chain, the </w:t>
      </w:r>
      <w:r w:rsidR="00B0555A" w:rsidRPr="1CD0FBA2">
        <w:rPr>
          <w:noProof/>
        </w:rPr>
        <w:t>scope of the</w:t>
      </w:r>
      <w:r w:rsidRPr="1CD0FBA2">
        <w:rPr>
          <w:noProof/>
        </w:rPr>
        <w:t xml:space="preserve"> ETS </w:t>
      </w:r>
      <w:r w:rsidR="006A4C02" w:rsidRPr="1CD0FBA2">
        <w:rPr>
          <w:noProof/>
        </w:rPr>
        <w:t xml:space="preserve">in Annex I </w:t>
      </w:r>
      <w:r w:rsidRPr="1CD0FBA2">
        <w:rPr>
          <w:noProof/>
        </w:rPr>
        <w:t xml:space="preserve">should be extended to </w:t>
      </w:r>
      <w:r w:rsidR="00750001" w:rsidRPr="1CD0FBA2">
        <w:rPr>
          <w:noProof/>
        </w:rPr>
        <w:t>include</w:t>
      </w:r>
      <w:r w:rsidRPr="1CD0FBA2">
        <w:rPr>
          <w:noProof/>
        </w:rPr>
        <w:t xml:space="preserve"> the capture of carbon for use (currently</w:t>
      </w:r>
      <w:r w:rsidR="00D51841" w:rsidRPr="1CD0FBA2">
        <w:rPr>
          <w:noProof/>
        </w:rPr>
        <w:t>,</w:t>
      </w:r>
      <w:r w:rsidRPr="1CD0FBA2">
        <w:rPr>
          <w:noProof/>
        </w:rPr>
        <w:t xml:space="preserve"> only capture for storage</w:t>
      </w:r>
      <w:r w:rsidR="00CB308A" w:rsidRPr="1CD0FBA2">
        <w:rPr>
          <w:noProof/>
        </w:rPr>
        <w:t xml:space="preserve"> </w:t>
      </w:r>
      <w:r w:rsidR="00D51841" w:rsidRPr="1CD0FBA2">
        <w:rPr>
          <w:noProof/>
        </w:rPr>
        <w:t>is covered</w:t>
      </w:r>
      <w:r w:rsidRPr="1CD0FBA2">
        <w:rPr>
          <w:noProof/>
        </w:rPr>
        <w:t>), captured carbon processing, liquefaction and similar services, and the transport of captured carbon for use (</w:t>
      </w:r>
      <w:r w:rsidR="00E6285E" w:rsidRPr="1CD0FBA2">
        <w:rPr>
          <w:noProof/>
        </w:rPr>
        <w:t>currently only covering only use for storage)</w:t>
      </w:r>
      <w:r w:rsidRPr="1CD0FBA2">
        <w:rPr>
          <w:noProof/>
        </w:rPr>
        <w:t xml:space="preserve">. </w:t>
      </w:r>
    </w:p>
    <w:p w14:paraId="3D5ED2AB" w14:textId="77777777" w:rsidR="008A21C0" w:rsidRPr="008A21C0" w:rsidRDefault="008A21C0" w:rsidP="00C27BED">
      <w:pPr>
        <w:pStyle w:val="Bullet1"/>
        <w:rPr>
          <w:noProof/>
          <w:lang w:val="en-IE"/>
        </w:rPr>
      </w:pPr>
      <w:r w:rsidRPr="008A21C0">
        <w:rPr>
          <w:b/>
          <w:bCs/>
          <w:noProof/>
          <w:lang w:val="en-IE"/>
        </w:rPr>
        <w:t>Clarifying existing rules on scope, permitting and reporting</w:t>
      </w:r>
      <w:r w:rsidRPr="008A21C0">
        <w:rPr>
          <w:noProof/>
          <w:lang w:val="en-IE"/>
        </w:rPr>
        <w:t xml:space="preserve">: </w:t>
      </w:r>
      <w:r w:rsidR="006A02E2">
        <w:rPr>
          <w:noProof/>
          <w:lang w:val="en-IE"/>
        </w:rPr>
        <w:t>it is proposed to amend</w:t>
      </w:r>
      <w:r w:rsidRPr="008A21C0">
        <w:rPr>
          <w:noProof/>
          <w:lang w:val="en-IE"/>
        </w:rPr>
        <w:t xml:space="preserve"> the definition of </w:t>
      </w:r>
      <w:r w:rsidR="0049326F">
        <w:rPr>
          <w:noProof/>
          <w:lang w:val="en-IE"/>
        </w:rPr>
        <w:t>‘</w:t>
      </w:r>
      <w:r w:rsidRPr="008A21C0">
        <w:rPr>
          <w:noProof/>
          <w:lang w:val="en-IE"/>
        </w:rPr>
        <w:t>new entrant</w:t>
      </w:r>
      <w:r w:rsidR="0049326F">
        <w:rPr>
          <w:noProof/>
          <w:lang w:val="en-IE"/>
        </w:rPr>
        <w:t>’</w:t>
      </w:r>
      <w:r w:rsidRPr="008A21C0">
        <w:rPr>
          <w:noProof/>
          <w:lang w:val="en-IE"/>
        </w:rPr>
        <w:t xml:space="preserve"> to ensure full </w:t>
      </w:r>
      <w:r w:rsidR="0049326F">
        <w:rPr>
          <w:noProof/>
          <w:lang w:val="en-IE"/>
        </w:rPr>
        <w:t>coordination</w:t>
      </w:r>
      <w:r w:rsidR="0049326F" w:rsidRPr="008A21C0">
        <w:rPr>
          <w:noProof/>
          <w:lang w:val="en-IE"/>
        </w:rPr>
        <w:t xml:space="preserve"> </w:t>
      </w:r>
      <w:r w:rsidRPr="008A21C0">
        <w:rPr>
          <w:noProof/>
          <w:lang w:val="en-IE"/>
        </w:rPr>
        <w:t xml:space="preserve">with the definition of an </w:t>
      </w:r>
      <w:r w:rsidR="0049326F">
        <w:rPr>
          <w:noProof/>
          <w:lang w:val="en-IE"/>
        </w:rPr>
        <w:t>‘</w:t>
      </w:r>
      <w:r w:rsidRPr="008A21C0">
        <w:rPr>
          <w:noProof/>
          <w:lang w:val="en-IE"/>
        </w:rPr>
        <w:t>incumbent installation</w:t>
      </w:r>
      <w:r w:rsidR="0049326F">
        <w:rPr>
          <w:noProof/>
          <w:lang w:val="en-IE"/>
        </w:rPr>
        <w:t>’</w:t>
      </w:r>
      <w:r w:rsidRPr="008A21C0">
        <w:rPr>
          <w:noProof/>
          <w:lang w:val="en-IE"/>
        </w:rPr>
        <w:t xml:space="preserve"> contained in Article 2(1) of Commission Delegated Regulation (EU) 2019/331</w:t>
      </w:r>
      <w:r w:rsidR="00A03159">
        <w:rPr>
          <w:rStyle w:val="FootnoteReference"/>
          <w:noProof/>
          <w:lang w:val="en-IE"/>
        </w:rPr>
        <w:footnoteReference w:id="41"/>
      </w:r>
      <w:r w:rsidRPr="008A21C0">
        <w:rPr>
          <w:noProof/>
          <w:lang w:val="en-IE"/>
        </w:rPr>
        <w:t xml:space="preserve">, thereby aligning the definition with the practice and </w:t>
      </w:r>
      <w:r w:rsidR="0049326F">
        <w:rPr>
          <w:noProof/>
          <w:lang w:val="en-IE"/>
        </w:rPr>
        <w:t>re</w:t>
      </w:r>
      <w:r w:rsidRPr="008A21C0">
        <w:rPr>
          <w:noProof/>
          <w:lang w:val="en-IE"/>
        </w:rPr>
        <w:t xml:space="preserve">solving the issue </w:t>
      </w:r>
      <w:r w:rsidR="0049326F">
        <w:rPr>
          <w:noProof/>
          <w:lang w:val="en-IE"/>
        </w:rPr>
        <w:t>that, for</w:t>
      </w:r>
      <w:r w:rsidRPr="008A21C0">
        <w:rPr>
          <w:noProof/>
          <w:lang w:val="en-IE"/>
        </w:rPr>
        <w:t xml:space="preserve"> </w:t>
      </w:r>
      <w:r w:rsidR="0049326F">
        <w:rPr>
          <w:noProof/>
          <w:lang w:val="en-IE"/>
        </w:rPr>
        <w:t xml:space="preserve">18 months, </w:t>
      </w:r>
      <w:r w:rsidRPr="008A21C0">
        <w:rPr>
          <w:noProof/>
          <w:lang w:val="en-IE"/>
        </w:rPr>
        <w:t xml:space="preserve">neither of the two definitions applied. The proposal clarifies the scope and definition of the activity </w:t>
      </w:r>
      <w:r w:rsidR="005C27EC">
        <w:rPr>
          <w:noProof/>
          <w:lang w:val="en-IE"/>
        </w:rPr>
        <w:t>‘</w:t>
      </w:r>
      <w:r w:rsidRPr="008A21C0">
        <w:rPr>
          <w:noProof/>
          <w:lang w:val="en-IE"/>
        </w:rPr>
        <w:t>Production of hydrogen (H2) and synthesis gas with a production capacity exceeding 5 tonnes per day</w:t>
      </w:r>
      <w:r w:rsidR="008216A4">
        <w:rPr>
          <w:noProof/>
          <w:lang w:val="en-IE"/>
        </w:rPr>
        <w:t>’</w:t>
      </w:r>
      <w:r w:rsidRPr="008A21C0">
        <w:rPr>
          <w:noProof/>
          <w:lang w:val="en-IE"/>
        </w:rPr>
        <w:t xml:space="preserve"> under Annex I to the ETS Directive. The proposal includes an </w:t>
      </w:r>
      <w:r w:rsidR="00763729">
        <w:rPr>
          <w:noProof/>
          <w:lang w:val="en-IE"/>
        </w:rPr>
        <w:t>empowerment for the Commission</w:t>
      </w:r>
      <w:r w:rsidRPr="008A21C0">
        <w:rPr>
          <w:noProof/>
          <w:lang w:val="en-IE"/>
        </w:rPr>
        <w:t xml:space="preserve"> to </w:t>
      </w:r>
      <w:r w:rsidR="00861EA3">
        <w:rPr>
          <w:noProof/>
          <w:lang w:val="en-IE"/>
        </w:rPr>
        <w:t xml:space="preserve">adopt implementing acts </w:t>
      </w:r>
      <w:r w:rsidRPr="008A21C0">
        <w:rPr>
          <w:noProof/>
          <w:lang w:val="en-IE"/>
        </w:rPr>
        <w:t>establish</w:t>
      </w:r>
      <w:r w:rsidR="00861EA3">
        <w:rPr>
          <w:noProof/>
          <w:lang w:val="en-IE"/>
        </w:rPr>
        <w:t>ing</w:t>
      </w:r>
      <w:r w:rsidRPr="008A21C0">
        <w:rPr>
          <w:noProof/>
          <w:lang w:val="en-IE"/>
        </w:rPr>
        <w:t xml:space="preserve"> minimum horizontal rules at EU level </w:t>
      </w:r>
      <w:r w:rsidR="008216A4">
        <w:rPr>
          <w:noProof/>
          <w:lang w:val="en-IE"/>
        </w:rPr>
        <w:t>on</w:t>
      </w:r>
      <w:r w:rsidRPr="008A21C0">
        <w:rPr>
          <w:noProof/>
          <w:lang w:val="en-IE"/>
        </w:rPr>
        <w:t xml:space="preserve"> the granting, withdrawing and suspension of </w:t>
      </w:r>
      <w:r w:rsidR="00B27183">
        <w:rPr>
          <w:noProof/>
          <w:lang w:val="en-IE"/>
        </w:rPr>
        <w:t>GHG</w:t>
      </w:r>
      <w:r w:rsidRPr="008A21C0">
        <w:rPr>
          <w:noProof/>
          <w:lang w:val="en-IE"/>
        </w:rPr>
        <w:t xml:space="preserve"> emissions permits to improve the level playing field across Member States, solve implementation issues and ensure clear rules as regards the status of installations as </w:t>
      </w:r>
      <w:r w:rsidR="00B27183">
        <w:rPr>
          <w:noProof/>
          <w:lang w:val="en-IE"/>
        </w:rPr>
        <w:t xml:space="preserve">a </w:t>
      </w:r>
      <w:r w:rsidRPr="008A21C0">
        <w:rPr>
          <w:noProof/>
          <w:lang w:val="en-IE"/>
        </w:rPr>
        <w:t xml:space="preserve">new entrant or incumbent installation under the EU ETS. </w:t>
      </w:r>
      <w:r w:rsidR="00B27183">
        <w:rPr>
          <w:noProof/>
          <w:lang w:val="en-IE"/>
        </w:rPr>
        <w:t>Finally, t</w:t>
      </w:r>
      <w:r w:rsidRPr="008A21C0">
        <w:rPr>
          <w:noProof/>
          <w:lang w:val="en-IE"/>
        </w:rPr>
        <w:t xml:space="preserve">he proposal includes amendments to clarify the legal basis and </w:t>
      </w:r>
      <w:r w:rsidR="00B27183">
        <w:rPr>
          <w:noProof/>
          <w:lang w:val="en-IE"/>
        </w:rPr>
        <w:t>coordination</w:t>
      </w:r>
      <w:r w:rsidR="00B27183" w:rsidRPr="008A21C0">
        <w:rPr>
          <w:noProof/>
          <w:lang w:val="en-IE"/>
        </w:rPr>
        <w:t xml:space="preserve"> </w:t>
      </w:r>
      <w:r w:rsidRPr="008A21C0">
        <w:rPr>
          <w:noProof/>
          <w:lang w:val="en-IE"/>
        </w:rPr>
        <w:t xml:space="preserve">between the reporting </w:t>
      </w:r>
      <w:r w:rsidR="00B27183">
        <w:rPr>
          <w:noProof/>
          <w:lang w:val="en-IE"/>
        </w:rPr>
        <w:t>procedures</w:t>
      </w:r>
      <w:r w:rsidR="00B27183" w:rsidRPr="008A21C0">
        <w:rPr>
          <w:noProof/>
          <w:lang w:val="en-IE"/>
        </w:rPr>
        <w:t xml:space="preserve"> </w:t>
      </w:r>
      <w:r w:rsidRPr="008A21C0">
        <w:rPr>
          <w:noProof/>
          <w:lang w:val="en-IE"/>
        </w:rPr>
        <w:t xml:space="preserve">under Article 10(5) and </w:t>
      </w:r>
      <w:r w:rsidR="00B27183">
        <w:rPr>
          <w:noProof/>
          <w:lang w:val="en-IE"/>
        </w:rPr>
        <w:t xml:space="preserve">Article </w:t>
      </w:r>
      <w:r w:rsidRPr="008A21C0">
        <w:rPr>
          <w:noProof/>
          <w:lang w:val="en-IE"/>
        </w:rPr>
        <w:t xml:space="preserve">21 of the ETS Directive. </w:t>
      </w:r>
    </w:p>
    <w:p w14:paraId="79C4B02D" w14:textId="77777777" w:rsidR="008A21C0" w:rsidRPr="008A21C0" w:rsidRDefault="008A21C0" w:rsidP="00C27BED">
      <w:pPr>
        <w:pStyle w:val="Bullet1"/>
        <w:rPr>
          <w:rFonts w:eastAsia="Arial"/>
          <w:noProof/>
          <w:lang w:val="en-IE" w:eastAsia="en-GB"/>
        </w:rPr>
      </w:pPr>
      <w:r w:rsidRPr="1CD0FBA2">
        <w:rPr>
          <w:b/>
          <w:bCs/>
          <w:noProof/>
          <w:lang w:val="en-IE"/>
        </w:rPr>
        <w:t>Financing the proper functioning and management of the EU ETS</w:t>
      </w:r>
      <w:r w:rsidRPr="1CD0FBA2">
        <w:rPr>
          <w:noProof/>
          <w:lang w:val="en-IE"/>
        </w:rPr>
        <w:t xml:space="preserve">: </w:t>
      </w:r>
      <w:r w:rsidR="0026320E" w:rsidRPr="1CD0FBA2">
        <w:rPr>
          <w:noProof/>
          <w:lang w:val="en-IE"/>
        </w:rPr>
        <w:t>e</w:t>
      </w:r>
      <w:r w:rsidRPr="1CD0FBA2">
        <w:rPr>
          <w:noProof/>
          <w:lang w:val="en-IE"/>
        </w:rPr>
        <w:t xml:space="preserve">stablishing the conditions </w:t>
      </w:r>
      <w:r w:rsidR="0026320E" w:rsidRPr="1CD0FBA2">
        <w:rPr>
          <w:noProof/>
          <w:lang w:val="en-IE"/>
        </w:rPr>
        <w:t>enabling</w:t>
      </w:r>
      <w:r w:rsidRPr="1CD0FBA2">
        <w:rPr>
          <w:noProof/>
          <w:lang w:val="en-IE"/>
        </w:rPr>
        <w:t xml:space="preserve"> t</w:t>
      </w:r>
      <w:r w:rsidR="0026320E" w:rsidRPr="1CD0FBA2">
        <w:rPr>
          <w:noProof/>
          <w:lang w:val="en-IE"/>
        </w:rPr>
        <w:t>he</w:t>
      </w:r>
      <w:r w:rsidRPr="1CD0FBA2">
        <w:rPr>
          <w:noProof/>
          <w:lang w:val="en-IE"/>
        </w:rPr>
        <w:t xml:space="preserve"> introduc</w:t>
      </w:r>
      <w:r w:rsidR="0026320E" w:rsidRPr="1CD0FBA2">
        <w:rPr>
          <w:noProof/>
          <w:lang w:val="en-IE"/>
        </w:rPr>
        <w:t>tion</w:t>
      </w:r>
      <w:r w:rsidR="0049326F" w:rsidRPr="1CD0FBA2">
        <w:rPr>
          <w:noProof/>
          <w:lang w:val="en-IE"/>
        </w:rPr>
        <w:t xml:space="preserve"> of</w:t>
      </w:r>
      <w:r w:rsidRPr="1CD0FBA2">
        <w:rPr>
          <w:noProof/>
          <w:lang w:val="en-IE"/>
        </w:rPr>
        <w:t xml:space="preserve"> </w:t>
      </w:r>
      <w:r w:rsidRPr="1CD0FBA2">
        <w:rPr>
          <w:noProof/>
        </w:rPr>
        <w:t>revenues dedicated to financing the proper functioning and management of the EU ETS, including the proper operation, functioning and security of the Union Registry</w:t>
      </w:r>
      <w:r w:rsidR="000F1725" w:rsidRPr="1CD0FBA2">
        <w:rPr>
          <w:noProof/>
        </w:rPr>
        <w:t xml:space="preserve"> (Article 19)</w:t>
      </w:r>
      <w:r w:rsidR="008A7811" w:rsidRPr="1CD0FBA2">
        <w:rPr>
          <w:noProof/>
        </w:rPr>
        <w:t xml:space="preserve"> and the implementation of </w:t>
      </w:r>
      <w:r w:rsidR="009C6AD3" w:rsidRPr="1CD0FBA2">
        <w:rPr>
          <w:noProof/>
        </w:rPr>
        <w:t>the investment conditionality rules for free allocation.</w:t>
      </w:r>
    </w:p>
    <w:p w14:paraId="09A7A82F" w14:textId="77777777" w:rsidR="008A21C0" w:rsidRPr="008A21C0" w:rsidRDefault="008A21C0" w:rsidP="008A21C0">
      <w:pPr>
        <w:rPr>
          <w:noProof/>
        </w:rPr>
      </w:pPr>
      <w:r w:rsidRPr="008A21C0">
        <w:rPr>
          <w:noProof/>
        </w:rPr>
        <w:t>The main elements of the MSR Decision which are amended are the following:</w:t>
      </w:r>
    </w:p>
    <w:p w14:paraId="7FEBD409" w14:textId="77777777" w:rsidR="00F73C30" w:rsidRDefault="001A044A" w:rsidP="00F73C30">
      <w:pPr>
        <w:pStyle w:val="Bullet1"/>
        <w:rPr>
          <w:noProof/>
        </w:rPr>
      </w:pPr>
      <w:r w:rsidRPr="008A21C0">
        <w:rPr>
          <w:noProof/>
        </w:rPr>
        <w:t>In addition to the proposed removal of the invalidation mechanism ((COM(2026) 153 final</w:t>
      </w:r>
      <w:r>
        <w:rPr>
          <w:rStyle w:val="FootnoteReference"/>
          <w:noProof/>
        </w:rPr>
        <w:footnoteReference w:id="42"/>
      </w:r>
      <w:r w:rsidRPr="008A21C0">
        <w:rPr>
          <w:noProof/>
        </w:rPr>
        <w:t>)</w:t>
      </w:r>
      <w:r w:rsidR="00F73C30">
        <w:rPr>
          <w:noProof/>
        </w:rPr>
        <w:t xml:space="preserve">, this proposal introduces an integrated package of changes to make the MSR parameters dynamic over time. This is to take account of a shrinking cap and ensure that the reserve remains resilient to maintain liquidity. </w:t>
      </w:r>
    </w:p>
    <w:p w14:paraId="1532499E" w14:textId="77777777" w:rsidR="00F73C30" w:rsidRDefault="00F73C30" w:rsidP="00F73C30">
      <w:pPr>
        <w:pStyle w:val="Bullet1"/>
        <w:rPr>
          <w:noProof/>
        </w:rPr>
      </w:pPr>
      <w:r w:rsidRPr="1CD0FBA2">
        <w:rPr>
          <w:noProof/>
        </w:rPr>
        <w:t xml:space="preserve">First, the upper and lower thresholds and the release amount (Article 1(5) and (6)) are proposed to evolve over time, with a fixed annual reduction of </w:t>
      </w:r>
      <w:r w:rsidR="00D91863" w:rsidRPr="1CD0FBA2">
        <w:rPr>
          <w:noProof/>
        </w:rPr>
        <w:t>4</w:t>
      </w:r>
      <w:r w:rsidRPr="1CD0FBA2">
        <w:rPr>
          <w:noProof/>
        </w:rPr>
        <w:t xml:space="preserve"> % per year as from 2029. The exact amounts of these values are rounded to the nearest million and specified in Annex I to the MSR Decision.</w:t>
      </w:r>
    </w:p>
    <w:p w14:paraId="453EFF0D" w14:textId="77777777" w:rsidR="00F73C30" w:rsidRDefault="00F73C30" w:rsidP="00F73C30">
      <w:pPr>
        <w:pStyle w:val="Bullet1"/>
        <w:rPr>
          <w:noProof/>
        </w:rPr>
      </w:pPr>
      <w:r w:rsidRPr="1CD0FBA2">
        <w:rPr>
          <w:noProof/>
        </w:rPr>
        <w:t>Second, the proposal introduces changes to the release of allowances:</w:t>
      </w:r>
    </w:p>
    <w:p w14:paraId="1CCB6899" w14:textId="77777777" w:rsidR="00F73C30" w:rsidRDefault="00F73C30" w:rsidP="004830AF">
      <w:pPr>
        <w:pStyle w:val="Bullet2"/>
        <w:numPr>
          <w:ilvl w:val="0"/>
          <w:numId w:val="22"/>
        </w:numPr>
        <w:rPr>
          <w:noProof/>
        </w:rPr>
      </w:pPr>
      <w:r>
        <w:rPr>
          <w:noProof/>
        </w:rPr>
        <w:t>It introduces a lower buffer from 2028 (Article 1(5)), which mirrors the logic of the upper buffer that was introduced in the 2023 revision. The current lower threshold is at 400 million and the current release rate is set at 100 million. This implies a lower buffer value of 300 million allowances. When the total number of allowances in circulation (TNAC) is between the lower threshold and the lower buffer, the amount of allowances released from the MSR is calculated as ‘Lower threshold - TNAC’, rather than releasing a fixed amount of 100 million under the current rules. When the TNAC is below the lower buffer, 100 million are released from the MSR.</w:t>
      </w:r>
    </w:p>
    <w:p w14:paraId="42786503" w14:textId="77777777" w:rsidR="00F73C30" w:rsidRDefault="00F73C30" w:rsidP="004830AF">
      <w:pPr>
        <w:pStyle w:val="Bullet2"/>
        <w:numPr>
          <w:ilvl w:val="0"/>
          <w:numId w:val="22"/>
        </w:numPr>
        <w:rPr>
          <w:noProof/>
        </w:rPr>
      </w:pPr>
      <w:r>
        <w:rPr>
          <w:noProof/>
        </w:rPr>
        <w:t xml:space="preserve">From 2029, the lower threshold of 400 million and the lower buffer of 300 million, as well as the amount of 100 million allowances to be released from the reserve when the TNAC is below the lower buffer, are proposed to decrease by a fixed annual reduction of </w:t>
      </w:r>
      <w:r w:rsidR="00D91863">
        <w:rPr>
          <w:noProof/>
        </w:rPr>
        <w:t>4</w:t>
      </w:r>
      <w:r>
        <w:rPr>
          <w:noProof/>
        </w:rPr>
        <w:t xml:space="preserve"> % per year. </w:t>
      </w:r>
    </w:p>
    <w:p w14:paraId="1FC7FD1B" w14:textId="77777777" w:rsidR="00F73C30" w:rsidRDefault="00F73C30" w:rsidP="00F73C30">
      <w:pPr>
        <w:pStyle w:val="Bullet1"/>
        <w:rPr>
          <w:noProof/>
        </w:rPr>
      </w:pPr>
      <w:r w:rsidRPr="1CD0FBA2">
        <w:rPr>
          <w:noProof/>
        </w:rPr>
        <w:t xml:space="preserve">Third, the intake rate of the reserve is reduced from 24% to </w:t>
      </w:r>
      <w:r w:rsidR="00D91863" w:rsidRPr="1CD0FBA2">
        <w:rPr>
          <w:noProof/>
        </w:rPr>
        <w:t>12</w:t>
      </w:r>
      <w:r w:rsidRPr="1CD0FBA2">
        <w:rPr>
          <w:noProof/>
        </w:rPr>
        <w:t>% as from 2028 (Article 1(5)). This means that, in the event of a surplus, future intakes will be spread over a longer period of time. In light of a shrinking cap and future market tightness, it is beneficial to spread intakes over a longer period. Consequently, the upper buffer threshold needs to be adjusted downwards to 947M to reflect the reduced intake rate.</w:t>
      </w:r>
    </w:p>
    <w:p w14:paraId="5645C68E" w14:textId="77777777" w:rsidR="008A21C0" w:rsidRDefault="00F73C30" w:rsidP="00F73C30">
      <w:pPr>
        <w:pStyle w:val="Bullet1"/>
        <w:rPr>
          <w:noProof/>
        </w:rPr>
      </w:pPr>
      <w:r w:rsidRPr="1CD0FBA2">
        <w:rPr>
          <w:noProof/>
        </w:rPr>
        <w:t xml:space="preserve">Fourth, changes are proposed to how aviation is taken into account in the calculation of the TNAC. Currently, Article 1(4a) requires that the net demand from aviation from 2024 is reflected in the calculation. This article is amended to include the cumulative impact of net aviation demand over 2012-2023 in the TNAC. It applies from 2028, and by taking into account the cumulative demand of aviation from 2012 in the TNAC calculation of 2027, it reduces it by </w:t>
      </w:r>
      <w:r w:rsidR="00553B0A" w:rsidRPr="1CD0FBA2">
        <w:rPr>
          <w:noProof/>
        </w:rPr>
        <w:t>173</w:t>
      </w:r>
      <w:r w:rsidRPr="1CD0FBA2">
        <w:rPr>
          <w:noProof/>
        </w:rPr>
        <w:t xml:space="preserve"> million allowances. This makes the MSR more responsive and will result in the earlier release of allowances.</w:t>
      </w:r>
    </w:p>
    <w:p w14:paraId="4DDF15F1" w14:textId="77777777" w:rsidR="008A21C0" w:rsidRPr="00E73657" w:rsidRDefault="008A21C0" w:rsidP="00E73657">
      <w:pPr>
        <w:rPr>
          <w:noProof/>
        </w:rPr>
      </w:pPr>
      <w:r w:rsidRPr="00E73657">
        <w:rPr>
          <w:noProof/>
        </w:rPr>
        <w:t xml:space="preserve">The main </w:t>
      </w:r>
      <w:r w:rsidR="00387134">
        <w:rPr>
          <w:noProof/>
        </w:rPr>
        <w:t>amendments to</w:t>
      </w:r>
      <w:r w:rsidRPr="00E73657">
        <w:rPr>
          <w:noProof/>
        </w:rPr>
        <w:t xml:space="preserve"> the </w:t>
      </w:r>
      <w:r w:rsidR="003764EF">
        <w:rPr>
          <w:noProof/>
        </w:rPr>
        <w:t>MRV</w:t>
      </w:r>
      <w:r w:rsidRPr="00E73657">
        <w:rPr>
          <w:noProof/>
        </w:rPr>
        <w:t xml:space="preserve"> Maritime Regulation and FuelEU Maritime Regulation are </w:t>
      </w:r>
      <w:r w:rsidR="00387134">
        <w:rPr>
          <w:noProof/>
        </w:rPr>
        <w:t>as follows</w:t>
      </w:r>
      <w:r w:rsidRPr="00E73657">
        <w:rPr>
          <w:noProof/>
        </w:rPr>
        <w:t xml:space="preserve">: </w:t>
      </w:r>
    </w:p>
    <w:p w14:paraId="0259AF06" w14:textId="77777777" w:rsidR="00E73657" w:rsidRPr="00E73657" w:rsidRDefault="00E73657" w:rsidP="00C27BED">
      <w:pPr>
        <w:pStyle w:val="Bullet1"/>
        <w:rPr>
          <w:noProof/>
          <w:lang w:val="en-IE"/>
        </w:rPr>
      </w:pPr>
      <w:r w:rsidRPr="1CD0FBA2">
        <w:rPr>
          <w:noProof/>
        </w:rPr>
        <w:t>T</w:t>
      </w:r>
      <w:r w:rsidRPr="1CD0FBA2">
        <w:rPr>
          <w:noProof/>
          <w:lang w:val="en-IE"/>
        </w:rPr>
        <w:t xml:space="preserve">he proposal aims to deliver simplification for operators complying with </w:t>
      </w:r>
      <w:r w:rsidR="008C5B39" w:rsidRPr="1CD0FBA2">
        <w:rPr>
          <w:noProof/>
          <w:lang w:val="en-IE"/>
        </w:rPr>
        <w:t>the</w:t>
      </w:r>
      <w:r w:rsidRPr="1CD0FBA2">
        <w:rPr>
          <w:noProof/>
          <w:lang w:val="en-IE"/>
        </w:rPr>
        <w:t xml:space="preserve"> MRV/ETS and FuelEU obligations by merging the relevant MRV compliance cycles and minimising existing duplications and </w:t>
      </w:r>
      <w:r w:rsidR="008C5B39" w:rsidRPr="1CD0FBA2">
        <w:rPr>
          <w:noProof/>
          <w:lang w:val="en-IE"/>
        </w:rPr>
        <w:t>areas of</w:t>
      </w:r>
      <w:r w:rsidRPr="1CD0FBA2">
        <w:rPr>
          <w:noProof/>
          <w:lang w:val="en-IE"/>
        </w:rPr>
        <w:t xml:space="preserve"> divergences. This requires an expansion of the scope of the MRV Regulation (amended Article 2) to cover energy use in addition to </w:t>
      </w:r>
      <w:r w:rsidR="008C5B39" w:rsidRPr="1CD0FBA2">
        <w:rPr>
          <w:noProof/>
          <w:lang w:val="en-IE"/>
        </w:rPr>
        <w:t>GHG</w:t>
      </w:r>
      <w:r w:rsidRPr="1CD0FBA2">
        <w:rPr>
          <w:noProof/>
          <w:lang w:val="en-IE"/>
        </w:rPr>
        <w:t xml:space="preserve"> emissions and energy efficiency data, and an update of the monitoring and reporting requirements (amended Article 9 and Article 10) to ensure that all relevant data </w:t>
      </w:r>
      <w:r w:rsidR="008C5B39" w:rsidRPr="1CD0FBA2">
        <w:rPr>
          <w:noProof/>
          <w:lang w:val="en-IE"/>
        </w:rPr>
        <w:t>are</w:t>
      </w:r>
      <w:r w:rsidRPr="1CD0FBA2">
        <w:rPr>
          <w:noProof/>
          <w:lang w:val="en-IE"/>
        </w:rPr>
        <w:t xml:space="preserve"> collect</w:t>
      </w:r>
      <w:r w:rsidRPr="1CD0FBA2">
        <w:rPr>
          <w:noProof/>
        </w:rPr>
        <w:t>e</w:t>
      </w:r>
      <w:r w:rsidRPr="1CD0FBA2">
        <w:rPr>
          <w:noProof/>
          <w:lang w:val="en-IE"/>
        </w:rPr>
        <w:t xml:space="preserve">d under the same MRV system. </w:t>
      </w:r>
    </w:p>
    <w:p w14:paraId="459C1EF2" w14:textId="77777777" w:rsidR="00616539" w:rsidRPr="00616539" w:rsidRDefault="00E73657">
      <w:pPr>
        <w:pStyle w:val="Bullet2"/>
        <w:rPr>
          <w:rFonts w:eastAsia="Arial Unicode MS"/>
          <w:noProof/>
          <w:lang w:val="en-IE"/>
        </w:rPr>
      </w:pPr>
      <w:r w:rsidRPr="00616539">
        <w:rPr>
          <w:noProof/>
          <w:lang w:val="en-IE"/>
        </w:rPr>
        <w:t xml:space="preserve">The proposed amendments introduce consequential changes to the content of the monitoring plan </w:t>
      </w:r>
      <w:r w:rsidR="0063751A" w:rsidRPr="00616539">
        <w:rPr>
          <w:noProof/>
          <w:lang w:val="en-IE"/>
        </w:rPr>
        <w:t>and the arrangements for submitting it</w:t>
      </w:r>
      <w:r w:rsidRPr="00616539">
        <w:rPr>
          <w:noProof/>
          <w:lang w:val="en-IE"/>
        </w:rPr>
        <w:t xml:space="preserve"> (amended Article 6) and </w:t>
      </w:r>
      <w:r w:rsidR="0063751A" w:rsidRPr="00616539">
        <w:rPr>
          <w:noProof/>
          <w:lang w:val="en-IE"/>
        </w:rPr>
        <w:t>to</w:t>
      </w:r>
      <w:r w:rsidRPr="00616539">
        <w:rPr>
          <w:noProof/>
          <w:lang w:val="en-IE"/>
        </w:rPr>
        <w:t xml:space="preserve"> the emissions report (amended Article 11)</w:t>
      </w:r>
      <w:r w:rsidR="0063751A" w:rsidRPr="00616539">
        <w:rPr>
          <w:noProof/>
          <w:lang w:val="en-IE"/>
        </w:rPr>
        <w:t>. Consequently</w:t>
      </w:r>
      <w:r w:rsidR="002D5813" w:rsidRPr="00616539">
        <w:rPr>
          <w:noProof/>
          <w:lang w:val="en-IE"/>
        </w:rPr>
        <w:t>,</w:t>
      </w:r>
      <w:r w:rsidRPr="00616539">
        <w:rPr>
          <w:noProof/>
          <w:lang w:val="en-IE"/>
        </w:rPr>
        <w:t xml:space="preserve"> companies are required to include and submit </w:t>
      </w:r>
      <w:r w:rsidR="00B3501C" w:rsidRPr="00616539">
        <w:rPr>
          <w:noProof/>
          <w:lang w:val="en-IE"/>
        </w:rPr>
        <w:t>a</w:t>
      </w:r>
      <w:r w:rsidR="002D5813" w:rsidRPr="00616539">
        <w:rPr>
          <w:noProof/>
          <w:lang w:val="en-IE"/>
        </w:rPr>
        <w:t xml:space="preserve">ll necessary information </w:t>
      </w:r>
      <w:r w:rsidR="00B3501C" w:rsidRPr="00616539">
        <w:rPr>
          <w:noProof/>
          <w:lang w:val="en-IE"/>
        </w:rPr>
        <w:t xml:space="preserve">in </w:t>
      </w:r>
      <w:r w:rsidRPr="00616539">
        <w:rPr>
          <w:noProof/>
          <w:lang w:val="en-IE"/>
        </w:rPr>
        <w:t xml:space="preserve">one </w:t>
      </w:r>
      <w:r w:rsidR="00B3501C" w:rsidRPr="00616539">
        <w:rPr>
          <w:noProof/>
          <w:lang w:val="en-IE"/>
        </w:rPr>
        <w:t xml:space="preserve">single </w:t>
      </w:r>
      <w:r w:rsidRPr="00616539">
        <w:rPr>
          <w:noProof/>
          <w:lang w:val="en-IE"/>
        </w:rPr>
        <w:t xml:space="preserve">document in a common workflow for compliance with MRV requirements under both </w:t>
      </w:r>
      <w:r w:rsidR="00121EF7" w:rsidRPr="00616539">
        <w:rPr>
          <w:noProof/>
          <w:lang w:val="en-IE"/>
        </w:rPr>
        <w:t xml:space="preserve">the </w:t>
      </w:r>
      <w:r w:rsidRPr="00616539">
        <w:rPr>
          <w:noProof/>
          <w:lang w:val="en-IE"/>
        </w:rPr>
        <w:t xml:space="preserve">MRV/ETS and FuelEU. </w:t>
      </w:r>
    </w:p>
    <w:p w14:paraId="115BF260" w14:textId="77777777" w:rsidR="00616539" w:rsidRPr="00616539" w:rsidRDefault="00C9220F">
      <w:pPr>
        <w:pStyle w:val="Bullet2"/>
        <w:rPr>
          <w:noProof/>
          <w:lang w:val="en-IE"/>
        </w:rPr>
      </w:pPr>
      <w:r w:rsidRPr="00616539">
        <w:rPr>
          <w:rFonts w:eastAsia="Arial Unicode MS"/>
          <w:noProof/>
          <w:lang w:val="en-IE"/>
        </w:rPr>
        <w:t>The proposal introduces changes to verification rules to cater for the extension of the Regulation to cover energy use and new consequential reporting requirements (amended Articles 13 to 16). The empowerments conferred on the Commission in relation to verification and accreditation rules under this Regulation should be implemented with a view to deliver</w:t>
      </w:r>
      <w:r w:rsidR="00735208" w:rsidRPr="00616539">
        <w:rPr>
          <w:rFonts w:eastAsia="Arial Unicode MS"/>
          <w:noProof/>
          <w:lang w:val="en-IE"/>
        </w:rPr>
        <w:t>ing</w:t>
      </w:r>
      <w:r w:rsidRPr="00616539">
        <w:rPr>
          <w:rFonts w:eastAsia="Arial Unicode MS"/>
          <w:noProof/>
          <w:lang w:val="en-IE"/>
        </w:rPr>
        <w:t xml:space="preserve"> a single accreditation and verification framework applicable under MRV, ETS, and FuelEU Maritime</w:t>
      </w:r>
      <w:r w:rsidR="00616539" w:rsidRPr="00616539">
        <w:rPr>
          <w:rFonts w:eastAsia="Arial Unicode MS"/>
          <w:noProof/>
          <w:lang w:val="en-IE"/>
        </w:rPr>
        <w:t>.</w:t>
      </w:r>
    </w:p>
    <w:p w14:paraId="0F6E09CC" w14:textId="77777777" w:rsidR="00616539" w:rsidRDefault="00E73657">
      <w:pPr>
        <w:pStyle w:val="Bullet2"/>
        <w:rPr>
          <w:noProof/>
          <w:lang w:val="en-IE"/>
        </w:rPr>
      </w:pPr>
      <w:r w:rsidRPr="00616539">
        <w:rPr>
          <w:noProof/>
          <w:lang w:val="en-IE"/>
        </w:rPr>
        <w:t>The proposal further confers on the Commission the power to adopt delegated acts to amend the monitoring methods and rules to make them fit for the expanded scope of the Regulation as new data points are added to cover energy use (amended Article 5).</w:t>
      </w:r>
    </w:p>
    <w:p w14:paraId="0B7A7E13" w14:textId="77777777" w:rsidR="00E73657" w:rsidRPr="00616539" w:rsidRDefault="00E73657">
      <w:pPr>
        <w:pStyle w:val="Bullet2"/>
        <w:rPr>
          <w:noProof/>
          <w:lang w:val="en-IE"/>
        </w:rPr>
      </w:pPr>
      <w:r w:rsidRPr="00616539">
        <w:rPr>
          <w:noProof/>
          <w:lang w:val="en-IE"/>
        </w:rPr>
        <w:t xml:space="preserve">The proposed amendments to the MRV Regulation require consequential amendments to the FuelEU Regulation, </w:t>
      </w:r>
      <w:r w:rsidR="006F0420" w:rsidRPr="00616539">
        <w:rPr>
          <w:noProof/>
          <w:lang w:val="en-IE"/>
        </w:rPr>
        <w:t xml:space="preserve">particularly since </w:t>
      </w:r>
      <w:r w:rsidRPr="00616539">
        <w:rPr>
          <w:noProof/>
          <w:lang w:val="en-IE"/>
        </w:rPr>
        <w:t>the monitoring-and-reporting-only-once principle is fully implemented through a shared MRV compliance cycle.</w:t>
      </w:r>
    </w:p>
    <w:p w14:paraId="754363C2" w14:textId="77777777" w:rsidR="00E73657" w:rsidRPr="00E73657" w:rsidRDefault="00E73657" w:rsidP="00C27BED">
      <w:pPr>
        <w:pStyle w:val="Bullet1"/>
        <w:rPr>
          <w:noProof/>
          <w:lang w:val="en-IE"/>
        </w:rPr>
      </w:pPr>
      <w:r w:rsidRPr="1CD0FBA2">
        <w:rPr>
          <w:noProof/>
          <w:lang w:val="en-IE"/>
        </w:rPr>
        <w:t xml:space="preserve">Furthermore, the proposal introduces a new Article 4a to clarify the role of the administering authority responsible in respect of MRV obligations and to establish an attribution mechanism for any shipping company </w:t>
      </w:r>
      <w:r w:rsidR="006F0420" w:rsidRPr="1CD0FBA2">
        <w:rPr>
          <w:noProof/>
          <w:lang w:val="en-IE"/>
        </w:rPr>
        <w:t>falling</w:t>
      </w:r>
      <w:r w:rsidRPr="1CD0FBA2">
        <w:rPr>
          <w:noProof/>
          <w:lang w:val="en-IE"/>
        </w:rPr>
        <w:t xml:space="preserve"> within the scope of the MRV Regulation to further enhance the robustness of the MRV system.</w:t>
      </w:r>
    </w:p>
    <w:p w14:paraId="355706E8" w14:textId="77777777" w:rsidR="00E73657" w:rsidRPr="00E73657" w:rsidRDefault="00E73657" w:rsidP="00C27BED">
      <w:pPr>
        <w:pStyle w:val="Bullet1"/>
        <w:rPr>
          <w:noProof/>
          <w:lang w:val="en-IE"/>
        </w:rPr>
      </w:pPr>
      <w:r w:rsidRPr="1CD0FBA2">
        <w:rPr>
          <w:noProof/>
          <w:lang w:val="en-IE"/>
        </w:rPr>
        <w:t xml:space="preserve">The proposal also aims to reinforce the level-playing field through a targeted extension of the scope of the EU ETS to certain categories of ships (amended Article 2 of the MRV Regulation). </w:t>
      </w:r>
      <w:r w:rsidR="006F0420" w:rsidRPr="1CD0FBA2">
        <w:rPr>
          <w:noProof/>
          <w:lang w:val="en-IE"/>
        </w:rPr>
        <w:t>This</w:t>
      </w:r>
      <w:r w:rsidRPr="1CD0FBA2">
        <w:rPr>
          <w:noProof/>
          <w:lang w:val="en-IE"/>
        </w:rPr>
        <w:t xml:space="preserve"> targeted extension requires delegated and implementing powers </w:t>
      </w:r>
      <w:r w:rsidR="006F0420" w:rsidRPr="1CD0FBA2">
        <w:rPr>
          <w:noProof/>
          <w:lang w:val="en-IE"/>
        </w:rPr>
        <w:t xml:space="preserve">to be conferred </w:t>
      </w:r>
      <w:r w:rsidRPr="1CD0FBA2">
        <w:rPr>
          <w:noProof/>
          <w:lang w:val="en-IE"/>
        </w:rPr>
        <w:t>on the Commission to provide for the relevant monitoring and reporting rules (amended Articles 5, 6 and 11 of the MRV Regulation).</w:t>
      </w:r>
      <w:r w:rsidRPr="1CD0FBA2">
        <w:rPr>
          <w:noProof/>
        </w:rPr>
        <w:t xml:space="preserve"> </w:t>
      </w:r>
    </w:p>
    <w:p w14:paraId="66B0CED1" w14:textId="77777777" w:rsidR="00C27BED" w:rsidRPr="00CC5B30" w:rsidRDefault="00E73657" w:rsidP="00C27BED">
      <w:pPr>
        <w:pStyle w:val="Bullet1"/>
        <w:rPr>
          <w:noProof/>
        </w:rPr>
      </w:pPr>
      <w:r w:rsidRPr="1CD0FBA2">
        <w:rPr>
          <w:noProof/>
          <w:lang w:val="en-IE"/>
        </w:rPr>
        <w:t>T</w:t>
      </w:r>
      <w:r w:rsidR="006F0420" w:rsidRPr="1CD0FBA2">
        <w:rPr>
          <w:noProof/>
          <w:lang w:val="en-IE"/>
        </w:rPr>
        <w:t>he proposal contains tailored rules t</w:t>
      </w:r>
      <w:r w:rsidRPr="1CD0FBA2">
        <w:rPr>
          <w:noProof/>
          <w:lang w:val="en-IE"/>
        </w:rPr>
        <w:t xml:space="preserve">o reinforce the safeguards against the risk of evasion by vessels engaged in or supporting offshore operations. These tailored rules require changes to the scope of the MRV Regulation (amended Article 2 of the MRV Regulation), the inclusion of new definitions (amended Article 3 of the MRV Regulation) and the deletion of the list of ‘offshore ships’ (amended Annex I to the MRV Regulation). The proposal confers on the Commission the power to adopt delegated acts to provide for the relevant monitoring and reporting rules (amended Articles 5, 6, and 11 </w:t>
      </w:r>
      <w:r w:rsidR="006F0420" w:rsidRPr="1CD0FBA2">
        <w:rPr>
          <w:noProof/>
          <w:lang w:val="en-IE"/>
        </w:rPr>
        <w:t xml:space="preserve">of </w:t>
      </w:r>
      <w:r w:rsidRPr="1CD0FBA2">
        <w:rPr>
          <w:noProof/>
          <w:lang w:val="en-IE"/>
        </w:rPr>
        <w:t>the MRV Regulation)</w:t>
      </w:r>
      <w:r w:rsidR="00C27BED" w:rsidRPr="1CD0FBA2">
        <w:rPr>
          <w:noProof/>
          <w:lang w:val="en-IE"/>
        </w:rPr>
        <w:t xml:space="preserve">. </w:t>
      </w:r>
    </w:p>
    <w:p w14:paraId="27FB0E48" w14:textId="77777777" w:rsidR="00071A8D" w:rsidRPr="00071A8D" w:rsidRDefault="00071A8D" w:rsidP="00071A8D">
      <w:pPr>
        <w:tabs>
          <w:tab w:val="left" w:pos="2354"/>
        </w:tabs>
        <w:rPr>
          <w:noProof/>
        </w:rPr>
        <w:sectPr w:rsidR="00071A8D" w:rsidRPr="00071A8D" w:rsidSect="00F14618">
          <w:headerReference w:type="even"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655F9847" w14:textId="7C6190DD" w:rsidR="007431EF" w:rsidRDefault="00843ACF" w:rsidP="00843ACF">
      <w:pPr>
        <w:pStyle w:val="Rfrenceinterinstitutionnelle"/>
        <w:rPr>
          <w:noProof/>
        </w:rPr>
      </w:pPr>
      <w:r>
        <w:rPr>
          <w:noProof/>
        </w:rPr>
        <w:t>2026/0212 (COD)</w:t>
      </w:r>
    </w:p>
    <w:p w14:paraId="1F61B782" w14:textId="71F8F9D2" w:rsidR="006052EE" w:rsidRPr="00AC7E92" w:rsidRDefault="00843ACF" w:rsidP="00843ACF">
      <w:pPr>
        <w:pStyle w:val="Statut"/>
        <w:rPr>
          <w:noProof/>
        </w:rPr>
      </w:pPr>
      <w:r w:rsidRPr="00843ACF">
        <w:rPr>
          <w:noProof/>
        </w:rPr>
        <w:t>Proposal for a</w:t>
      </w:r>
    </w:p>
    <w:p w14:paraId="02C9B64B" w14:textId="23D89598" w:rsidR="006052EE" w:rsidRPr="00AC7E92" w:rsidRDefault="00843ACF" w:rsidP="00843ACF">
      <w:pPr>
        <w:pStyle w:val="Typedudocument"/>
        <w:rPr>
          <w:noProof/>
        </w:rPr>
      </w:pPr>
      <w:r w:rsidRPr="00843ACF">
        <w:rPr>
          <w:noProof/>
        </w:rPr>
        <w:t>DIRECTIVE OF THE EUROPEAN PARLIAMENT AND OF THE COUNCIL</w:t>
      </w:r>
    </w:p>
    <w:p w14:paraId="0F631A57" w14:textId="738AB26F" w:rsidR="00551753" w:rsidRPr="00551753" w:rsidRDefault="00843ACF" w:rsidP="00843ACF">
      <w:pPr>
        <w:pStyle w:val="Titreobjet"/>
        <w:rPr>
          <w:noProof/>
        </w:rPr>
      </w:pPr>
      <w:r w:rsidRPr="00843ACF">
        <w:rPr>
          <w:noProof/>
        </w:rPr>
        <w:t>amending Directive 2003/87/EC and Decision (EU) 2015/1814 as regards driving competitiveness and cost-effective decarbonisation</w:t>
      </w:r>
    </w:p>
    <w:p w14:paraId="67F62CD5" w14:textId="44358054" w:rsidR="00551753" w:rsidRPr="00551753" w:rsidRDefault="00843ACF" w:rsidP="00843ACF">
      <w:pPr>
        <w:pStyle w:val="IntrtEEE"/>
        <w:rPr>
          <w:noProof/>
        </w:rPr>
      </w:pPr>
      <w:r w:rsidRPr="00843ACF">
        <w:rPr>
          <w:noProof/>
        </w:rPr>
        <w:t>(Text with EEA relevance)</w:t>
      </w:r>
    </w:p>
    <w:p w14:paraId="6A22E52E" w14:textId="77777777" w:rsidR="006052EE" w:rsidRPr="00AC7E92" w:rsidRDefault="006052EE" w:rsidP="00445C9D">
      <w:pPr>
        <w:pStyle w:val="Institutionquiagit"/>
        <w:rPr>
          <w:noProof/>
        </w:rPr>
      </w:pPr>
      <w:r w:rsidRPr="00AC7E92">
        <w:rPr>
          <w:noProof/>
        </w:rPr>
        <w:t>THE EUROPEAN PARLIAMENT AND THE COUNCIL OF THE EUROPEAN UNION,</w:t>
      </w:r>
    </w:p>
    <w:p w14:paraId="57BF14F0" w14:textId="77777777" w:rsidR="006052EE" w:rsidRPr="00AC7E92" w:rsidRDefault="006052EE" w:rsidP="00445C9D">
      <w:pPr>
        <w:rPr>
          <w:noProof/>
        </w:rPr>
      </w:pPr>
      <w:r w:rsidRPr="00AC7E92">
        <w:rPr>
          <w:noProof/>
        </w:rPr>
        <w:t>Having regard to the Treaty on the Functioning of the European Union, and in particular Article</w:t>
      </w:r>
      <w:r w:rsidR="008E53A8">
        <w:rPr>
          <w:noProof/>
        </w:rPr>
        <w:t xml:space="preserve"> 192(1) </w:t>
      </w:r>
      <w:r w:rsidRPr="00AC7E92">
        <w:rPr>
          <w:noProof/>
        </w:rPr>
        <w:t>thereof,</w:t>
      </w:r>
    </w:p>
    <w:p w14:paraId="5893255C" w14:textId="77777777" w:rsidR="006052EE" w:rsidRPr="00AC7E92" w:rsidRDefault="006052EE" w:rsidP="00445C9D">
      <w:pPr>
        <w:rPr>
          <w:noProof/>
        </w:rPr>
      </w:pPr>
      <w:r w:rsidRPr="00AC7E92">
        <w:rPr>
          <w:noProof/>
        </w:rPr>
        <w:t>Having regard to the proposal from the European Commission,</w:t>
      </w:r>
    </w:p>
    <w:p w14:paraId="200D2306" w14:textId="77777777" w:rsidR="006052EE" w:rsidRPr="00AC7E92" w:rsidRDefault="006052EE" w:rsidP="00445C9D">
      <w:pPr>
        <w:rPr>
          <w:noProof/>
        </w:rPr>
      </w:pPr>
      <w:r w:rsidRPr="00AC7E92">
        <w:rPr>
          <w:noProof/>
        </w:rPr>
        <w:t xml:space="preserve">After transmission of the draft legislative act to the national </w:t>
      </w:r>
      <w:r>
        <w:rPr>
          <w:noProof/>
        </w:rPr>
        <w:t>p</w:t>
      </w:r>
      <w:r w:rsidRPr="00AC7E92">
        <w:rPr>
          <w:noProof/>
        </w:rPr>
        <w:t>arliaments,</w:t>
      </w:r>
    </w:p>
    <w:p w14:paraId="33056689" w14:textId="77777777" w:rsidR="006052EE" w:rsidRPr="00AC7E92" w:rsidRDefault="006052EE" w:rsidP="00445C9D">
      <w:pPr>
        <w:rPr>
          <w:noProof/>
        </w:rPr>
      </w:pPr>
      <w:r w:rsidRPr="00AC7E92">
        <w:rPr>
          <w:noProof/>
        </w:rPr>
        <w:t>Having regard to the opinion of the European Economic and Social Committee</w:t>
      </w:r>
      <w:r w:rsidRPr="00AC7E92">
        <w:rPr>
          <w:rStyle w:val="FootnoteReference"/>
          <w:noProof/>
        </w:rPr>
        <w:footnoteReference w:id="43"/>
      </w:r>
      <w:r w:rsidRPr="00AC7E92">
        <w:rPr>
          <w:noProof/>
        </w:rPr>
        <w:t>,</w:t>
      </w:r>
    </w:p>
    <w:p w14:paraId="713B68F0" w14:textId="77777777" w:rsidR="006052EE" w:rsidRPr="00AC7E92" w:rsidRDefault="006052EE" w:rsidP="00445C9D">
      <w:pPr>
        <w:rPr>
          <w:noProof/>
        </w:rPr>
      </w:pPr>
      <w:r w:rsidRPr="00AC7E92">
        <w:rPr>
          <w:noProof/>
        </w:rPr>
        <w:t>Having regard to the opinion of the Committee of the Regions</w:t>
      </w:r>
      <w:r w:rsidRPr="00AC7E92">
        <w:rPr>
          <w:rStyle w:val="FootnoteReference"/>
          <w:noProof/>
        </w:rPr>
        <w:footnoteReference w:id="44"/>
      </w:r>
      <w:r w:rsidRPr="00AC7E92">
        <w:rPr>
          <w:noProof/>
        </w:rPr>
        <w:t>,</w:t>
      </w:r>
    </w:p>
    <w:p w14:paraId="0F35B0DB" w14:textId="77777777" w:rsidR="006052EE" w:rsidRPr="00AC7E92" w:rsidRDefault="006052EE" w:rsidP="00445C9D">
      <w:pPr>
        <w:rPr>
          <w:noProof/>
        </w:rPr>
      </w:pPr>
      <w:r w:rsidRPr="00AC7E92">
        <w:rPr>
          <w:noProof/>
        </w:rPr>
        <w:t>Acting in accordance with the ordinary legislative procedure,</w:t>
      </w:r>
    </w:p>
    <w:p w14:paraId="19CE8A2B" w14:textId="77777777" w:rsidR="006052EE" w:rsidRPr="00AC7E92" w:rsidRDefault="006052EE" w:rsidP="00445C9D">
      <w:pPr>
        <w:rPr>
          <w:noProof/>
        </w:rPr>
      </w:pPr>
      <w:r w:rsidRPr="00AC7E92">
        <w:rPr>
          <w:noProof/>
        </w:rPr>
        <w:t>Whereas:</w:t>
      </w:r>
    </w:p>
    <w:p w14:paraId="23974779" w14:textId="7D31E44F" w:rsidR="00AF61E4" w:rsidRPr="00D81562" w:rsidRDefault="00AF61E4" w:rsidP="000B709E">
      <w:pPr>
        <w:pStyle w:val="Considrant"/>
        <w:numPr>
          <w:ilvl w:val="0"/>
          <w:numId w:val="39"/>
        </w:numPr>
        <w:rPr>
          <w:noProof/>
        </w:rPr>
      </w:pPr>
      <w:r w:rsidRPr="000E4A5B">
        <w:rPr>
          <w:noProof/>
        </w:rPr>
        <w:t>The Paris Agreement</w:t>
      </w:r>
      <w:r>
        <w:rPr>
          <w:rStyle w:val="FootnoteReference"/>
          <w:noProof/>
        </w:rPr>
        <w:footnoteReference w:id="45"/>
      </w:r>
      <w:r w:rsidRPr="000E4A5B">
        <w:rPr>
          <w:noProof/>
        </w:rPr>
        <w:t>, adopted on 12 December 2015 under the United Nations</w:t>
      </w:r>
      <w:r>
        <w:rPr>
          <w:noProof/>
        </w:rPr>
        <w:t xml:space="preserve"> </w:t>
      </w:r>
      <w:r w:rsidRPr="000E4A5B">
        <w:rPr>
          <w:noProof/>
        </w:rPr>
        <w:t xml:space="preserve">Framework Convention on Climate Change (UNFCCC) (the ‘Paris Agreement’), entered into force on 4 November 2016. The Parties to the Paris Agreement have agreed to hold the increase </w:t>
      </w:r>
      <w:r w:rsidRPr="00D81562">
        <w:rPr>
          <w:noProof/>
        </w:rPr>
        <w:t xml:space="preserve">in the global average temperature well below 2 °C above pre-industrial levels and to pursue efforts to limit the temperature increase to 1,5 °C above pre-industrial levels. </w:t>
      </w:r>
    </w:p>
    <w:p w14:paraId="7D9DBB1B" w14:textId="1474768B" w:rsidR="00DB3C46" w:rsidRDefault="575D96F3" w:rsidP="009E1F0E">
      <w:pPr>
        <w:pStyle w:val="Considrant"/>
        <w:rPr>
          <w:noProof/>
        </w:rPr>
      </w:pPr>
      <w:r w:rsidRPr="2193DBD9">
        <w:rPr>
          <w:noProof/>
        </w:rPr>
        <w:t xml:space="preserve">The urgency </w:t>
      </w:r>
      <w:r w:rsidR="474F1FA5" w:rsidRPr="2193DBD9">
        <w:rPr>
          <w:noProof/>
        </w:rPr>
        <w:t xml:space="preserve">to maintain the efforts to achieve </w:t>
      </w:r>
      <w:r w:rsidRPr="2193DBD9">
        <w:rPr>
          <w:noProof/>
        </w:rPr>
        <w:t>the Paris Agreement goal of 1,5 °C</w:t>
      </w:r>
      <w:r w:rsidR="4F27972A" w:rsidRPr="2193DBD9">
        <w:rPr>
          <w:noProof/>
        </w:rPr>
        <w:t xml:space="preserve"> </w:t>
      </w:r>
      <w:r w:rsidRPr="2193DBD9">
        <w:rPr>
          <w:noProof/>
        </w:rPr>
        <w:t>has become more significant following the findings of the Intergovernmental Panel on Climate Change in its Sixth Assessment Report that global warming can only be limited to 1,5 °C if strong and sustained reductions in global greenhouse gas emissions within this decade are immediately undertaken.</w:t>
      </w:r>
    </w:p>
    <w:p w14:paraId="271FE5F5" w14:textId="7D50954B" w:rsidR="00DB3C46" w:rsidRDefault="575D96F3" w:rsidP="009E1F0E">
      <w:pPr>
        <w:pStyle w:val="Considrant"/>
        <w:rPr>
          <w:noProof/>
        </w:rPr>
      </w:pPr>
      <w:r w:rsidRPr="2193DBD9">
        <w:rPr>
          <w:noProof/>
        </w:rPr>
        <w:t xml:space="preserve">On 5 November 2025, the Union submitted its nationally determined contribution (NDC) to the UNFCCC, following its approval by the Council. The NDC indicates that, following the setting of the target for 2040 climate target of the Union, and in line with the foreseen reviews, the Commission will prepare a climate policy architecture </w:t>
      </w:r>
      <w:r w:rsidR="7304AE91" w:rsidRPr="2193DBD9">
        <w:rPr>
          <w:noProof/>
        </w:rPr>
        <w:t xml:space="preserve">for </w:t>
      </w:r>
      <w:r w:rsidRPr="2193DBD9">
        <w:rPr>
          <w:noProof/>
        </w:rPr>
        <w:t xml:space="preserve">beyond 2030, and prepare the proposals for this policy framework that will be needed to deliver the 2040 target in a fair and cost-efficient manner. </w:t>
      </w:r>
    </w:p>
    <w:p w14:paraId="24541087" w14:textId="77777777" w:rsidR="009E1F0E" w:rsidRDefault="575D96F3" w:rsidP="00FC7B5D">
      <w:pPr>
        <w:pStyle w:val="Considrant"/>
        <w:rPr>
          <w:noProof/>
        </w:rPr>
      </w:pPr>
      <w:r w:rsidRPr="008E53A8">
        <w:rPr>
          <w:noProof/>
        </w:rPr>
        <w:t>The NDC was prepared on the basis of the outcome of the political debate launched by the Commission Communication</w:t>
      </w:r>
      <w:r w:rsidR="474F1FA5">
        <w:rPr>
          <w:noProof/>
        </w:rPr>
        <w:t xml:space="preserve"> of 6 February 2024 on</w:t>
      </w:r>
      <w:r w:rsidRPr="008E53A8">
        <w:rPr>
          <w:noProof/>
        </w:rPr>
        <w:t xml:space="preserve"> “Securing our future Europe's 2040 climate target and path to climate neutrality by 2050 building a sustainable, just and prosperous society”</w:t>
      </w:r>
      <w:r w:rsidR="008E53A8" w:rsidRPr="008E53A8">
        <w:rPr>
          <w:rStyle w:val="FootnoteReference"/>
          <w:noProof/>
        </w:rPr>
        <w:footnoteReference w:id="46"/>
      </w:r>
      <w:r w:rsidRPr="008E53A8">
        <w:rPr>
          <w:noProof/>
        </w:rPr>
        <w:t xml:space="preserve"> which was based on an extensive impact assessment, as well as stakeholder input, collected via public consultation. That impact assessment underlies the </w:t>
      </w:r>
      <w:r w:rsidR="42ED7B49">
        <w:rPr>
          <w:noProof/>
        </w:rPr>
        <w:t>impact assessment</w:t>
      </w:r>
      <w:r w:rsidR="42ED7B49" w:rsidRPr="008E53A8">
        <w:rPr>
          <w:noProof/>
        </w:rPr>
        <w:t xml:space="preserve"> </w:t>
      </w:r>
      <w:r w:rsidRPr="008E53A8">
        <w:rPr>
          <w:noProof/>
        </w:rPr>
        <w:t xml:space="preserve">supporting this </w:t>
      </w:r>
      <w:r w:rsidR="7304AE91">
        <w:rPr>
          <w:noProof/>
        </w:rPr>
        <w:t>Directive</w:t>
      </w:r>
      <w:r w:rsidRPr="008E53A8">
        <w:rPr>
          <w:noProof/>
        </w:rPr>
        <w:t>.</w:t>
      </w:r>
    </w:p>
    <w:p w14:paraId="08C595CC" w14:textId="77777777" w:rsidR="009E1F0E" w:rsidRDefault="1857E1AE" w:rsidP="0092500C">
      <w:pPr>
        <w:pStyle w:val="Considrant"/>
        <w:rPr>
          <w:noProof/>
        </w:rPr>
      </w:pPr>
      <w:r>
        <w:rPr>
          <w:noProof/>
        </w:rPr>
        <w:t>The Competitiveness Compass</w:t>
      </w:r>
      <w:r w:rsidR="000B7A16">
        <w:rPr>
          <w:rStyle w:val="FootnoteReference"/>
          <w:noProof/>
        </w:rPr>
        <w:footnoteReference w:id="47"/>
      </w:r>
      <w:r>
        <w:rPr>
          <w:noProof/>
        </w:rPr>
        <w:t xml:space="preserve"> and the Clean Industrial Deal</w:t>
      </w:r>
      <w:r w:rsidR="000B7A16">
        <w:rPr>
          <w:rStyle w:val="FootnoteReference"/>
          <w:noProof/>
        </w:rPr>
        <w:footnoteReference w:id="48"/>
      </w:r>
      <w:r w:rsidR="61A8D3F0" w:rsidRPr="308810FC">
        <w:rPr>
          <w:noProof/>
        </w:rPr>
        <w:t xml:space="preserve"> have </w:t>
      </w:r>
      <w:r w:rsidR="575D96F3" w:rsidRPr="008E53A8">
        <w:rPr>
          <w:noProof/>
        </w:rPr>
        <w:t xml:space="preserve">identified continued decarbonisation and accelerated circularity as essential elements to further reduce Europe’s dependencies </w:t>
      </w:r>
      <w:r w:rsidR="61A8D3F0" w:rsidRPr="308810FC">
        <w:rPr>
          <w:noProof/>
        </w:rPr>
        <w:t xml:space="preserve">on fossil fuels </w:t>
      </w:r>
      <w:r w:rsidR="575D96F3" w:rsidRPr="008E53A8">
        <w:rPr>
          <w:noProof/>
        </w:rPr>
        <w:t xml:space="preserve">and strengthen economic competitiveness and resilience, while setting out the direction for adapting the EU </w:t>
      </w:r>
      <w:r w:rsidR="2E6E070F" w:rsidRPr="308810FC">
        <w:rPr>
          <w:noProof/>
        </w:rPr>
        <w:t>E</w:t>
      </w:r>
      <w:r w:rsidR="61A8D3F0" w:rsidRPr="308810FC">
        <w:rPr>
          <w:noProof/>
        </w:rPr>
        <w:t xml:space="preserve">missions </w:t>
      </w:r>
      <w:r w:rsidR="542EDC89" w:rsidRPr="308810FC">
        <w:rPr>
          <w:noProof/>
        </w:rPr>
        <w:t>T</w:t>
      </w:r>
      <w:r w:rsidR="61A8D3F0" w:rsidRPr="308810FC">
        <w:rPr>
          <w:noProof/>
        </w:rPr>
        <w:t xml:space="preserve">rading </w:t>
      </w:r>
      <w:r w:rsidR="3FAFAECB" w:rsidRPr="308810FC">
        <w:rPr>
          <w:noProof/>
        </w:rPr>
        <w:t>S</w:t>
      </w:r>
      <w:r w:rsidR="61A8D3F0" w:rsidRPr="308810FC">
        <w:rPr>
          <w:noProof/>
        </w:rPr>
        <w:t>ystem (</w:t>
      </w:r>
      <w:r w:rsidR="575D96F3" w:rsidRPr="308810FC">
        <w:rPr>
          <w:noProof/>
        </w:rPr>
        <w:t>ETS</w:t>
      </w:r>
      <w:r w:rsidR="61A8D3F0" w:rsidRPr="308810FC">
        <w:rPr>
          <w:noProof/>
        </w:rPr>
        <w:t>)</w:t>
      </w:r>
      <w:r w:rsidR="575D96F3" w:rsidRPr="308810FC">
        <w:rPr>
          <w:noProof/>
        </w:rPr>
        <w:t xml:space="preserve"> to a changing geoeconomic context while maintaining the fundamentals. </w:t>
      </w:r>
    </w:p>
    <w:p w14:paraId="67F82614" w14:textId="77777777" w:rsidR="009E1F0E" w:rsidRDefault="575D96F3" w:rsidP="00573502">
      <w:pPr>
        <w:pStyle w:val="Considrant"/>
        <w:rPr>
          <w:noProof/>
        </w:rPr>
      </w:pPr>
      <w:r w:rsidRPr="2193DBD9">
        <w:rPr>
          <w:noProof/>
        </w:rPr>
        <w:t xml:space="preserve">The rapidly changing geopolitical context further </w:t>
      </w:r>
      <w:r w:rsidR="443715A4" w:rsidRPr="2193DBD9">
        <w:rPr>
          <w:noProof/>
        </w:rPr>
        <w:t xml:space="preserve">emphasised </w:t>
      </w:r>
      <w:r w:rsidRPr="2193DBD9">
        <w:rPr>
          <w:noProof/>
        </w:rPr>
        <w:t>the</w:t>
      </w:r>
      <w:r w:rsidR="443715A4" w:rsidRPr="2193DBD9">
        <w:rPr>
          <w:noProof/>
        </w:rPr>
        <w:t xml:space="preserve"> importance</w:t>
      </w:r>
      <w:r w:rsidR="7827335F" w:rsidRPr="2193DBD9">
        <w:rPr>
          <w:noProof/>
        </w:rPr>
        <w:t xml:space="preserve"> </w:t>
      </w:r>
      <w:r w:rsidR="27A93410" w:rsidRPr="2193DBD9">
        <w:rPr>
          <w:noProof/>
        </w:rPr>
        <w:t xml:space="preserve">of </w:t>
      </w:r>
      <w:r w:rsidRPr="2193DBD9">
        <w:rPr>
          <w:noProof/>
        </w:rPr>
        <w:t>deliver</w:t>
      </w:r>
      <w:r w:rsidR="27A93410" w:rsidRPr="2193DBD9">
        <w:rPr>
          <w:noProof/>
        </w:rPr>
        <w:t>ing</w:t>
      </w:r>
      <w:r w:rsidRPr="2193DBD9">
        <w:rPr>
          <w:noProof/>
        </w:rPr>
        <w:t xml:space="preserve"> on the Clean Industrial Deal</w:t>
      </w:r>
      <w:r w:rsidR="780BA361" w:rsidRPr="2193DBD9">
        <w:rPr>
          <w:noProof/>
        </w:rPr>
        <w:t xml:space="preserve"> to enhance resource security</w:t>
      </w:r>
      <w:r w:rsidR="6A8BAE46" w:rsidRPr="2193DBD9">
        <w:rPr>
          <w:noProof/>
        </w:rPr>
        <w:t xml:space="preserve"> and address Europe’s dependence on imported fossil fuels, which is the main cause of higher, and more volatile, energy prices</w:t>
      </w:r>
      <w:r w:rsidRPr="2193DBD9">
        <w:rPr>
          <w:noProof/>
        </w:rPr>
        <w:t xml:space="preserve">. Conflicts in Ukraine and the Middle East confront the </w:t>
      </w:r>
      <w:r w:rsidR="6B3CA002" w:rsidRPr="2193DBD9">
        <w:rPr>
          <w:noProof/>
        </w:rPr>
        <w:t>Union</w:t>
      </w:r>
      <w:r w:rsidRPr="2193DBD9">
        <w:rPr>
          <w:noProof/>
        </w:rPr>
        <w:t xml:space="preserve"> once again with volatile and rising energy prices driven by Europe’s dependence on imported fossil fuels,</w:t>
      </w:r>
      <w:r w:rsidR="61A8D3F0" w:rsidRPr="2193DBD9">
        <w:rPr>
          <w:noProof/>
        </w:rPr>
        <w:t xml:space="preserve"> which</w:t>
      </w:r>
      <w:r w:rsidRPr="2193DBD9">
        <w:rPr>
          <w:noProof/>
        </w:rPr>
        <w:t xml:space="preserve"> damag</w:t>
      </w:r>
      <w:r w:rsidR="61A8D3F0" w:rsidRPr="2193DBD9">
        <w:rPr>
          <w:noProof/>
        </w:rPr>
        <w:t>e</w:t>
      </w:r>
      <w:r w:rsidRPr="2193DBD9">
        <w:rPr>
          <w:noProof/>
        </w:rPr>
        <w:t xml:space="preserve"> the competitiveness of European industry. The EU ETS should continue to be a robust, predictable and fit for purpose driver of decarbonisation,</w:t>
      </w:r>
      <w:r w:rsidR="61A8D3F0" w:rsidRPr="2193DBD9">
        <w:rPr>
          <w:noProof/>
        </w:rPr>
        <w:t xml:space="preserve"> thereby</w:t>
      </w:r>
      <w:r w:rsidRPr="2193DBD9">
        <w:rPr>
          <w:noProof/>
        </w:rPr>
        <w:t xml:space="preserve"> lowering the EU’s dependence on fossil fuel imports and strengthening its resilience, while fostering investments in the clean energy transition in</w:t>
      </w:r>
      <w:r w:rsidR="6DCC7AB4" w:rsidRPr="2193DBD9">
        <w:rPr>
          <w:noProof/>
        </w:rPr>
        <w:t xml:space="preserve"> homegrown</w:t>
      </w:r>
      <w:r w:rsidRPr="2193DBD9">
        <w:rPr>
          <w:noProof/>
        </w:rPr>
        <w:t xml:space="preserve"> renewables and </w:t>
      </w:r>
      <w:r w:rsidR="0F0E4AD0" w:rsidRPr="2193DBD9">
        <w:rPr>
          <w:noProof/>
        </w:rPr>
        <w:t xml:space="preserve">other zero- and </w:t>
      </w:r>
      <w:r w:rsidRPr="2193DBD9">
        <w:rPr>
          <w:noProof/>
        </w:rPr>
        <w:t>low-carbon energy sources.</w:t>
      </w:r>
    </w:p>
    <w:p w14:paraId="088AF0C5" w14:textId="77777777" w:rsidR="009E1F0E" w:rsidRDefault="575D96F3" w:rsidP="0076607D">
      <w:pPr>
        <w:pStyle w:val="Considrant"/>
        <w:rPr>
          <w:noProof/>
        </w:rPr>
      </w:pPr>
      <w:r w:rsidRPr="008E53A8">
        <w:rPr>
          <w:noProof/>
        </w:rPr>
        <w:t>In its conclusions of 19 March 2026</w:t>
      </w:r>
      <w:r w:rsidR="008E53A8" w:rsidRPr="008E53A8">
        <w:rPr>
          <w:rStyle w:val="FootnoteReference"/>
          <w:noProof/>
        </w:rPr>
        <w:footnoteReference w:id="49"/>
      </w:r>
      <w:r w:rsidRPr="008E53A8">
        <w:rPr>
          <w:noProof/>
        </w:rPr>
        <w:t xml:space="preserve"> the Council invited the Commission to present a review of the EU ETS by July 2026 at the latest, to reduce the volatility of the carbon price and mitigate its impact on electricity prices, including related supply chain costs, and on diversion of activities, while preserving the essential role of the ETS in the climate and energy transition through a market-based price signal for carbon emissions that drives investment and innovation. The Parliament</w:t>
      </w:r>
      <w:r w:rsidR="61A8D3F0">
        <w:rPr>
          <w:noProof/>
        </w:rPr>
        <w:t>, the Council</w:t>
      </w:r>
      <w:r w:rsidRPr="008E53A8">
        <w:rPr>
          <w:noProof/>
        </w:rPr>
        <w:t xml:space="preserve"> and the Commission, signed the </w:t>
      </w:r>
      <w:r w:rsidR="4A315DF1">
        <w:rPr>
          <w:noProof/>
        </w:rPr>
        <w:t>‘</w:t>
      </w:r>
      <w:r w:rsidRPr="008E53A8">
        <w:rPr>
          <w:noProof/>
        </w:rPr>
        <w:t>One Europe, One Market</w:t>
      </w:r>
      <w:r w:rsidR="4A315DF1">
        <w:rPr>
          <w:noProof/>
        </w:rPr>
        <w:t>’</w:t>
      </w:r>
      <w:r w:rsidRPr="008E53A8">
        <w:rPr>
          <w:noProof/>
        </w:rPr>
        <w:t xml:space="preserve"> roadmap setting Q1 2027 as target for agreement for the review of the EU ETS</w:t>
      </w:r>
      <w:r w:rsidR="008E53A8" w:rsidRPr="008E53A8">
        <w:rPr>
          <w:rStyle w:val="FootnoteReference"/>
          <w:noProof/>
        </w:rPr>
        <w:footnoteReference w:id="50"/>
      </w:r>
      <w:r w:rsidR="009E1F0E">
        <w:rPr>
          <w:noProof/>
        </w:rPr>
        <w:t>.</w:t>
      </w:r>
    </w:p>
    <w:p w14:paraId="33C35A1F" w14:textId="77777777" w:rsidR="009E1F0E" w:rsidRDefault="61A8D3F0" w:rsidP="003E7952">
      <w:pPr>
        <w:pStyle w:val="Considrant"/>
        <w:rPr>
          <w:noProof/>
        </w:rPr>
      </w:pPr>
      <w:r>
        <w:rPr>
          <w:noProof/>
        </w:rPr>
        <w:t>By</w:t>
      </w:r>
      <w:r w:rsidR="575D96F3" w:rsidRPr="008E53A8">
        <w:rPr>
          <w:noProof/>
        </w:rPr>
        <w:t xml:space="preserve"> Regulation (EU) 2021/1119 of the European Parliament and of the Council</w:t>
      </w:r>
      <w:r w:rsidR="008E53A8" w:rsidRPr="008E53A8">
        <w:rPr>
          <w:rStyle w:val="FootnoteReference"/>
          <w:noProof/>
        </w:rPr>
        <w:footnoteReference w:id="51"/>
      </w:r>
      <w:r w:rsidR="575D96F3" w:rsidRPr="008E53A8">
        <w:rPr>
          <w:noProof/>
        </w:rPr>
        <w:t xml:space="preserve">, the Union has </w:t>
      </w:r>
      <w:r w:rsidR="485069BE">
        <w:rPr>
          <w:noProof/>
        </w:rPr>
        <w:t>laid down</w:t>
      </w:r>
      <w:r w:rsidR="575D96F3" w:rsidRPr="008E53A8">
        <w:rPr>
          <w:noProof/>
        </w:rPr>
        <w:t xml:space="preserve"> the objective of economy-wide climate neutrality by 2050 at the latest and the aim of achieving negative emissions thereafter. That Regulation also provides that the Commission is to endeavour to align all future draft measures or legislative proposals, including budgetary proposals, with the objectives of that Regulation and, in any case of non-alignment, provide the reasons for such non-alignment as part of the impact assessment accompanying those proposals. </w:t>
      </w:r>
    </w:p>
    <w:p w14:paraId="1CEA5366" w14:textId="77777777" w:rsidR="009E1F0E" w:rsidRPr="009E1F0E" w:rsidRDefault="61A8D3F0" w:rsidP="00F47B23">
      <w:pPr>
        <w:pStyle w:val="Considrant"/>
        <w:rPr>
          <w:noProof/>
        </w:rPr>
      </w:pPr>
      <w:r w:rsidRPr="005C6DF4">
        <w:rPr>
          <w:noProof/>
        </w:rPr>
        <w:t>Regulation (EU) 2021/1119, as amended</w:t>
      </w:r>
      <w:r w:rsidR="575D96F3" w:rsidRPr="008E53A8">
        <w:rPr>
          <w:noProof/>
        </w:rPr>
        <w:t xml:space="preserve"> </w:t>
      </w:r>
      <w:r w:rsidR="575D96F3" w:rsidRPr="009E1F0E">
        <w:rPr>
          <w:noProof/>
          <w:lang w:val="en-IE"/>
        </w:rPr>
        <w:t>Regulation (EU) 2026/667 of the European Parliament and of the Council</w:t>
      </w:r>
      <w:r w:rsidR="008E53A8">
        <w:rPr>
          <w:rStyle w:val="FootnoteReference"/>
          <w:noProof/>
          <w:lang w:val="en-IE"/>
        </w:rPr>
        <w:footnoteReference w:id="52"/>
      </w:r>
      <w:r w:rsidR="575D96F3" w:rsidRPr="008E53A8">
        <w:rPr>
          <w:noProof/>
        </w:rPr>
        <w:t>, establishes a binding Union reduction target for net greenhouse gas emissions (emissions after deduction of removals) of 90 % compared to 1990 levels by 2040. This target includes a possibility to use a limited quantity of high-quality international credits to make an ‘adequate contribution</w:t>
      </w:r>
      <w:r w:rsidR="4A315DF1">
        <w:rPr>
          <w:noProof/>
        </w:rPr>
        <w:t>’</w:t>
      </w:r>
      <w:r w:rsidR="575D96F3" w:rsidRPr="008E53A8">
        <w:rPr>
          <w:noProof/>
        </w:rPr>
        <w:t xml:space="preserve"> towards the 2040 target, starting in 2036. This amount can be up to 5% of 1990 EU net GHG emissions, corresponding to a domestic reduction of net GHG emissions of at least by 85% compared to 1990 levels by 2040. </w:t>
      </w:r>
      <w:r w:rsidR="0497EB5C">
        <w:rPr>
          <w:noProof/>
        </w:rPr>
        <w:t xml:space="preserve">In accordance with Article 4(5)(a) of </w:t>
      </w:r>
      <w:r w:rsidR="0497EB5C" w:rsidRPr="008E53A8">
        <w:rPr>
          <w:noProof/>
        </w:rPr>
        <w:t>Regulation (EU) 2021/1119</w:t>
      </w:r>
      <w:r w:rsidR="0497EB5C">
        <w:rPr>
          <w:noProof/>
        </w:rPr>
        <w:t>, a</w:t>
      </w:r>
      <w:r w:rsidR="575D96F3" w:rsidRPr="009E1F0E">
        <w:rPr>
          <w:noProof/>
          <w:lang w:val="en-US"/>
        </w:rPr>
        <w:t> pilot period in 2031-2035 may be considered.</w:t>
      </w:r>
    </w:p>
    <w:p w14:paraId="5EBBF183" w14:textId="77777777" w:rsidR="009E1F0E" w:rsidRDefault="575D96F3" w:rsidP="00B4414A">
      <w:pPr>
        <w:pStyle w:val="Considrant"/>
        <w:rPr>
          <w:noProof/>
        </w:rPr>
      </w:pPr>
      <w:r w:rsidRPr="2193DBD9">
        <w:rPr>
          <w:noProof/>
        </w:rPr>
        <w:t>All sectors of the economy need to contribute to achieving the emission reductions established by Regulation (EU) 2021/1119. Therefore, the ambition of the EU ETS should be adjusted to be in line with the economy-wide net greenhouse gas emission reduction target for 2040, the objective of achieving climate neutrality by 2050 at the latest and the aim of achieving negative emissions thereafter, as laid down in Regulation (EU) 2021/1119.</w:t>
      </w:r>
    </w:p>
    <w:p w14:paraId="1D7FE1DE" w14:textId="77777777" w:rsidR="009E1F0E" w:rsidRDefault="575D96F3" w:rsidP="009E3E64">
      <w:pPr>
        <w:pStyle w:val="Considrant"/>
        <w:rPr>
          <w:noProof/>
        </w:rPr>
      </w:pPr>
      <w:r>
        <w:rPr>
          <w:noProof/>
        </w:rPr>
        <w:t xml:space="preserve">The NDC of the Union and its Member States under the Paris Agreement includes emissions from aviation subject to effective carbon pricing through the EU ETS which, </w:t>
      </w:r>
      <w:r w:rsidR="34BBB639">
        <w:rPr>
          <w:noProof/>
        </w:rPr>
        <w:t>until</w:t>
      </w:r>
      <w:r>
        <w:rPr>
          <w:noProof/>
        </w:rPr>
        <w:t xml:space="preserve"> 31 December 2026, only comprises flights within the European Economic Area</w:t>
      </w:r>
      <w:r w:rsidR="7B0E1B69">
        <w:rPr>
          <w:noProof/>
        </w:rPr>
        <w:t xml:space="preserve"> (EEA)</w:t>
      </w:r>
      <w:r>
        <w:rPr>
          <w:noProof/>
        </w:rPr>
        <w:t xml:space="preserve">, departing flights to Switzerland and departing flights to the United Kingdom. The NDC notes that any broader scope would result from the amendment of </w:t>
      </w:r>
      <w:r w:rsidRPr="009E1F0E">
        <w:rPr>
          <w:noProof/>
          <w:lang w:val="en-IE"/>
        </w:rPr>
        <w:t xml:space="preserve">Directive 2003/87/EC </w:t>
      </w:r>
      <w:r w:rsidR="7978DB96" w:rsidRPr="009E1F0E">
        <w:rPr>
          <w:noProof/>
          <w:lang w:val="en-IE"/>
        </w:rPr>
        <w:t>of the European Parliament and of the Council</w:t>
      </w:r>
      <w:r w:rsidR="00CA772A">
        <w:rPr>
          <w:rStyle w:val="FootnoteReference"/>
          <w:noProof/>
          <w:lang w:val="en-IE"/>
        </w:rPr>
        <w:footnoteReference w:id="53"/>
      </w:r>
      <w:r w:rsidR="7978DB96">
        <w:rPr>
          <w:noProof/>
        </w:rPr>
        <w:t xml:space="preserve"> </w:t>
      </w:r>
      <w:r>
        <w:rPr>
          <w:noProof/>
        </w:rPr>
        <w:t xml:space="preserve">based on </w:t>
      </w:r>
      <w:r w:rsidR="59E93E5F">
        <w:rPr>
          <w:noProof/>
        </w:rPr>
        <w:t>this Directive</w:t>
      </w:r>
      <w:r>
        <w:rPr>
          <w:noProof/>
        </w:rPr>
        <w:t xml:space="preserve">. </w:t>
      </w:r>
      <w:r w:rsidR="4F231661">
        <w:rPr>
          <w:noProof/>
        </w:rPr>
        <w:t>Emissions from avia</w:t>
      </w:r>
      <w:r w:rsidR="6E5C7DEB">
        <w:rPr>
          <w:noProof/>
        </w:rPr>
        <w:t>t</w:t>
      </w:r>
      <w:r w:rsidR="4F231661">
        <w:rPr>
          <w:noProof/>
        </w:rPr>
        <w:t xml:space="preserve">ion </w:t>
      </w:r>
      <w:r>
        <w:rPr>
          <w:noProof/>
        </w:rPr>
        <w:t>are expected to increase</w:t>
      </w:r>
      <w:r w:rsidR="2F84EC30">
        <w:rPr>
          <w:noProof/>
        </w:rPr>
        <w:t>, unless the use of alternative fuels is increased</w:t>
      </w:r>
      <w:r>
        <w:rPr>
          <w:noProof/>
        </w:rPr>
        <w:t xml:space="preserve">. </w:t>
      </w:r>
      <w:r w:rsidR="72897477">
        <w:rPr>
          <w:noProof/>
        </w:rPr>
        <w:t>The additional aviation emissions covered by the EU ETS from 2027 onwards should not yet be included in the NDC of the Union and its Member States, nor be considered to be emissions for the purposes of Regulation (EU) 2021/1119.</w:t>
      </w:r>
    </w:p>
    <w:p w14:paraId="1710FF38" w14:textId="77777777" w:rsidR="009E1F0E" w:rsidRPr="009E1F0E" w:rsidRDefault="575D96F3" w:rsidP="0070580A">
      <w:pPr>
        <w:pStyle w:val="Considrant"/>
        <w:rPr>
          <w:noProof/>
        </w:rPr>
      </w:pPr>
      <w:r w:rsidRPr="009E1F0E">
        <w:rPr>
          <w:noProof/>
          <w:lang w:val="en-IE"/>
        </w:rPr>
        <w:t xml:space="preserve">There should be further support from the EU ETS for the </w:t>
      </w:r>
      <w:r w:rsidR="04CBD4A8" w:rsidRPr="009E1F0E">
        <w:rPr>
          <w:noProof/>
          <w:lang w:val="en-IE"/>
        </w:rPr>
        <w:t xml:space="preserve">use </w:t>
      </w:r>
      <w:r w:rsidRPr="009E1F0E">
        <w:rPr>
          <w:noProof/>
          <w:lang w:val="en-IE"/>
        </w:rPr>
        <w:t xml:space="preserve">of sustainable aviation fuels alongside </w:t>
      </w:r>
      <w:r w:rsidR="41F3171C" w:rsidRPr="009E1F0E">
        <w:rPr>
          <w:noProof/>
          <w:lang w:val="en-IE"/>
        </w:rPr>
        <w:t>binding legislative mandates</w:t>
      </w:r>
      <w:r w:rsidRPr="009E1F0E">
        <w:rPr>
          <w:noProof/>
          <w:lang w:val="en-IE"/>
        </w:rPr>
        <w:t xml:space="preserve"> </w:t>
      </w:r>
      <w:r w:rsidR="41F3171C" w:rsidRPr="009E1F0E">
        <w:rPr>
          <w:noProof/>
          <w:lang w:val="en-IE"/>
        </w:rPr>
        <w:t xml:space="preserve">pursuant to </w:t>
      </w:r>
      <w:r w:rsidR="1DCF13CE" w:rsidRPr="009E1F0E">
        <w:rPr>
          <w:noProof/>
          <w:lang w:val="en-IE"/>
        </w:rPr>
        <w:t xml:space="preserve">Regulation </w:t>
      </w:r>
      <w:r w:rsidR="79D159F6" w:rsidRPr="009E1F0E">
        <w:rPr>
          <w:noProof/>
          <w:lang w:val="en-IE"/>
        </w:rPr>
        <w:t>(EU) 2023/2405 of the European Parliament and of the Council</w:t>
      </w:r>
      <w:r w:rsidR="00FF4F52">
        <w:rPr>
          <w:rStyle w:val="FootnoteReference"/>
          <w:noProof/>
          <w:lang w:val="en-IE"/>
        </w:rPr>
        <w:footnoteReference w:id="54"/>
      </w:r>
      <w:r w:rsidR="09DBDE0D" w:rsidRPr="009E1F0E">
        <w:rPr>
          <w:noProof/>
          <w:lang w:val="en-IE"/>
        </w:rPr>
        <w:t>,</w:t>
      </w:r>
      <w:r w:rsidRPr="009E1F0E">
        <w:rPr>
          <w:noProof/>
          <w:lang w:val="en-IE"/>
        </w:rPr>
        <w:t xml:space="preserve"> notwithstanding</w:t>
      </w:r>
      <w:r w:rsidRPr="009E1F0E" w:rsidDel="00F237B1">
        <w:rPr>
          <w:noProof/>
          <w:lang w:val="en-IE"/>
        </w:rPr>
        <w:t xml:space="preserve"> that</w:t>
      </w:r>
      <w:r w:rsidRPr="009E1F0E">
        <w:rPr>
          <w:noProof/>
          <w:lang w:val="en-IE"/>
        </w:rPr>
        <w:t xml:space="preserve"> </w:t>
      </w:r>
      <w:r w:rsidR="7720A2A6" w:rsidRPr="009E1F0E">
        <w:rPr>
          <w:noProof/>
          <w:lang w:val="en-IE"/>
        </w:rPr>
        <w:t xml:space="preserve">these mandates </w:t>
      </w:r>
      <w:r w:rsidR="5CC103F7" w:rsidRPr="009E1F0E">
        <w:rPr>
          <w:noProof/>
          <w:lang w:val="en-IE"/>
        </w:rPr>
        <w:t xml:space="preserve">are in place even </w:t>
      </w:r>
      <w:r w:rsidR="7720A2A6" w:rsidRPr="009E1F0E">
        <w:rPr>
          <w:noProof/>
          <w:lang w:val="en-IE"/>
        </w:rPr>
        <w:t>without support from the EU ETS</w:t>
      </w:r>
      <w:r w:rsidRPr="009E1F0E">
        <w:rPr>
          <w:noProof/>
          <w:lang w:val="en-IE"/>
        </w:rPr>
        <w:t xml:space="preserve">. </w:t>
      </w:r>
      <w:r w:rsidR="19989CFA" w:rsidRPr="009E1F0E">
        <w:rPr>
          <w:noProof/>
          <w:lang w:val="en-IE"/>
        </w:rPr>
        <w:t>Therefore, the availability of reserved allowances for the use of sustainable aviation fuels and other aviation fuels that are not derived from fossil fuels under Article 3c(6) of Directive 2003/87/EC should be extended until 20</w:t>
      </w:r>
      <w:r w:rsidR="00944676" w:rsidRPr="009E1F0E">
        <w:rPr>
          <w:noProof/>
          <w:lang w:val="en-IE"/>
        </w:rPr>
        <w:t>40</w:t>
      </w:r>
      <w:r w:rsidR="19989CFA" w:rsidRPr="009E1F0E">
        <w:rPr>
          <w:noProof/>
          <w:lang w:val="en-IE"/>
        </w:rPr>
        <w:t>. A lower proportion of the price difference should be covered, in order to enable a longer period of time for the mechanism being in place. There should also be equal treatment of all forms of propulsion, including electrification. The extension of the geographic scope of the EU ETS for aviation, in combination with the corresponding increase of the total amount of allowances</w:t>
      </w:r>
      <w:r w:rsidR="6EFA1862" w:rsidRPr="00FA0AB2">
        <w:rPr>
          <w:noProof/>
        </w:rPr>
        <w:t xml:space="preserve"> </w:t>
      </w:r>
      <w:r w:rsidR="6EFA1862" w:rsidRPr="009E1F0E">
        <w:rPr>
          <w:noProof/>
          <w:lang w:val="en-IE"/>
        </w:rPr>
        <w:t>to be allocated in respect of aircraft operators</w:t>
      </w:r>
      <w:r w:rsidR="19989CFA" w:rsidRPr="009E1F0E">
        <w:rPr>
          <w:noProof/>
          <w:lang w:val="en-IE"/>
        </w:rPr>
        <w:t>, enables an increased number of allowances for supporting alternative propulsion technologies and fuels.</w:t>
      </w:r>
    </w:p>
    <w:p w14:paraId="6712C1A1" w14:textId="77777777" w:rsidR="009E1F0E" w:rsidRDefault="00944676" w:rsidP="00CF39FE">
      <w:pPr>
        <w:pStyle w:val="Considrant"/>
        <w:rPr>
          <w:noProof/>
        </w:rPr>
      </w:pPr>
      <w:r w:rsidRPr="00944676">
        <w:rPr>
          <w:noProof/>
        </w:rPr>
        <w:t xml:space="preserve">Notwithstanding that the scope of carbon pricing is only extended partially from January 2029, the ETS support for alternative propulsion technologies and fuels should nonetheless be extended to all departing flights from that date. This maintains equal treatment on all routes departing from any aerodrome in the European Economic Area, and incentivises their rapid deployment.  </w:t>
      </w:r>
    </w:p>
    <w:p w14:paraId="6E4D374A" w14:textId="77777777" w:rsidR="009E1F0E" w:rsidRDefault="585DBB75" w:rsidP="001E6547">
      <w:pPr>
        <w:pStyle w:val="Considrant"/>
        <w:rPr>
          <w:noProof/>
          <w:lang w:val="en-IE"/>
        </w:rPr>
      </w:pPr>
      <w:r w:rsidRPr="009E1F0E">
        <w:rPr>
          <w:noProof/>
          <w:lang w:val="en-IE"/>
        </w:rPr>
        <w:t xml:space="preserve">To reduce aviation’s total climate impacts, the </w:t>
      </w:r>
      <w:r w:rsidR="575D96F3" w:rsidRPr="009E1F0E">
        <w:rPr>
          <w:noProof/>
          <w:lang w:val="en-IE"/>
        </w:rPr>
        <w:t xml:space="preserve">support mechanism referred to in Article 3c(6) </w:t>
      </w:r>
      <w:r w:rsidR="62774397" w:rsidRPr="009E1F0E">
        <w:rPr>
          <w:noProof/>
          <w:lang w:val="en-IE"/>
        </w:rPr>
        <w:t xml:space="preserve">of Directive 2003/87/EC </w:t>
      </w:r>
      <w:r w:rsidR="575D96F3" w:rsidRPr="009E1F0E">
        <w:rPr>
          <w:noProof/>
          <w:lang w:val="en-IE"/>
        </w:rPr>
        <w:t xml:space="preserve">should also support cost-effective approaches. The use of contrail forecasting models to support cost-effective mitigation of contrails </w:t>
      </w:r>
      <w:r w:rsidR="33E905C9" w:rsidRPr="009E1F0E">
        <w:rPr>
          <w:noProof/>
          <w:lang w:val="en-IE"/>
        </w:rPr>
        <w:t>(also known as condensation trails)</w:t>
      </w:r>
      <w:r w:rsidR="575D96F3" w:rsidRPr="009E1F0E">
        <w:rPr>
          <w:noProof/>
          <w:lang w:val="en-IE"/>
        </w:rPr>
        <w:t xml:space="preserve"> offers a low-cost complement to other approaches supported by this mechanism. It </w:t>
      </w:r>
      <w:r w:rsidR="1780D50D" w:rsidRPr="009E1F0E">
        <w:rPr>
          <w:noProof/>
          <w:lang w:val="en-IE"/>
        </w:rPr>
        <w:t xml:space="preserve">should </w:t>
      </w:r>
      <w:r w:rsidR="575D96F3" w:rsidRPr="009E1F0E">
        <w:rPr>
          <w:noProof/>
          <w:lang w:val="en-IE"/>
        </w:rPr>
        <w:t>rel</w:t>
      </w:r>
      <w:r w:rsidR="1780D50D" w:rsidRPr="009E1F0E">
        <w:rPr>
          <w:noProof/>
          <w:lang w:val="en-IE"/>
        </w:rPr>
        <w:t>y</w:t>
      </w:r>
      <w:r w:rsidR="0D463CEE" w:rsidRPr="009E1F0E">
        <w:rPr>
          <w:noProof/>
          <w:lang w:val="en-IE"/>
        </w:rPr>
        <w:t xml:space="preserve"> on a </w:t>
      </w:r>
      <w:r w:rsidR="575D96F3" w:rsidRPr="009E1F0E">
        <w:rPr>
          <w:noProof/>
          <w:lang w:val="en-IE"/>
        </w:rPr>
        <w:t xml:space="preserve">limited share of the </w:t>
      </w:r>
      <w:r w:rsidR="1780D50D" w:rsidRPr="009E1F0E">
        <w:rPr>
          <w:noProof/>
          <w:lang w:val="en-IE"/>
        </w:rPr>
        <w:t xml:space="preserve">number of allowances reserved for the purposes </w:t>
      </w:r>
      <w:r w:rsidR="33E905C9" w:rsidRPr="009E1F0E">
        <w:rPr>
          <w:noProof/>
          <w:lang w:val="en-IE"/>
        </w:rPr>
        <w:t>provided for</w:t>
      </w:r>
      <w:r w:rsidR="1780D50D" w:rsidRPr="009E1F0E">
        <w:rPr>
          <w:noProof/>
          <w:lang w:val="en-IE"/>
        </w:rPr>
        <w:t xml:space="preserve"> in</w:t>
      </w:r>
      <w:r w:rsidR="575D96F3" w:rsidRPr="009E1F0E">
        <w:rPr>
          <w:noProof/>
          <w:lang w:val="en-IE"/>
        </w:rPr>
        <w:t xml:space="preserve"> Article 3c(6). The mechanism </w:t>
      </w:r>
      <w:r w:rsidR="0D463CEE" w:rsidRPr="009E1F0E">
        <w:rPr>
          <w:noProof/>
          <w:lang w:val="en-IE"/>
        </w:rPr>
        <w:t>should be</w:t>
      </w:r>
      <w:r w:rsidR="575D96F3" w:rsidRPr="009E1F0E">
        <w:rPr>
          <w:noProof/>
          <w:lang w:val="en-IE"/>
        </w:rPr>
        <w:t xml:space="preserve"> complementary to the monitoring, reporting and verification framework</w:t>
      </w:r>
      <w:r w:rsidR="1419134F" w:rsidRPr="009E1F0E">
        <w:rPr>
          <w:noProof/>
          <w:lang w:val="en-IE"/>
        </w:rPr>
        <w:t xml:space="preserve"> </w:t>
      </w:r>
      <w:r w:rsidR="33E905C9" w:rsidRPr="009E1F0E">
        <w:rPr>
          <w:noProof/>
          <w:lang w:val="en-IE"/>
        </w:rPr>
        <w:t xml:space="preserve">for non-CO₂ aviation effects </w:t>
      </w:r>
      <w:r w:rsidR="1419134F" w:rsidRPr="009E1F0E">
        <w:rPr>
          <w:noProof/>
          <w:lang w:val="en-IE"/>
        </w:rPr>
        <w:t>pursuant to Article 14(5) of that Directive</w:t>
      </w:r>
      <w:r w:rsidR="575D96F3" w:rsidRPr="009E1F0E">
        <w:rPr>
          <w:noProof/>
          <w:lang w:val="en-IE"/>
        </w:rPr>
        <w:t>.</w:t>
      </w:r>
    </w:p>
    <w:p w14:paraId="00E23FEE" w14:textId="77777777" w:rsidR="009E1F0E" w:rsidRPr="009E1F0E" w:rsidRDefault="7966D7BB" w:rsidP="00565FBD">
      <w:pPr>
        <w:pStyle w:val="Considrant"/>
        <w:rPr>
          <w:noProof/>
        </w:rPr>
      </w:pPr>
      <w:r w:rsidRPr="009E1F0E">
        <w:rPr>
          <w:noProof/>
          <w:lang w:val="en-IE"/>
        </w:rPr>
        <w:t>In view of rewarding most efficient installations, it is appropriate to extend the possibility</w:t>
      </w:r>
      <w:r w:rsidR="37170316" w:rsidRPr="009E1F0E">
        <w:rPr>
          <w:noProof/>
          <w:lang w:val="en-IE"/>
        </w:rPr>
        <w:t xml:space="preserve">, </w:t>
      </w:r>
      <w:r w:rsidRPr="009E1F0E">
        <w:rPr>
          <w:noProof/>
          <w:lang w:val="en-IE"/>
        </w:rPr>
        <w:t xml:space="preserve">for installations previously </w:t>
      </w:r>
      <w:r w:rsidR="2CBE8C99" w:rsidRPr="009E1F0E">
        <w:rPr>
          <w:noProof/>
          <w:lang w:val="en-IE"/>
        </w:rPr>
        <w:t xml:space="preserve">included in the EU ETS due to the operation of combustion units with a total rated thermal input </w:t>
      </w:r>
      <w:r w:rsidRPr="009E1F0E">
        <w:rPr>
          <w:noProof/>
          <w:lang w:val="en-IE"/>
        </w:rPr>
        <w:t xml:space="preserve">exceeding 20 MW that change their production processes to reduce </w:t>
      </w:r>
      <w:r w:rsidR="2CBE8C99" w:rsidRPr="009E1F0E">
        <w:rPr>
          <w:noProof/>
          <w:lang w:val="en-IE"/>
        </w:rPr>
        <w:t>their</w:t>
      </w:r>
      <w:r w:rsidRPr="009E1F0E">
        <w:rPr>
          <w:noProof/>
          <w:lang w:val="en-IE"/>
        </w:rPr>
        <w:t xml:space="preserve"> greenhouse gas emissions and no longer meet</w:t>
      </w:r>
      <w:r w:rsidR="37170316" w:rsidRPr="009E1F0E">
        <w:rPr>
          <w:noProof/>
          <w:lang w:val="en-IE"/>
        </w:rPr>
        <w:t xml:space="preserve"> </w:t>
      </w:r>
      <w:r w:rsidRPr="009E1F0E">
        <w:rPr>
          <w:noProof/>
          <w:lang w:val="en-IE"/>
        </w:rPr>
        <w:t>that threshold</w:t>
      </w:r>
      <w:r w:rsidR="37170316" w:rsidRPr="009E1F0E">
        <w:rPr>
          <w:noProof/>
          <w:lang w:val="en-IE"/>
        </w:rPr>
        <w:t xml:space="preserve"> as a result, </w:t>
      </w:r>
      <w:r w:rsidRPr="009E1F0E">
        <w:rPr>
          <w:noProof/>
          <w:lang w:val="en-IE"/>
        </w:rPr>
        <w:t xml:space="preserve">to remain under the EU ETS </w:t>
      </w:r>
      <w:r w:rsidR="37170316" w:rsidRPr="009E1F0E">
        <w:rPr>
          <w:noProof/>
          <w:lang w:val="en-IE"/>
        </w:rPr>
        <w:t xml:space="preserve">until the end of </w:t>
      </w:r>
      <w:r w:rsidR="1F0E39B8" w:rsidRPr="009E1F0E">
        <w:rPr>
          <w:noProof/>
          <w:lang w:val="en-IE"/>
        </w:rPr>
        <w:t xml:space="preserve">the two </w:t>
      </w:r>
      <w:r w:rsidR="65A8C960" w:rsidRPr="009E1F0E">
        <w:rPr>
          <w:noProof/>
          <w:lang w:val="en-IE"/>
        </w:rPr>
        <w:t>following five-year periods for free allocation following the change to their production processes.</w:t>
      </w:r>
    </w:p>
    <w:p w14:paraId="3D580084" w14:textId="77777777" w:rsidR="009E1F0E" w:rsidRPr="009E1F0E" w:rsidRDefault="6F28B374" w:rsidP="00820798">
      <w:pPr>
        <w:pStyle w:val="Considrant"/>
        <w:rPr>
          <w:noProof/>
        </w:rPr>
      </w:pPr>
      <w:r w:rsidRPr="009E1F0E">
        <w:rPr>
          <w:noProof/>
          <w:lang w:val="en-IE"/>
        </w:rPr>
        <w:t xml:space="preserve">For business flights, the reserved amount of allowances should </w:t>
      </w:r>
      <w:r w:rsidR="37EBEC61" w:rsidRPr="009E1F0E">
        <w:rPr>
          <w:noProof/>
          <w:lang w:val="en-IE"/>
        </w:rPr>
        <w:t xml:space="preserve">only </w:t>
      </w:r>
      <w:r w:rsidRPr="009E1F0E">
        <w:rPr>
          <w:noProof/>
          <w:lang w:val="en-IE"/>
        </w:rPr>
        <w:t xml:space="preserve">be available in the case of aircraft using electricity </w:t>
      </w:r>
      <w:r w:rsidR="4B527B1C" w:rsidRPr="009E1F0E">
        <w:rPr>
          <w:noProof/>
          <w:lang w:val="en-IE"/>
        </w:rPr>
        <w:t>or hydrogen</w:t>
      </w:r>
      <w:r w:rsidRPr="009E1F0E">
        <w:rPr>
          <w:noProof/>
          <w:lang w:val="en-IE"/>
        </w:rPr>
        <w:t xml:space="preserve"> for propulsion. </w:t>
      </w:r>
      <w:r w:rsidR="575D96F3" w:rsidRPr="009E1F0E">
        <w:rPr>
          <w:noProof/>
          <w:lang w:val="en-IE"/>
        </w:rPr>
        <w:t xml:space="preserve">In order to ensure uniform conditions for the allocation of </w:t>
      </w:r>
      <w:r w:rsidR="409F83A6" w:rsidRPr="009E1F0E">
        <w:rPr>
          <w:noProof/>
          <w:lang w:val="en-IE"/>
        </w:rPr>
        <w:t xml:space="preserve">reserved </w:t>
      </w:r>
      <w:r w:rsidR="575D96F3" w:rsidRPr="009E1F0E">
        <w:rPr>
          <w:noProof/>
          <w:lang w:val="en-IE"/>
        </w:rPr>
        <w:t xml:space="preserve">allowances pursuant to Article 3c(6) of Directive 2003/87/EC, implementing powers should be conferred on the Commission to adopt a list of aircraft that are considered business aircraft. </w:t>
      </w:r>
      <w:r w:rsidR="33E905C9" w:rsidRPr="009E1F0E">
        <w:rPr>
          <w:noProof/>
          <w:lang w:val="en-IE"/>
        </w:rPr>
        <w:t>Such</w:t>
      </w:r>
      <w:r w:rsidR="575D96F3" w:rsidRPr="009E1F0E">
        <w:rPr>
          <w:noProof/>
          <w:lang w:val="en-IE"/>
        </w:rPr>
        <w:t xml:space="preserve"> powers should be exercised in accordance with Regulation (EU) No 182/2011 of the European Parliament and of the Council</w:t>
      </w:r>
      <w:r w:rsidR="005213A7">
        <w:rPr>
          <w:rStyle w:val="FootnoteReference"/>
          <w:noProof/>
          <w:lang w:val="en-IE"/>
        </w:rPr>
        <w:footnoteReference w:id="55"/>
      </w:r>
      <w:r w:rsidR="575D96F3" w:rsidRPr="009E1F0E">
        <w:rPr>
          <w:noProof/>
          <w:lang w:val="en-IE"/>
        </w:rPr>
        <w:t>.</w:t>
      </w:r>
    </w:p>
    <w:p w14:paraId="17C64771" w14:textId="77777777" w:rsidR="009E1F0E" w:rsidRPr="009E1F0E" w:rsidRDefault="575D96F3" w:rsidP="00827C3D">
      <w:pPr>
        <w:pStyle w:val="Considrant"/>
        <w:rPr>
          <w:noProof/>
          <w:lang w:val="en-IE"/>
        </w:rPr>
      </w:pPr>
      <w:r w:rsidRPr="008E53A8">
        <w:rPr>
          <w:noProof/>
        </w:rPr>
        <w:t>In view of ensuring that installations are always covered by either the status of new entrant or of incumbent installation within each of the five-year periods referred to in Article 11</w:t>
      </w:r>
      <w:r w:rsidR="54FFBDFA">
        <w:rPr>
          <w:noProof/>
        </w:rPr>
        <w:t xml:space="preserve"> of Directive 2003/87/EC</w:t>
      </w:r>
      <w:r w:rsidRPr="008E53A8">
        <w:rPr>
          <w:noProof/>
        </w:rPr>
        <w:t>, it is necessary to revise the definition of new entrant under th</w:t>
      </w:r>
      <w:r w:rsidR="07EDAA8D">
        <w:rPr>
          <w:noProof/>
        </w:rPr>
        <w:t>at</w:t>
      </w:r>
      <w:r w:rsidRPr="008E53A8">
        <w:rPr>
          <w:noProof/>
        </w:rPr>
        <w:t xml:space="preserve"> Directive. Specifically, the definition of a </w:t>
      </w:r>
      <w:r w:rsidR="1173A37E">
        <w:rPr>
          <w:noProof/>
        </w:rPr>
        <w:t>‘</w:t>
      </w:r>
      <w:r w:rsidRPr="008E53A8">
        <w:rPr>
          <w:noProof/>
        </w:rPr>
        <w:t>new entrant</w:t>
      </w:r>
      <w:r w:rsidR="1173A37E">
        <w:rPr>
          <w:noProof/>
        </w:rPr>
        <w:t>’</w:t>
      </w:r>
      <w:r w:rsidRPr="008E53A8">
        <w:rPr>
          <w:noProof/>
        </w:rPr>
        <w:t xml:space="preserve"> under Article 3, point (h), of Directive</w:t>
      </w:r>
      <w:r w:rsidR="07EDAA8D">
        <w:rPr>
          <w:noProof/>
        </w:rPr>
        <w:t xml:space="preserve"> 2003/87/EC</w:t>
      </w:r>
      <w:r w:rsidRPr="008E53A8">
        <w:rPr>
          <w:noProof/>
        </w:rPr>
        <w:t xml:space="preserve">, read together with the definition of an </w:t>
      </w:r>
      <w:r w:rsidR="1A8F21E5">
        <w:rPr>
          <w:noProof/>
        </w:rPr>
        <w:t>‘</w:t>
      </w:r>
      <w:r w:rsidRPr="008E53A8">
        <w:rPr>
          <w:noProof/>
        </w:rPr>
        <w:t>incumbent installation</w:t>
      </w:r>
      <w:r w:rsidR="1A8F21E5">
        <w:rPr>
          <w:noProof/>
        </w:rPr>
        <w:t>’</w:t>
      </w:r>
      <w:r w:rsidRPr="008E53A8">
        <w:rPr>
          <w:noProof/>
        </w:rPr>
        <w:t xml:space="preserve"> under Article 2</w:t>
      </w:r>
      <w:r w:rsidR="40DD6DF4">
        <w:rPr>
          <w:noProof/>
        </w:rPr>
        <w:t xml:space="preserve">, point </w:t>
      </w:r>
      <w:r w:rsidRPr="008E53A8">
        <w:rPr>
          <w:noProof/>
        </w:rPr>
        <w:t>(1)</w:t>
      </w:r>
      <w:r w:rsidR="40DD6DF4">
        <w:rPr>
          <w:noProof/>
        </w:rPr>
        <w:t>,</w:t>
      </w:r>
      <w:r w:rsidRPr="008E53A8">
        <w:rPr>
          <w:noProof/>
        </w:rPr>
        <w:t xml:space="preserve"> of Commission Delegated Regulation (EU) 2019/331</w:t>
      </w:r>
      <w:r w:rsidR="008E53A8" w:rsidRPr="008E53A8">
        <w:rPr>
          <w:rStyle w:val="FootnoteReference"/>
          <w:noProof/>
        </w:rPr>
        <w:footnoteReference w:id="56"/>
      </w:r>
      <w:r w:rsidRPr="008E53A8">
        <w:rPr>
          <w:noProof/>
        </w:rPr>
        <w:t xml:space="preserve">, there is a missing time period </w:t>
      </w:r>
      <w:r w:rsidR="07EDAA8D">
        <w:rPr>
          <w:noProof/>
        </w:rPr>
        <w:t xml:space="preserve">of 1.5 years </w:t>
      </w:r>
      <w:r w:rsidRPr="008E53A8">
        <w:rPr>
          <w:noProof/>
        </w:rPr>
        <w:t>at the end of each free allocation period, starting three months before the submission of the list for the next period pursuant to Article 11(1)</w:t>
      </w:r>
      <w:r w:rsidR="49C43685">
        <w:rPr>
          <w:noProof/>
        </w:rPr>
        <w:t xml:space="preserve"> of Directive 2003/87/EC</w:t>
      </w:r>
      <w:r w:rsidRPr="008E53A8">
        <w:rPr>
          <w:noProof/>
        </w:rPr>
        <w:t xml:space="preserve">, where neither of the two definitions apply. Therefore, the definition of </w:t>
      </w:r>
      <w:r w:rsidR="1A8F21E5">
        <w:rPr>
          <w:noProof/>
        </w:rPr>
        <w:t>‘</w:t>
      </w:r>
      <w:r w:rsidRPr="008E53A8">
        <w:rPr>
          <w:noProof/>
        </w:rPr>
        <w:t>new entrant</w:t>
      </w:r>
      <w:r w:rsidR="1A8F21E5">
        <w:rPr>
          <w:noProof/>
        </w:rPr>
        <w:t>’</w:t>
      </w:r>
      <w:r w:rsidRPr="008E53A8">
        <w:rPr>
          <w:noProof/>
        </w:rPr>
        <w:t xml:space="preserve"> should be revised to align with the current practice, whereby an installation is only treated as incumbent where it is included in the list submitted pursuant to Article 11(1) </w:t>
      </w:r>
      <w:r w:rsidR="7DAB5192">
        <w:rPr>
          <w:noProof/>
        </w:rPr>
        <w:t xml:space="preserve">of Directive 2003/87/EC </w:t>
      </w:r>
      <w:r w:rsidRPr="008E53A8">
        <w:rPr>
          <w:noProof/>
        </w:rPr>
        <w:t xml:space="preserve">for the </w:t>
      </w:r>
      <w:r w:rsidR="514AD6A5">
        <w:rPr>
          <w:noProof/>
        </w:rPr>
        <w:t xml:space="preserve">relevant </w:t>
      </w:r>
      <w:r w:rsidRPr="008E53A8">
        <w:rPr>
          <w:noProof/>
        </w:rPr>
        <w:t xml:space="preserve">period. As a result, any installation receiving a </w:t>
      </w:r>
      <w:r w:rsidR="7B379791">
        <w:rPr>
          <w:noProof/>
        </w:rPr>
        <w:t>permit</w:t>
      </w:r>
      <w:r w:rsidRPr="008E53A8">
        <w:rPr>
          <w:noProof/>
        </w:rPr>
        <w:t xml:space="preserve"> for the first time within the period starting from three months before the date for submission of the list under Article 11(1), and ending on 31 December </w:t>
      </w:r>
      <w:r w:rsidR="2492D913" w:rsidRPr="00D444CD">
        <w:rPr>
          <w:noProof/>
        </w:rPr>
        <w:t>of the last year of the corresponding five-year period for free allocation</w:t>
      </w:r>
      <w:r w:rsidR="2492D913" w:rsidRPr="00D444CD" w:rsidDel="00D444CD">
        <w:rPr>
          <w:noProof/>
        </w:rPr>
        <w:t xml:space="preserve"> </w:t>
      </w:r>
      <w:r w:rsidRPr="008E53A8">
        <w:rPr>
          <w:noProof/>
        </w:rPr>
        <w:t xml:space="preserve">should </w:t>
      </w:r>
      <w:r w:rsidR="282C0607">
        <w:rPr>
          <w:noProof/>
        </w:rPr>
        <w:t>regarded as a</w:t>
      </w:r>
      <w:r w:rsidRPr="008E53A8">
        <w:rPr>
          <w:noProof/>
        </w:rPr>
        <w:t xml:space="preserve"> new entrant </w:t>
      </w:r>
      <w:r w:rsidR="282C0607">
        <w:rPr>
          <w:noProof/>
        </w:rPr>
        <w:t>for</w:t>
      </w:r>
      <w:r w:rsidR="282C0607" w:rsidRPr="008E53A8">
        <w:rPr>
          <w:noProof/>
        </w:rPr>
        <w:t xml:space="preserve"> </w:t>
      </w:r>
      <w:r w:rsidRPr="008E53A8">
        <w:rPr>
          <w:noProof/>
        </w:rPr>
        <w:t xml:space="preserve">that period. </w:t>
      </w:r>
      <w:r w:rsidRPr="009E1F0E">
        <w:rPr>
          <w:noProof/>
          <w:color w:val="000000" w:themeColor="text1"/>
        </w:rPr>
        <w:t xml:space="preserve">In the situation where an installation </w:t>
      </w:r>
      <w:r w:rsidR="7DE20C64" w:rsidRPr="009E1F0E">
        <w:rPr>
          <w:noProof/>
          <w:color w:val="000000" w:themeColor="text1"/>
        </w:rPr>
        <w:t>obtains</w:t>
      </w:r>
      <w:r w:rsidRPr="009E1F0E">
        <w:rPr>
          <w:noProof/>
          <w:color w:val="000000" w:themeColor="text1"/>
        </w:rPr>
        <w:t xml:space="preserve"> a greenhouse gas emissions permit for the first time which </w:t>
      </w:r>
      <w:r w:rsidR="2E33513D" w:rsidRPr="009E1F0E">
        <w:rPr>
          <w:noProof/>
          <w:color w:val="000000" w:themeColor="text1"/>
        </w:rPr>
        <w:t xml:space="preserve">is </w:t>
      </w:r>
      <w:r w:rsidRPr="009E1F0E">
        <w:rPr>
          <w:noProof/>
          <w:color w:val="000000" w:themeColor="text1"/>
        </w:rPr>
        <w:t xml:space="preserve">then, successively, withdrawn and that installation </w:t>
      </w:r>
      <w:r w:rsidR="1D64224C" w:rsidRPr="009E1F0E">
        <w:rPr>
          <w:noProof/>
          <w:color w:val="000000" w:themeColor="text1"/>
        </w:rPr>
        <w:t xml:space="preserve">is </w:t>
      </w:r>
      <w:r w:rsidRPr="009E1F0E">
        <w:rPr>
          <w:noProof/>
          <w:color w:val="000000" w:themeColor="text1"/>
        </w:rPr>
        <w:t xml:space="preserve">granted another new greenhouse gas emissions permit under the same allocation period, the installation </w:t>
      </w:r>
      <w:r w:rsidR="1D64224C" w:rsidRPr="009E1F0E">
        <w:rPr>
          <w:noProof/>
          <w:color w:val="000000" w:themeColor="text1"/>
        </w:rPr>
        <w:t xml:space="preserve">should </w:t>
      </w:r>
      <w:r w:rsidRPr="009E1F0E">
        <w:rPr>
          <w:noProof/>
          <w:color w:val="000000" w:themeColor="text1"/>
        </w:rPr>
        <w:t xml:space="preserve">only be able to re-enter the EU ETS in the </w:t>
      </w:r>
      <w:r w:rsidR="77040DA5" w:rsidRPr="009E1F0E">
        <w:rPr>
          <w:noProof/>
          <w:color w:val="000000" w:themeColor="text1"/>
        </w:rPr>
        <w:t xml:space="preserve">following </w:t>
      </w:r>
      <w:r w:rsidRPr="009E1F0E">
        <w:rPr>
          <w:noProof/>
          <w:color w:val="000000" w:themeColor="text1"/>
        </w:rPr>
        <w:t>allocation period, under the applicable qualification either as new entrant or incumbent installation in accordance with the relevant definitions under Article 3</w:t>
      </w:r>
      <w:r w:rsidR="7E6E367B" w:rsidRPr="009E1F0E">
        <w:rPr>
          <w:noProof/>
          <w:color w:val="000000" w:themeColor="text1"/>
        </w:rPr>
        <w:t xml:space="preserve">, point </w:t>
      </w:r>
      <w:r w:rsidRPr="009E1F0E">
        <w:rPr>
          <w:noProof/>
          <w:color w:val="000000" w:themeColor="text1"/>
        </w:rPr>
        <w:t>(h)</w:t>
      </w:r>
      <w:r w:rsidR="7E6E367B" w:rsidRPr="009E1F0E">
        <w:rPr>
          <w:noProof/>
          <w:color w:val="000000" w:themeColor="text1"/>
        </w:rPr>
        <w:t>,</w:t>
      </w:r>
      <w:r w:rsidRPr="009E1F0E">
        <w:rPr>
          <w:noProof/>
          <w:color w:val="000000" w:themeColor="text1"/>
        </w:rPr>
        <w:t xml:space="preserve"> of Directive </w:t>
      </w:r>
      <w:r w:rsidR="2A576FE0" w:rsidRPr="009E1F0E">
        <w:rPr>
          <w:noProof/>
          <w:color w:val="000000" w:themeColor="text1"/>
        </w:rPr>
        <w:t xml:space="preserve">2003/87/EC </w:t>
      </w:r>
      <w:r w:rsidRPr="009E1F0E">
        <w:rPr>
          <w:noProof/>
          <w:color w:val="000000" w:themeColor="text1"/>
        </w:rPr>
        <w:t>and Article 2</w:t>
      </w:r>
      <w:r w:rsidR="7E6E367B" w:rsidRPr="009E1F0E">
        <w:rPr>
          <w:noProof/>
          <w:color w:val="000000" w:themeColor="text1"/>
        </w:rPr>
        <w:t xml:space="preserve">, point </w:t>
      </w:r>
      <w:r w:rsidRPr="009E1F0E">
        <w:rPr>
          <w:noProof/>
          <w:color w:val="000000" w:themeColor="text1"/>
        </w:rPr>
        <w:t>(1)</w:t>
      </w:r>
      <w:r w:rsidR="7E6E367B" w:rsidRPr="009E1F0E">
        <w:rPr>
          <w:noProof/>
          <w:color w:val="000000" w:themeColor="text1"/>
        </w:rPr>
        <w:t>,</w:t>
      </w:r>
      <w:r w:rsidRPr="009E1F0E">
        <w:rPr>
          <w:noProof/>
          <w:color w:val="000000" w:themeColor="text1"/>
        </w:rPr>
        <w:t xml:space="preserve"> of Delegated Regulation (EU) 2019/331.</w:t>
      </w:r>
    </w:p>
    <w:p w14:paraId="4CBE30C3" w14:textId="77777777" w:rsidR="009E1F0E" w:rsidRDefault="3A033972" w:rsidP="00671AEF">
      <w:pPr>
        <w:pStyle w:val="Considrant"/>
        <w:rPr>
          <w:noProof/>
          <w:lang w:val="en-IE"/>
        </w:rPr>
      </w:pPr>
      <w:r w:rsidRPr="009E1F0E">
        <w:rPr>
          <w:noProof/>
          <w:lang w:val="en-IE"/>
        </w:rPr>
        <w:t xml:space="preserve">The Union </w:t>
      </w:r>
      <w:r w:rsidR="24E3A519" w:rsidRPr="009E1F0E">
        <w:rPr>
          <w:noProof/>
          <w:lang w:val="en-IE"/>
        </w:rPr>
        <w:t>is to</w:t>
      </w:r>
      <w:r w:rsidRPr="009E1F0E">
        <w:rPr>
          <w:noProof/>
          <w:lang w:val="en-IE"/>
        </w:rPr>
        <w:t xml:space="preserve"> achieve climate neutrality by 2050 at the latest and all sectors of the economy, including maritime transport, </w:t>
      </w:r>
      <w:r w:rsidR="24E3A519" w:rsidRPr="009E1F0E">
        <w:rPr>
          <w:noProof/>
          <w:lang w:val="en-IE"/>
        </w:rPr>
        <w:t xml:space="preserve">are to </w:t>
      </w:r>
      <w:r w:rsidRPr="009E1F0E">
        <w:rPr>
          <w:noProof/>
          <w:lang w:val="en-IE"/>
        </w:rPr>
        <w:t>contribute to achieving the emission reductions established by Regulation (EU) 2021/1119, in line with its updated NDC. The inclusion of maritime transport in the EU ETS since 2024 ensures that the sector contributes its fair share to the climate objectives of the Union as well as to the objectives of the Paris Agreement. The International Maritime Organi</w:t>
      </w:r>
      <w:r w:rsidR="5018907F" w:rsidRPr="009E1F0E">
        <w:rPr>
          <w:noProof/>
          <w:lang w:val="en-IE"/>
        </w:rPr>
        <w:t>z</w:t>
      </w:r>
      <w:r w:rsidRPr="009E1F0E">
        <w:rPr>
          <w:noProof/>
          <w:lang w:val="en-IE"/>
        </w:rPr>
        <w:t xml:space="preserve">ation (IMO) adopted, in 2023, a </w:t>
      </w:r>
      <w:r w:rsidR="362BB7D2" w:rsidRPr="009E1F0E">
        <w:rPr>
          <w:noProof/>
          <w:lang w:val="en-IE"/>
        </w:rPr>
        <w:t>s</w:t>
      </w:r>
      <w:r w:rsidRPr="009E1F0E">
        <w:rPr>
          <w:noProof/>
          <w:lang w:val="en-IE"/>
        </w:rPr>
        <w:t>trategy to decarbonise shipping</w:t>
      </w:r>
      <w:r w:rsidR="00302FAF">
        <w:rPr>
          <w:rStyle w:val="FootnoteReference"/>
          <w:noProof/>
          <w:lang w:val="en-IE"/>
        </w:rPr>
        <w:footnoteReference w:id="57"/>
      </w:r>
      <w:r w:rsidRPr="009E1F0E">
        <w:rPr>
          <w:noProof/>
          <w:lang w:val="en-IE"/>
        </w:rPr>
        <w:t xml:space="preserve"> </w:t>
      </w:r>
      <w:r w:rsidR="7094526B" w:rsidRPr="009E1F0E">
        <w:rPr>
          <w:noProof/>
          <w:lang w:val="en-IE"/>
        </w:rPr>
        <w:t>‘</w:t>
      </w:r>
      <w:r w:rsidRPr="009E1F0E">
        <w:rPr>
          <w:noProof/>
          <w:lang w:val="en-IE"/>
        </w:rPr>
        <w:t xml:space="preserve">by or around, </w:t>
      </w:r>
      <w:r w:rsidR="7094526B" w:rsidRPr="009E1F0E">
        <w:rPr>
          <w:noProof/>
          <w:lang w:val="en-IE"/>
        </w:rPr>
        <w:t xml:space="preserve">i.e. </w:t>
      </w:r>
      <w:r w:rsidRPr="009E1F0E">
        <w:rPr>
          <w:noProof/>
          <w:lang w:val="en-IE"/>
        </w:rPr>
        <w:t>close to, 2050</w:t>
      </w:r>
      <w:r w:rsidR="76B42174" w:rsidRPr="009E1F0E">
        <w:rPr>
          <w:noProof/>
          <w:lang w:val="en-IE"/>
        </w:rPr>
        <w:t>’</w:t>
      </w:r>
      <w:r w:rsidRPr="009E1F0E">
        <w:rPr>
          <w:noProof/>
          <w:lang w:val="en-IE"/>
        </w:rPr>
        <w:t xml:space="preserve"> and agreed on developing mid-term measures to implement it, considering a basket of candidate measures covering both technical and economic elements. The adoption and implementation of such a global measure putting effectively a price on greenhouse gas emissions from maritime transport </w:t>
      </w:r>
      <w:r w:rsidR="0D93BF80" w:rsidRPr="009E1F0E">
        <w:rPr>
          <w:noProof/>
          <w:lang w:val="en-IE"/>
        </w:rPr>
        <w:t>in parallel to the EU ETS would entail a risk of</w:t>
      </w:r>
      <w:r w:rsidRPr="009E1F0E">
        <w:rPr>
          <w:noProof/>
          <w:lang w:val="en-IE"/>
        </w:rPr>
        <w:t xml:space="preserve"> double payments by shipping companies. </w:t>
      </w:r>
      <w:r w:rsidR="716B2C13" w:rsidRPr="009E1F0E">
        <w:rPr>
          <w:noProof/>
          <w:lang w:val="en-IE"/>
        </w:rPr>
        <w:t xml:space="preserve">The provisions of Directive 2003/87/EC as regards maritime transport activities should be reviewed in the event of the adoption by the IMO of a global market-based measure to reduce greenhouse gas emissions from maritime transport. To this end, the Commission should present a report to the European Parliament and to the Council within 18 months of the adoption of such a measure and before it becomes operational. </w:t>
      </w:r>
      <w:r>
        <w:rPr>
          <w:noProof/>
        </w:rPr>
        <w:t xml:space="preserve">The Commission </w:t>
      </w:r>
      <w:r w:rsidR="008767B8">
        <w:rPr>
          <w:noProof/>
        </w:rPr>
        <w:t xml:space="preserve">should </w:t>
      </w:r>
      <w:r>
        <w:rPr>
          <w:noProof/>
        </w:rPr>
        <w:t xml:space="preserve">in that report examine that global market-based measure as regards its ambition in light of the objectives of the Paris Agreement, its overall environmental integrity, including in comparison with the provisions of </w:t>
      </w:r>
      <w:r w:rsidR="008767B8">
        <w:rPr>
          <w:noProof/>
        </w:rPr>
        <w:t xml:space="preserve">Directive 2003/87/EC </w:t>
      </w:r>
      <w:r>
        <w:rPr>
          <w:noProof/>
        </w:rPr>
        <w:t>covering maritime transport,</w:t>
      </w:r>
      <w:r w:rsidR="008767B8">
        <w:rPr>
          <w:noProof/>
        </w:rPr>
        <w:t xml:space="preserve"> and </w:t>
      </w:r>
      <w:r>
        <w:rPr>
          <w:noProof/>
        </w:rPr>
        <w:t xml:space="preserve">any issue related to </w:t>
      </w:r>
      <w:r w:rsidR="008767B8">
        <w:rPr>
          <w:noProof/>
        </w:rPr>
        <w:t xml:space="preserve">the coherence </w:t>
      </w:r>
      <w:r>
        <w:rPr>
          <w:noProof/>
        </w:rPr>
        <w:t>of</w:t>
      </w:r>
      <w:r w:rsidR="008767B8">
        <w:rPr>
          <w:noProof/>
        </w:rPr>
        <w:t xml:space="preserve"> the EU ETS and </w:t>
      </w:r>
      <w:r>
        <w:rPr>
          <w:noProof/>
        </w:rPr>
        <w:t>that measure, including avoiding</w:t>
      </w:r>
      <w:r w:rsidR="008767B8">
        <w:rPr>
          <w:noProof/>
        </w:rPr>
        <w:t xml:space="preserve"> double payment. As appropriate</w:t>
      </w:r>
      <w:r>
        <w:rPr>
          <w:noProof/>
        </w:rPr>
        <w:t>,</w:t>
      </w:r>
      <w:r w:rsidR="008767B8">
        <w:rPr>
          <w:noProof/>
        </w:rPr>
        <w:t xml:space="preserve"> and in order to prevent such a risk of double payment while ensuring that no environmental backsliding occurs, the accompanying legislative proposal should provide for an IMO deduction mechanism according to which </w:t>
      </w:r>
      <w:r>
        <w:rPr>
          <w:noProof/>
        </w:rPr>
        <w:t xml:space="preserve">it is appropriate to allow </w:t>
      </w:r>
      <w:r w:rsidR="008767B8">
        <w:rPr>
          <w:noProof/>
        </w:rPr>
        <w:t xml:space="preserve">shipping companies to surrender fewer allowances than their verified emissions to the extent that those emissions are also effectively priced under </w:t>
      </w:r>
      <w:r>
        <w:rPr>
          <w:noProof/>
        </w:rPr>
        <w:t>the IMO measure.</w:t>
      </w:r>
      <w:r w:rsidR="005F1BD6" w:rsidRPr="009E1F0E">
        <w:rPr>
          <w:noProof/>
          <w:lang w:val="en-IE"/>
        </w:rPr>
        <w:t xml:space="preserve"> </w:t>
      </w:r>
      <w:r w:rsidRPr="009E1F0E">
        <w:rPr>
          <w:noProof/>
          <w:lang w:val="en-IE"/>
        </w:rPr>
        <w:t xml:space="preserve">To take into account the potential role of the Union in supporting the broader international effort to decarbonise maritime transport, </w:t>
      </w:r>
      <w:r w:rsidR="7F1F218E" w:rsidRPr="009E1F0E">
        <w:rPr>
          <w:noProof/>
          <w:lang w:val="en-IE"/>
        </w:rPr>
        <w:t xml:space="preserve">the accompanying legislative proposal should provide for a measure according to which </w:t>
      </w:r>
      <w:r w:rsidRPr="009E1F0E">
        <w:rPr>
          <w:noProof/>
          <w:lang w:val="en-IE"/>
        </w:rPr>
        <w:t xml:space="preserve">allowances </w:t>
      </w:r>
      <w:r w:rsidR="0A0415EC" w:rsidRPr="009E1F0E">
        <w:rPr>
          <w:noProof/>
          <w:lang w:val="en-IE"/>
        </w:rPr>
        <w:t>are to</w:t>
      </w:r>
      <w:r w:rsidRPr="009E1F0E">
        <w:rPr>
          <w:noProof/>
          <w:lang w:val="en-IE"/>
        </w:rPr>
        <w:t xml:space="preserve"> be reserved to supportleast developed countries and small island developing countries. </w:t>
      </w:r>
    </w:p>
    <w:p w14:paraId="1BE0566B" w14:textId="77777777" w:rsidR="009E1F0E" w:rsidRPr="009E1F0E" w:rsidRDefault="772110ED" w:rsidP="00860DBF">
      <w:pPr>
        <w:pStyle w:val="Considrant"/>
        <w:rPr>
          <w:noProof/>
        </w:rPr>
      </w:pPr>
      <w:r w:rsidRPr="009E1F0E">
        <w:rPr>
          <w:noProof/>
          <w:lang w:val="en-IE"/>
        </w:rPr>
        <w:t xml:space="preserve">Significant investments </w:t>
      </w:r>
      <w:r w:rsidR="004D3F50" w:rsidRPr="009E1F0E">
        <w:rPr>
          <w:noProof/>
          <w:lang w:val="en-IE"/>
        </w:rPr>
        <w:t xml:space="preserve">will continue to be required to support the decarbonisation of maritime transport, including investments in fleet retrofitting and the deployment of clean technologies. At the same time, Member States with a particularly high concentration of shipping companies relative to their population continue to incur proportionately higher administrative costs in implementing the EU ETS </w:t>
      </w:r>
      <w:r w:rsidRPr="009E1F0E">
        <w:rPr>
          <w:noProof/>
          <w:lang w:val="en-IE"/>
        </w:rPr>
        <w:t xml:space="preserve">to support </w:t>
      </w:r>
      <w:r w:rsidR="004D3F50" w:rsidRPr="009E1F0E">
        <w:rPr>
          <w:noProof/>
          <w:lang w:val="en-IE"/>
        </w:rPr>
        <w:t xml:space="preserve">decarbonisation of maritime transport including </w:t>
      </w:r>
      <w:r w:rsidRPr="009E1F0E">
        <w:rPr>
          <w:noProof/>
          <w:lang w:val="en-IE"/>
        </w:rPr>
        <w:t>supporting</w:t>
      </w:r>
      <w:r w:rsidR="004D3F50" w:rsidRPr="009E1F0E">
        <w:rPr>
          <w:noProof/>
          <w:lang w:val="en-IE"/>
        </w:rPr>
        <w:t xml:space="preserve"> </w:t>
      </w:r>
      <w:r w:rsidR="00692D1E" w:rsidRPr="009E1F0E">
        <w:rPr>
          <w:noProof/>
          <w:lang w:val="en-IE"/>
        </w:rPr>
        <w:t xml:space="preserve">capital </w:t>
      </w:r>
      <w:r w:rsidR="004D3F50" w:rsidRPr="009E1F0E">
        <w:rPr>
          <w:noProof/>
          <w:lang w:val="en-IE"/>
        </w:rPr>
        <w:t xml:space="preserve">investments in </w:t>
      </w:r>
      <w:r w:rsidR="00692D1E" w:rsidRPr="009E1F0E">
        <w:rPr>
          <w:noProof/>
          <w:lang w:val="en-IE"/>
        </w:rPr>
        <w:t xml:space="preserve">the maritime sector, including </w:t>
      </w:r>
      <w:r w:rsidR="004D3F50" w:rsidRPr="009E1F0E">
        <w:rPr>
          <w:noProof/>
          <w:lang w:val="en-IE"/>
        </w:rPr>
        <w:t>ports, shipping companies</w:t>
      </w:r>
      <w:r w:rsidRPr="009E1F0E">
        <w:rPr>
          <w:noProof/>
          <w:lang w:val="en-IE"/>
        </w:rPr>
        <w:t>,</w:t>
      </w:r>
      <w:r w:rsidR="004D3F50" w:rsidRPr="009E1F0E">
        <w:rPr>
          <w:noProof/>
          <w:lang w:val="en-IE"/>
        </w:rPr>
        <w:t xml:space="preserve"> </w:t>
      </w:r>
      <w:r w:rsidR="00692D1E" w:rsidRPr="009E1F0E">
        <w:rPr>
          <w:noProof/>
          <w:lang w:val="en-IE"/>
        </w:rPr>
        <w:t xml:space="preserve">as well as for the </w:t>
      </w:r>
      <w:r w:rsidR="004D3F50" w:rsidRPr="009E1F0E">
        <w:rPr>
          <w:noProof/>
          <w:lang w:val="en-IE"/>
        </w:rPr>
        <w:t>use of sustainable fuels and propulsion technologies. The temporary allocation of allowances provided for in Article 3ga(3), second subparagraph</w:t>
      </w:r>
      <w:r w:rsidRPr="009E1F0E">
        <w:rPr>
          <w:noProof/>
          <w:lang w:val="en-IE"/>
        </w:rPr>
        <w:t xml:space="preserve"> of Directive 2003/87/EC</w:t>
      </w:r>
      <w:r w:rsidR="384F13F2" w:rsidRPr="009E1F0E">
        <w:rPr>
          <w:noProof/>
          <w:lang w:val="en-IE"/>
        </w:rPr>
        <w:t xml:space="preserve"> </w:t>
      </w:r>
      <w:r w:rsidR="004D3F50" w:rsidRPr="009E1F0E">
        <w:rPr>
          <w:noProof/>
          <w:lang w:val="en-IE"/>
        </w:rPr>
        <w:t>contributes to supporting those objectives through the use of the corresponding auction revenues in accordance with this Directive. It is therefore appropriate to extend its application until 31 December 2038. The Commission should assess, by 30 September 2035, whether a further extension is justified.</w:t>
      </w:r>
    </w:p>
    <w:p w14:paraId="067B8B99" w14:textId="77777777" w:rsidR="009E1F0E" w:rsidRPr="009E1F0E" w:rsidRDefault="575D96F3" w:rsidP="00AC356E">
      <w:pPr>
        <w:pStyle w:val="Considrant"/>
        <w:rPr>
          <w:noProof/>
        </w:rPr>
      </w:pPr>
      <w:r w:rsidRPr="009E1F0E">
        <w:rPr>
          <w:noProof/>
          <w:lang w:val="en-IE"/>
        </w:rPr>
        <w:t xml:space="preserve">The transition from the use of fossil fuels, alongside energy efficiency improvements, is essential to achieving the decarbonisation of the maritime sector. However, the significant price differentials between conventional fossil fuels and sustainable maritime fuels as well as the pace of deployment of zero-emission propulsion technologies, such as electric and wind-assisted propulsion systems, hamper this transition. Support to early movers is therefore desirable to de-risk investments in maritime decarbonisation in the Union. Hence, during the period from 1 January </w:t>
      </w:r>
      <w:r w:rsidR="1BE14F58" w:rsidRPr="009E1F0E">
        <w:rPr>
          <w:noProof/>
          <w:lang w:val="en-IE"/>
        </w:rPr>
        <w:t>[</w:t>
      </w:r>
      <w:r w:rsidRPr="009E1F0E">
        <w:rPr>
          <w:noProof/>
          <w:lang w:val="en-IE"/>
        </w:rPr>
        <w:t>2028/first year after the entry into force of this directive</w:t>
      </w:r>
      <w:r w:rsidR="1BE14F58" w:rsidRPr="009E1F0E">
        <w:rPr>
          <w:noProof/>
          <w:lang w:val="en-IE"/>
        </w:rPr>
        <w:t>]</w:t>
      </w:r>
      <w:r w:rsidRPr="009E1F0E">
        <w:rPr>
          <w:noProof/>
          <w:lang w:val="en-IE"/>
        </w:rPr>
        <w:t xml:space="preserve"> until 31 December </w:t>
      </w:r>
      <w:r w:rsidR="2419D593" w:rsidRPr="009E1F0E">
        <w:rPr>
          <w:noProof/>
          <w:lang w:val="en-IE"/>
        </w:rPr>
        <w:t>2040</w:t>
      </w:r>
      <w:r w:rsidRPr="009E1F0E">
        <w:rPr>
          <w:noProof/>
          <w:lang w:val="en-IE"/>
        </w:rPr>
        <w:t xml:space="preserve">, </w:t>
      </w:r>
      <w:r w:rsidR="0E0872C4" w:rsidRPr="009E1F0E">
        <w:rPr>
          <w:noProof/>
          <w:lang w:val="en-IE"/>
        </w:rPr>
        <w:t>110</w:t>
      </w:r>
      <w:r w:rsidRPr="009E1F0E">
        <w:rPr>
          <w:noProof/>
          <w:lang w:val="en-IE"/>
        </w:rPr>
        <w:t xml:space="preserve"> million allowances should be reserved to be allocated to shipping companies, on a transparent, equal and non-discriminatory basis, to cover part of the price differential between conventional fossil fuels and eligible sustainable maritime fuels, as well as all or part of the </w:t>
      </w:r>
      <w:r w:rsidR="2E78A78A" w:rsidRPr="009E1F0E">
        <w:rPr>
          <w:noProof/>
          <w:lang w:val="en-IE"/>
        </w:rPr>
        <w:t xml:space="preserve">additional </w:t>
      </w:r>
      <w:r w:rsidRPr="009E1F0E">
        <w:rPr>
          <w:noProof/>
          <w:lang w:val="en-IE"/>
        </w:rPr>
        <w:t>cost incurred in deploying and operating eligible zero-emission propulsion technologies</w:t>
      </w:r>
      <w:r w:rsidR="00DE6A3D" w:rsidRPr="009E1F0E">
        <w:rPr>
          <w:noProof/>
          <w:lang w:val="en-IE"/>
        </w:rPr>
        <w:t>,</w:t>
      </w:r>
      <w:r w:rsidR="5E3F51DA" w:rsidRPr="009E1F0E">
        <w:rPr>
          <w:noProof/>
          <w:lang w:val="en-IE"/>
        </w:rPr>
        <w:t xml:space="preserve"> </w:t>
      </w:r>
      <w:r w:rsidR="0A2492A8" w:rsidRPr="009E1F0E">
        <w:rPr>
          <w:noProof/>
          <w:lang w:val="en-IE"/>
        </w:rPr>
        <w:t>and technologies required to use eligible sustainable maritime fuels</w:t>
      </w:r>
      <w:r w:rsidR="1C49E372" w:rsidRPr="009E1F0E">
        <w:rPr>
          <w:noProof/>
          <w:lang w:val="en-IE"/>
        </w:rPr>
        <w:t xml:space="preserve"> </w:t>
      </w:r>
      <w:r w:rsidR="5E3F51DA" w:rsidRPr="009E1F0E">
        <w:rPr>
          <w:noProof/>
          <w:lang w:val="en-IE"/>
        </w:rPr>
        <w:t>upon verified operation o</w:t>
      </w:r>
      <w:r w:rsidR="3E6195C2" w:rsidRPr="009E1F0E">
        <w:rPr>
          <w:noProof/>
          <w:lang w:val="en-IE"/>
        </w:rPr>
        <w:t>n</w:t>
      </w:r>
      <w:r w:rsidR="5E3F51DA" w:rsidRPr="009E1F0E">
        <w:rPr>
          <w:noProof/>
          <w:lang w:val="en-IE"/>
        </w:rPr>
        <w:t xml:space="preserve"> </w:t>
      </w:r>
      <w:r w:rsidR="5D58E55E" w:rsidRPr="009E1F0E">
        <w:rPr>
          <w:noProof/>
          <w:lang w:val="en-IE"/>
        </w:rPr>
        <w:t>such</w:t>
      </w:r>
      <w:r w:rsidR="5E3F51DA" w:rsidRPr="009E1F0E">
        <w:rPr>
          <w:noProof/>
          <w:lang w:val="en-IE"/>
        </w:rPr>
        <w:t xml:space="preserve"> fuels</w:t>
      </w:r>
      <w:r w:rsidRPr="009E1F0E">
        <w:rPr>
          <w:noProof/>
          <w:lang w:val="en-IE"/>
        </w:rPr>
        <w:t>. Where allowances are allocated to a shipping company under this reserve, such allocation should be taken into account by the shipping company if it intends to transfer the costs arising from the surrender of allowances to another entity in accordance with the reimbursement mechanism laid down in Article 3gc of Directive 2003/87/EC.</w:t>
      </w:r>
      <w:r w:rsidRPr="2193DBD9">
        <w:rPr>
          <w:noProof/>
        </w:rPr>
        <w:t xml:space="preserve"> F</w:t>
      </w:r>
      <w:r w:rsidRPr="009E1F0E">
        <w:rPr>
          <w:noProof/>
          <w:lang w:val="en-IE"/>
        </w:rPr>
        <w:t xml:space="preserve">or instance, contractual arrangements may provide for the transfer of the allocated allowances from the shipping company to the other entity. The Commission should be empowered to adopt delegated acts to supplement Directive 2003/87/EC with the detailed rules necessary for the application of this reserve and to adopt implementing acts to establish the lists of non-Union ports and third countries in respect of which a derogation from the origin requirements should apply. </w:t>
      </w:r>
    </w:p>
    <w:p w14:paraId="7A555C0E" w14:textId="77777777" w:rsidR="009E1F0E" w:rsidRDefault="575D96F3" w:rsidP="002F7A85">
      <w:pPr>
        <w:pStyle w:val="Considrant"/>
        <w:rPr>
          <w:noProof/>
          <w:lang w:val="en-IE"/>
        </w:rPr>
      </w:pPr>
      <w:r w:rsidRPr="009E1F0E">
        <w:rPr>
          <w:noProof/>
          <w:lang w:val="en-IE"/>
        </w:rPr>
        <w:t xml:space="preserve">Given the evolving technological and commercial maturity of sustainable maritime fuels and zero-emission </w:t>
      </w:r>
      <w:r w:rsidR="58AB2415" w:rsidRPr="009E1F0E">
        <w:rPr>
          <w:noProof/>
          <w:lang w:val="en-IE"/>
        </w:rPr>
        <w:t xml:space="preserve">alternative </w:t>
      </w:r>
      <w:r w:rsidRPr="009E1F0E">
        <w:rPr>
          <w:noProof/>
          <w:lang w:val="en-IE"/>
        </w:rPr>
        <w:t xml:space="preserve">propulsion technologies, the </w:t>
      </w:r>
      <w:r w:rsidR="51B2FC56" w:rsidRPr="009E1F0E">
        <w:rPr>
          <w:noProof/>
          <w:lang w:val="en-IE"/>
        </w:rPr>
        <w:t xml:space="preserve">Commission should carry out an evaluation of </w:t>
      </w:r>
      <w:r w:rsidRPr="009E1F0E">
        <w:rPr>
          <w:noProof/>
          <w:lang w:val="en-IE"/>
        </w:rPr>
        <w:t>the functioning of the reserve established under Article 3gaa.</w:t>
      </w:r>
    </w:p>
    <w:p w14:paraId="775E2DBD" w14:textId="77777777" w:rsidR="009E1F0E" w:rsidRPr="009E1F0E" w:rsidRDefault="75A6FE1D" w:rsidP="00B31B61">
      <w:pPr>
        <w:pStyle w:val="Considrant"/>
        <w:rPr>
          <w:noProof/>
        </w:rPr>
      </w:pPr>
      <w:r w:rsidRPr="009E1F0E">
        <w:rPr>
          <w:noProof/>
          <w:lang w:val="en-IE"/>
        </w:rPr>
        <w:t xml:space="preserve">Evasive behaviour from shipping companies </w:t>
      </w:r>
      <w:r w:rsidR="36B6EE75" w:rsidRPr="009E1F0E">
        <w:rPr>
          <w:noProof/>
          <w:lang w:val="en-IE"/>
        </w:rPr>
        <w:t xml:space="preserve">is </w:t>
      </w:r>
      <w:r w:rsidRPr="009E1F0E">
        <w:rPr>
          <w:noProof/>
          <w:lang w:val="en-IE"/>
        </w:rPr>
        <w:t xml:space="preserve">problematic, in particular as </w:t>
      </w:r>
      <w:r w:rsidR="36B6EE75" w:rsidRPr="009E1F0E">
        <w:rPr>
          <w:noProof/>
          <w:lang w:val="en-IE"/>
        </w:rPr>
        <w:t xml:space="preserve">it </w:t>
      </w:r>
      <w:r w:rsidRPr="009E1F0E">
        <w:rPr>
          <w:noProof/>
          <w:lang w:val="en-IE"/>
        </w:rPr>
        <w:t>can undermine the environmental integrity of the EU ETS. In order to reduce the risk of evasive port calls by containerships to ports outside the Union and the relocation of container transhipment activities outside the Union, Directive 2003/87/EC provides for an exclusion from the definition of ‘port of call’ of stops of containerships in a neighbouring container transhipment port identified in the implementing act</w:t>
      </w:r>
      <w:r w:rsidR="41B058B4" w:rsidRPr="009E1F0E">
        <w:rPr>
          <w:noProof/>
          <w:lang w:val="en-IE"/>
        </w:rPr>
        <w:t>s</w:t>
      </w:r>
      <w:r w:rsidRPr="009E1F0E">
        <w:rPr>
          <w:noProof/>
          <w:lang w:val="en-IE"/>
        </w:rPr>
        <w:t xml:space="preserve"> adopted pursuant to Article 3ga(2) of that Directive. However, the criterion related to the port’s share of transhipment of containers may not adequately cover ports outside the Union that have a high potential to attract transhipment activities from Union ports and where the transhipment of containers accounts for most container traffic. It is therefore appropriate to set this criterion at 50 % instead of 65 %. </w:t>
      </w:r>
      <w:r w:rsidR="140E8589" w:rsidRPr="009E1F0E">
        <w:rPr>
          <w:noProof/>
          <w:lang w:val="en-IE"/>
        </w:rPr>
        <w:t xml:space="preserve">In addition, it is appropriate to exclude from the definition of ‘port of call’ ports with the necessary infrastructure for container transhipment activities that are located in the Union’s immediate vicinity, namely within 150 nautical miles from a port under the jurisdiction of a Member State. To ensure the proportionality of the measure and that it results in equal treatment, account should be taken of measures in third countries that have an effect equivalent to Directive 2003/87/EC. This includes ports in a third country </w:t>
      </w:r>
      <w:r w:rsidR="5C6A881E" w:rsidRPr="009E1F0E">
        <w:rPr>
          <w:noProof/>
          <w:lang w:val="en-IE"/>
        </w:rPr>
        <w:t>with whom</w:t>
      </w:r>
      <w:r w:rsidR="140E8589" w:rsidRPr="009E1F0E">
        <w:rPr>
          <w:noProof/>
          <w:lang w:val="en-IE"/>
        </w:rPr>
        <w:t xml:space="preserve"> an </w:t>
      </w:r>
      <w:r w:rsidR="5C6A881E" w:rsidRPr="009E1F0E">
        <w:rPr>
          <w:noProof/>
          <w:lang w:val="en-IE"/>
        </w:rPr>
        <w:t xml:space="preserve">ETS linking </w:t>
      </w:r>
      <w:r w:rsidR="140E8589" w:rsidRPr="009E1F0E">
        <w:rPr>
          <w:noProof/>
          <w:lang w:val="en-IE"/>
        </w:rPr>
        <w:t xml:space="preserve">agreement </w:t>
      </w:r>
      <w:r w:rsidR="5C6A881E" w:rsidRPr="009E1F0E">
        <w:rPr>
          <w:noProof/>
          <w:lang w:val="en-IE"/>
        </w:rPr>
        <w:t>is in place</w:t>
      </w:r>
      <w:r w:rsidR="140E8589" w:rsidRPr="009E1F0E">
        <w:rPr>
          <w:noProof/>
          <w:lang w:val="en-IE"/>
        </w:rPr>
        <w:t xml:space="preserve">. </w:t>
      </w:r>
      <w:r w:rsidRPr="009E1F0E">
        <w:rPr>
          <w:noProof/>
          <w:lang w:val="en-IE"/>
        </w:rPr>
        <w:t xml:space="preserve">To better capture major disruptions in the shipping market, which can rapidly alter container transhipment patterns, the Commission should review the validity of the list that identifies neighbouring container transhipment ports once a year instead of once every two years. However, for reasons of administrative efficiency, the Commission should </w:t>
      </w:r>
      <w:r w:rsidR="41B058B4" w:rsidRPr="009E1F0E">
        <w:rPr>
          <w:noProof/>
          <w:lang w:val="en-IE"/>
        </w:rPr>
        <w:t xml:space="preserve">be empowered to </w:t>
      </w:r>
      <w:r w:rsidRPr="009E1F0E">
        <w:rPr>
          <w:noProof/>
          <w:lang w:val="en-IE"/>
        </w:rPr>
        <w:t>adopt implementing act</w:t>
      </w:r>
      <w:r w:rsidR="41B058B4" w:rsidRPr="009E1F0E">
        <w:rPr>
          <w:noProof/>
          <w:lang w:val="en-IE"/>
        </w:rPr>
        <w:t>s</w:t>
      </w:r>
      <w:r w:rsidRPr="009E1F0E">
        <w:rPr>
          <w:noProof/>
          <w:lang w:val="en-IE"/>
        </w:rPr>
        <w:t xml:space="preserve"> that amend the list of neighbouring container transhipment ports only where necessary, for example where a port ceases to meet the criteria to be identified as a neighbouring container transhipment port.</w:t>
      </w:r>
      <w:r>
        <w:rPr>
          <w:noProof/>
        </w:rPr>
        <w:t xml:space="preserve"> </w:t>
      </w:r>
      <w:r w:rsidR="7C34BDBD" w:rsidRPr="009E1F0E">
        <w:rPr>
          <w:noProof/>
          <w:lang w:val="en-IE"/>
        </w:rPr>
        <w:t>In order to further reduce the risk of evasive port calls outside of the Union and the relocation of container transhipment activities outside of the Union, it is appropriate to provide for a complementary measure. Such measure should consist in a temporary derogation from the surrender obligations under Directive 2003/87/EC in respect of certain maritime transport activities by large containerships that perform long-distance voyages between ports outside the Union and Union ports.</w:t>
      </w:r>
      <w:r w:rsidRPr="009E1F0E">
        <w:rPr>
          <w:noProof/>
          <w:lang w:val="en-IE"/>
        </w:rPr>
        <w:t xml:space="preserve"> </w:t>
      </w:r>
    </w:p>
    <w:p w14:paraId="618A2649" w14:textId="77777777" w:rsidR="009E1F0E" w:rsidRDefault="575D96F3" w:rsidP="007C6CCD">
      <w:pPr>
        <w:pStyle w:val="Considrant"/>
        <w:rPr>
          <w:noProof/>
          <w:lang w:val="en-IE"/>
        </w:rPr>
      </w:pPr>
      <w:r w:rsidRPr="009E1F0E">
        <w:rPr>
          <w:noProof/>
          <w:lang w:val="en-IE"/>
        </w:rPr>
        <w:t xml:space="preserve">To avoid or minimise EU ETS compliance costs, shipping companies performing or supporting offshore operations might be </w:t>
      </w:r>
      <w:r w:rsidR="22EEB70A" w:rsidRPr="009E1F0E">
        <w:rPr>
          <w:noProof/>
          <w:lang w:val="en-IE"/>
        </w:rPr>
        <w:t xml:space="preserve">inclined </w:t>
      </w:r>
      <w:r w:rsidRPr="009E1F0E">
        <w:rPr>
          <w:noProof/>
          <w:lang w:val="en-IE"/>
        </w:rPr>
        <w:t xml:space="preserve">to use bases located outside the Union instead of bases located in the Union, or to add evasive port calls outside the Union. To reduce the risk of circumvention and ensure a level playing field, the definition of ‘port of call’ </w:t>
      </w:r>
      <w:r w:rsidR="45E60F02" w:rsidRPr="009E1F0E">
        <w:rPr>
          <w:noProof/>
          <w:lang w:val="en-IE"/>
        </w:rPr>
        <w:t xml:space="preserve">should be amended </w:t>
      </w:r>
      <w:r w:rsidRPr="009E1F0E">
        <w:rPr>
          <w:noProof/>
          <w:lang w:val="en-IE"/>
        </w:rPr>
        <w:t>in order to include offshore worksites where shipping companies perform or support offshore operations, including activities of scientific research concerning the resources of the seabed and its subsoil, and activities related to the design, planning, construction, operation</w:t>
      </w:r>
      <w:r w:rsidR="605CC2B1" w:rsidRPr="009E1F0E">
        <w:rPr>
          <w:noProof/>
          <w:lang w:val="en-IE"/>
        </w:rPr>
        <w:t>, maintenance</w:t>
      </w:r>
      <w:r w:rsidRPr="009E1F0E">
        <w:rPr>
          <w:noProof/>
          <w:lang w:val="en-IE"/>
        </w:rPr>
        <w:t xml:space="preserve"> and decommissioning of offshore installations and infrastructure. </w:t>
      </w:r>
    </w:p>
    <w:p w14:paraId="4E518645" w14:textId="77777777" w:rsidR="009E1F0E" w:rsidRDefault="575D96F3" w:rsidP="00CD2663">
      <w:pPr>
        <w:pStyle w:val="Considrant"/>
        <w:rPr>
          <w:noProof/>
          <w:lang w:val="en-IE"/>
        </w:rPr>
      </w:pPr>
      <w:r w:rsidRPr="009E1F0E">
        <w:rPr>
          <w:noProof/>
          <w:lang w:val="en-IE"/>
        </w:rPr>
        <w:t>Emissions from ships below 5 000 gross tonnage</w:t>
      </w:r>
      <w:r w:rsidR="75A6FE1D" w:rsidRPr="009E1F0E">
        <w:rPr>
          <w:noProof/>
          <w:lang w:val="en-IE"/>
        </w:rPr>
        <w:t xml:space="preserve"> but not below 400 gross tonnage</w:t>
      </w:r>
      <w:r w:rsidRPr="009E1F0E">
        <w:rPr>
          <w:noProof/>
          <w:lang w:val="en-IE"/>
        </w:rPr>
        <w:t xml:space="preserve"> represent about 15 % of emissions from ships under the scope of application of Directive 2003/87/EC, but </w:t>
      </w:r>
      <w:r w:rsidR="22AC529C" w:rsidRPr="009E1F0E">
        <w:rPr>
          <w:noProof/>
          <w:lang w:val="en-IE"/>
        </w:rPr>
        <w:t xml:space="preserve">emissions from ships within that range </w:t>
      </w:r>
      <w:r w:rsidRPr="009E1F0E">
        <w:rPr>
          <w:noProof/>
          <w:lang w:val="en-IE"/>
        </w:rPr>
        <w:t xml:space="preserve">are emitted by a large number of ships. The inclusion of emissions from </w:t>
      </w:r>
      <w:r w:rsidR="204562FD" w:rsidRPr="009E1F0E">
        <w:rPr>
          <w:noProof/>
          <w:lang w:val="en-IE"/>
        </w:rPr>
        <w:t xml:space="preserve">certain categories of </w:t>
      </w:r>
      <w:r w:rsidRPr="009E1F0E">
        <w:rPr>
          <w:noProof/>
          <w:lang w:val="en-IE"/>
        </w:rPr>
        <w:t xml:space="preserve">ships below 5 000 gross tonnage </w:t>
      </w:r>
      <w:r w:rsidR="75A6FE1D" w:rsidRPr="009E1F0E">
        <w:rPr>
          <w:noProof/>
          <w:lang w:val="en-IE"/>
        </w:rPr>
        <w:t xml:space="preserve">but not below 400 gross tonnage </w:t>
      </w:r>
      <w:r w:rsidR="004D3F50" w:rsidRPr="009E1F0E">
        <w:rPr>
          <w:noProof/>
          <w:lang w:val="en-IE"/>
        </w:rPr>
        <w:t>is</w:t>
      </w:r>
      <w:r w:rsidRPr="009E1F0E">
        <w:rPr>
          <w:noProof/>
          <w:lang w:val="en-IE"/>
        </w:rPr>
        <w:t xml:space="preserve"> beneficial to improve the effectiveness of the EU ETS and the level playing field with ships of 5 000 gross tonnage and above</w:t>
      </w:r>
      <w:r w:rsidR="004D3F50" w:rsidRPr="009E1F0E">
        <w:rPr>
          <w:noProof/>
          <w:lang w:val="en-IE"/>
        </w:rPr>
        <w:t xml:space="preserve"> and </w:t>
      </w:r>
      <w:r w:rsidRPr="009E1F0E">
        <w:rPr>
          <w:noProof/>
          <w:lang w:val="en-IE"/>
        </w:rPr>
        <w:t>therefore</w:t>
      </w:r>
      <w:r w:rsidR="004D3F50" w:rsidRPr="009E1F0E">
        <w:rPr>
          <w:noProof/>
          <w:lang w:val="en-IE"/>
        </w:rPr>
        <w:t xml:space="preserve"> those ship</w:t>
      </w:r>
      <w:r w:rsidR="000B0100" w:rsidRPr="009E1F0E">
        <w:rPr>
          <w:noProof/>
          <w:lang w:val="en-IE"/>
        </w:rPr>
        <w:t>s</w:t>
      </w:r>
      <w:r w:rsidR="004D3F50" w:rsidRPr="009E1F0E">
        <w:rPr>
          <w:noProof/>
          <w:lang w:val="en-IE"/>
        </w:rPr>
        <w:t xml:space="preserve"> sh</w:t>
      </w:r>
      <w:r w:rsidR="00714EF7" w:rsidRPr="009E1F0E">
        <w:rPr>
          <w:noProof/>
          <w:lang w:val="en-IE"/>
        </w:rPr>
        <w:t>o</w:t>
      </w:r>
      <w:r w:rsidR="004D3F50" w:rsidRPr="009E1F0E">
        <w:rPr>
          <w:noProof/>
          <w:lang w:val="en-IE"/>
        </w:rPr>
        <w:t>uld be included in the scope of this Directive</w:t>
      </w:r>
      <w:r w:rsidRPr="009E1F0E">
        <w:rPr>
          <w:noProof/>
          <w:lang w:val="en-IE"/>
        </w:rPr>
        <w:t xml:space="preserve">. </w:t>
      </w:r>
      <w:r w:rsidR="004D3F50" w:rsidRPr="009E1F0E">
        <w:rPr>
          <w:noProof/>
          <w:lang w:val="en-IE"/>
        </w:rPr>
        <w:t>N</w:t>
      </w:r>
      <w:r w:rsidR="002D3E11" w:rsidRPr="009E1F0E">
        <w:rPr>
          <w:noProof/>
          <w:lang w:val="en-IE"/>
        </w:rPr>
        <w:t xml:space="preserve">o later than 31 December 2031, the Commission should present a report to the European Parliament and to the Council in which it should examine the feasibility and economic, environmental and social impacts of the inclusion in Directive 2003/87/EC of emissions from ro-pax ships and </w:t>
      </w:r>
      <w:r w:rsidR="00714EF7" w:rsidRPr="009E1F0E">
        <w:rPr>
          <w:noProof/>
          <w:lang w:val="en-IE"/>
        </w:rPr>
        <w:t>passenger</w:t>
      </w:r>
      <w:r w:rsidR="002D3E11" w:rsidRPr="009E1F0E">
        <w:rPr>
          <w:noProof/>
          <w:lang w:val="en-IE"/>
        </w:rPr>
        <w:t xml:space="preserve"> sh</w:t>
      </w:r>
      <w:r w:rsidR="00714EF7" w:rsidRPr="009E1F0E">
        <w:rPr>
          <w:noProof/>
          <w:lang w:val="en-IE"/>
        </w:rPr>
        <w:t>i</w:t>
      </w:r>
      <w:r w:rsidR="002D3E11" w:rsidRPr="009E1F0E">
        <w:rPr>
          <w:noProof/>
          <w:lang w:val="en-IE"/>
        </w:rPr>
        <w:t>ps below 5 000 gross tonnage.”</w:t>
      </w:r>
    </w:p>
    <w:p w14:paraId="389C215C" w14:textId="7380E269" w:rsidR="009E1F0E" w:rsidRPr="009E1F0E" w:rsidRDefault="008E53A8" w:rsidP="00E1071A">
      <w:pPr>
        <w:pStyle w:val="Considrant"/>
        <w:rPr>
          <w:noProof/>
        </w:rPr>
      </w:pPr>
      <w:r w:rsidRPr="009E1F0E">
        <w:rPr>
          <w:noProof/>
          <w:lang w:val="en-IE"/>
        </w:rPr>
        <w:t>The current derogations</w:t>
      </w:r>
      <w:r w:rsidR="5399A411" w:rsidRPr="009E1F0E">
        <w:rPr>
          <w:noProof/>
          <w:lang w:val="en-IE"/>
        </w:rPr>
        <w:t xml:space="preserve"> </w:t>
      </w:r>
      <w:r w:rsidR="6F47D3CA" w:rsidRPr="009E1F0E">
        <w:rPr>
          <w:noProof/>
          <w:lang w:val="en-IE"/>
        </w:rPr>
        <w:t xml:space="preserve">provided for </w:t>
      </w:r>
      <w:r w:rsidR="5399A411" w:rsidRPr="009E1F0E">
        <w:rPr>
          <w:noProof/>
          <w:lang w:val="en-IE"/>
        </w:rPr>
        <w:t>in Directive 2003/87/EC</w:t>
      </w:r>
      <w:r w:rsidRPr="009E1F0E">
        <w:rPr>
          <w:noProof/>
          <w:lang w:val="en-IE"/>
        </w:rPr>
        <w:t xml:space="preserve"> from the obligation to surrender allowances for ice-class </w:t>
      </w:r>
      <w:r w:rsidR="0BDA6258" w:rsidRPr="009E1F0E">
        <w:rPr>
          <w:noProof/>
          <w:lang w:val="en-IE"/>
        </w:rPr>
        <w:t>ships</w:t>
      </w:r>
      <w:r w:rsidRPr="009E1F0E">
        <w:rPr>
          <w:noProof/>
          <w:lang w:val="en-IE"/>
        </w:rPr>
        <w:t>, for voyages involving outermost regions and small islands without a fixed land connection, and for certain passenger transport services operated under public service obligations or public service contracts are set to end on 31 December 2030. While the decarbonisation of ice-class ships and the fleets serving th</w:t>
      </w:r>
      <w:r w:rsidR="591F6360" w:rsidRPr="009E1F0E">
        <w:rPr>
          <w:noProof/>
          <w:lang w:val="en-IE"/>
        </w:rPr>
        <w:t>o</w:t>
      </w:r>
      <w:r w:rsidRPr="009E1F0E">
        <w:rPr>
          <w:noProof/>
          <w:lang w:val="en-IE"/>
        </w:rPr>
        <w:t>se routes and services is progressing and innovative technologies such as battery-electric and wind-assisted propulsion are becoming increasingly viable, the large-scale deployment of emission reduction solutions on th</w:t>
      </w:r>
      <w:r w:rsidR="78DA2338" w:rsidRPr="009E1F0E">
        <w:rPr>
          <w:noProof/>
          <w:lang w:val="en-IE"/>
        </w:rPr>
        <w:t>o</w:t>
      </w:r>
      <w:r w:rsidRPr="009E1F0E">
        <w:rPr>
          <w:noProof/>
          <w:lang w:val="en-IE"/>
        </w:rPr>
        <w:t xml:space="preserve">se vessels </w:t>
      </w:r>
      <w:r w:rsidR="16016025" w:rsidRPr="009E1F0E">
        <w:rPr>
          <w:noProof/>
          <w:lang w:val="en-IE"/>
        </w:rPr>
        <w:t xml:space="preserve">that are </w:t>
      </w:r>
      <w:r w:rsidRPr="009E1F0E">
        <w:rPr>
          <w:noProof/>
          <w:lang w:val="en-IE"/>
        </w:rPr>
        <w:t xml:space="preserve">important for connectivity purposes remains constrained, in particular by infrastructure and investment needs. In order to allow sufficient time for </w:t>
      </w:r>
      <w:r w:rsidR="78DA2338" w:rsidRPr="009E1F0E">
        <w:rPr>
          <w:noProof/>
          <w:lang w:val="en-IE"/>
        </w:rPr>
        <w:t>that</w:t>
      </w:r>
      <w:r w:rsidRPr="009E1F0E">
        <w:rPr>
          <w:noProof/>
          <w:lang w:val="en-IE"/>
        </w:rPr>
        <w:t xml:space="preserve"> transition</w:t>
      </w:r>
      <w:r w:rsidR="003603C4">
        <w:rPr>
          <w:rStyle w:val="FootnoteReference"/>
          <w:noProof/>
          <w:lang w:val="en-IE"/>
        </w:rPr>
        <w:footnoteReference w:id="58"/>
      </w:r>
      <w:r w:rsidRPr="009E1F0E">
        <w:rPr>
          <w:noProof/>
          <w:lang w:val="en-IE"/>
        </w:rPr>
        <w:t xml:space="preserve">, and in light of the need to ensure territorial continuity, connectivity and affordability of essential maritime services, the duration of these derogations should be extended for a limited period </w:t>
      </w:r>
      <w:r w:rsidR="78DA2338" w:rsidRPr="009E1F0E">
        <w:rPr>
          <w:noProof/>
          <w:lang w:val="en-IE"/>
        </w:rPr>
        <w:t>of time</w:t>
      </w:r>
      <w:r w:rsidRPr="009E1F0E">
        <w:rPr>
          <w:noProof/>
          <w:lang w:val="en-IE"/>
        </w:rPr>
        <w:t>.</w:t>
      </w:r>
      <w:r w:rsidR="224F48DF" w:rsidRPr="009E1F0E">
        <w:rPr>
          <w:noProof/>
          <w:lang w:val="en-IE"/>
        </w:rPr>
        <w:t xml:space="preserve"> </w:t>
      </w:r>
      <w:r w:rsidR="00B74AFE" w:rsidRPr="009E1F0E">
        <w:rPr>
          <w:noProof/>
          <w:lang w:val="en-IE"/>
        </w:rPr>
        <w:t>Given the specific technical and operational challenges associated with the decarbonisation of ice-class ships, the Commission should review, before the expiry of the derogation applicable to those ships, the progress made in the deployment of suitable low- and zero-emission technologies and assess the appropriateness of extending that derogation beyond 31 December 2035.</w:t>
      </w:r>
    </w:p>
    <w:p w14:paraId="189D43D8" w14:textId="77777777" w:rsidR="009E1F0E" w:rsidRPr="009E1F0E" w:rsidRDefault="575D96F3" w:rsidP="004929DA">
      <w:pPr>
        <w:pStyle w:val="Considrant"/>
        <w:rPr>
          <w:noProof/>
        </w:rPr>
      </w:pPr>
      <w:r w:rsidRPr="009E1F0E">
        <w:rPr>
          <w:noProof/>
          <w:lang w:val="en-IE"/>
        </w:rPr>
        <w:t xml:space="preserve">In order to support global climate action and facilitate the pricing of greenhouse gas emissions in third countries, support should be provided </w:t>
      </w:r>
      <w:r w:rsidR="6BB7CEB9" w:rsidRPr="009E1F0E">
        <w:rPr>
          <w:noProof/>
          <w:lang w:val="en-IE"/>
        </w:rPr>
        <w:t>to third countries</w:t>
      </w:r>
      <w:r w:rsidRPr="009E1F0E">
        <w:rPr>
          <w:noProof/>
          <w:lang w:val="en-IE"/>
        </w:rPr>
        <w:t xml:space="preserve"> in respect of emissions </w:t>
      </w:r>
      <w:r w:rsidR="3BF4DB09" w:rsidRPr="009E1F0E">
        <w:rPr>
          <w:noProof/>
          <w:lang w:val="en-IE"/>
        </w:rPr>
        <w:t xml:space="preserve">that are </w:t>
      </w:r>
      <w:r w:rsidRPr="009E1F0E">
        <w:rPr>
          <w:noProof/>
          <w:lang w:val="en-IE"/>
        </w:rPr>
        <w:t>not already subject to surrender obligations under Directive</w:t>
      </w:r>
      <w:r w:rsidR="2311E297" w:rsidRPr="009E1F0E">
        <w:rPr>
          <w:noProof/>
          <w:lang w:val="en-IE"/>
        </w:rPr>
        <w:t xml:space="preserve"> 2003/87/EC</w:t>
      </w:r>
      <w:r w:rsidR="5252206F" w:rsidRPr="009E1F0E">
        <w:rPr>
          <w:noProof/>
          <w:lang w:val="en-IE"/>
        </w:rPr>
        <w:t>.</w:t>
      </w:r>
      <w:r w:rsidRPr="009E1F0E">
        <w:rPr>
          <w:noProof/>
          <w:lang w:val="en-IE"/>
        </w:rPr>
        <w:t xml:space="preserve"> The Commission should be empowered to adopt delegated acts to amend, where relevant, the geographical scope </w:t>
      </w:r>
      <w:r w:rsidR="0894EAE3" w:rsidRPr="009E1F0E">
        <w:rPr>
          <w:noProof/>
          <w:lang w:val="en-IE"/>
        </w:rPr>
        <w:t xml:space="preserve">laid down in Article 3ga(1) </w:t>
      </w:r>
      <w:r w:rsidR="42C79461" w:rsidRPr="009E1F0E">
        <w:rPr>
          <w:noProof/>
          <w:lang w:val="en-IE"/>
        </w:rPr>
        <w:t xml:space="preserve">of Directive 2003/87/EC </w:t>
      </w:r>
      <w:r w:rsidRPr="009E1F0E">
        <w:rPr>
          <w:noProof/>
          <w:lang w:val="en-IE"/>
        </w:rPr>
        <w:t xml:space="preserve">for maritime emissions released during voyages between the Union and the third country to which support is provided. </w:t>
      </w:r>
      <w:r w:rsidRPr="2193DBD9">
        <w:rPr>
          <w:noProof/>
        </w:rPr>
        <w:t>In order to</w:t>
      </w:r>
      <w:r w:rsidR="4FA309F3" w:rsidRPr="2193DBD9">
        <w:rPr>
          <w:noProof/>
        </w:rPr>
        <w:t xml:space="preserve"> supplement Directive 2003/87/EC</w:t>
      </w:r>
      <w:r w:rsidR="45F0D370" w:rsidRPr="2193DBD9">
        <w:rPr>
          <w:noProof/>
        </w:rPr>
        <w:t xml:space="preserve">, </w:t>
      </w:r>
      <w:r w:rsidRPr="2193DBD9">
        <w:rPr>
          <w:noProof/>
        </w:rPr>
        <w:t xml:space="preserve">the Commission should also be empowered to adopt delegated acts to </w:t>
      </w:r>
      <w:r w:rsidR="45F0D370" w:rsidRPr="2193DBD9">
        <w:rPr>
          <w:noProof/>
        </w:rPr>
        <w:t>lay down</w:t>
      </w:r>
      <w:r w:rsidRPr="2193DBD9">
        <w:rPr>
          <w:noProof/>
        </w:rPr>
        <w:t xml:space="preserve"> rules on the operation of th</w:t>
      </w:r>
      <w:r w:rsidR="45F0D370" w:rsidRPr="2193DBD9">
        <w:rPr>
          <w:noProof/>
        </w:rPr>
        <w:t>at</w:t>
      </w:r>
      <w:r w:rsidRPr="2193DBD9">
        <w:rPr>
          <w:noProof/>
        </w:rPr>
        <w:t xml:space="preserve"> support</w:t>
      </w:r>
      <w:r w:rsidR="45F0D370" w:rsidRPr="2193DBD9">
        <w:rPr>
          <w:noProof/>
        </w:rPr>
        <w:t xml:space="preserve"> to third countries</w:t>
      </w:r>
      <w:r w:rsidRPr="2193DBD9">
        <w:rPr>
          <w:noProof/>
        </w:rPr>
        <w:t xml:space="preserve">. </w:t>
      </w:r>
      <w:r w:rsidRPr="009E1F0E">
        <w:rPr>
          <w:noProof/>
          <w:lang w:val="en-IE"/>
        </w:rPr>
        <w:t>This</w:t>
      </w:r>
      <w:r w:rsidR="3BF4DB09" w:rsidRPr="009E1F0E">
        <w:rPr>
          <w:noProof/>
          <w:lang w:val="en-IE"/>
        </w:rPr>
        <w:t xml:space="preserve"> would</w:t>
      </w:r>
      <w:r w:rsidRPr="009E1F0E">
        <w:rPr>
          <w:noProof/>
          <w:lang w:val="en-IE"/>
        </w:rPr>
        <w:t xml:space="preserve"> also facilitate the implementation of the ETS linking agreement being prepared with the United Kingdom.</w:t>
      </w:r>
    </w:p>
    <w:p w14:paraId="0A62BA72" w14:textId="77777777" w:rsidR="009E1F0E" w:rsidRDefault="009E1F0E" w:rsidP="006C7E3D">
      <w:pPr>
        <w:pStyle w:val="Considrant"/>
        <w:rPr>
          <w:noProof/>
        </w:rPr>
      </w:pPr>
      <w:r>
        <w:rPr>
          <w:noProof/>
        </w:rPr>
        <w:t>W</w:t>
      </w:r>
      <w:r w:rsidR="7B0E3D10" w:rsidRPr="2193DBD9">
        <w:rPr>
          <w:noProof/>
        </w:rPr>
        <w:t xml:space="preserve">ith a </w:t>
      </w:r>
      <w:r w:rsidR="575D96F3" w:rsidRPr="2193DBD9">
        <w:rPr>
          <w:noProof/>
        </w:rPr>
        <w:t xml:space="preserve">view </w:t>
      </w:r>
      <w:r w:rsidR="07D5E2D1" w:rsidRPr="2193DBD9">
        <w:rPr>
          <w:noProof/>
        </w:rPr>
        <w:t xml:space="preserve">to </w:t>
      </w:r>
      <w:r w:rsidR="575D96F3" w:rsidRPr="2193DBD9">
        <w:rPr>
          <w:noProof/>
        </w:rPr>
        <w:t>addressing unclear implementation situations</w:t>
      </w:r>
      <w:r w:rsidR="0BFBF278" w:rsidRPr="2193DBD9">
        <w:rPr>
          <w:noProof/>
        </w:rPr>
        <w:t xml:space="preserve"> and </w:t>
      </w:r>
      <w:r w:rsidR="575D96F3" w:rsidRPr="2193DBD9">
        <w:rPr>
          <w:noProof/>
        </w:rPr>
        <w:t>diverging Member States’ practice</w:t>
      </w:r>
      <w:r w:rsidR="7DB62942" w:rsidRPr="2193DBD9">
        <w:rPr>
          <w:noProof/>
        </w:rPr>
        <w:t>, as well as</w:t>
      </w:r>
      <w:r w:rsidR="575D96F3" w:rsidRPr="2193DBD9">
        <w:rPr>
          <w:noProof/>
        </w:rPr>
        <w:t xml:space="preserve"> providing means to address continuous non-compliance with Directive</w:t>
      </w:r>
      <w:r w:rsidR="6F3BE78A" w:rsidRPr="2193DBD9">
        <w:rPr>
          <w:noProof/>
        </w:rPr>
        <w:t xml:space="preserve"> 2003/87/EC</w:t>
      </w:r>
      <w:r w:rsidR="575D96F3" w:rsidRPr="2193DBD9">
        <w:rPr>
          <w:noProof/>
        </w:rPr>
        <w:t>, it is necessary to clarify existing rules as regards the granting, suspension and withdrawing of greenhouse gas emissions permits by competent authorities</w:t>
      </w:r>
      <w:r w:rsidR="785B63DB" w:rsidRPr="2193DBD9">
        <w:rPr>
          <w:noProof/>
        </w:rPr>
        <w:t>, and further develop them to enhance harmonisation</w:t>
      </w:r>
      <w:r w:rsidR="5252206F" w:rsidRPr="2193DBD9">
        <w:rPr>
          <w:noProof/>
        </w:rPr>
        <w:t>.</w:t>
      </w:r>
      <w:r w:rsidR="575D96F3" w:rsidRPr="2193DBD9">
        <w:rPr>
          <w:noProof/>
        </w:rPr>
        <w:t xml:space="preserve"> </w:t>
      </w:r>
      <w:r w:rsidR="008902EB" w:rsidRPr="2193DBD9">
        <w:rPr>
          <w:noProof/>
        </w:rPr>
        <w:t xml:space="preserve">In order to ensure </w:t>
      </w:r>
      <w:r w:rsidR="4084CF68" w:rsidRPr="2193DBD9">
        <w:rPr>
          <w:noProof/>
        </w:rPr>
        <w:t>harmonised</w:t>
      </w:r>
      <w:r w:rsidR="008902EB" w:rsidRPr="2193DBD9">
        <w:rPr>
          <w:noProof/>
        </w:rPr>
        <w:t xml:space="preserve"> conditions for the implementation of Article 6 of Directive 2003/87/EC, </w:t>
      </w:r>
      <w:r w:rsidR="4084CF68" w:rsidRPr="2193DBD9">
        <w:rPr>
          <w:noProof/>
        </w:rPr>
        <w:t xml:space="preserve">as regards the granting, suspension and withdrawing of greenhouse gas emissions permits by the competent authorities, </w:t>
      </w:r>
      <w:r w:rsidR="70E5FDCB" w:rsidRPr="2193DBD9">
        <w:rPr>
          <w:noProof/>
        </w:rPr>
        <w:t xml:space="preserve">the Commission should be empowered to adopt </w:t>
      </w:r>
      <w:r w:rsidR="008902EB" w:rsidRPr="2193DBD9">
        <w:rPr>
          <w:noProof/>
        </w:rPr>
        <w:t xml:space="preserve">implementing </w:t>
      </w:r>
      <w:r w:rsidR="70E5FDCB" w:rsidRPr="2193DBD9">
        <w:rPr>
          <w:noProof/>
        </w:rPr>
        <w:t>acts</w:t>
      </w:r>
      <w:r w:rsidR="6E7F04C9" w:rsidRPr="2193DBD9">
        <w:rPr>
          <w:noProof/>
        </w:rPr>
        <w:t>.</w:t>
      </w:r>
      <w:r w:rsidR="008902EB" w:rsidRPr="2193DBD9">
        <w:rPr>
          <w:noProof/>
        </w:rPr>
        <w:t xml:space="preserve"> </w:t>
      </w:r>
      <w:r w:rsidR="6E7F04C9" w:rsidRPr="2193DBD9">
        <w:rPr>
          <w:noProof/>
        </w:rPr>
        <w:t>Such</w:t>
      </w:r>
      <w:r w:rsidR="008902EB" w:rsidRPr="2193DBD9">
        <w:rPr>
          <w:noProof/>
        </w:rPr>
        <w:t xml:space="preserve"> powers should be exercised in accordance with Regulation (EU) No 182/2011</w:t>
      </w:r>
      <w:r w:rsidR="4084CF68" w:rsidRPr="2193DBD9">
        <w:rPr>
          <w:noProof/>
        </w:rPr>
        <w:t>.</w:t>
      </w:r>
      <w:r w:rsidR="575D96F3" w:rsidRPr="2193DBD9">
        <w:rPr>
          <w:noProof/>
        </w:rPr>
        <w:t xml:space="preserve"> </w:t>
      </w:r>
    </w:p>
    <w:p w14:paraId="4532505C" w14:textId="77777777" w:rsidR="009E1F0E" w:rsidRDefault="575D96F3" w:rsidP="00E13E69">
      <w:pPr>
        <w:pStyle w:val="Considrant"/>
        <w:rPr>
          <w:noProof/>
        </w:rPr>
      </w:pPr>
      <w:r w:rsidRPr="008E53A8">
        <w:rPr>
          <w:noProof/>
        </w:rPr>
        <w:t>Directive (EU) 2023/959</w:t>
      </w:r>
      <w:r w:rsidR="59E93E5F">
        <w:rPr>
          <w:noProof/>
        </w:rPr>
        <w:t xml:space="preserve"> </w:t>
      </w:r>
      <w:r w:rsidR="59E93E5F" w:rsidRPr="001D5B6B">
        <w:rPr>
          <w:noProof/>
        </w:rPr>
        <w:t>of the European Parliament and of the Council</w:t>
      </w:r>
      <w:r w:rsidR="00C54F4E">
        <w:rPr>
          <w:rStyle w:val="FootnoteReference"/>
          <w:noProof/>
        </w:rPr>
        <w:footnoteReference w:id="59"/>
      </w:r>
      <w:r w:rsidRPr="008E53A8">
        <w:rPr>
          <w:noProof/>
        </w:rPr>
        <w:t xml:space="preserve"> </w:t>
      </w:r>
      <w:r w:rsidR="59E93E5F">
        <w:rPr>
          <w:noProof/>
        </w:rPr>
        <w:t xml:space="preserve">which </w:t>
      </w:r>
      <w:r w:rsidR="4D96F7D4" w:rsidRPr="006204E5">
        <w:rPr>
          <w:noProof/>
        </w:rPr>
        <w:t xml:space="preserve">amended Directive 2003/87/EC by </w:t>
      </w:r>
      <w:r w:rsidRPr="008E53A8">
        <w:rPr>
          <w:noProof/>
        </w:rPr>
        <w:t>extend</w:t>
      </w:r>
      <w:r w:rsidR="4D96F7D4">
        <w:rPr>
          <w:noProof/>
        </w:rPr>
        <w:t>ing</w:t>
      </w:r>
      <w:r w:rsidRPr="008E53A8">
        <w:rPr>
          <w:noProof/>
        </w:rPr>
        <w:t xml:space="preserve"> the activity in Annex I to Directive 2003/87/EC </w:t>
      </w:r>
      <w:r w:rsidR="07A6EDD8">
        <w:rPr>
          <w:noProof/>
        </w:rPr>
        <w:t>on</w:t>
      </w:r>
      <w:r w:rsidR="07A6EDD8" w:rsidRPr="008E53A8">
        <w:rPr>
          <w:noProof/>
        </w:rPr>
        <w:t xml:space="preserve"> </w:t>
      </w:r>
      <w:r w:rsidRPr="008E53A8">
        <w:rPr>
          <w:noProof/>
        </w:rPr>
        <w:t xml:space="preserve">transport </w:t>
      </w:r>
      <w:r w:rsidR="07A6EDD8">
        <w:rPr>
          <w:noProof/>
        </w:rPr>
        <w:t>by pipeline</w:t>
      </w:r>
      <w:r w:rsidRPr="008E53A8">
        <w:rPr>
          <w:noProof/>
        </w:rPr>
        <w:t xml:space="preserve"> of greenhouse gases for the purpose of storage</w:t>
      </w:r>
      <w:r w:rsidR="07A6EDD8">
        <w:rPr>
          <w:noProof/>
        </w:rPr>
        <w:t>,</w:t>
      </w:r>
      <w:r w:rsidRPr="008E53A8">
        <w:rPr>
          <w:noProof/>
        </w:rPr>
        <w:t xml:space="preserve"> to all means of transport. The development of this activity has demonstrated the complexity in appointing the administrating authority for cases of cross-border transport, making it necessary to clarify which Member State should grant permits to the operator of the CO</w:t>
      </w:r>
      <w:r w:rsidRPr="009E1F0E">
        <w:rPr>
          <w:noProof/>
          <w:vertAlign w:val="subscript"/>
        </w:rPr>
        <w:t>2</w:t>
      </w:r>
      <w:r w:rsidRPr="008E53A8">
        <w:rPr>
          <w:noProof/>
        </w:rPr>
        <w:t xml:space="preserve"> transport infrastructure. To privilege clarity and thus speed up permitting, a clear rule, applicable in all cases, should be established, whereby the competent authority should be the one of the Member State where the CO</w:t>
      </w:r>
      <w:r w:rsidRPr="009E1F0E">
        <w:rPr>
          <w:noProof/>
          <w:vertAlign w:val="subscript"/>
        </w:rPr>
        <w:t>2</w:t>
      </w:r>
      <w:r w:rsidRPr="008E53A8">
        <w:rPr>
          <w:noProof/>
        </w:rPr>
        <w:t xml:space="preserve"> is collected, which will be where it is captured. The competent authority should be responsible for that CO</w:t>
      </w:r>
      <w:r w:rsidRPr="009E1F0E">
        <w:rPr>
          <w:noProof/>
          <w:vertAlign w:val="subscript"/>
        </w:rPr>
        <w:t>2</w:t>
      </w:r>
      <w:r w:rsidRPr="008E53A8">
        <w:rPr>
          <w:noProof/>
        </w:rPr>
        <w:t xml:space="preserve"> transport until the CO</w:t>
      </w:r>
      <w:r w:rsidRPr="009E1F0E">
        <w:rPr>
          <w:noProof/>
          <w:vertAlign w:val="subscript"/>
        </w:rPr>
        <w:t>2</w:t>
      </w:r>
      <w:r w:rsidRPr="008E53A8">
        <w:rPr>
          <w:noProof/>
        </w:rPr>
        <w:t xml:space="preserve"> is collected by an operator</w:t>
      </w:r>
      <w:r w:rsidR="1FEAEB7D">
        <w:rPr>
          <w:noProof/>
        </w:rPr>
        <w:t xml:space="preserve"> in another Member State</w:t>
      </w:r>
      <w:r w:rsidR="5252206F">
        <w:rPr>
          <w:noProof/>
        </w:rPr>
        <w:t>.</w:t>
      </w:r>
      <w:r w:rsidRPr="008E53A8">
        <w:rPr>
          <w:noProof/>
        </w:rPr>
        <w:t xml:space="preserve"> Member States where the CO</w:t>
      </w:r>
      <w:r w:rsidRPr="009E1F0E">
        <w:rPr>
          <w:noProof/>
          <w:vertAlign w:val="subscript"/>
        </w:rPr>
        <w:t>2</w:t>
      </w:r>
      <w:r w:rsidRPr="008E53A8">
        <w:rPr>
          <w:noProof/>
        </w:rPr>
        <w:t xml:space="preserve"> only transits should not be involved in the permitting of the CO</w:t>
      </w:r>
      <w:r w:rsidRPr="009E1F0E">
        <w:rPr>
          <w:noProof/>
          <w:vertAlign w:val="subscript"/>
        </w:rPr>
        <w:t>2</w:t>
      </w:r>
      <w:r w:rsidRPr="008E53A8">
        <w:rPr>
          <w:noProof/>
        </w:rPr>
        <w:t xml:space="preserve"> transport activity. </w:t>
      </w:r>
    </w:p>
    <w:p w14:paraId="3BE0F351" w14:textId="77777777" w:rsidR="009E1F0E" w:rsidRDefault="22CE7D0D" w:rsidP="00895AFE">
      <w:pPr>
        <w:pStyle w:val="Considrant"/>
        <w:rPr>
          <w:noProof/>
        </w:rPr>
      </w:pPr>
      <w:r w:rsidRPr="2193DBD9">
        <w:rPr>
          <w:noProof/>
        </w:rPr>
        <w:t xml:space="preserve">Achieving the Union’s emission reduction target of -90% </w:t>
      </w:r>
      <w:r w:rsidR="2F785CA0" w:rsidRPr="2193DBD9">
        <w:rPr>
          <w:noProof/>
        </w:rPr>
        <w:t xml:space="preserve">by 2040 as compared to </w:t>
      </w:r>
      <w:r w:rsidR="11C386D4" w:rsidRPr="2193DBD9">
        <w:rPr>
          <w:noProof/>
        </w:rPr>
        <w:t>1990</w:t>
      </w:r>
      <w:r w:rsidR="59E93E5F" w:rsidRPr="2193DBD9">
        <w:rPr>
          <w:noProof/>
        </w:rPr>
        <w:t xml:space="preserve"> levels</w:t>
      </w:r>
      <w:r w:rsidR="2F785CA0" w:rsidRPr="2193DBD9">
        <w:rPr>
          <w:noProof/>
        </w:rPr>
        <w:t xml:space="preserve"> </w:t>
      </w:r>
      <w:r w:rsidRPr="2193DBD9">
        <w:rPr>
          <w:noProof/>
        </w:rPr>
        <w:t xml:space="preserve">requires </w:t>
      </w:r>
      <w:r w:rsidR="49D0C383" w:rsidRPr="2193DBD9">
        <w:rPr>
          <w:noProof/>
        </w:rPr>
        <w:t xml:space="preserve">adjusting the </w:t>
      </w:r>
      <w:r w:rsidRPr="2193DBD9">
        <w:rPr>
          <w:noProof/>
        </w:rPr>
        <w:t xml:space="preserve">rate of reduction in the emissions of the sectors covered by the EU ETS </w:t>
      </w:r>
      <w:r w:rsidR="49D0C383" w:rsidRPr="2193DBD9">
        <w:rPr>
          <w:noProof/>
        </w:rPr>
        <w:t>from 2031</w:t>
      </w:r>
      <w:r w:rsidRPr="2193DBD9">
        <w:rPr>
          <w:noProof/>
        </w:rPr>
        <w:t>.</w:t>
      </w:r>
      <w:r w:rsidR="56B83523" w:rsidRPr="2193DBD9">
        <w:rPr>
          <w:noProof/>
        </w:rPr>
        <w:t xml:space="preserve"> The linear reduction factor</w:t>
      </w:r>
      <w:r w:rsidR="59E93E5F" w:rsidRPr="2193DBD9">
        <w:rPr>
          <w:noProof/>
        </w:rPr>
        <w:t xml:space="preserve"> provided for</w:t>
      </w:r>
      <w:r w:rsidR="49D0C383" w:rsidRPr="2193DBD9">
        <w:rPr>
          <w:noProof/>
        </w:rPr>
        <w:t xml:space="preserve"> in Article 9 </w:t>
      </w:r>
      <w:r w:rsidR="2060E097" w:rsidRPr="2193DBD9">
        <w:rPr>
          <w:noProof/>
        </w:rPr>
        <w:t>of</w:t>
      </w:r>
      <w:r w:rsidR="49D0C383" w:rsidRPr="2193DBD9">
        <w:rPr>
          <w:noProof/>
        </w:rPr>
        <w:t xml:space="preserve"> Directive 2003/87/EC</w:t>
      </w:r>
      <w:r w:rsidR="56B83523" w:rsidRPr="2193DBD9">
        <w:rPr>
          <w:noProof/>
        </w:rPr>
        <w:t xml:space="preserve"> should therefore be adjusted.</w:t>
      </w:r>
      <w:r w:rsidRPr="2193DBD9">
        <w:rPr>
          <w:noProof/>
        </w:rPr>
        <w:t xml:space="preserve"> </w:t>
      </w:r>
    </w:p>
    <w:p w14:paraId="6DA9DCF4" w14:textId="77777777" w:rsidR="009E1F0E" w:rsidRDefault="3D946481" w:rsidP="00AC0F2B">
      <w:pPr>
        <w:pStyle w:val="Considrant"/>
        <w:rPr>
          <w:noProof/>
        </w:rPr>
      </w:pPr>
      <w:r w:rsidRPr="2193DBD9">
        <w:rPr>
          <w:noProof/>
        </w:rPr>
        <w:t xml:space="preserve">The rate of reduction should also take account of the provisions of the European Climate Law regarding the use of high-quality international credits as adequate contribution towards the EU 2040 climate target, starting in 2036. International credits should be integrated </w:t>
      </w:r>
      <w:r w:rsidR="2060E097" w:rsidRPr="2193DBD9">
        <w:rPr>
          <w:noProof/>
        </w:rPr>
        <w:t>in</w:t>
      </w:r>
      <w:r w:rsidRPr="2193DBD9">
        <w:rPr>
          <w:noProof/>
        </w:rPr>
        <w:t xml:space="preserve"> the future climate legislation using high-quality and integrity credits. The use of credits should support both the EU and third countries in achieving GHG reductions compatible with the Paris Agreement. High credit integrity must be ensured and where appropriate the rules developed under Article 6.4 of the Paris Agreement may be complemented. The specific role and deployment of international credits will be based on an impact assessment and subject to the development of Union law setting robust and high integrity criteria and other safeguards. In view of the establishment of a facility for the purchase of international credits to reduce the overall need for domestic action by up to 5 percentage points, the target emissions reductions for the EU ETS should be in line with an overall EU-wide domestic ambition of -90% until 2035 and of -85% from 2036 to 2040. This should be reflected through a lower linear reduction factor of the EU ETS from 2036, and allowances should be put aside for the purchase of the amount of international credits that correspond to the reduction of the ambition in the EU ETS</w:t>
      </w:r>
      <w:r w:rsidR="18C5716F" w:rsidRPr="2193DBD9">
        <w:rPr>
          <w:noProof/>
        </w:rPr>
        <w:t>.</w:t>
      </w:r>
      <w:r w:rsidR="5D9B003F" w:rsidRPr="2193DBD9">
        <w:rPr>
          <w:noProof/>
        </w:rPr>
        <w:t xml:space="preserve"> The Commission should report to the European Parliament and to the Council on the development of a high-quality and high-integrity international credit market, taking into account the criteria set out in Regulation 2021/1119/EU, and the contribution of these credits to the climate ambition of the activities listed in Annex. Subject to this report, the linear reduction factor from 2036 should </w:t>
      </w:r>
      <w:r w:rsidR="5D9B003F" w:rsidRPr="2193DBD9">
        <w:rPr>
          <w:noProof/>
          <w:lang w:eastAsia="en-GB"/>
        </w:rPr>
        <w:t>revert to a trajectory for ETS sectors aligned with an EU domestic reduction of 90% by 2040</w:t>
      </w:r>
      <w:r w:rsidR="5D9B003F" w:rsidRPr="2193DBD9">
        <w:rPr>
          <w:noProof/>
        </w:rPr>
        <w:t xml:space="preserve"> in the event that high-quality and high-integrity, cost-effective international credits are not available.</w:t>
      </w:r>
    </w:p>
    <w:p w14:paraId="43207809" w14:textId="77777777" w:rsidR="009E1F0E" w:rsidRDefault="575D96F3" w:rsidP="00DA7E96">
      <w:pPr>
        <w:pStyle w:val="Considrant"/>
        <w:rPr>
          <w:noProof/>
        </w:rPr>
      </w:pPr>
      <w:r w:rsidRPr="2193DBD9">
        <w:rPr>
          <w:noProof/>
        </w:rPr>
        <w:t>Carbon removals are introduced as a flexibility in the European Climate Law to allow the EU to reach its 2040 climate target in a more cost-efficient way, as some emissions will be more cost-efficient to offset through removals than to abate</w:t>
      </w:r>
      <w:r w:rsidR="2060E097" w:rsidRPr="2193DBD9">
        <w:rPr>
          <w:noProof/>
        </w:rPr>
        <w:t xml:space="preserve"> them</w:t>
      </w:r>
      <w:r w:rsidRPr="2193DBD9">
        <w:rPr>
          <w:noProof/>
        </w:rPr>
        <w:t xml:space="preserve">. In particular, they can contribute to compensate remaining hard-to-abate GHG in sectors covered by the EU ETS. In that context, the EU ETS should contribute to their uptake and financing, including because they can be generated by activities already </w:t>
      </w:r>
      <w:r w:rsidR="54A57688" w:rsidRPr="2193DBD9">
        <w:rPr>
          <w:noProof/>
        </w:rPr>
        <w:t xml:space="preserve">covered by </w:t>
      </w:r>
      <w:r w:rsidRPr="2193DBD9">
        <w:rPr>
          <w:noProof/>
        </w:rPr>
        <w:t>the EU ETS. Foregoing the flexibility provided by permanent carbon removals would be at the cost of the EU</w:t>
      </w:r>
      <w:r w:rsidR="4A315DF1" w:rsidRPr="2193DBD9">
        <w:rPr>
          <w:noProof/>
        </w:rPr>
        <w:t>’</w:t>
      </w:r>
      <w:r w:rsidRPr="2193DBD9">
        <w:rPr>
          <w:noProof/>
        </w:rPr>
        <w:t>s competitiveness and the environment in the medium to long term. Together with other adjustments to the system</w:t>
      </w:r>
      <w:r w:rsidR="3264D141" w:rsidRPr="2193DBD9">
        <w:rPr>
          <w:noProof/>
        </w:rPr>
        <w:t>,</w:t>
      </w:r>
      <w:r w:rsidRPr="2193DBD9">
        <w:rPr>
          <w:noProof/>
        </w:rPr>
        <w:t xml:space="preserve"> such as </w:t>
      </w:r>
      <w:r w:rsidR="3264D141" w:rsidRPr="2193DBD9">
        <w:rPr>
          <w:noProof/>
        </w:rPr>
        <w:t>to</w:t>
      </w:r>
      <w:r w:rsidRPr="2193DBD9">
        <w:rPr>
          <w:noProof/>
        </w:rPr>
        <w:t xml:space="preserve"> the </w:t>
      </w:r>
      <w:r w:rsidR="62999995" w:rsidRPr="2193DBD9">
        <w:rPr>
          <w:noProof/>
        </w:rPr>
        <w:t>total emissions</w:t>
      </w:r>
      <w:r w:rsidRPr="2193DBD9">
        <w:rPr>
          <w:noProof/>
        </w:rPr>
        <w:t xml:space="preserve"> cap and </w:t>
      </w:r>
      <w:r w:rsidR="49127496" w:rsidRPr="2193DBD9">
        <w:rPr>
          <w:noProof/>
        </w:rPr>
        <w:t>the Market Stability Reserve (</w:t>
      </w:r>
      <w:r w:rsidRPr="2193DBD9">
        <w:rPr>
          <w:noProof/>
        </w:rPr>
        <w:t>MSR</w:t>
      </w:r>
      <w:r w:rsidR="49127496" w:rsidRPr="2193DBD9">
        <w:rPr>
          <w:noProof/>
        </w:rPr>
        <w:t>)</w:t>
      </w:r>
      <w:r w:rsidRPr="2193DBD9">
        <w:rPr>
          <w:noProof/>
        </w:rPr>
        <w:t>, the integration of permanent carbon removals can contribute to cost containment and improving liquidity in the EU ETS as its cap shrinks</w:t>
      </w:r>
      <w:r w:rsidR="62F19930" w:rsidRPr="2193DBD9">
        <w:rPr>
          <w:noProof/>
        </w:rPr>
        <w:t>. The integration of permanent carbon removals can also provide</w:t>
      </w:r>
      <w:r w:rsidRPr="2193DBD9">
        <w:rPr>
          <w:noProof/>
        </w:rPr>
        <w:t xml:space="preserve"> an avenue to incentivise the development and deployment of nascent negative emissions technologies.</w:t>
      </w:r>
      <w:r w:rsidR="0B77D2E4" w:rsidRPr="2193DBD9">
        <w:rPr>
          <w:noProof/>
        </w:rPr>
        <w:t xml:space="preserve"> Beyond 2040, alternative or complementary mechanisms to generate permanent removals may need to be developed to reach net-zero in 2050 and net-negative emissions thereafter</w:t>
      </w:r>
      <w:r w:rsidR="6AED6071" w:rsidRPr="2193DBD9">
        <w:rPr>
          <w:noProof/>
        </w:rPr>
        <w:t>.</w:t>
      </w:r>
      <w:r w:rsidR="0B77D2E4" w:rsidRPr="2193DBD9">
        <w:rPr>
          <w:noProof/>
        </w:rPr>
        <w:t xml:space="preserve"> </w:t>
      </w:r>
      <w:r w:rsidR="3D3007C0" w:rsidRPr="2193DBD9">
        <w:rPr>
          <w:noProof/>
        </w:rPr>
        <w:t>All adjustments to the cap set out in Article 9</w:t>
      </w:r>
      <w:r w:rsidR="2060E097" w:rsidRPr="2193DBD9">
        <w:rPr>
          <w:noProof/>
        </w:rPr>
        <w:t xml:space="preserve"> should take into account</w:t>
      </w:r>
      <w:r w:rsidR="3D3007C0" w:rsidRPr="2193DBD9">
        <w:rPr>
          <w:noProof/>
        </w:rPr>
        <w:t xml:space="preserve"> the emissions of the </w:t>
      </w:r>
      <w:r w:rsidR="279ADB59" w:rsidRPr="2193DBD9">
        <w:rPr>
          <w:noProof/>
        </w:rPr>
        <w:t>EEA</w:t>
      </w:r>
      <w:r w:rsidR="3D3007C0" w:rsidRPr="2193DBD9">
        <w:rPr>
          <w:noProof/>
        </w:rPr>
        <w:t xml:space="preserve"> and the European Free Trade Association</w:t>
      </w:r>
      <w:r w:rsidR="279ADB59" w:rsidRPr="2193DBD9">
        <w:rPr>
          <w:noProof/>
        </w:rPr>
        <w:t xml:space="preserve"> (EFTA)</w:t>
      </w:r>
      <w:r w:rsidR="3D3007C0" w:rsidRPr="2193DBD9">
        <w:rPr>
          <w:noProof/>
        </w:rPr>
        <w:t>, as well as regarding the integration of domestic permanent carbon removals</w:t>
      </w:r>
      <w:r w:rsidR="546E0AA3" w:rsidRPr="2193DBD9">
        <w:rPr>
          <w:noProof/>
        </w:rPr>
        <w:t>.</w:t>
      </w:r>
    </w:p>
    <w:p w14:paraId="486099CF" w14:textId="028A9B4F" w:rsidR="009E1F0E" w:rsidRDefault="575D96F3" w:rsidP="00A755B6">
      <w:pPr>
        <w:pStyle w:val="Considrant"/>
        <w:rPr>
          <w:noProof/>
        </w:rPr>
      </w:pPr>
      <w:r w:rsidRPr="2193DBD9">
        <w:rPr>
          <w:noProof/>
        </w:rPr>
        <w:t xml:space="preserve">The integration in the EU ETS rests on the basic principle that the cancellation of </w:t>
      </w:r>
      <w:r w:rsidR="05ED8B98" w:rsidRPr="2193DBD9">
        <w:rPr>
          <w:noProof/>
        </w:rPr>
        <w:t xml:space="preserve">a </w:t>
      </w:r>
      <w:r w:rsidRPr="2193DBD9">
        <w:rPr>
          <w:noProof/>
        </w:rPr>
        <w:t>removal unit replaces the surrendering of an emission allowance, which represents the payment of the price for having emitted a tonne of CO</w:t>
      </w:r>
      <w:r w:rsidRPr="009E1F0E">
        <w:rPr>
          <w:noProof/>
          <w:vertAlign w:val="subscript"/>
        </w:rPr>
        <w:t>2</w:t>
      </w:r>
      <w:r w:rsidRPr="2193DBD9">
        <w:rPr>
          <w:noProof/>
        </w:rPr>
        <w:t xml:space="preserve">. </w:t>
      </w:r>
      <w:r w:rsidR="62F19930" w:rsidRPr="2193DBD9">
        <w:rPr>
          <w:noProof/>
        </w:rPr>
        <w:t>As a</w:t>
      </w:r>
      <w:r w:rsidRPr="2193DBD9">
        <w:rPr>
          <w:noProof/>
        </w:rPr>
        <w:t xml:space="preserve"> consequence, only permanent removals can be integrated in the EU ETS. In addition, it is preferrable to integrate only those removals for which reversals are subject to monitoring and </w:t>
      </w:r>
      <w:r w:rsidR="00301549" w:rsidRPr="2193DBD9">
        <w:rPr>
          <w:noProof/>
        </w:rPr>
        <w:t>the surrendering of allowances</w:t>
      </w:r>
      <w:r w:rsidRPr="2193DBD9">
        <w:rPr>
          <w:noProof/>
        </w:rPr>
        <w:t xml:space="preserve"> in the EU ETS. </w:t>
      </w:r>
    </w:p>
    <w:p w14:paraId="1DD19B24" w14:textId="77777777" w:rsidR="009E1F0E" w:rsidRDefault="575D96F3" w:rsidP="00A53C77">
      <w:pPr>
        <w:pStyle w:val="Considrant"/>
        <w:rPr>
          <w:noProof/>
        </w:rPr>
      </w:pPr>
      <w:r w:rsidRPr="2193DBD9">
        <w:rPr>
          <w:noProof/>
        </w:rPr>
        <w:t xml:space="preserve">The current price-difference between permanent carbon removals and allowances means that permanent removals will need to be supported in a predictable manner, to ensure </w:t>
      </w:r>
      <w:r w:rsidR="1C16DB15" w:rsidRPr="2193DBD9">
        <w:rPr>
          <w:noProof/>
        </w:rPr>
        <w:t xml:space="preserve">that </w:t>
      </w:r>
      <w:r w:rsidRPr="2193DBD9">
        <w:rPr>
          <w:noProof/>
        </w:rPr>
        <w:t xml:space="preserve">their generation in line with the additional emission space that is </w:t>
      </w:r>
      <w:r w:rsidR="0728C496" w:rsidRPr="2193DBD9">
        <w:rPr>
          <w:noProof/>
        </w:rPr>
        <w:t xml:space="preserve">created </w:t>
      </w:r>
      <w:r w:rsidRPr="2193DBD9">
        <w:rPr>
          <w:noProof/>
        </w:rPr>
        <w:t>in the ETS</w:t>
      </w:r>
      <w:r w:rsidR="0728C496" w:rsidRPr="2193DBD9">
        <w:rPr>
          <w:noProof/>
        </w:rPr>
        <w:t xml:space="preserve"> through the issuance of allowances</w:t>
      </w:r>
      <w:r w:rsidRPr="2193DBD9">
        <w:rPr>
          <w:noProof/>
        </w:rPr>
        <w:t xml:space="preserve">. In addition, </w:t>
      </w:r>
      <w:r w:rsidR="71C2DCEF" w:rsidRPr="2193DBD9">
        <w:rPr>
          <w:noProof/>
        </w:rPr>
        <w:t>because they are</w:t>
      </w:r>
      <w:r w:rsidRPr="2193DBD9">
        <w:rPr>
          <w:noProof/>
        </w:rPr>
        <w:t xml:space="preserve"> novel instruments</w:t>
      </w:r>
      <w:r w:rsidR="71C2DCEF" w:rsidRPr="2193DBD9">
        <w:rPr>
          <w:noProof/>
        </w:rPr>
        <w:t>,</w:t>
      </w:r>
      <w:r w:rsidRPr="2193DBD9">
        <w:rPr>
          <w:noProof/>
        </w:rPr>
        <w:t xml:space="preserve"> </w:t>
      </w:r>
      <w:r w:rsidR="71C2DCEF" w:rsidRPr="2193DBD9">
        <w:rPr>
          <w:noProof/>
        </w:rPr>
        <w:t>their</w:t>
      </w:r>
      <w:r w:rsidRPr="2193DBD9">
        <w:rPr>
          <w:noProof/>
        </w:rPr>
        <w:t xml:space="preserve"> integration</w:t>
      </w:r>
      <w:r w:rsidR="71C2DCEF" w:rsidRPr="2193DBD9">
        <w:rPr>
          <w:noProof/>
        </w:rPr>
        <w:t xml:space="preserve"> must</w:t>
      </w:r>
      <w:r w:rsidRPr="2193DBD9">
        <w:rPr>
          <w:noProof/>
        </w:rPr>
        <w:t xml:space="preserve"> protect the EU ETS from uncertainty and </w:t>
      </w:r>
      <w:r w:rsidR="6C13E494" w:rsidRPr="2193DBD9">
        <w:rPr>
          <w:noProof/>
        </w:rPr>
        <w:t>must guarantee</w:t>
      </w:r>
      <w:r w:rsidRPr="2193DBD9">
        <w:rPr>
          <w:noProof/>
        </w:rPr>
        <w:t xml:space="preserve"> the environmental integrity of the units that are used </w:t>
      </w:r>
      <w:r w:rsidR="69299A94" w:rsidRPr="2193DBD9">
        <w:rPr>
          <w:noProof/>
        </w:rPr>
        <w:t>to</w:t>
      </w:r>
      <w:r w:rsidRPr="2193DBD9">
        <w:rPr>
          <w:noProof/>
        </w:rPr>
        <w:t xml:space="preserve"> </w:t>
      </w:r>
      <w:r w:rsidR="05ED8B98" w:rsidRPr="2193DBD9">
        <w:rPr>
          <w:noProof/>
        </w:rPr>
        <w:t>compensate an emission</w:t>
      </w:r>
      <w:r w:rsidRPr="2193DBD9">
        <w:rPr>
          <w:noProof/>
        </w:rPr>
        <w:t xml:space="preserve"> in the EU ETS. </w:t>
      </w:r>
      <w:r w:rsidR="6C13E494" w:rsidRPr="2193DBD9">
        <w:rPr>
          <w:noProof/>
        </w:rPr>
        <w:t>Therefore</w:t>
      </w:r>
      <w:r w:rsidRPr="2193DBD9">
        <w:rPr>
          <w:noProof/>
        </w:rPr>
        <w:t>, removals should be integrated in the EU ETS by the Commission. To that end, the total quantity of allowances in the EU ETS should be increased by a number of allowances</w:t>
      </w:r>
      <w:r w:rsidR="6CA7A929" w:rsidRPr="2193DBD9">
        <w:rPr>
          <w:noProof/>
        </w:rPr>
        <w:t xml:space="preserve"> that </w:t>
      </w:r>
      <w:r w:rsidR="1CD304A5" w:rsidRPr="2193DBD9">
        <w:rPr>
          <w:noProof/>
        </w:rPr>
        <w:t>sh</w:t>
      </w:r>
      <w:r w:rsidR="6CA7A929" w:rsidRPr="2193DBD9">
        <w:rPr>
          <w:noProof/>
        </w:rPr>
        <w:t xml:space="preserve">ould be allocated to the Commission for the purchase of </w:t>
      </w:r>
      <w:r w:rsidR="1CD304A5" w:rsidRPr="2193DBD9">
        <w:rPr>
          <w:noProof/>
        </w:rPr>
        <w:t>an</w:t>
      </w:r>
      <w:r w:rsidR="6CA7A929" w:rsidRPr="2193DBD9">
        <w:rPr>
          <w:noProof/>
        </w:rPr>
        <w:t xml:space="preserve"> equivalent amount of permanent carbon removals to </w:t>
      </w:r>
      <w:r w:rsidRPr="2193DBD9">
        <w:rPr>
          <w:noProof/>
        </w:rPr>
        <w:t xml:space="preserve">offset </w:t>
      </w:r>
      <w:r w:rsidR="1CD304A5" w:rsidRPr="2193DBD9">
        <w:rPr>
          <w:noProof/>
        </w:rPr>
        <w:t>the newly created allowances</w:t>
      </w:r>
      <w:r w:rsidRPr="2193DBD9">
        <w:rPr>
          <w:noProof/>
        </w:rPr>
        <w:t>. The linear reduction factor should not apply to this quantity of allowances</w:t>
      </w:r>
      <w:r w:rsidR="7F12FB2A" w:rsidRPr="2193DBD9">
        <w:rPr>
          <w:noProof/>
        </w:rPr>
        <w:t>, at it is equivalent to the amount of removals that should be purchased</w:t>
      </w:r>
      <w:r w:rsidRPr="2193DBD9">
        <w:rPr>
          <w:noProof/>
        </w:rPr>
        <w:t xml:space="preserve">. In addition to these newly created allowances, further allowances should be assigned to the Commission to generate revenues </w:t>
      </w:r>
      <w:r w:rsidR="2636CFA6" w:rsidRPr="2193DBD9">
        <w:rPr>
          <w:noProof/>
        </w:rPr>
        <w:t xml:space="preserve">through their auctioning </w:t>
      </w:r>
      <w:r w:rsidRPr="2193DBD9">
        <w:rPr>
          <w:noProof/>
        </w:rPr>
        <w:t xml:space="preserve">for the purchase of the permanent carbon removals, in view of the expected cost differential between </w:t>
      </w:r>
      <w:r w:rsidR="3A534B73" w:rsidRPr="2193DBD9">
        <w:rPr>
          <w:noProof/>
        </w:rPr>
        <w:t xml:space="preserve">allowances </w:t>
      </w:r>
      <w:r w:rsidRPr="2193DBD9">
        <w:rPr>
          <w:noProof/>
        </w:rPr>
        <w:t xml:space="preserve">and carbon removals. </w:t>
      </w:r>
      <w:r w:rsidRPr="009E1F0E">
        <w:rPr>
          <w:rFonts w:eastAsia="Times New Roman"/>
          <w:noProof/>
        </w:rPr>
        <w:t xml:space="preserve">Where </w:t>
      </w:r>
      <w:r w:rsidR="2060E097" w:rsidRPr="009E1F0E">
        <w:rPr>
          <w:rFonts w:eastAsia="Times New Roman"/>
          <w:noProof/>
        </w:rPr>
        <w:t>fewer</w:t>
      </w:r>
      <w:r w:rsidRPr="009E1F0E">
        <w:rPr>
          <w:rFonts w:eastAsia="Times New Roman"/>
          <w:noProof/>
        </w:rPr>
        <w:t xml:space="preserve"> allowances are</w:t>
      </w:r>
      <w:r w:rsidRPr="009E1F0E">
        <w:rPr>
          <w:rFonts w:eastAsia="Times New Roman"/>
          <w:noProof/>
          <w:lang w:val="en-US"/>
        </w:rPr>
        <w:t xml:space="preserve"> required for financing carbon removals</w:t>
      </w:r>
      <w:r w:rsidR="2636CFA6" w:rsidRPr="009E1F0E">
        <w:rPr>
          <w:rFonts w:eastAsia="Times New Roman"/>
          <w:noProof/>
          <w:lang w:val="en-US"/>
        </w:rPr>
        <w:t xml:space="preserve"> than expected</w:t>
      </w:r>
      <w:r w:rsidRPr="009E1F0E">
        <w:rPr>
          <w:rFonts w:eastAsia="Times New Roman"/>
          <w:noProof/>
          <w:lang w:val="en-US"/>
        </w:rPr>
        <w:t>, the</w:t>
      </w:r>
      <w:r w:rsidR="2060E097" w:rsidRPr="009E1F0E">
        <w:rPr>
          <w:rFonts w:eastAsia="Times New Roman"/>
          <w:noProof/>
          <w:lang w:val="en-US"/>
        </w:rPr>
        <w:t xml:space="preserve"> unused allowances</w:t>
      </w:r>
      <w:r w:rsidRPr="009E1F0E">
        <w:rPr>
          <w:rFonts w:eastAsia="Times New Roman"/>
          <w:noProof/>
          <w:lang w:val="en-US"/>
        </w:rPr>
        <w:t xml:space="preserve"> should be integrated back in the Union-wide quantity of allowances </w:t>
      </w:r>
      <w:r w:rsidR="6730AE63" w:rsidRPr="009E1F0E">
        <w:rPr>
          <w:rFonts w:eastAsia="Times New Roman"/>
          <w:noProof/>
          <w:lang w:val="en-US"/>
        </w:rPr>
        <w:t>referred to in</w:t>
      </w:r>
      <w:r w:rsidRPr="009E1F0E">
        <w:rPr>
          <w:rFonts w:eastAsia="Times New Roman"/>
          <w:noProof/>
          <w:lang w:val="en-US"/>
        </w:rPr>
        <w:t xml:space="preserve"> Article 9 of Directive 2003/87/EC. </w:t>
      </w:r>
      <w:r w:rsidRPr="2193DBD9">
        <w:rPr>
          <w:noProof/>
        </w:rPr>
        <w:t xml:space="preserve">The net target of the EU ETS is the equivalent of the gross emissions minus the </w:t>
      </w:r>
      <w:r w:rsidR="2DEF4AA0" w:rsidRPr="2193DBD9">
        <w:rPr>
          <w:noProof/>
        </w:rPr>
        <w:t xml:space="preserve">permanent carbon </w:t>
      </w:r>
      <w:r w:rsidRPr="2193DBD9">
        <w:rPr>
          <w:noProof/>
        </w:rPr>
        <w:t xml:space="preserve">removals that are subject to integration. </w:t>
      </w:r>
    </w:p>
    <w:p w14:paraId="0EC50CA0" w14:textId="77777777" w:rsidR="009E1F0E" w:rsidRDefault="575D96F3" w:rsidP="00A17C5A">
      <w:pPr>
        <w:pStyle w:val="Considrant"/>
        <w:rPr>
          <w:noProof/>
        </w:rPr>
      </w:pPr>
      <w:r w:rsidRPr="008E53A8">
        <w:rPr>
          <w:noProof/>
        </w:rPr>
        <w:t xml:space="preserve">To facilitate the use of permanent carbon removals by operators, shipping companies and aircraft operators, these should be allowed </w:t>
      </w:r>
      <w:r w:rsidR="7685143A">
        <w:rPr>
          <w:noProof/>
        </w:rPr>
        <w:t xml:space="preserve">to compensate their own fossil </w:t>
      </w:r>
      <w:r w:rsidR="5252206F">
        <w:rPr>
          <w:noProof/>
        </w:rPr>
        <w:t>emissions</w:t>
      </w:r>
      <w:r w:rsidR="7685143A">
        <w:rPr>
          <w:noProof/>
        </w:rPr>
        <w:t xml:space="preserve"> with</w:t>
      </w:r>
      <w:r w:rsidRPr="008E53A8">
        <w:rPr>
          <w:noProof/>
        </w:rPr>
        <w:t xml:space="preserve"> their biogenic CO</w:t>
      </w:r>
      <w:r w:rsidRPr="009E1F0E">
        <w:rPr>
          <w:noProof/>
          <w:vertAlign w:val="subscript"/>
        </w:rPr>
        <w:t>2</w:t>
      </w:r>
      <w:r w:rsidRPr="008E53A8">
        <w:rPr>
          <w:noProof/>
        </w:rPr>
        <w:t xml:space="preserve"> emissions captured and permanently stored, which are certified as permanent carbon removal units in accordance with the methodologies for the certification of domestic permanent </w:t>
      </w:r>
      <w:r w:rsidR="2060E097" w:rsidRPr="00D23410">
        <w:rPr>
          <w:noProof/>
        </w:rPr>
        <w:t>biogenic emissions capture with carbon storage (</w:t>
      </w:r>
      <w:r w:rsidRPr="008E53A8">
        <w:rPr>
          <w:noProof/>
        </w:rPr>
        <w:t>BioCCS</w:t>
      </w:r>
      <w:r w:rsidR="3A587BBC">
        <w:rPr>
          <w:noProof/>
        </w:rPr>
        <w:t>)</w:t>
      </w:r>
      <w:r w:rsidRPr="008E53A8">
        <w:rPr>
          <w:noProof/>
        </w:rPr>
        <w:t xml:space="preserve"> removals established under Regulation (EU) 2024/3012</w:t>
      </w:r>
      <w:r w:rsidR="2DEF4AA0">
        <w:rPr>
          <w:noProof/>
        </w:rPr>
        <w:t xml:space="preserve"> of the European Parliament and of the Council</w:t>
      </w:r>
      <w:r w:rsidR="00E5467D">
        <w:rPr>
          <w:rStyle w:val="FootnoteReference"/>
          <w:noProof/>
        </w:rPr>
        <w:footnoteReference w:id="60"/>
      </w:r>
      <w:r w:rsidRPr="008E53A8">
        <w:rPr>
          <w:noProof/>
        </w:rPr>
        <w:t>.</w:t>
      </w:r>
      <w:r w:rsidRPr="008E53A8" w:rsidDel="1BCA19E2">
        <w:rPr>
          <w:noProof/>
        </w:rPr>
        <w:t xml:space="preserve"> </w:t>
      </w:r>
      <w:r w:rsidRPr="008E53A8">
        <w:rPr>
          <w:noProof/>
        </w:rPr>
        <w:t xml:space="preserve">To avoid double counting, carbon removals units used for the purpose of compensating own emissions should be cancelled from the Union Registry </w:t>
      </w:r>
      <w:r w:rsidR="5AB5D920" w:rsidRPr="00BC533D">
        <w:rPr>
          <w:noProof/>
        </w:rPr>
        <w:t xml:space="preserve">provided for in Article 12 of </w:t>
      </w:r>
      <w:r w:rsidRPr="008E53A8">
        <w:rPr>
          <w:noProof/>
        </w:rPr>
        <w:t xml:space="preserve"> Regulation (EU) 2024/3012</w:t>
      </w:r>
      <w:r w:rsidR="487E0C0B">
        <w:rPr>
          <w:noProof/>
        </w:rPr>
        <w:t xml:space="preserve"> of the European Parliament and of the Council</w:t>
      </w:r>
      <w:r w:rsidR="00DD5EDB">
        <w:rPr>
          <w:rStyle w:val="FootnoteReference"/>
          <w:noProof/>
        </w:rPr>
        <w:footnoteReference w:id="61"/>
      </w:r>
      <w:r w:rsidRPr="008E53A8">
        <w:rPr>
          <w:noProof/>
        </w:rPr>
        <w:t>.</w:t>
      </w:r>
      <w:r w:rsidR="59A47683">
        <w:rPr>
          <w:noProof/>
        </w:rPr>
        <w:t xml:space="preserve"> </w:t>
      </w:r>
      <w:r w:rsidR="59A47683" w:rsidRPr="3F087547">
        <w:rPr>
          <w:noProof/>
          <w:lang w:eastAsia="en-GB"/>
        </w:rPr>
        <w:t xml:space="preserve">This compensation mechanism cannot entail </w:t>
      </w:r>
      <w:r w:rsidR="5AB5D920">
        <w:rPr>
          <w:noProof/>
          <w:lang w:eastAsia="en-GB"/>
        </w:rPr>
        <w:t xml:space="preserve">the </w:t>
      </w:r>
      <w:r w:rsidR="59A47683" w:rsidRPr="3F087547">
        <w:rPr>
          <w:noProof/>
          <w:lang w:eastAsia="en-GB"/>
        </w:rPr>
        <w:t>generati</w:t>
      </w:r>
      <w:r w:rsidR="5AB5D920">
        <w:rPr>
          <w:noProof/>
          <w:lang w:eastAsia="en-GB"/>
        </w:rPr>
        <w:t>o</w:t>
      </w:r>
      <w:r w:rsidR="59A47683" w:rsidRPr="3F087547">
        <w:rPr>
          <w:noProof/>
          <w:lang w:eastAsia="en-GB"/>
        </w:rPr>
        <w:t>n</w:t>
      </w:r>
      <w:r w:rsidR="5AB5D920">
        <w:rPr>
          <w:noProof/>
          <w:lang w:eastAsia="en-GB"/>
        </w:rPr>
        <w:t xml:space="preserve"> of</w:t>
      </w:r>
      <w:r w:rsidR="59A47683" w:rsidRPr="3F087547">
        <w:rPr>
          <w:noProof/>
          <w:lang w:eastAsia="en-GB"/>
        </w:rPr>
        <w:t xml:space="preserve"> negative emissions </w:t>
      </w:r>
      <w:r w:rsidR="5AB5D920">
        <w:rPr>
          <w:noProof/>
          <w:lang w:eastAsia="en-GB"/>
        </w:rPr>
        <w:t>or the of</w:t>
      </w:r>
      <w:r w:rsidR="5AB5D920" w:rsidRPr="3F087547">
        <w:rPr>
          <w:noProof/>
          <w:lang w:eastAsia="en-GB"/>
        </w:rPr>
        <w:t xml:space="preserve"> </w:t>
      </w:r>
      <w:r w:rsidR="59A47683" w:rsidRPr="3F087547">
        <w:rPr>
          <w:noProof/>
          <w:lang w:eastAsia="en-GB"/>
        </w:rPr>
        <w:t>obtaining allowances. It should lead to an adjustment of the allowances assigned for the purchase of carbon removals and to the carbon removals that are to be purchased, to prevent the total emission space from increasing beyond the limit implied by the integration through the purchasing programme.</w:t>
      </w:r>
    </w:p>
    <w:p w14:paraId="6AE9465C" w14:textId="77777777" w:rsidR="009E1F0E" w:rsidRDefault="575D96F3" w:rsidP="008D6930">
      <w:pPr>
        <w:pStyle w:val="Considrant"/>
        <w:rPr>
          <w:noProof/>
        </w:rPr>
      </w:pPr>
      <w:r w:rsidRPr="2193DBD9">
        <w:rPr>
          <w:noProof/>
        </w:rPr>
        <w:t>All adjustments to the cap set out in Article 9</w:t>
      </w:r>
      <w:r w:rsidR="2DB0907E" w:rsidRPr="2193DBD9">
        <w:rPr>
          <w:noProof/>
        </w:rPr>
        <w:t>, as well the amount of domestic permanent carbon removals to be integrated,</w:t>
      </w:r>
      <w:r w:rsidRPr="2193DBD9">
        <w:rPr>
          <w:noProof/>
        </w:rPr>
        <w:t xml:space="preserve"> </w:t>
      </w:r>
      <w:r w:rsidR="6AED6071" w:rsidRPr="2193DBD9">
        <w:rPr>
          <w:noProof/>
        </w:rPr>
        <w:t xml:space="preserve">should </w:t>
      </w:r>
      <w:r w:rsidR="5AB5D920" w:rsidRPr="2193DBD9">
        <w:rPr>
          <w:noProof/>
        </w:rPr>
        <w:t xml:space="preserve">take into account </w:t>
      </w:r>
      <w:r w:rsidRPr="2193DBD9">
        <w:rPr>
          <w:noProof/>
        </w:rPr>
        <w:t xml:space="preserve">the emissions of the </w:t>
      </w:r>
      <w:r w:rsidR="62F5F7EB" w:rsidRPr="2193DBD9">
        <w:rPr>
          <w:noProof/>
        </w:rPr>
        <w:t>EEA</w:t>
      </w:r>
      <w:r w:rsidRPr="2193DBD9">
        <w:rPr>
          <w:noProof/>
        </w:rPr>
        <w:t xml:space="preserve"> and the European Free Trade Association</w:t>
      </w:r>
      <w:r w:rsidR="2DB0907E" w:rsidRPr="2193DBD9">
        <w:rPr>
          <w:noProof/>
        </w:rPr>
        <w:t>.</w:t>
      </w:r>
    </w:p>
    <w:p w14:paraId="7874FAC8" w14:textId="77777777" w:rsidR="009E1F0E" w:rsidRDefault="005B0EDA" w:rsidP="00A610D1">
      <w:pPr>
        <w:pStyle w:val="Considrant"/>
        <w:rPr>
          <w:noProof/>
        </w:rPr>
      </w:pPr>
      <w:r w:rsidRPr="5176D132">
        <w:rPr>
          <w:noProof/>
        </w:rPr>
        <w:t>Regulation (EU) 2024/3012 of the European Parliament and of the Council</w:t>
      </w:r>
      <w:r>
        <w:rPr>
          <w:noProof/>
        </w:rPr>
        <w:t xml:space="preserve"> establishes a framework to certify carbon removals, carbon storage in products, and carbon farming in the Union. The CRCF Regulation provides for high-integrity transparency as regards the duration of carbon storage because carbon is only considered stored as long as the activity is monitored and subject to appropriate liability rules. To consider carbon storage from nature-based solutions as permanent, it will be necessary that sufficiently long-term monitoring of a carbon farming activity is ensured and that any liability for future reversals is taken on appropriately through enforceable financial, institutional, and contractual mechanisms, such as a permanence fund. Therefore, the Commission should examine the possible contribution of nature-based solutions </w:t>
      </w:r>
      <w:r w:rsidR="00B730FA">
        <w:rPr>
          <w:noProof/>
        </w:rPr>
        <w:t xml:space="preserve">and carbon farming </w:t>
      </w:r>
      <w:r>
        <w:rPr>
          <w:noProof/>
        </w:rPr>
        <w:t>to permanent removals in the context of the review of this Directive</w:t>
      </w:r>
      <w:r w:rsidR="1A83AEDB">
        <w:rPr>
          <w:noProof/>
        </w:rPr>
        <w:t>.</w:t>
      </w:r>
    </w:p>
    <w:p w14:paraId="01567E18" w14:textId="1A74C95E" w:rsidR="009E1F0E" w:rsidRPr="009E1F0E" w:rsidRDefault="575D96F3" w:rsidP="00974A73">
      <w:pPr>
        <w:pStyle w:val="Considrant"/>
        <w:rPr>
          <w:noProof/>
        </w:rPr>
      </w:pPr>
      <w:r w:rsidRPr="009E1F0E">
        <w:rPr>
          <w:noProof/>
          <w:lang w:val="en-IE" w:eastAsia="en-IE"/>
        </w:rPr>
        <w:t xml:space="preserve">The EU ETS is a meaningful tool for climate financing. Since 2013, it has generated substantial revenues, the majority of which are allocated to Member States, and </w:t>
      </w:r>
      <w:r w:rsidR="7D053DEA" w:rsidRPr="009E1F0E">
        <w:rPr>
          <w:noProof/>
          <w:lang w:val="en-IE" w:eastAsia="en-IE"/>
        </w:rPr>
        <w:t>it has</w:t>
      </w:r>
      <w:r w:rsidR="5252206F" w:rsidRPr="009E1F0E">
        <w:rPr>
          <w:noProof/>
          <w:lang w:val="en-IE" w:eastAsia="en-IE"/>
        </w:rPr>
        <w:t xml:space="preserve"> </w:t>
      </w:r>
      <w:r w:rsidRPr="009E1F0E">
        <w:rPr>
          <w:noProof/>
          <w:lang w:val="en-IE" w:eastAsia="en-IE"/>
        </w:rPr>
        <w:t>allocated free allowances of equally substantial value. To fully realise its potential, the revenues from the ETS must be deployed strategically to accelerate decarbonisation and thus bolster industrial competitiveness. While Member States have been required since June 2023 to allocate all ETS revenues to climate and energy purposes and to ensure transparency, current spending patterns reveal shortcomings. Critical areas, such as industrial decarbonisation—which accounts for a major share of EU emissions—receive disproportionately low funding, as do other areas</w:t>
      </w:r>
      <w:r w:rsidR="2AE4238A" w:rsidRPr="009E1F0E">
        <w:rPr>
          <w:noProof/>
          <w:lang w:val="en-IE" w:eastAsia="en-IE"/>
        </w:rPr>
        <w:t xml:space="preserve"> that are essential for decarbonisation</w:t>
      </w:r>
      <w:r w:rsidR="5252206F" w:rsidRPr="009E1F0E">
        <w:rPr>
          <w:noProof/>
          <w:lang w:val="en-IE" w:eastAsia="en-IE"/>
        </w:rPr>
        <w:t>.</w:t>
      </w:r>
      <w:r w:rsidRPr="009E1F0E">
        <w:rPr>
          <w:noProof/>
          <w:lang w:val="en-IE" w:eastAsia="en-IE"/>
        </w:rPr>
        <w:t xml:space="preserve"> Furthermore, some investments risk undermining climate neutrality by perpetuating dependencies on carbon-intensive technologies, </w:t>
      </w:r>
      <w:r w:rsidR="5AB5D920" w:rsidRPr="009E1F0E">
        <w:rPr>
          <w:noProof/>
          <w:lang w:val="en-IE" w:eastAsia="en-IE"/>
        </w:rPr>
        <w:t xml:space="preserve">thereby </w:t>
      </w:r>
      <w:r w:rsidRPr="009E1F0E">
        <w:rPr>
          <w:noProof/>
          <w:lang w:val="en-IE" w:eastAsia="en-IE"/>
        </w:rPr>
        <w:t xml:space="preserve">creating long-term lock-in effects. </w:t>
      </w:r>
    </w:p>
    <w:p w14:paraId="0355BC5B" w14:textId="77777777" w:rsidR="009E1F0E" w:rsidRDefault="5F9E623D" w:rsidP="00C379C3">
      <w:pPr>
        <w:pStyle w:val="Considrant"/>
        <w:rPr>
          <w:noProof/>
        </w:rPr>
      </w:pPr>
      <w:r w:rsidRPr="2193DBD9">
        <w:rPr>
          <w:noProof/>
        </w:rPr>
        <w:t xml:space="preserve">Industrial decarbonisation </w:t>
      </w:r>
      <w:r w:rsidR="6F84A273" w:rsidRPr="2193DBD9">
        <w:rPr>
          <w:noProof/>
        </w:rPr>
        <w:t>will require</w:t>
      </w:r>
      <w:r w:rsidRPr="2193DBD9">
        <w:rPr>
          <w:noProof/>
        </w:rPr>
        <w:t xml:space="preserve"> direct or indirect electrification of processes currently using fossil fuels</w:t>
      </w:r>
      <w:r w:rsidR="5239F057" w:rsidRPr="2193DBD9">
        <w:rPr>
          <w:noProof/>
        </w:rPr>
        <w:t xml:space="preserve"> including related investment needs of the energy system</w:t>
      </w:r>
      <w:r w:rsidRPr="2193DBD9">
        <w:rPr>
          <w:noProof/>
        </w:rPr>
        <w:t>. The Electrification Action Plan</w:t>
      </w:r>
      <w:r>
        <w:rPr>
          <w:rStyle w:val="FootnoteReference"/>
          <w:noProof/>
        </w:rPr>
        <w:footnoteReference w:id="62"/>
      </w:r>
      <w:r w:rsidRPr="2193DBD9">
        <w:rPr>
          <w:noProof/>
        </w:rPr>
        <w:t xml:space="preserve"> includes concrete measures to enable and accelerate affordable electrification of industry. Preparing the energy system for the additional demand from industrial decarbonisation projects, particularly around industrial clusters, is an urgent priority. Using national ETS revenues to support investments into strengthening the grid, into electricity storage and into other options that enhance power system flexibility as well as into accelerated planning and permitting at local and regional level will provide industry with affordable and reliable options to use electrification </w:t>
      </w:r>
      <w:r w:rsidR="5AB5D920" w:rsidRPr="2193DBD9">
        <w:rPr>
          <w:noProof/>
        </w:rPr>
        <w:t xml:space="preserve">in order </w:t>
      </w:r>
      <w:r w:rsidRPr="2193DBD9">
        <w:rPr>
          <w:noProof/>
        </w:rPr>
        <w:t>to decarbonise.</w:t>
      </w:r>
    </w:p>
    <w:p w14:paraId="074C74AF" w14:textId="77777777" w:rsidR="009E1F0E" w:rsidRPr="009E1F0E" w:rsidRDefault="575D96F3" w:rsidP="00FB04A7">
      <w:pPr>
        <w:pStyle w:val="Considrant"/>
        <w:rPr>
          <w:noProof/>
        </w:rPr>
      </w:pPr>
      <w:r w:rsidRPr="009E1F0E">
        <w:rPr>
          <w:noProof/>
          <w:lang w:val="en-IE" w:eastAsia="en-IE"/>
        </w:rPr>
        <w:t>To address th</w:t>
      </w:r>
      <w:r w:rsidR="2055E494" w:rsidRPr="009E1F0E">
        <w:rPr>
          <w:noProof/>
          <w:lang w:val="en-IE" w:eastAsia="en-IE"/>
        </w:rPr>
        <w:t>o</w:t>
      </w:r>
      <w:r w:rsidRPr="009E1F0E">
        <w:rPr>
          <w:noProof/>
          <w:lang w:val="en-IE" w:eastAsia="en-IE"/>
        </w:rPr>
        <w:t xml:space="preserve">se aspects, the Member States should be required to spend a minimum share of their revenues in priority </w:t>
      </w:r>
      <w:r w:rsidR="5239F057" w:rsidRPr="009E1F0E">
        <w:rPr>
          <w:noProof/>
          <w:lang w:val="en-IE" w:eastAsia="en-IE"/>
        </w:rPr>
        <w:t>purposes</w:t>
      </w:r>
      <w:r w:rsidRPr="009E1F0E">
        <w:rPr>
          <w:noProof/>
          <w:lang w:val="en-IE" w:eastAsia="en-IE"/>
        </w:rPr>
        <w:t>, focused on the decarbonisation of the ETS sectors</w:t>
      </w:r>
      <w:r w:rsidR="5239F057" w:rsidRPr="009E1F0E">
        <w:rPr>
          <w:noProof/>
          <w:lang w:val="en-IE" w:eastAsia="en-IE"/>
        </w:rPr>
        <w:t>, including related investment needs of the energy system</w:t>
      </w:r>
      <w:r w:rsidRPr="009E1F0E">
        <w:rPr>
          <w:noProof/>
          <w:lang w:val="en-IE" w:eastAsia="en-IE"/>
        </w:rPr>
        <w:t xml:space="preserve">. This should include investments in industrial decarbonisation (such as </w:t>
      </w:r>
      <w:r w:rsidR="23E91E9F" w:rsidRPr="009E1F0E">
        <w:rPr>
          <w:noProof/>
          <w:lang w:val="en-IE" w:eastAsia="en-IE"/>
        </w:rPr>
        <w:t xml:space="preserve">in </w:t>
      </w:r>
      <w:r w:rsidRPr="009E1F0E">
        <w:rPr>
          <w:noProof/>
          <w:lang w:val="en-IE" w:eastAsia="en-IE"/>
        </w:rPr>
        <w:t xml:space="preserve">steel, chemicals and </w:t>
      </w:r>
      <w:r w:rsidR="5AB5D920" w:rsidRPr="009E1F0E">
        <w:rPr>
          <w:noProof/>
          <w:lang w:val="en-IE" w:eastAsia="en-IE"/>
        </w:rPr>
        <w:t>fertilisers</w:t>
      </w:r>
      <w:r w:rsidR="312DB176" w:rsidRPr="009E1F0E">
        <w:rPr>
          <w:noProof/>
          <w:lang w:val="en-IE" w:eastAsia="en-IE"/>
        </w:rPr>
        <w:t xml:space="preserve"> - which play an important role to ensure food security</w:t>
      </w:r>
      <w:r w:rsidR="72F50F2F" w:rsidRPr="009E1F0E">
        <w:rPr>
          <w:noProof/>
          <w:lang w:val="en-IE" w:eastAsia="en-IE"/>
        </w:rPr>
        <w:t>)</w:t>
      </w:r>
      <w:r w:rsidR="312DB176" w:rsidRPr="009E1F0E">
        <w:rPr>
          <w:noProof/>
          <w:lang w:val="en-IE" w:eastAsia="en-IE"/>
        </w:rPr>
        <w:t xml:space="preserve"> -</w:t>
      </w:r>
      <w:r w:rsidR="56333304" w:rsidRPr="009E1F0E">
        <w:rPr>
          <w:noProof/>
          <w:lang w:val="en-IE" w:eastAsia="en-IE"/>
        </w:rPr>
        <w:t xml:space="preserve"> through electrification,</w:t>
      </w:r>
      <w:r w:rsidRPr="009E1F0E">
        <w:rPr>
          <w:noProof/>
          <w:lang w:val="en-IE" w:eastAsia="en-IE"/>
        </w:rPr>
        <w:t xml:space="preserve"> carbon capture, utilisation, and storage, and </w:t>
      </w:r>
      <w:r w:rsidR="06330155" w:rsidRPr="009E1F0E">
        <w:rPr>
          <w:noProof/>
          <w:lang w:val="en-IE" w:eastAsia="en-IE"/>
        </w:rPr>
        <w:t xml:space="preserve">other </w:t>
      </w:r>
      <w:r w:rsidRPr="009E1F0E">
        <w:rPr>
          <w:noProof/>
          <w:lang w:val="en-IE" w:eastAsia="en-IE"/>
        </w:rPr>
        <w:t>clean technologies</w:t>
      </w:r>
      <w:r w:rsidR="72F50F2F" w:rsidRPr="009E1F0E">
        <w:rPr>
          <w:noProof/>
          <w:lang w:val="en-IE" w:eastAsia="en-IE"/>
        </w:rPr>
        <w:t>;</w:t>
      </w:r>
      <w:r w:rsidRPr="009E1F0E">
        <w:rPr>
          <w:noProof/>
          <w:lang w:val="en-IE" w:eastAsia="en-IE"/>
        </w:rPr>
        <w:t xml:space="preserve"> </w:t>
      </w:r>
      <w:r w:rsidRPr="009E1F0E">
        <w:rPr>
          <w:noProof/>
          <w:lang w:val="en-IE"/>
        </w:rPr>
        <w:t>clean</w:t>
      </w:r>
      <w:r w:rsidR="009A6D97" w:rsidRPr="009E1F0E">
        <w:rPr>
          <w:noProof/>
          <w:lang w:val="en-IE"/>
        </w:rPr>
        <w:t xml:space="preserve"> energy</w:t>
      </w:r>
      <w:r w:rsidRPr="009E1F0E">
        <w:rPr>
          <w:noProof/>
          <w:lang w:val="en-IE"/>
        </w:rPr>
        <w:t xml:space="preserve"> sources</w:t>
      </w:r>
      <w:r w:rsidRPr="009E1F0E">
        <w:rPr>
          <w:noProof/>
          <w:lang w:val="en-IE" w:eastAsia="en-IE"/>
        </w:rPr>
        <w:t xml:space="preserve"> and grid infrastructure</w:t>
      </w:r>
      <w:r w:rsidR="72F50F2F" w:rsidRPr="009E1F0E">
        <w:rPr>
          <w:noProof/>
          <w:lang w:val="en-IE" w:eastAsia="en-IE"/>
        </w:rPr>
        <w:t>;</w:t>
      </w:r>
      <w:r w:rsidRPr="009E1F0E">
        <w:rPr>
          <w:noProof/>
          <w:lang w:val="en-IE" w:eastAsia="en-IE"/>
        </w:rPr>
        <w:t xml:space="preserve"> low-carbon transport (particularly in maritime and aviation)</w:t>
      </w:r>
      <w:r w:rsidR="72F50F2F" w:rsidRPr="009E1F0E">
        <w:rPr>
          <w:noProof/>
          <w:lang w:val="en-IE" w:eastAsia="en-IE"/>
        </w:rPr>
        <w:t>;</w:t>
      </w:r>
      <w:r w:rsidRPr="009E1F0E">
        <w:rPr>
          <w:noProof/>
          <w:lang w:val="en-IE" w:eastAsia="en-IE"/>
        </w:rPr>
        <w:t xml:space="preserve"> waste management decarbonisation</w:t>
      </w:r>
      <w:r w:rsidR="72F50F2F" w:rsidRPr="009E1F0E">
        <w:rPr>
          <w:noProof/>
          <w:lang w:val="en-IE" w:eastAsia="en-IE"/>
        </w:rPr>
        <w:t xml:space="preserve"> and circularity measure</w:t>
      </w:r>
      <w:r w:rsidR="7832C77C" w:rsidRPr="009E1F0E">
        <w:rPr>
          <w:noProof/>
          <w:lang w:val="en-IE" w:eastAsia="en-IE"/>
        </w:rPr>
        <w:t>s</w:t>
      </w:r>
      <w:r w:rsidR="72F50F2F" w:rsidRPr="009E1F0E">
        <w:rPr>
          <w:noProof/>
          <w:lang w:val="en-IE" w:eastAsia="en-IE"/>
        </w:rPr>
        <w:t xml:space="preserve"> to decarbonise ETS sectors;</w:t>
      </w:r>
      <w:r w:rsidRPr="009E1F0E">
        <w:rPr>
          <w:noProof/>
          <w:lang w:val="en-IE" w:eastAsia="en-IE"/>
        </w:rPr>
        <w:t xml:space="preserve"> </w:t>
      </w:r>
      <w:r w:rsidR="00DB163B">
        <w:rPr>
          <w:noProof/>
        </w:rPr>
        <w:t>the development of lead markets for low-carbon</w:t>
      </w:r>
      <w:r w:rsidR="00DB163B" w:rsidRPr="2193DBD9">
        <w:rPr>
          <w:noProof/>
        </w:rPr>
        <w:t xml:space="preserve"> and circular</w:t>
      </w:r>
      <w:r w:rsidR="00DB163B">
        <w:rPr>
          <w:noProof/>
        </w:rPr>
        <w:t xml:space="preserve"> products (such as bio-based fertilisers, bio-based chemicals and green steel) </w:t>
      </w:r>
      <w:r w:rsidR="00DB163B" w:rsidRPr="001F0F80">
        <w:rPr>
          <w:noProof/>
        </w:rPr>
        <w:t>which also benefit end-users such as farmers</w:t>
      </w:r>
      <w:r w:rsidR="00DB163B">
        <w:rPr>
          <w:noProof/>
        </w:rPr>
        <w:t>;</w:t>
      </w:r>
      <w:r w:rsidR="00DB163B" w:rsidRPr="009E1F0E">
        <w:rPr>
          <w:noProof/>
          <w:lang w:val="en-IE" w:eastAsia="en-IE"/>
        </w:rPr>
        <w:t xml:space="preserve"> </w:t>
      </w:r>
      <w:r w:rsidRPr="009E1F0E">
        <w:rPr>
          <w:noProof/>
          <w:lang w:val="en-IE" w:eastAsia="en-IE"/>
        </w:rPr>
        <w:t xml:space="preserve">and research and innovation in these fields. </w:t>
      </w:r>
      <w:r w:rsidR="4433FCB9" w:rsidRPr="009E1F0E">
        <w:rPr>
          <w:noProof/>
          <w:lang w:val="en-IE" w:eastAsia="en-IE"/>
        </w:rPr>
        <w:t xml:space="preserve">Priority should be given to the electrification of industrial process heat where technically feasible, enhancing energy security. </w:t>
      </w:r>
      <w:r w:rsidR="4E1F8EFF" w:rsidRPr="009E1F0E">
        <w:rPr>
          <w:noProof/>
          <w:lang w:val="en-IE" w:eastAsia="en-IE"/>
        </w:rPr>
        <w:t xml:space="preserve">Regarding </w:t>
      </w:r>
      <w:r w:rsidR="5AB5D920" w:rsidRPr="009E1F0E">
        <w:rPr>
          <w:noProof/>
          <w:lang w:val="en-IE" w:eastAsia="en-IE"/>
        </w:rPr>
        <w:t>fertilisers</w:t>
      </w:r>
      <w:r w:rsidR="4E1F8EFF" w:rsidRPr="009E1F0E">
        <w:rPr>
          <w:noProof/>
          <w:lang w:val="en-IE" w:eastAsia="en-IE"/>
        </w:rPr>
        <w:t xml:space="preserve">, investment should in particular support end-users in the uptake of bio-based, organic and circular </w:t>
      </w:r>
      <w:r w:rsidR="5AB5D920" w:rsidRPr="009E1F0E">
        <w:rPr>
          <w:noProof/>
          <w:lang w:val="en-IE" w:eastAsia="en-IE"/>
        </w:rPr>
        <w:t>fertilisers</w:t>
      </w:r>
      <w:r w:rsidR="13F8F767" w:rsidRPr="009E1F0E">
        <w:rPr>
          <w:noProof/>
          <w:lang w:val="en-IE" w:eastAsia="en-IE"/>
        </w:rPr>
        <w:t>,</w:t>
      </w:r>
      <w:r w:rsidR="13F8F767">
        <w:rPr>
          <w:noProof/>
        </w:rPr>
        <w:t xml:space="preserve"> in line with the Fertilizer Action Plan</w:t>
      </w:r>
      <w:r w:rsidR="000D4BF6" w:rsidRPr="5FA50815">
        <w:rPr>
          <w:rStyle w:val="FootnoteReference"/>
          <w:noProof/>
        </w:rPr>
        <w:footnoteReference w:id="63"/>
      </w:r>
      <w:r w:rsidR="4E1F8EFF" w:rsidRPr="009E1F0E">
        <w:rPr>
          <w:noProof/>
          <w:lang w:val="en-IE" w:eastAsia="en-IE"/>
        </w:rPr>
        <w:t>.</w:t>
      </w:r>
      <w:r w:rsidR="4443BB6C" w:rsidRPr="009E1F0E">
        <w:rPr>
          <w:noProof/>
          <w:lang w:val="en-IE" w:eastAsia="en-IE"/>
        </w:rPr>
        <w:t xml:space="preserve"> </w:t>
      </w:r>
      <w:r w:rsidR="6131F30E" w:rsidRPr="009E1F0E">
        <w:rPr>
          <w:noProof/>
          <w:lang w:val="en-IE" w:eastAsia="en-IE"/>
        </w:rPr>
        <w:t>As regards nature-based solutions contributing to decarbonisation, Member States should take into account the priorities, measures and financing needs identified in national restoration plans established pursuant to Regulation (EU) 2024/1991</w:t>
      </w:r>
      <w:r w:rsidR="666CC2AC" w:rsidRPr="009E1F0E">
        <w:rPr>
          <w:noProof/>
          <w:lang w:val="en-IE" w:eastAsia="en-IE"/>
        </w:rPr>
        <w:t>.</w:t>
      </w:r>
      <w:r w:rsidR="4E1F8EFF" w:rsidRPr="009E1F0E">
        <w:rPr>
          <w:noProof/>
          <w:lang w:val="en-IE" w:eastAsia="en-IE"/>
        </w:rPr>
        <w:t xml:space="preserve"> </w:t>
      </w:r>
      <w:r w:rsidRPr="009E1F0E">
        <w:rPr>
          <w:noProof/>
          <w:lang w:val="en-IE" w:eastAsia="en-IE"/>
        </w:rPr>
        <w:t xml:space="preserve">Additionally, investments should only be </w:t>
      </w:r>
      <w:r w:rsidR="20C6A01F" w:rsidRPr="009E1F0E">
        <w:rPr>
          <w:noProof/>
          <w:lang w:val="en-IE" w:eastAsia="en-IE"/>
        </w:rPr>
        <w:t xml:space="preserve">possible </w:t>
      </w:r>
      <w:r w:rsidRPr="009E1F0E">
        <w:rPr>
          <w:noProof/>
          <w:lang w:val="en-IE" w:eastAsia="en-IE"/>
        </w:rPr>
        <w:t>where they are aligned with the Union’s long-term climate goals, excluding those prolonging reliance on fossil fuels</w:t>
      </w:r>
      <w:r w:rsidR="4B16A4F7" w:rsidRPr="009E1F0E">
        <w:rPr>
          <w:noProof/>
          <w:lang w:val="en-IE" w:eastAsia="en-IE"/>
        </w:rPr>
        <w:t xml:space="preserve"> in power generation</w:t>
      </w:r>
      <w:r w:rsidRPr="009E1F0E">
        <w:rPr>
          <w:noProof/>
          <w:lang w:val="en-IE" w:eastAsia="en-IE"/>
        </w:rPr>
        <w:t>. Member States should also have the option to use the revenues to top-up ETS financing mechanisms.</w:t>
      </w:r>
    </w:p>
    <w:p w14:paraId="723D3E14" w14:textId="77777777" w:rsidR="009E1F0E" w:rsidRDefault="575D96F3" w:rsidP="006601F6">
      <w:pPr>
        <w:pStyle w:val="Considrant"/>
        <w:rPr>
          <w:noProof/>
          <w:lang w:val="en-IE" w:eastAsia="en-IE"/>
        </w:rPr>
      </w:pPr>
      <w:r>
        <w:rPr>
          <w:noProof/>
        </w:rPr>
        <w:t xml:space="preserve">Transparency and visibility regarding the use of auction revenues is essential to ensure the acceptability and credibility of the Union’s climate policies. </w:t>
      </w:r>
      <w:r w:rsidRPr="009E1F0E">
        <w:rPr>
          <w:noProof/>
          <w:lang w:val="en-IE" w:eastAsia="en-IE"/>
        </w:rPr>
        <w:t>Member States should be oblig</w:t>
      </w:r>
      <w:r w:rsidR="2055E494" w:rsidRPr="009E1F0E">
        <w:rPr>
          <w:noProof/>
          <w:lang w:val="en-IE" w:eastAsia="en-IE"/>
        </w:rPr>
        <w:t>ed</w:t>
      </w:r>
      <w:r w:rsidRPr="009E1F0E">
        <w:rPr>
          <w:noProof/>
          <w:lang w:val="en-IE" w:eastAsia="en-IE"/>
        </w:rPr>
        <w:t xml:space="preserve"> to publicly communicate the origin of ETS-funded measures through multiple channels, such as project documentation and public displays. </w:t>
      </w:r>
      <w:r w:rsidR="5252206F" w:rsidRPr="009E1F0E">
        <w:rPr>
          <w:noProof/>
          <w:lang w:val="en-IE" w:eastAsia="en-IE"/>
        </w:rPr>
        <w:t xml:space="preserve">The </w:t>
      </w:r>
      <w:r w:rsidR="6B3FDEA9" w:rsidRPr="009E1F0E">
        <w:rPr>
          <w:noProof/>
          <w:lang w:val="en-IE" w:eastAsia="en-IE"/>
        </w:rPr>
        <w:t>use of the</w:t>
      </w:r>
      <w:r w:rsidRPr="009E1F0E">
        <w:rPr>
          <w:noProof/>
          <w:lang w:val="en-IE" w:eastAsia="en-IE"/>
        </w:rPr>
        <w:t xml:space="preserve"> standardised EU label will be a key tool to achieve this visibility.</w:t>
      </w:r>
      <w:r w:rsidR="4647FA5B" w:rsidRPr="009E1F0E">
        <w:rPr>
          <w:noProof/>
          <w:lang w:val="en-IE" w:eastAsia="en-IE"/>
        </w:rPr>
        <w:t xml:space="preserve"> </w:t>
      </w:r>
      <w:r w:rsidR="7CC5D304" w:rsidRPr="009E1F0E">
        <w:rPr>
          <w:noProof/>
          <w:lang w:val="en-IE" w:eastAsia="en-IE"/>
        </w:rPr>
        <w:t xml:space="preserve">Such </w:t>
      </w:r>
      <w:r w:rsidR="3D20A21C" w:rsidRPr="009E1F0E">
        <w:rPr>
          <w:noProof/>
          <w:lang w:val="en-IE" w:eastAsia="en-IE"/>
        </w:rPr>
        <w:t xml:space="preserve">reforms on the use of auction revenues should be complemented by amendments to </w:t>
      </w:r>
      <w:r w:rsidR="4DE81896" w:rsidRPr="009E1F0E">
        <w:rPr>
          <w:noProof/>
          <w:lang w:val="en-IE" w:eastAsia="en-IE"/>
        </w:rPr>
        <w:t>Regulation (EU) 2018/1999 of the European Parliament and of the Council</w:t>
      </w:r>
      <w:r w:rsidR="008E53A8" w:rsidRPr="00D16225">
        <w:rPr>
          <w:rStyle w:val="FootnoteReference"/>
          <w:noProof/>
          <w:lang w:val="en-IE" w:eastAsia="en-IE"/>
        </w:rPr>
        <w:footnoteReference w:id="64"/>
      </w:r>
      <w:r w:rsidR="3D20A21C" w:rsidRPr="009E1F0E">
        <w:rPr>
          <w:noProof/>
          <w:lang w:val="en-IE" w:eastAsia="en-IE"/>
        </w:rPr>
        <w:t>,</w:t>
      </w:r>
      <w:r w:rsidR="7CC5D304" w:rsidRPr="009E1F0E">
        <w:rPr>
          <w:noProof/>
          <w:lang w:val="en-IE" w:eastAsia="en-IE"/>
        </w:rPr>
        <w:t xml:space="preserve"> which will </w:t>
      </w:r>
      <w:r w:rsidR="3D20A21C" w:rsidRPr="009E1F0E">
        <w:rPr>
          <w:noProof/>
          <w:lang w:val="en-IE" w:eastAsia="en-IE"/>
        </w:rPr>
        <w:t xml:space="preserve"> </w:t>
      </w:r>
      <w:r w:rsidR="7CC5D304" w:rsidRPr="009E1F0E">
        <w:rPr>
          <w:noProof/>
          <w:lang w:val="en-IE" w:eastAsia="en-IE"/>
        </w:rPr>
        <w:t xml:space="preserve">require </w:t>
      </w:r>
      <w:r w:rsidR="3D20A21C" w:rsidRPr="009E1F0E">
        <w:rPr>
          <w:noProof/>
          <w:lang w:val="en-IE" w:eastAsia="en-IE"/>
        </w:rPr>
        <w:t>Member States to integrate their planned use of ETS auction revenues into their National Energy and Climate Plans (NECPs). This ex-ante planning obligation will ensure strategic alignment with national and EU-wide climate targets, facilitate greater stakeholder participation and improve monitoring, public scrutiny, and visibility.</w:t>
      </w:r>
    </w:p>
    <w:p w14:paraId="395113D7" w14:textId="0D5DE050" w:rsidR="009E1F0E" w:rsidRPr="009E1F0E" w:rsidRDefault="575D96F3" w:rsidP="00C65A35">
      <w:pPr>
        <w:pStyle w:val="Considrant"/>
        <w:rPr>
          <w:noProof/>
          <w:lang w:val="en-IE" w:eastAsia="en-IE"/>
        </w:rPr>
      </w:pPr>
      <w:r w:rsidRPr="009E1F0E">
        <w:rPr>
          <w:rFonts w:eastAsia="Times New Roman"/>
          <w:noProof/>
          <w:lang w:val="en-IE" w:eastAsia="en-IE"/>
        </w:rPr>
        <w:t>Member States report yearly to the Commission on the implementation of Directive 2003/87/EC pursuant to Article 21</w:t>
      </w:r>
      <w:r w:rsidR="027EC7B0" w:rsidRPr="009E1F0E">
        <w:rPr>
          <w:rFonts w:eastAsia="Times New Roman"/>
          <w:noProof/>
          <w:lang w:val="en-IE" w:eastAsia="en-IE"/>
        </w:rPr>
        <w:t xml:space="preserve"> thereof</w:t>
      </w:r>
      <w:r w:rsidRPr="009E1F0E">
        <w:rPr>
          <w:rFonts w:eastAsia="Times New Roman"/>
          <w:noProof/>
          <w:lang w:val="en-IE" w:eastAsia="en-IE"/>
        </w:rPr>
        <w:t>. On this basis, the Commission publishes a report on the functioning of the European carbon market. Th</w:t>
      </w:r>
      <w:r w:rsidR="6B3B4816" w:rsidRPr="009E1F0E">
        <w:rPr>
          <w:rFonts w:eastAsia="Times New Roman"/>
          <w:noProof/>
          <w:lang w:val="en-IE" w:eastAsia="en-IE"/>
        </w:rPr>
        <w:t xml:space="preserve">e </w:t>
      </w:r>
      <w:r w:rsidRPr="009E1F0E">
        <w:rPr>
          <w:rFonts w:eastAsia="Times New Roman"/>
          <w:noProof/>
          <w:lang w:val="en-IE" w:eastAsia="en-IE"/>
        </w:rPr>
        <w:t>use of the reported</w:t>
      </w:r>
      <w:r w:rsidR="5252206F" w:rsidRPr="009E1F0E">
        <w:rPr>
          <w:rFonts w:eastAsia="Times New Roman"/>
          <w:noProof/>
          <w:lang w:val="en-IE" w:eastAsia="en-IE"/>
        </w:rPr>
        <w:t xml:space="preserve"> </w:t>
      </w:r>
      <w:r w:rsidR="14CCE29E" w:rsidRPr="009E1F0E">
        <w:rPr>
          <w:rFonts w:eastAsia="Times New Roman"/>
          <w:noProof/>
          <w:lang w:val="en-IE" w:eastAsia="en-IE"/>
        </w:rPr>
        <w:t>data in this way</w:t>
      </w:r>
      <w:r w:rsidRPr="009E1F0E">
        <w:rPr>
          <w:rFonts w:eastAsia="Times New Roman"/>
          <w:noProof/>
          <w:lang w:val="en-IE" w:eastAsia="en-IE"/>
        </w:rPr>
        <w:t xml:space="preserve"> should therefore be clarified through </w:t>
      </w:r>
      <w:r w:rsidR="19CD7F66" w:rsidRPr="009E1F0E">
        <w:rPr>
          <w:rFonts w:eastAsia="Times New Roman"/>
          <w:noProof/>
          <w:lang w:val="en-IE" w:eastAsia="en-IE"/>
        </w:rPr>
        <w:t xml:space="preserve">the addition of a </w:t>
      </w:r>
      <w:r w:rsidRPr="009E1F0E">
        <w:rPr>
          <w:rFonts w:eastAsia="Times New Roman"/>
          <w:noProof/>
          <w:lang w:val="en-IE" w:eastAsia="en-IE"/>
        </w:rPr>
        <w:t>reference to Article 21(1) in Article 10(5)</w:t>
      </w:r>
      <w:r w:rsidR="19CD7F66" w:rsidRPr="009E1F0E">
        <w:rPr>
          <w:rFonts w:eastAsia="Times New Roman"/>
          <w:noProof/>
          <w:lang w:val="en-IE" w:eastAsia="en-IE"/>
        </w:rPr>
        <w:t xml:space="preserve"> of that Directive</w:t>
      </w:r>
      <w:r w:rsidRPr="009E1F0E">
        <w:rPr>
          <w:rFonts w:eastAsia="Times New Roman"/>
          <w:noProof/>
          <w:lang w:val="en-IE" w:eastAsia="en-IE"/>
        </w:rPr>
        <w:t xml:space="preserve">. In order to align with existing practice, a yearly reporting deadline </w:t>
      </w:r>
      <w:r w:rsidR="5E49F163" w:rsidRPr="009E1F0E">
        <w:rPr>
          <w:rFonts w:eastAsia="Times New Roman"/>
          <w:noProof/>
          <w:lang w:val="en-IE" w:eastAsia="en-IE"/>
        </w:rPr>
        <w:t xml:space="preserve">of </w:t>
      </w:r>
      <w:r w:rsidRPr="009E1F0E">
        <w:rPr>
          <w:rFonts w:eastAsia="Times New Roman"/>
          <w:noProof/>
          <w:lang w:val="en-IE" w:eastAsia="en-IE"/>
        </w:rPr>
        <w:t>30 June should be set. The Commission should publish the report on the functioning of the European carbon market</w:t>
      </w:r>
      <w:r w:rsidRPr="009E1F0E">
        <w:rPr>
          <w:rFonts w:eastAsia="Times New Roman"/>
          <w:noProof/>
          <w:lang w:eastAsia="en-IE"/>
        </w:rPr>
        <w:t xml:space="preserve"> within six months of receiving the relevant information and reports from the Member States.</w:t>
      </w:r>
      <w:r w:rsidRPr="009E1F0E">
        <w:rPr>
          <w:rFonts w:eastAsia="Times New Roman"/>
          <w:noProof/>
          <w:lang w:val="en-IE" w:eastAsia="en-IE"/>
        </w:rPr>
        <w:t xml:space="preserve"> Besides the publishing of this report, the self-standing reporting obligation for the Commission under Article 21 should be deleted</w:t>
      </w:r>
      <w:r w:rsidR="413DE635" w:rsidRPr="009E1F0E">
        <w:rPr>
          <w:rFonts w:eastAsia="Times New Roman"/>
          <w:noProof/>
          <w:lang w:val="en-IE" w:eastAsia="en-IE"/>
        </w:rPr>
        <w:t xml:space="preserve"> to </w:t>
      </w:r>
      <w:r w:rsidR="5D19E016" w:rsidRPr="009E1F0E">
        <w:rPr>
          <w:rFonts w:eastAsia="Times New Roman"/>
          <w:noProof/>
          <w:lang w:val="en-IE" w:eastAsia="en-IE"/>
        </w:rPr>
        <w:t>reduce</w:t>
      </w:r>
      <w:r w:rsidR="50A70079" w:rsidRPr="009E1F0E">
        <w:rPr>
          <w:rFonts w:eastAsia="Times New Roman"/>
          <w:noProof/>
          <w:lang w:val="en-IE" w:eastAsia="en-IE"/>
        </w:rPr>
        <w:t xml:space="preserve"> </w:t>
      </w:r>
      <w:r w:rsidR="5D19E016" w:rsidRPr="009E1F0E">
        <w:rPr>
          <w:rFonts w:eastAsia="Times New Roman"/>
          <w:noProof/>
          <w:lang w:val="en-IE" w:eastAsia="en-IE"/>
        </w:rPr>
        <w:t>administrative burden</w:t>
      </w:r>
      <w:r w:rsidR="5252206F" w:rsidRPr="009E1F0E">
        <w:rPr>
          <w:rFonts w:eastAsia="Times New Roman"/>
          <w:noProof/>
          <w:lang w:val="en-IE" w:eastAsia="en-IE"/>
        </w:rPr>
        <w:t>.</w:t>
      </w:r>
      <w:r w:rsidRPr="009E1F0E">
        <w:rPr>
          <w:rFonts w:eastAsia="Times New Roman"/>
          <w:noProof/>
          <w:lang w:val="en-IE" w:eastAsia="en-IE"/>
        </w:rPr>
        <w:t xml:space="preserve"> The exchange of information organised by the Commission pursuant to Article 21(5) should no longer concern the use of </w:t>
      </w:r>
      <w:r w:rsidR="78B79BA2" w:rsidRPr="009E1F0E">
        <w:rPr>
          <w:rFonts w:eastAsia="Times New Roman"/>
          <w:noProof/>
          <w:lang w:val="en-IE" w:eastAsia="en-IE"/>
        </w:rPr>
        <w:t>Emission Reduction Units from Joint Implementation (JI) and Certified Emission Reduction from Clean Development Mechanism (CDM)</w:t>
      </w:r>
      <w:r w:rsidR="1E46C49E" w:rsidRPr="009E1F0E">
        <w:rPr>
          <w:rFonts w:eastAsia="Times New Roman"/>
          <w:noProof/>
          <w:lang w:val="en-IE" w:eastAsia="en-IE"/>
        </w:rPr>
        <w:t xml:space="preserve"> </w:t>
      </w:r>
      <w:r w:rsidRPr="009E1F0E">
        <w:rPr>
          <w:rFonts w:eastAsia="Times New Roman"/>
          <w:noProof/>
          <w:lang w:val="en-IE" w:eastAsia="en-IE"/>
        </w:rPr>
        <w:t xml:space="preserve">in the EU ETS as the </w:t>
      </w:r>
      <w:r w:rsidR="78B79BA2" w:rsidRPr="009E1F0E">
        <w:rPr>
          <w:rFonts w:eastAsia="Times New Roman"/>
          <w:noProof/>
          <w:lang w:val="en-IE" w:eastAsia="en-IE"/>
        </w:rPr>
        <w:t>CDM and JI</w:t>
      </w:r>
      <w:r w:rsidRPr="009E1F0E">
        <w:rPr>
          <w:rFonts w:eastAsia="Times New Roman"/>
          <w:noProof/>
          <w:lang w:val="en-IE" w:eastAsia="en-IE"/>
        </w:rPr>
        <w:t xml:space="preserve"> have been replaced with the new market mechanism established under the Paris Agreement.</w:t>
      </w:r>
    </w:p>
    <w:p w14:paraId="39B2C59D" w14:textId="77777777" w:rsidR="009E1F0E" w:rsidRDefault="575D96F3" w:rsidP="00BC317C">
      <w:pPr>
        <w:pStyle w:val="Considrant"/>
        <w:rPr>
          <w:noProof/>
          <w:lang w:val="en-IE" w:eastAsia="en-IE"/>
        </w:rPr>
      </w:pPr>
      <w:r w:rsidRPr="009E1F0E">
        <w:rPr>
          <w:noProof/>
          <w:lang w:val="en-IE" w:eastAsia="en-GB"/>
        </w:rPr>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w:t>
      </w:r>
      <w:r w:rsidR="620EF3A3" w:rsidRPr="009E1F0E">
        <w:rPr>
          <w:noProof/>
          <w:lang w:val="en-IE" w:eastAsia="en-GB"/>
        </w:rPr>
        <w:t xml:space="preserve">For the State aid guideline post-2030, the Commission will assess how to incentivise economically viable decarbonisation, while not undermining the carbon leakage objective of the support. </w:t>
      </w:r>
      <w:r w:rsidRPr="009E1F0E">
        <w:rPr>
          <w:noProof/>
          <w:lang w:val="en-IE" w:eastAsia="en-GB"/>
        </w:rPr>
        <w:t>The emission factors used to calculate compensation should reflect the emission intensity of the relevant electricity production mix</w:t>
      </w:r>
      <w:r w:rsidR="255FF760" w:rsidRPr="009E1F0E">
        <w:rPr>
          <w:noProof/>
          <w:lang w:val="en-IE" w:eastAsia="en-GB"/>
        </w:rPr>
        <w:t xml:space="preserve"> </w:t>
      </w:r>
      <w:r w:rsidR="113E696C" w:rsidRPr="009E1F0E">
        <w:rPr>
          <w:noProof/>
          <w:lang w:val="en-IE" w:eastAsia="en-GB"/>
        </w:rPr>
        <w:t>in the respective geographic area</w:t>
      </w:r>
      <w:r w:rsidR="255FF760" w:rsidRPr="2193DBD9">
        <w:rPr>
          <w:noProof/>
        </w:rPr>
        <w:t xml:space="preserve"> </w:t>
      </w:r>
      <w:r w:rsidR="2B57E5CD" w:rsidRPr="2193DBD9">
        <w:rPr>
          <w:noProof/>
        </w:rPr>
        <w:t xml:space="preserve">with a view to </w:t>
      </w:r>
      <w:r w:rsidR="255FF760" w:rsidRPr="009E1F0E">
        <w:rPr>
          <w:noProof/>
          <w:lang w:val="en-IE" w:eastAsia="en-GB"/>
        </w:rPr>
        <w:t>taking into consideration where possible the role of fossil and non-fossil sources in the setting of electricity prices</w:t>
      </w:r>
      <w:r w:rsidRPr="009E1F0E">
        <w:rPr>
          <w:noProof/>
          <w:lang w:val="en-IE" w:eastAsia="en-GB"/>
        </w:rPr>
        <w:t xml:space="preserve">. To streamline administrative processes, reporting on indirect cost compensation should be integrated into the broader reporting obligations on the use of auction revenues under </w:t>
      </w:r>
      <w:r w:rsidR="607615B3" w:rsidRPr="009E1F0E">
        <w:rPr>
          <w:noProof/>
          <w:lang w:val="en-IE" w:eastAsia="en-GB"/>
        </w:rPr>
        <w:t>Regulation (EU) 2018/1999</w:t>
      </w:r>
      <w:r w:rsidRPr="009E1F0E">
        <w:rPr>
          <w:noProof/>
          <w:lang w:val="en-IE" w:eastAsia="en-GB"/>
        </w:rPr>
        <w:t>.</w:t>
      </w:r>
    </w:p>
    <w:p w14:paraId="3C53970A" w14:textId="77777777" w:rsidR="009E1F0E" w:rsidRDefault="226AB725" w:rsidP="00171ADB">
      <w:pPr>
        <w:pStyle w:val="Considrant"/>
        <w:rPr>
          <w:noProof/>
        </w:rPr>
      </w:pPr>
      <w:r w:rsidRPr="2193DBD9">
        <w:rPr>
          <w:noProof/>
        </w:rPr>
        <w:t>Directive (EU) 2023/959 effecte</w:t>
      </w:r>
      <w:r w:rsidR="2C239119" w:rsidRPr="2193DBD9">
        <w:rPr>
          <w:noProof/>
        </w:rPr>
        <w:t>d t</w:t>
      </w:r>
      <w:r w:rsidR="575D96F3" w:rsidRPr="2193DBD9">
        <w:rPr>
          <w:noProof/>
        </w:rPr>
        <w:t xml:space="preserve">he revision of the EU ETS legislative framework </w:t>
      </w:r>
      <w:r w:rsidR="2C239119" w:rsidRPr="2193DBD9">
        <w:rPr>
          <w:noProof/>
        </w:rPr>
        <w:t xml:space="preserve">by </w:t>
      </w:r>
      <w:r w:rsidR="575D96F3" w:rsidRPr="2193DBD9">
        <w:rPr>
          <w:noProof/>
        </w:rPr>
        <w:t>introduc</w:t>
      </w:r>
      <w:r w:rsidR="2C239119" w:rsidRPr="2193DBD9">
        <w:rPr>
          <w:noProof/>
        </w:rPr>
        <w:t>ing</w:t>
      </w:r>
      <w:r w:rsidR="575D96F3" w:rsidRPr="2193DBD9">
        <w:rPr>
          <w:noProof/>
        </w:rPr>
        <w:t xml:space="preserve"> conditionalities for free allocation linked to the implementation of energy efficiency recommendations from energy audits, </w:t>
      </w:r>
      <w:r w:rsidR="6CE59607" w:rsidRPr="2193DBD9">
        <w:rPr>
          <w:noProof/>
        </w:rPr>
        <w:t xml:space="preserve">and </w:t>
      </w:r>
      <w:r w:rsidR="575D96F3" w:rsidRPr="2193DBD9">
        <w:rPr>
          <w:noProof/>
        </w:rPr>
        <w:t>obligations to establish climate-neutrality plans for district heating and for the 20% least efficient installations under each ETS product benchmark. Building on the experience of conditionalities relating to district heating</w:t>
      </w:r>
      <w:r w:rsidR="7CD985C0" w:rsidRPr="2193DBD9">
        <w:rPr>
          <w:noProof/>
        </w:rPr>
        <w:t>,</w:t>
      </w:r>
      <w:r w:rsidR="575D96F3" w:rsidRPr="2193DBD9">
        <w:rPr>
          <w:noProof/>
        </w:rPr>
        <w:t xml:space="preserve"> and in view of aligning with the climate neutrality ambition of the EU, starting from the five-year period for free allocation beginning on 1 January 2031, free allocation in the EU ETS should, as a principle, become conditional on establishing a</w:t>
      </w:r>
      <w:r w:rsidR="51E27475" w:rsidRPr="2193DBD9">
        <w:rPr>
          <w:noProof/>
        </w:rPr>
        <w:t xml:space="preserve"> plan to invest in decarbonisation in the EU (‘Invest in EU decarbonisation plan’) </w:t>
      </w:r>
      <w:r w:rsidR="575D96F3" w:rsidRPr="2193DBD9">
        <w:rPr>
          <w:noProof/>
        </w:rPr>
        <w:t xml:space="preserve">and </w:t>
      </w:r>
      <w:r w:rsidR="51E27475" w:rsidRPr="2193DBD9">
        <w:rPr>
          <w:noProof/>
        </w:rPr>
        <w:t xml:space="preserve">to </w:t>
      </w:r>
      <w:r w:rsidR="575D96F3" w:rsidRPr="2193DBD9">
        <w:rPr>
          <w:noProof/>
        </w:rPr>
        <w:t xml:space="preserve">implementing decarbonisation investments that lead </w:t>
      </w:r>
      <w:r w:rsidR="51E27475" w:rsidRPr="2193DBD9">
        <w:rPr>
          <w:noProof/>
        </w:rPr>
        <w:t xml:space="preserve">to </w:t>
      </w:r>
      <w:r w:rsidR="575D96F3" w:rsidRPr="2193DBD9">
        <w:rPr>
          <w:noProof/>
        </w:rPr>
        <w:t>increased homegrown production of decarbonised and low carbon products as well as to significant reductions in overall climate impacts, including emissions reduction</w:t>
      </w:r>
      <w:r w:rsidR="51E27475" w:rsidRPr="2193DBD9">
        <w:rPr>
          <w:noProof/>
        </w:rPr>
        <w:t xml:space="preserve">. </w:t>
      </w:r>
      <w:r w:rsidR="575D96F3" w:rsidRPr="2193DBD9">
        <w:rPr>
          <w:noProof/>
        </w:rPr>
        <w:t xml:space="preserve">Therefore, it is appropriate </w:t>
      </w:r>
      <w:r w:rsidR="5E3E1892" w:rsidRPr="2193DBD9">
        <w:rPr>
          <w:noProof/>
        </w:rPr>
        <w:t xml:space="preserve">to replace </w:t>
      </w:r>
      <w:r w:rsidR="575D96F3" w:rsidRPr="2193DBD9">
        <w:rPr>
          <w:noProof/>
        </w:rPr>
        <w:t xml:space="preserve">other specific conditionality regimes for free allocation, from 2031 onwards, by the </w:t>
      </w:r>
      <w:r w:rsidR="51E27475" w:rsidRPr="2193DBD9">
        <w:rPr>
          <w:noProof/>
        </w:rPr>
        <w:t>decarbonisation</w:t>
      </w:r>
      <w:r w:rsidR="575D96F3" w:rsidRPr="2193DBD9">
        <w:rPr>
          <w:noProof/>
        </w:rPr>
        <w:t xml:space="preserve"> investment </w:t>
      </w:r>
      <w:r w:rsidR="51E27475" w:rsidRPr="2193DBD9">
        <w:rPr>
          <w:noProof/>
        </w:rPr>
        <w:t xml:space="preserve">in the EU </w:t>
      </w:r>
      <w:r w:rsidR="575D96F3" w:rsidRPr="2193DBD9">
        <w:rPr>
          <w:noProof/>
        </w:rPr>
        <w:t>conditionality</w:t>
      </w:r>
      <w:r w:rsidR="72BD3C99" w:rsidRPr="2193DBD9">
        <w:rPr>
          <w:noProof/>
        </w:rPr>
        <w:t xml:space="preserve"> </w:t>
      </w:r>
      <w:r w:rsidR="3144D80C" w:rsidRPr="2193DBD9">
        <w:rPr>
          <w:noProof/>
        </w:rPr>
        <w:t xml:space="preserve">which is being  </w:t>
      </w:r>
      <w:r w:rsidR="72BD3C99" w:rsidRPr="2193DBD9">
        <w:rPr>
          <w:noProof/>
        </w:rPr>
        <w:t>introduced</w:t>
      </w:r>
      <w:r w:rsidR="575D96F3" w:rsidRPr="2193DBD9">
        <w:rPr>
          <w:noProof/>
        </w:rPr>
        <w:t xml:space="preserve"> for free allocation.</w:t>
      </w:r>
    </w:p>
    <w:p w14:paraId="3770237B" w14:textId="77777777" w:rsidR="009E1F0E" w:rsidRPr="009E1F0E" w:rsidRDefault="21F35C83" w:rsidP="00A85D93">
      <w:pPr>
        <w:pStyle w:val="Considrant"/>
        <w:rPr>
          <w:noProof/>
          <w:lang w:val="en-IE" w:eastAsia="en-IE"/>
        </w:rPr>
      </w:pPr>
      <w:r w:rsidRPr="2193DBD9">
        <w:rPr>
          <w:noProof/>
        </w:rPr>
        <w:t xml:space="preserve">The Invest in EU decarbonisation plan </w:t>
      </w:r>
      <w:r w:rsidR="575D96F3" w:rsidRPr="2193DBD9">
        <w:rPr>
          <w:noProof/>
        </w:rPr>
        <w:t xml:space="preserve">should </w:t>
      </w:r>
      <w:r>
        <w:rPr>
          <w:noProof/>
        </w:rPr>
        <w:t xml:space="preserve">be simple and </w:t>
      </w:r>
      <w:r w:rsidR="575D96F3" w:rsidRPr="2193DBD9">
        <w:rPr>
          <w:noProof/>
        </w:rPr>
        <w:t>provide a structured</w:t>
      </w:r>
      <w:r w:rsidR="6E3C01D9" w:rsidRPr="2193DBD9">
        <w:rPr>
          <w:noProof/>
        </w:rPr>
        <w:t xml:space="preserve"> and</w:t>
      </w:r>
      <w:r w:rsidR="575D96F3" w:rsidRPr="2193DBD9">
        <w:rPr>
          <w:noProof/>
        </w:rPr>
        <w:t xml:space="preserve"> transparent pathway</w:t>
      </w:r>
      <w:r w:rsidR="74DC8678" w:rsidRPr="2193DBD9">
        <w:rPr>
          <w:noProof/>
        </w:rPr>
        <w:t xml:space="preserve">, together with intermediate targets, </w:t>
      </w:r>
      <w:r w:rsidR="575D96F3" w:rsidRPr="2193DBD9">
        <w:rPr>
          <w:noProof/>
        </w:rPr>
        <w:t xml:space="preserve">for installations to align with Union-wide climate-neutrality by 2050 as </w:t>
      </w:r>
      <w:r w:rsidR="3144D80C" w:rsidRPr="2193DBD9">
        <w:rPr>
          <w:noProof/>
        </w:rPr>
        <w:t>provided for</w:t>
      </w:r>
      <w:r w:rsidR="575D96F3" w:rsidRPr="2193DBD9">
        <w:rPr>
          <w:noProof/>
        </w:rPr>
        <w:t xml:space="preserve"> in Regulation (EU) 2021/1119, </w:t>
      </w:r>
      <w:r w:rsidR="64D169D4" w:rsidRPr="2193DBD9">
        <w:rPr>
          <w:noProof/>
        </w:rPr>
        <w:t xml:space="preserve">and should </w:t>
      </w:r>
      <w:r w:rsidR="7D5D55B4" w:rsidRPr="2193DBD9">
        <w:rPr>
          <w:noProof/>
        </w:rPr>
        <w:t>consider</w:t>
      </w:r>
      <w:r w:rsidR="22735600" w:rsidRPr="2193DBD9">
        <w:rPr>
          <w:noProof/>
        </w:rPr>
        <w:t xml:space="preserve"> the impact of</w:t>
      </w:r>
      <w:r w:rsidR="7D5D55B4" w:rsidRPr="2193DBD9">
        <w:rPr>
          <w:noProof/>
        </w:rPr>
        <w:t xml:space="preserve"> </w:t>
      </w:r>
      <w:r w:rsidR="509D7376" w:rsidRPr="2193DBD9">
        <w:rPr>
          <w:noProof/>
        </w:rPr>
        <w:t xml:space="preserve">the </w:t>
      </w:r>
      <w:r w:rsidR="7D5D55B4" w:rsidRPr="2193DBD9">
        <w:rPr>
          <w:noProof/>
        </w:rPr>
        <w:t xml:space="preserve">measures and investments </w:t>
      </w:r>
      <w:r w:rsidR="3AAD6DE9" w:rsidRPr="2193DBD9">
        <w:rPr>
          <w:noProof/>
        </w:rPr>
        <w:t>it includes</w:t>
      </w:r>
      <w:r w:rsidR="7D5D55B4" w:rsidRPr="2193DBD9">
        <w:rPr>
          <w:noProof/>
        </w:rPr>
        <w:t xml:space="preserve"> on </w:t>
      </w:r>
      <w:r w:rsidR="0218403F" w:rsidRPr="2193DBD9">
        <w:rPr>
          <w:noProof/>
        </w:rPr>
        <w:t xml:space="preserve">achieving significant </w:t>
      </w:r>
      <w:r w:rsidR="7D5D55B4" w:rsidRPr="2193DBD9">
        <w:rPr>
          <w:noProof/>
        </w:rPr>
        <w:t>emissions reduction</w:t>
      </w:r>
      <w:r w:rsidR="1E7DDAD4" w:rsidRPr="2193DBD9">
        <w:rPr>
          <w:noProof/>
        </w:rPr>
        <w:t>. The Invest in EU decarbonisation plan and its content</w:t>
      </w:r>
      <w:r w:rsidR="6F4A3B20" w:rsidRPr="2193DBD9">
        <w:rPr>
          <w:noProof/>
        </w:rPr>
        <w:t>, should be verified in accordance with</w:t>
      </w:r>
      <w:r w:rsidR="0057473F">
        <w:rPr>
          <w:noProof/>
        </w:rPr>
        <w:t xml:space="preserve"> </w:t>
      </w:r>
      <w:r>
        <w:rPr>
          <w:noProof/>
        </w:rPr>
        <w:t xml:space="preserve">existing and well-established rules under </w:t>
      </w:r>
      <w:r w:rsidR="6F4A3B20" w:rsidRPr="2193DBD9">
        <w:rPr>
          <w:noProof/>
        </w:rPr>
        <w:t>Article 15 and be made publicly available</w:t>
      </w:r>
      <w:r w:rsidR="575D96F3" w:rsidRPr="2193DBD9">
        <w:rPr>
          <w:noProof/>
        </w:rPr>
        <w:t>. In addition,</w:t>
      </w:r>
      <w:r w:rsidR="56F71CCE" w:rsidRPr="2193DBD9">
        <w:rPr>
          <w:noProof/>
        </w:rPr>
        <w:t xml:space="preserve"> in order to ensure </w:t>
      </w:r>
      <w:r w:rsidR="31802E30" w:rsidRPr="2193DBD9">
        <w:rPr>
          <w:noProof/>
        </w:rPr>
        <w:t>that</w:t>
      </w:r>
      <w:r w:rsidR="56F71CCE" w:rsidRPr="2193DBD9">
        <w:rPr>
          <w:noProof/>
        </w:rPr>
        <w:t xml:space="preserve"> emissions and impacts reduction occur in the EU,</w:t>
      </w:r>
      <w:r w:rsidR="575D96F3" w:rsidRPr="2193DBD9">
        <w:rPr>
          <w:noProof/>
        </w:rPr>
        <w:t xml:space="preserve"> operators of installations applying for free allocation </w:t>
      </w:r>
      <w:r w:rsidR="4335ED78" w:rsidRPr="2193DBD9">
        <w:rPr>
          <w:noProof/>
        </w:rPr>
        <w:t xml:space="preserve">should </w:t>
      </w:r>
      <w:r w:rsidR="575D96F3" w:rsidRPr="2193DBD9">
        <w:rPr>
          <w:noProof/>
        </w:rPr>
        <w:t xml:space="preserve">be required to invest </w:t>
      </w:r>
      <w:r w:rsidRPr="2193DBD9">
        <w:rPr>
          <w:noProof/>
        </w:rPr>
        <w:t xml:space="preserve">in the EU </w:t>
      </w:r>
      <w:r w:rsidR="575D96F3" w:rsidRPr="2193DBD9">
        <w:rPr>
          <w:noProof/>
        </w:rPr>
        <w:t xml:space="preserve">an amount equivalent to the financial value </w:t>
      </w:r>
      <w:r w:rsidR="7AACB11F" w:rsidRPr="2193DBD9">
        <w:rPr>
          <w:noProof/>
        </w:rPr>
        <w:t xml:space="preserve">of </w:t>
      </w:r>
      <w:r w:rsidR="00969C18" w:rsidRPr="2193DBD9">
        <w:rPr>
          <w:noProof/>
        </w:rPr>
        <w:t>100</w:t>
      </w:r>
      <w:r w:rsidR="46968DB2" w:rsidRPr="2193DBD9">
        <w:rPr>
          <w:noProof/>
        </w:rPr>
        <w:t xml:space="preserve">% of </w:t>
      </w:r>
      <w:r w:rsidR="575D96F3" w:rsidRPr="2193DBD9">
        <w:rPr>
          <w:noProof/>
        </w:rPr>
        <w:t xml:space="preserve">their free allocation in the relevant five-year period into decarbonisation of their activities covered by this Directive, effectively leading to significant verified </w:t>
      </w:r>
      <w:bookmarkStart w:id="8" w:name="_Hlk230965630"/>
      <w:r w:rsidR="575D96F3" w:rsidRPr="2193DBD9">
        <w:rPr>
          <w:noProof/>
        </w:rPr>
        <w:t xml:space="preserve">reductions in </w:t>
      </w:r>
      <w:r w:rsidR="575D96F3" w:rsidRPr="00915243">
        <w:rPr>
          <w:noProof/>
        </w:rPr>
        <w:t>emissions</w:t>
      </w:r>
      <w:bookmarkEnd w:id="8"/>
      <w:r w:rsidR="575D96F3" w:rsidRPr="00915243">
        <w:rPr>
          <w:noProof/>
        </w:rPr>
        <w:t>,</w:t>
      </w:r>
      <w:r w:rsidR="575D96F3" w:rsidRPr="2193DBD9">
        <w:rPr>
          <w:noProof/>
        </w:rPr>
        <w:t xml:space="preserve"> within the same period.</w:t>
      </w:r>
      <w:r w:rsidRPr="2193DBD9">
        <w:rPr>
          <w:noProof/>
        </w:rPr>
        <w:t xml:space="preserve"> </w:t>
      </w:r>
      <w:r w:rsidR="25E1C09A" w:rsidRPr="2193DBD9">
        <w:rPr>
          <w:noProof/>
        </w:rPr>
        <w:t xml:space="preserve">What constitutes ‘significant emission reductions’ should be defined by the Commission by means of delegated acts in a science-based manner and aligned with the climate neutrality objective as set out in Regulation (EU) 2021/1192. </w:t>
      </w:r>
      <w:r w:rsidRPr="2193DBD9">
        <w:rPr>
          <w:noProof/>
        </w:rPr>
        <w:t>Consequently</w:t>
      </w:r>
      <w:r w:rsidR="4638E37D" w:rsidRPr="2193DBD9">
        <w:rPr>
          <w:noProof/>
        </w:rPr>
        <w:t>,</w:t>
      </w:r>
      <w:r w:rsidRPr="2193DBD9">
        <w:rPr>
          <w:noProof/>
        </w:rPr>
        <w:t xml:space="preserve"> allowances allocated for free become decarbonisation investment allowances in the EU. </w:t>
      </w:r>
    </w:p>
    <w:p w14:paraId="203A2253" w14:textId="77777777" w:rsidR="009E1F0E" w:rsidRPr="009E1F0E" w:rsidRDefault="4E40504F" w:rsidP="00F00D72">
      <w:pPr>
        <w:pStyle w:val="Considrant"/>
        <w:rPr>
          <w:noProof/>
          <w:lang w:val="en-IE" w:eastAsia="en-IE"/>
        </w:rPr>
      </w:pPr>
      <w:r>
        <w:rPr>
          <w:noProof/>
        </w:rPr>
        <w:t>To minimise administrative burden and ensure alignment with the procedures leading up to the determination of free allocation to installations, it is appropriate to make full use of synergies with the well-established, highly efficient and mature process. Therefore, the Invest in EU decarbonisation plan, as a one-off exercise for five or more years, is</w:t>
      </w:r>
      <w:r w:rsidR="00B656DE">
        <w:rPr>
          <w:noProof/>
        </w:rPr>
        <w:t xml:space="preserve"> </w:t>
      </w:r>
      <w:r>
        <w:rPr>
          <w:noProof/>
        </w:rPr>
        <w:t xml:space="preserve">to be submitted together with the data included in the national implementation measures pursuant to Article 11 of Directive 2003/87/EC </w:t>
      </w:r>
      <w:r w:rsidR="0B717078">
        <w:rPr>
          <w:noProof/>
        </w:rPr>
        <w:t>concerning incumbent installation</w:t>
      </w:r>
      <w:r w:rsidR="6A3BFA73">
        <w:rPr>
          <w:noProof/>
        </w:rPr>
        <w:t>s</w:t>
      </w:r>
      <w:r w:rsidR="0B717078">
        <w:rPr>
          <w:noProof/>
        </w:rPr>
        <w:t xml:space="preserve"> and together with the application for free allocation concerning new entrants. </w:t>
      </w:r>
      <w:r w:rsidR="021BC466">
        <w:rPr>
          <w:noProof/>
        </w:rPr>
        <w:t xml:space="preserve">With a </w:t>
      </w:r>
      <w:r w:rsidR="0B717078">
        <w:rPr>
          <w:noProof/>
        </w:rPr>
        <w:t xml:space="preserve">view </w:t>
      </w:r>
      <w:r w:rsidR="021BC466">
        <w:rPr>
          <w:noProof/>
        </w:rPr>
        <w:t>to</w:t>
      </w:r>
      <w:r w:rsidR="0B717078">
        <w:rPr>
          <w:noProof/>
        </w:rPr>
        <w:t xml:space="preserve"> ensuring t</w:t>
      </w:r>
      <w:r w:rsidR="6ADFDBB4">
        <w:rPr>
          <w:noProof/>
        </w:rPr>
        <w:t xml:space="preserve">he content of measures and investments included in the Invest in EU decarbonisation plan reflects genuine </w:t>
      </w:r>
      <w:r w:rsidR="67A3FFFE">
        <w:rPr>
          <w:noProof/>
        </w:rPr>
        <w:t>emissions reduction strategy, it</w:t>
      </w:r>
      <w:r w:rsidR="5010DF81">
        <w:rPr>
          <w:noProof/>
        </w:rPr>
        <w:t xml:space="preserve"> </w:t>
      </w:r>
      <w:r w:rsidR="0B717078">
        <w:rPr>
          <w:noProof/>
        </w:rPr>
        <w:t xml:space="preserve">is appropriate to provide flexibility for </w:t>
      </w:r>
      <w:r w:rsidR="67A3FFFE">
        <w:rPr>
          <w:noProof/>
        </w:rPr>
        <w:t xml:space="preserve">their </w:t>
      </w:r>
      <w:r w:rsidR="0B717078">
        <w:rPr>
          <w:noProof/>
        </w:rPr>
        <w:t xml:space="preserve">submission </w:t>
      </w:r>
      <w:r w:rsidR="67A3FFFE">
        <w:rPr>
          <w:noProof/>
        </w:rPr>
        <w:t xml:space="preserve">at a later stage </w:t>
      </w:r>
      <w:r w:rsidR="0B717078">
        <w:rPr>
          <w:noProof/>
        </w:rPr>
        <w:t xml:space="preserve">together with activity-level change reports </w:t>
      </w:r>
      <w:r w:rsidR="67A3FFFE">
        <w:rPr>
          <w:noProof/>
        </w:rPr>
        <w:t>referred to in</w:t>
      </w:r>
      <w:r w:rsidR="7D6DDB91">
        <w:rPr>
          <w:noProof/>
        </w:rPr>
        <w:t xml:space="preserve"> Commission Implementing Regulation (EU) 2019/1842</w:t>
      </w:r>
      <w:r w:rsidR="00FF4F52">
        <w:rPr>
          <w:rStyle w:val="FootnoteReference"/>
          <w:noProof/>
        </w:rPr>
        <w:footnoteReference w:id="65"/>
      </w:r>
      <w:r w:rsidR="5010DF81">
        <w:rPr>
          <w:noProof/>
        </w:rPr>
        <w:t>.</w:t>
      </w:r>
      <w:r w:rsidR="3B8B992D">
        <w:rPr>
          <w:noProof/>
        </w:rPr>
        <w:t xml:space="preserve"> Where appropriate, </w:t>
      </w:r>
      <w:r w:rsidR="3B8B992D" w:rsidRPr="00691BDE">
        <w:rPr>
          <w:noProof/>
        </w:rPr>
        <w:t xml:space="preserve">the detailed timeline for the submission of the Invest in EU decarbonisation plans </w:t>
      </w:r>
      <w:r w:rsidR="3B8B992D">
        <w:rPr>
          <w:noProof/>
        </w:rPr>
        <w:t>should be clarified by the Commission by means of delegated acts.</w:t>
      </w:r>
    </w:p>
    <w:p w14:paraId="25E8D5D1" w14:textId="65731A47" w:rsidR="009E1F0E" w:rsidRPr="009E1F0E" w:rsidRDefault="55877F28" w:rsidP="008307CA">
      <w:pPr>
        <w:pStyle w:val="Considrant"/>
        <w:rPr>
          <w:noProof/>
          <w:lang w:val="en-IE" w:eastAsia="en-IE"/>
        </w:rPr>
      </w:pPr>
      <w:r w:rsidRPr="2193DBD9">
        <w:rPr>
          <w:noProof/>
        </w:rPr>
        <w:t>80 %</w:t>
      </w:r>
      <w:r w:rsidR="575D96F3" w:rsidRPr="2193DBD9">
        <w:rPr>
          <w:noProof/>
        </w:rPr>
        <w:t xml:space="preserve"> of the amount of free allocation for the relevant five-year period for which the application for free allocation is submitted should be allocated in annual tranches</w:t>
      </w:r>
      <w:r w:rsidR="00DD75D1">
        <w:rPr>
          <w:noProof/>
        </w:rPr>
        <w:t xml:space="preserve"> </w:t>
      </w:r>
      <w:r>
        <w:rPr>
          <w:noProof/>
        </w:rPr>
        <w:t>with a regular transfer of free allocation</w:t>
      </w:r>
      <w:r w:rsidR="575D96F3" w:rsidRPr="2193DBD9">
        <w:rPr>
          <w:noProof/>
        </w:rPr>
        <w:t xml:space="preserve"> after </w:t>
      </w:r>
      <w:r w:rsidR="25E1C09A" w:rsidRPr="2193DBD9">
        <w:rPr>
          <w:noProof/>
        </w:rPr>
        <w:t xml:space="preserve">the </w:t>
      </w:r>
      <w:r>
        <w:rPr>
          <w:noProof/>
        </w:rPr>
        <w:t>approval</w:t>
      </w:r>
      <w:r w:rsidR="008F41BD">
        <w:rPr>
          <w:noProof/>
        </w:rPr>
        <w:t xml:space="preserve"> </w:t>
      </w:r>
      <w:r w:rsidR="25E1C09A" w:rsidRPr="2193DBD9">
        <w:rPr>
          <w:noProof/>
        </w:rPr>
        <w:t>of an Invest in EU decarbonisation plan.</w:t>
      </w:r>
      <w:r w:rsidR="575D96F3" w:rsidRPr="2193DBD9">
        <w:rPr>
          <w:noProof/>
        </w:rPr>
        <w:t xml:space="preserve"> The remaining </w:t>
      </w:r>
      <w:r w:rsidRPr="2193DBD9">
        <w:rPr>
          <w:noProof/>
        </w:rPr>
        <w:t xml:space="preserve">20 % </w:t>
      </w:r>
      <w:r w:rsidR="575D96F3" w:rsidRPr="2193DBD9">
        <w:rPr>
          <w:noProof/>
        </w:rPr>
        <w:t xml:space="preserve"> of the amount of allowances to be allocated for free in that five-year period should only be allocated to the installation upon verification that the decarbonisation investments, </w:t>
      </w:r>
      <w:r w:rsidR="49F35CEA" w:rsidRPr="2193DBD9">
        <w:rPr>
          <w:noProof/>
        </w:rPr>
        <w:t xml:space="preserve">which </w:t>
      </w:r>
      <w:r w:rsidR="575D96F3" w:rsidRPr="2193DBD9">
        <w:rPr>
          <w:noProof/>
        </w:rPr>
        <w:t xml:space="preserve">can include both </w:t>
      </w:r>
      <w:r w:rsidR="646643C7" w:rsidRPr="2193DBD9">
        <w:rPr>
          <w:noProof/>
        </w:rPr>
        <w:t>captial expenditure (</w:t>
      </w:r>
      <w:r w:rsidR="4D76B5AF" w:rsidRPr="2193DBD9">
        <w:rPr>
          <w:noProof/>
        </w:rPr>
        <w:t>‘</w:t>
      </w:r>
      <w:r w:rsidR="575D96F3" w:rsidRPr="2193DBD9">
        <w:rPr>
          <w:noProof/>
        </w:rPr>
        <w:t>CAPEX</w:t>
      </w:r>
      <w:r w:rsidR="4D76B5AF" w:rsidRPr="2193DBD9">
        <w:rPr>
          <w:noProof/>
        </w:rPr>
        <w:t>’</w:t>
      </w:r>
      <w:r w:rsidR="646643C7" w:rsidRPr="2193DBD9">
        <w:rPr>
          <w:noProof/>
        </w:rPr>
        <w:t>)</w:t>
      </w:r>
      <w:r w:rsidR="575D96F3" w:rsidRPr="2193DBD9">
        <w:rPr>
          <w:noProof/>
        </w:rPr>
        <w:t xml:space="preserve"> and </w:t>
      </w:r>
      <w:r w:rsidR="646643C7" w:rsidRPr="2193DBD9">
        <w:rPr>
          <w:noProof/>
        </w:rPr>
        <w:t>operating expenditure (</w:t>
      </w:r>
      <w:r w:rsidR="4D76B5AF" w:rsidRPr="2193DBD9">
        <w:rPr>
          <w:noProof/>
        </w:rPr>
        <w:t>‘</w:t>
      </w:r>
      <w:r w:rsidR="575D96F3" w:rsidRPr="2193DBD9">
        <w:rPr>
          <w:noProof/>
        </w:rPr>
        <w:t>OPEX</w:t>
      </w:r>
      <w:r w:rsidR="4D76B5AF" w:rsidRPr="2193DBD9">
        <w:rPr>
          <w:noProof/>
        </w:rPr>
        <w:t>’</w:t>
      </w:r>
      <w:r w:rsidR="646643C7" w:rsidRPr="2193DBD9">
        <w:rPr>
          <w:noProof/>
        </w:rPr>
        <w:t>)</w:t>
      </w:r>
      <w:r w:rsidR="575D96F3" w:rsidRPr="2193DBD9">
        <w:rPr>
          <w:noProof/>
        </w:rPr>
        <w:t xml:space="preserve">, corresponding to  the economic value of </w:t>
      </w:r>
      <w:r w:rsidR="744CC89C" w:rsidRPr="2193DBD9">
        <w:rPr>
          <w:noProof/>
        </w:rPr>
        <w:t>10</w:t>
      </w:r>
      <w:r w:rsidR="18BD9604" w:rsidRPr="2193DBD9">
        <w:rPr>
          <w:noProof/>
        </w:rPr>
        <w:t>0</w:t>
      </w:r>
      <w:r w:rsidR="7AACB11F" w:rsidRPr="2193DBD9">
        <w:rPr>
          <w:noProof/>
        </w:rPr>
        <w:t>%</w:t>
      </w:r>
      <w:r w:rsidR="575D96F3" w:rsidRPr="2193DBD9">
        <w:rPr>
          <w:noProof/>
        </w:rPr>
        <w:t xml:space="preserve"> of the amount of free allocation for that period, were implemented and that, based on the relevant</w:t>
      </w:r>
      <w:r w:rsidR="003F0BFD">
        <w:rPr>
          <w:noProof/>
        </w:rPr>
        <w:t xml:space="preserve"> </w:t>
      </w:r>
      <w:r>
        <w:rPr>
          <w:noProof/>
        </w:rPr>
        <w:t xml:space="preserve">existing and well-established </w:t>
      </w:r>
      <w:r w:rsidR="575D96F3" w:rsidRPr="2193DBD9">
        <w:rPr>
          <w:noProof/>
        </w:rPr>
        <w:t xml:space="preserve">annual emissions reports, those investments led to significant emissions reduction by the end of the five-year period. </w:t>
      </w:r>
      <w:r w:rsidR="00877727" w:rsidRPr="00B97C25">
        <w:rPr>
          <w:noProof/>
        </w:rPr>
        <w:t xml:space="preserve">To further incentivise the long-term investment in the Union, operators should be required to return </w:t>
      </w:r>
      <w:r>
        <w:rPr>
          <w:noProof/>
        </w:rPr>
        <w:t>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w:t>
      </w:r>
      <w:r w:rsidR="30869DAC" w:rsidRPr="2193DBD9">
        <w:rPr>
          <w:noProof/>
        </w:rPr>
        <w:t xml:space="preserve"> is appropriate for the Commission to further operationalise those </w:t>
      </w:r>
      <w:r w:rsidR="47E3898F" w:rsidRPr="2193DBD9">
        <w:rPr>
          <w:noProof/>
        </w:rPr>
        <w:t>rules</w:t>
      </w:r>
      <w:r w:rsidR="30869DAC" w:rsidRPr="2193DBD9">
        <w:rPr>
          <w:noProof/>
        </w:rPr>
        <w:t xml:space="preserve"> by clearly establishing</w:t>
      </w:r>
      <w:r w:rsidR="47E3898F" w:rsidRPr="2193DBD9">
        <w:rPr>
          <w:noProof/>
        </w:rPr>
        <w:t xml:space="preserve">, </w:t>
      </w:r>
      <w:r w:rsidR="30869DAC" w:rsidRPr="2193DBD9">
        <w:rPr>
          <w:noProof/>
        </w:rPr>
        <w:t xml:space="preserve">by means of </w:t>
      </w:r>
      <w:r w:rsidR="630DD874" w:rsidRPr="2193DBD9">
        <w:rPr>
          <w:noProof/>
        </w:rPr>
        <w:t>delegated</w:t>
      </w:r>
      <w:r w:rsidR="30869DAC" w:rsidRPr="2193DBD9">
        <w:rPr>
          <w:noProof/>
        </w:rPr>
        <w:t xml:space="preserve"> acts</w:t>
      </w:r>
      <w:r w:rsidR="00877727">
        <w:rPr>
          <w:noProof/>
        </w:rPr>
        <w:t xml:space="preserve"> and</w:t>
      </w:r>
      <w:r w:rsidR="47E3898F" w:rsidRPr="2193DBD9">
        <w:rPr>
          <w:noProof/>
        </w:rPr>
        <w:t>,</w:t>
      </w:r>
      <w:r w:rsidR="00877727">
        <w:rPr>
          <w:noProof/>
        </w:rPr>
        <w:t xml:space="preserve"> in </w:t>
      </w:r>
      <w:r w:rsidR="00877727" w:rsidRPr="00B97C25">
        <w:rPr>
          <w:noProof/>
        </w:rPr>
        <w:t>close consultation</w:t>
      </w:r>
      <w:r w:rsidR="00874250">
        <w:rPr>
          <w:noProof/>
        </w:rPr>
        <w:t xml:space="preserve"> </w:t>
      </w:r>
      <w:r>
        <w:rPr>
          <w:noProof/>
        </w:rPr>
        <w:t xml:space="preserve">and transparently </w:t>
      </w:r>
      <w:r w:rsidR="00877727" w:rsidRPr="00B97C25">
        <w:rPr>
          <w:noProof/>
        </w:rPr>
        <w:t>with the relevant stakeholders,</w:t>
      </w:r>
      <w:r w:rsidR="47E3898F" w:rsidRPr="2193DBD9">
        <w:rPr>
          <w:noProof/>
        </w:rPr>
        <w:t xml:space="preserve"> </w:t>
      </w:r>
      <w:r w:rsidR="30869DAC" w:rsidRPr="2193DBD9">
        <w:rPr>
          <w:noProof/>
        </w:rPr>
        <w:t>the list of requirements and eligible costs to qualify as decarbonisation investments as well as the methodology for determining the economic value of the quantity of free allowances received</w:t>
      </w:r>
      <w:r w:rsidR="0756FA00" w:rsidRPr="2193DBD9">
        <w:rPr>
          <w:noProof/>
        </w:rPr>
        <w:t>. In order to further reduce administrative burden,</w:t>
      </w:r>
      <w:r w:rsidR="00CE4BE4">
        <w:rPr>
          <w:noProof/>
        </w:rPr>
        <w:t xml:space="preserve"> </w:t>
      </w:r>
      <w:r>
        <w:rPr>
          <w:noProof/>
        </w:rPr>
        <w:t xml:space="preserve">maximise synergies with existing industrial practices </w:t>
      </w:r>
      <w:r w:rsidR="0756FA00" w:rsidRPr="2193DBD9">
        <w:rPr>
          <w:noProof/>
        </w:rPr>
        <w:t>and to fully reflect the specific circumsances of the industrial sectors covered by the EU ETS, these delegated acts should be developed in close cooperation with the industry</w:t>
      </w:r>
      <w:r>
        <w:rPr>
          <w:noProof/>
        </w:rPr>
        <w:t>.</w:t>
      </w:r>
      <w:r w:rsidR="30869DAC" w:rsidRPr="2193DBD9">
        <w:rPr>
          <w:noProof/>
        </w:rPr>
        <w:t xml:space="preserve"> </w:t>
      </w:r>
    </w:p>
    <w:p w14:paraId="07943DD9" w14:textId="77777777" w:rsidR="009E1F0E" w:rsidRPr="009E1F0E" w:rsidRDefault="575D96F3" w:rsidP="00C32478">
      <w:pPr>
        <w:pStyle w:val="Considrant"/>
        <w:rPr>
          <w:noProof/>
          <w:lang w:val="en-IE" w:eastAsia="en-IE"/>
        </w:rPr>
      </w:pPr>
      <w:r w:rsidRPr="2193DBD9">
        <w:rPr>
          <w:noProof/>
        </w:rPr>
        <w:t xml:space="preserve">To minimise administrative burden and ensure robust compliance, the implementation of the decarbonisation investments </w:t>
      </w:r>
      <w:r w:rsidR="3F85AEBB" w:rsidRPr="2193DBD9">
        <w:rPr>
          <w:noProof/>
        </w:rPr>
        <w:t xml:space="preserve">in the EU </w:t>
      </w:r>
      <w:r w:rsidRPr="2193DBD9">
        <w:rPr>
          <w:noProof/>
        </w:rPr>
        <w:t xml:space="preserve">and the achievement of significant emissions reduction should be verified, no later than two years after the end of the relevant five-year period, on the basis of the </w:t>
      </w:r>
      <w:r>
        <w:rPr>
          <w:noProof/>
        </w:rPr>
        <w:t xml:space="preserve">already-required </w:t>
      </w:r>
      <w:r w:rsidRPr="2193DBD9">
        <w:rPr>
          <w:noProof/>
        </w:rPr>
        <w:t xml:space="preserve">annual emissions and activity level reports submitted in the context of the existing </w:t>
      </w:r>
      <w:r>
        <w:rPr>
          <w:noProof/>
        </w:rPr>
        <w:t xml:space="preserve">solid </w:t>
      </w:r>
      <w:r w:rsidRPr="2193DBD9">
        <w:rPr>
          <w:noProof/>
        </w:rPr>
        <w:t xml:space="preserve">monitoring, reporting and verification processes. Any unallocated </w:t>
      </w:r>
      <w:r>
        <w:rPr>
          <w:noProof/>
        </w:rPr>
        <w:t>or returned allowances</w:t>
      </w:r>
      <w:r w:rsidRPr="2193DBD9">
        <w:rPr>
          <w:noProof/>
        </w:rPr>
        <w:t xml:space="preserve"> from the amount of free allocation under the relevant five-year period should be used in the context of free allocation in the next period.</w:t>
      </w:r>
    </w:p>
    <w:p w14:paraId="306B5770" w14:textId="62D9B37B" w:rsidR="009E1F0E" w:rsidRPr="009E1F0E" w:rsidRDefault="575D96F3" w:rsidP="007C00E4">
      <w:pPr>
        <w:pStyle w:val="Considrant"/>
        <w:rPr>
          <w:noProof/>
          <w:lang w:val="en-IE" w:eastAsia="en-IE"/>
        </w:rPr>
      </w:pPr>
      <w:r w:rsidRPr="2193DBD9">
        <w:rPr>
          <w:noProof/>
        </w:rPr>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w:t>
      </w:r>
      <w:r w:rsidR="236B1BAA" w:rsidRPr="2193DBD9">
        <w:rPr>
          <w:noProof/>
        </w:rPr>
        <w:t xml:space="preserve"> from the establishment an Invest in EU decarbonisation plan</w:t>
      </w:r>
      <w:r w:rsidRPr="2193DBD9">
        <w:rPr>
          <w:noProof/>
        </w:rPr>
        <w:t xml:space="preserve">, where a project </w:t>
      </w:r>
      <w:r w:rsidR="38AB608D" w:rsidRPr="2193DBD9">
        <w:rPr>
          <w:noProof/>
        </w:rPr>
        <w:t xml:space="preserve">in their installation </w:t>
      </w:r>
      <w:r w:rsidRPr="2193DBD9">
        <w:rPr>
          <w:noProof/>
        </w:rPr>
        <w:t xml:space="preserve">was selected for the award of support under the IDB or the Innovation Fund is being implemented during the relevant five-year period for free allocation. The first </w:t>
      </w:r>
      <w:r w:rsidR="2461E11D" w:rsidRPr="2193DBD9">
        <w:rPr>
          <w:noProof/>
        </w:rPr>
        <w:t>80 %</w:t>
      </w:r>
      <w:r w:rsidRPr="2193DBD9">
        <w:rPr>
          <w:noProof/>
        </w:rPr>
        <w:t xml:space="preserve"> of the amount of free allocation for the</w:t>
      </w:r>
      <w:r w:rsidR="09296619" w:rsidRPr="2193DBD9">
        <w:rPr>
          <w:noProof/>
        </w:rPr>
        <w:t xml:space="preserve"> relevant five-year</w:t>
      </w:r>
      <w:r w:rsidRPr="2193DBD9">
        <w:rPr>
          <w:noProof/>
        </w:rPr>
        <w:t xml:space="preserve"> period </w:t>
      </w:r>
      <w:r w:rsidR="39AB3D78" w:rsidRPr="2193DBD9">
        <w:rPr>
          <w:noProof/>
        </w:rPr>
        <w:t xml:space="preserve">should </w:t>
      </w:r>
      <w:r w:rsidRPr="2193DBD9">
        <w:rPr>
          <w:noProof/>
        </w:rPr>
        <w:t xml:space="preserve">be allocated to the installation following the decision to award support to the project under those funds. In addition, for those installations, the investments and emissions reduction requirements conditioning the remaining </w:t>
      </w:r>
      <w:r w:rsidR="2461E11D" w:rsidRPr="2193DBD9">
        <w:rPr>
          <w:noProof/>
        </w:rPr>
        <w:t>20 %</w:t>
      </w:r>
      <w:r w:rsidRPr="2193DBD9">
        <w:rPr>
          <w:noProof/>
        </w:rPr>
        <w:t xml:space="preserve">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w:t>
      </w:r>
      <w:r w:rsidR="663794F2" w:rsidRPr="2193DBD9">
        <w:rPr>
          <w:noProof/>
        </w:rPr>
        <w:t>10</w:t>
      </w:r>
      <w:r w:rsidR="18BD9604" w:rsidRPr="2193DBD9">
        <w:rPr>
          <w:noProof/>
        </w:rPr>
        <w:t>0</w:t>
      </w:r>
      <w:r w:rsidR="7AACB11F" w:rsidRPr="2193DBD9">
        <w:rPr>
          <w:noProof/>
        </w:rPr>
        <w:t>%</w:t>
      </w:r>
      <w:r w:rsidRPr="2193DBD9">
        <w:rPr>
          <w:noProof/>
        </w:rPr>
        <w:t xml:space="preserve"> of the amount of free allocation under the relevant five-year period were invested. </w:t>
      </w:r>
      <w:r>
        <w:rPr>
          <w:noProof/>
        </w:rPr>
        <w:t>Given the number of operators expected to benefit from the support made available under the Innovation Fund, IDB and IB, this will automatically lead to these operators being exempt from the conditionality and, hence, further simpl</w:t>
      </w:r>
      <w:r w:rsidR="000541BD">
        <w:rPr>
          <w:noProof/>
        </w:rPr>
        <w:t>ify</w:t>
      </w:r>
      <w:r>
        <w:rPr>
          <w:noProof/>
        </w:rPr>
        <w:t xml:space="preserve"> their access to free allocation. </w:t>
      </w:r>
    </w:p>
    <w:p w14:paraId="70FBBDDA" w14:textId="77777777" w:rsidR="009E1F0E" w:rsidRPr="009E1F0E" w:rsidRDefault="28BC01D1" w:rsidP="008D4D74">
      <w:pPr>
        <w:pStyle w:val="Considrant"/>
        <w:rPr>
          <w:noProof/>
          <w:lang w:val="en-IE" w:eastAsia="en-IE"/>
        </w:rPr>
      </w:pPr>
      <w:r w:rsidRPr="2193DBD9">
        <w:rPr>
          <w:noProof/>
        </w:rPr>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p>
    <w:p w14:paraId="099B35BA" w14:textId="77777777" w:rsidR="009E1F0E" w:rsidRPr="009E1F0E" w:rsidRDefault="65563121" w:rsidP="00C511D7">
      <w:pPr>
        <w:pStyle w:val="Considrant"/>
        <w:rPr>
          <w:noProof/>
        </w:rPr>
      </w:pPr>
      <w:r>
        <w:rPr>
          <w:noProof/>
        </w:rPr>
        <w:t xml:space="preserve">The exempted </w:t>
      </w:r>
      <w:r w:rsidR="575D96F3" w:rsidRPr="008E53A8">
        <w:rPr>
          <w:noProof/>
        </w:rPr>
        <w:t xml:space="preserve">installations </w:t>
      </w:r>
      <w:r w:rsidR="33A627B8">
        <w:rPr>
          <w:noProof/>
        </w:rPr>
        <w:t>should</w:t>
      </w:r>
      <w:r w:rsidR="33A627B8" w:rsidRPr="008E53A8">
        <w:rPr>
          <w:noProof/>
        </w:rPr>
        <w:t xml:space="preserve"> </w:t>
      </w:r>
      <w:r w:rsidR="575D96F3" w:rsidRPr="008E53A8">
        <w:rPr>
          <w:noProof/>
        </w:rPr>
        <w:t>be eligible for the</w:t>
      </w:r>
      <w:r w:rsidR="139003B2">
        <w:rPr>
          <w:noProof/>
        </w:rPr>
        <w:t xml:space="preserve"> </w:t>
      </w:r>
      <w:r w:rsidR="348EEB58">
        <w:rPr>
          <w:noProof/>
        </w:rPr>
        <w:t>full amount</w:t>
      </w:r>
      <w:r w:rsidR="575D96F3" w:rsidRPr="008E53A8">
        <w:rPr>
          <w:noProof/>
        </w:rPr>
        <w:t xml:space="preserve"> of free allocation under the five-year period in which they apply </w:t>
      </w:r>
      <w:r w:rsidR="0FA96737">
        <w:rPr>
          <w:noProof/>
        </w:rPr>
        <w:t xml:space="preserve">for free allocation, </w:t>
      </w:r>
      <w:r w:rsidR="575D96F3" w:rsidRPr="008E53A8">
        <w:rPr>
          <w:noProof/>
        </w:rPr>
        <w:t xml:space="preserve">without being required to establish </w:t>
      </w:r>
      <w:r w:rsidR="5841ED49" w:rsidRPr="00B10810">
        <w:rPr>
          <w:noProof/>
        </w:rPr>
        <w:t xml:space="preserve">an Invest in EU decarbonisation plan </w:t>
      </w:r>
      <w:r w:rsidR="575D96F3" w:rsidRPr="008E53A8">
        <w:rPr>
          <w:noProof/>
        </w:rPr>
        <w:t xml:space="preserve">or to implement investments </w:t>
      </w:r>
      <w:r w:rsidR="5841ED49">
        <w:rPr>
          <w:noProof/>
        </w:rPr>
        <w:t xml:space="preserve">in the EU </w:t>
      </w:r>
      <w:r w:rsidR="575D96F3" w:rsidRPr="008E53A8">
        <w:rPr>
          <w:noProof/>
        </w:rPr>
        <w:t xml:space="preserve">leading to significant emissions reductions. </w:t>
      </w:r>
      <w:r w:rsidR="23BA563B" w:rsidRPr="009E1F0E">
        <w:rPr>
          <w:noProof/>
          <w:lang w:val="en-IE"/>
        </w:rPr>
        <w:t xml:space="preserve">When determining </w:t>
      </w:r>
      <w:r w:rsidR="43BFE6AD" w:rsidRPr="009E1F0E">
        <w:rPr>
          <w:noProof/>
          <w:lang w:val="en-IE"/>
        </w:rPr>
        <w:t xml:space="preserve">by means of delegated acts </w:t>
      </w:r>
      <w:r w:rsidR="23BA563B" w:rsidRPr="009E1F0E">
        <w:rPr>
          <w:noProof/>
          <w:lang w:val="en-IE"/>
        </w:rPr>
        <w:t>the requirements for installations to qualify as zero</w:t>
      </w:r>
      <w:r w:rsidR="5C4147A3" w:rsidRPr="009E1F0E">
        <w:rPr>
          <w:noProof/>
          <w:lang w:val="en-IE"/>
        </w:rPr>
        <w:t xml:space="preserve"> </w:t>
      </w:r>
      <w:r w:rsidR="23BA563B" w:rsidRPr="009E1F0E">
        <w:rPr>
          <w:noProof/>
          <w:lang w:val="en-IE"/>
        </w:rPr>
        <w:t>emissions or low carbon, the Commission sh</w:t>
      </w:r>
      <w:r w:rsidR="2B1D0F20" w:rsidRPr="009E1F0E">
        <w:rPr>
          <w:noProof/>
          <w:lang w:val="en-IE"/>
        </w:rPr>
        <w:t>ould</w:t>
      </w:r>
      <w:r w:rsidR="23BA563B" w:rsidRPr="009E1F0E">
        <w:rPr>
          <w:noProof/>
          <w:lang w:val="en-IE"/>
        </w:rPr>
        <w:t xml:space="preserve"> take into account the estimated sector specific emissions reductions</w:t>
      </w:r>
      <w:r w:rsidR="2B1D0F20" w:rsidRPr="009E1F0E">
        <w:rPr>
          <w:noProof/>
          <w:lang w:val="en-IE"/>
        </w:rPr>
        <w:t xml:space="preserve">, </w:t>
      </w:r>
      <w:r w:rsidR="23BA563B" w:rsidRPr="009E1F0E">
        <w:rPr>
          <w:noProof/>
          <w:lang w:val="en-IE"/>
        </w:rPr>
        <w:t xml:space="preserve">the climate-neutrality objective set out in Article 2(1) of Regulation (EU) 2021/1119, as well as the available low carbon technologies and other abatement options available for each sector, </w:t>
      </w:r>
      <w:r w:rsidR="27929B90" w:rsidRPr="009E1F0E">
        <w:rPr>
          <w:noProof/>
          <w:lang w:val="en-IE"/>
        </w:rPr>
        <w:t>including</w:t>
      </w:r>
      <w:r w:rsidR="23BA563B" w:rsidRPr="009E1F0E">
        <w:rPr>
          <w:noProof/>
          <w:lang w:val="en-IE"/>
        </w:rPr>
        <w:t xml:space="preserve"> the net-zero technologies listed in Article 4 of Regulation (EU) 2024/1735</w:t>
      </w:r>
      <w:r w:rsidR="00FF4F52">
        <w:rPr>
          <w:rStyle w:val="FootnoteReference"/>
          <w:noProof/>
          <w:lang w:val="en-IE"/>
        </w:rPr>
        <w:footnoteReference w:id="66"/>
      </w:r>
      <w:r w:rsidR="3FDE1595" w:rsidRPr="009E1F0E">
        <w:rPr>
          <w:noProof/>
          <w:lang w:val="en-IE"/>
        </w:rPr>
        <w:t>.</w:t>
      </w:r>
    </w:p>
    <w:p w14:paraId="55FE4FC1" w14:textId="77777777" w:rsidR="009E1F0E" w:rsidRPr="009E1F0E" w:rsidRDefault="02710A13" w:rsidP="00B03372">
      <w:pPr>
        <w:pStyle w:val="Considrant"/>
        <w:rPr>
          <w:noProof/>
          <w:lang w:val="en-IE" w:eastAsia="en-IE"/>
        </w:rPr>
      </w:pPr>
      <w:r w:rsidRPr="2193DBD9">
        <w:rPr>
          <w:noProof/>
        </w:rPr>
        <w:t>To</w:t>
      </w:r>
      <w:r w:rsidR="575D96F3" w:rsidRPr="2193DBD9">
        <w:rPr>
          <w:noProof/>
        </w:rPr>
        <w:t xml:space="preserve"> reflect sectoral capacities and </w:t>
      </w:r>
      <w:r w:rsidRPr="2193DBD9">
        <w:rPr>
          <w:noProof/>
        </w:rPr>
        <w:t xml:space="preserve">accommodate, on the one hand, </w:t>
      </w:r>
      <w:r w:rsidR="575D96F3" w:rsidRPr="2193DBD9">
        <w:rPr>
          <w:noProof/>
        </w:rPr>
        <w:t>uneven access of individual installations to decarbonisation solutions, including access to infrastructure such as electricity grids of sufficient capacity, green hydrogen and carbon dioxide transport infrastructure</w:t>
      </w:r>
      <w:r w:rsidR="3D885DB1" w:rsidRPr="2193DBD9">
        <w:rPr>
          <w:noProof/>
        </w:rPr>
        <w:t xml:space="preserve">, </w:t>
      </w:r>
      <w:r w:rsidR="575D96F3" w:rsidRPr="2193DBD9">
        <w:rPr>
          <w:noProof/>
        </w:rPr>
        <w:t>and</w:t>
      </w:r>
      <w:r w:rsidR="3D885DB1" w:rsidRPr="2193DBD9">
        <w:rPr>
          <w:noProof/>
        </w:rPr>
        <w:t>, on the other hand,</w:t>
      </w:r>
      <w:r w:rsidR="575D96F3" w:rsidRPr="2193DBD9">
        <w:rPr>
          <w:noProof/>
        </w:rPr>
        <w:t xml:space="preserve"> geographic disparities, it should be permitted to leverage collective efforts towards decarbonising production processes between different installations</w:t>
      </w:r>
      <w:r w:rsidR="425EF416" w:rsidRPr="2193DBD9">
        <w:rPr>
          <w:noProof/>
        </w:rPr>
        <w:t xml:space="preserve">, </w:t>
      </w:r>
      <w:r w:rsidR="575D96F3" w:rsidRPr="2193DBD9">
        <w:rPr>
          <w:noProof/>
        </w:rPr>
        <w:t>including for installations in multiple Member States</w:t>
      </w:r>
      <w:r w:rsidR="575D96F3" w:rsidRPr="009E1F0E">
        <w:rPr>
          <w:i/>
          <w:iCs/>
          <w:noProof/>
        </w:rPr>
        <w:t xml:space="preserve">. </w:t>
      </w:r>
      <w:r w:rsidR="575D96F3" w:rsidRPr="2193DBD9">
        <w:rPr>
          <w:noProof/>
        </w:rPr>
        <w:t>It is therefore appropriate to allow for the conditionality requirement concerning the investments in significant emissions reductions</w:t>
      </w:r>
      <w:r w:rsidR="44011754" w:rsidRPr="2193DBD9">
        <w:rPr>
          <w:noProof/>
        </w:rPr>
        <w:t xml:space="preserve"> in the EU</w:t>
      </w:r>
      <w:r w:rsidR="575D96F3" w:rsidRPr="2193DBD9">
        <w:rPr>
          <w:noProof/>
        </w:rPr>
        <w:t xml:space="preserve"> to be fulfilled via pooling through a joint decarbonisation investment agreement between several ETS installations. This should allow flexibility for one or more operators to fulfil the decarbonisation investment requirements on behalf of other operators that are part to the agreement. </w:t>
      </w:r>
      <w:r w:rsidR="124AF33B" w:rsidRPr="2193DBD9">
        <w:rPr>
          <w:noProof/>
        </w:rPr>
        <w:t xml:space="preserve">To reflect </w:t>
      </w:r>
      <w:r w:rsidR="25EB0069" w:rsidRPr="2193DBD9">
        <w:rPr>
          <w:noProof/>
        </w:rPr>
        <w:t xml:space="preserve">emissions and capacities of </w:t>
      </w:r>
      <w:r w:rsidR="62E8900C" w:rsidRPr="2193DBD9">
        <w:rPr>
          <w:noProof/>
        </w:rPr>
        <w:t>such a</w:t>
      </w:r>
      <w:r w:rsidR="2094AC6D" w:rsidRPr="2193DBD9">
        <w:rPr>
          <w:noProof/>
        </w:rPr>
        <w:t xml:space="preserve"> pool</w:t>
      </w:r>
      <w:r w:rsidR="575D96F3" w:rsidRPr="2193DBD9">
        <w:rPr>
          <w:noProof/>
        </w:rPr>
        <w:t>, it is appropriate to require</w:t>
      </w:r>
      <w:r w:rsidR="0A3CC245" w:rsidRPr="2193DBD9">
        <w:rPr>
          <w:noProof/>
        </w:rPr>
        <w:t xml:space="preserve"> that, in that case,</w:t>
      </w:r>
      <w:r w:rsidR="575D96F3" w:rsidRPr="2193DBD9">
        <w:rPr>
          <w:noProof/>
        </w:rPr>
        <w:t xml:space="preserve"> the investment volume corresponds to at least </w:t>
      </w:r>
      <w:r w:rsidR="24922613" w:rsidRPr="2193DBD9">
        <w:rPr>
          <w:noProof/>
        </w:rPr>
        <w:t>10</w:t>
      </w:r>
      <w:r w:rsidR="54C3EA4D" w:rsidRPr="2193DBD9">
        <w:rPr>
          <w:noProof/>
        </w:rPr>
        <w:t>0</w:t>
      </w:r>
      <w:r w:rsidR="7AACB11F" w:rsidRPr="2193DBD9">
        <w:rPr>
          <w:noProof/>
        </w:rPr>
        <w:t>%</w:t>
      </w:r>
      <w:r w:rsidR="575D96F3" w:rsidRPr="2193DBD9">
        <w:rPr>
          <w:noProof/>
        </w:rPr>
        <w:t xml:space="preserve"> of the amount of free allocation allocated to all installations in the pool during the five-year period. </w:t>
      </w:r>
      <w:r w:rsidR="3AADA38E" w:rsidRPr="2193DBD9">
        <w:rPr>
          <w:noProof/>
        </w:rPr>
        <w:t>To limit administrative burden and ensure integration within the process leading up to the establishing of free allocation to installations in the EU, s</w:t>
      </w:r>
      <w:r w:rsidR="575D96F3" w:rsidRPr="2193DBD9">
        <w:rPr>
          <w:noProof/>
        </w:rPr>
        <w:t xml:space="preserve">uch an agreement should at least apply for the five-year period referred to in Article 11 </w:t>
      </w:r>
      <w:r w:rsidR="0A3CC245" w:rsidRPr="2193DBD9">
        <w:rPr>
          <w:noProof/>
        </w:rPr>
        <w:t xml:space="preserve">of Directive 2003/87/EC </w:t>
      </w:r>
      <w:r w:rsidR="575D96F3" w:rsidRPr="2193DBD9">
        <w:rPr>
          <w:noProof/>
        </w:rPr>
        <w:t xml:space="preserve">for which the installations are applying for free allocation and should be concluded before any of the installation from the pool submits an application for free allocation. A higher level of emission reduction </w:t>
      </w:r>
      <w:r w:rsidR="18F045BE" w:rsidRPr="2193DBD9">
        <w:rPr>
          <w:noProof/>
        </w:rPr>
        <w:t xml:space="preserve">should </w:t>
      </w:r>
      <w:r w:rsidR="575D96F3" w:rsidRPr="2193DBD9">
        <w:rPr>
          <w:noProof/>
        </w:rPr>
        <w:t>be required for the installation or installations that will make the investment on behalf</w:t>
      </w:r>
      <w:r w:rsidR="61F7A477" w:rsidRPr="2193DBD9">
        <w:rPr>
          <w:noProof/>
        </w:rPr>
        <w:t xml:space="preserve"> of</w:t>
      </w:r>
      <w:r w:rsidR="575D96F3" w:rsidRPr="2193DBD9">
        <w:rPr>
          <w:noProof/>
        </w:rPr>
        <w:t xml:space="preserve"> the pool. </w:t>
      </w:r>
      <w:r w:rsidR="18C1E704" w:rsidRPr="2193DBD9">
        <w:rPr>
          <w:noProof/>
        </w:rPr>
        <w:t xml:space="preserve">The Commission should further operationalise, by means of </w:t>
      </w:r>
      <w:r w:rsidR="3B8B992D" w:rsidRPr="2193DBD9">
        <w:rPr>
          <w:noProof/>
        </w:rPr>
        <w:t xml:space="preserve">implementing and </w:t>
      </w:r>
      <w:r w:rsidR="18C1E704" w:rsidRPr="2193DBD9">
        <w:rPr>
          <w:noProof/>
        </w:rPr>
        <w:t xml:space="preserve">delegated acts, the details of the application procedure to form a pool, including the minimum content and detailed conditions for the application to form a pool, </w:t>
      </w:r>
      <w:r w:rsidR="3B8B992D" w:rsidRPr="2193DBD9">
        <w:rPr>
          <w:noProof/>
        </w:rPr>
        <w:t xml:space="preserve">the </w:t>
      </w:r>
      <w:r w:rsidR="18C1E704" w:rsidRPr="2193DBD9">
        <w:rPr>
          <w:noProof/>
        </w:rPr>
        <w:t>detailed timeline for its submission to the competent authority, and the details of the distribution of liability and obligations between operators that form a pool.</w:t>
      </w:r>
      <w:r>
        <w:rPr>
          <w:noProof/>
        </w:rPr>
        <w:t xml:space="preserve"> This pooling provision will also significantly reduce administrative burden on the operators that pool together, because any conditionality-related monitoring and reporting obligation will be carried out only by the designated installation or installations within the pool.</w:t>
      </w:r>
    </w:p>
    <w:p w14:paraId="6CA5E356" w14:textId="5CCBC735" w:rsidR="009E1F0E" w:rsidRPr="009E1F0E" w:rsidRDefault="575D96F3" w:rsidP="009B71C3">
      <w:pPr>
        <w:pStyle w:val="Considrant"/>
        <w:rPr>
          <w:noProof/>
          <w:lang w:val="en-IE" w:eastAsia="en-IE"/>
        </w:rPr>
      </w:pPr>
      <w:r w:rsidRPr="2193DBD9">
        <w:rPr>
          <w:noProof/>
        </w:rPr>
        <w:t xml:space="preserve">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w:t>
      </w:r>
      <w:r w:rsidR="0DF02DAF" w:rsidRPr="2193DBD9">
        <w:rPr>
          <w:noProof/>
        </w:rPr>
        <w:t>To ensure appropriate protection against the risk of carbon leakage and ensure sufficient free allocation levels</w:t>
      </w:r>
      <w:r w:rsidR="00877727">
        <w:rPr>
          <w:noProof/>
        </w:rPr>
        <w:t xml:space="preserve"> </w:t>
      </w:r>
      <w:r w:rsidR="00877727" w:rsidRPr="00877727">
        <w:rPr>
          <w:noProof/>
        </w:rPr>
        <w:t>better reflecting the actual decarbonisation pathway of industrial sectors</w:t>
      </w:r>
      <w:r w:rsidR="0DF02DAF" w:rsidRPr="2193DBD9">
        <w:rPr>
          <w:noProof/>
        </w:rPr>
        <w:t xml:space="preserve"> for the period from 2031 to 2040, the same minimum update rate percentages as for the ongoing period from 2026 to 2030 should apply</w:t>
      </w:r>
      <w:r w:rsidR="00877727" w:rsidRPr="00877727">
        <w:rPr>
          <w:noProof/>
        </w:rPr>
        <w:t xml:space="preserve">, while the maximum update rate percentages for the same period </w:t>
      </w:r>
      <w:r w:rsidR="000541BD">
        <w:rPr>
          <w:noProof/>
        </w:rPr>
        <w:t>should be</w:t>
      </w:r>
      <w:r w:rsidR="00877727" w:rsidRPr="00877727">
        <w:rPr>
          <w:noProof/>
        </w:rPr>
        <w:t xml:space="preserve"> updated to reflect this necessity</w:t>
      </w:r>
      <w:r w:rsidR="0DF02DAF" w:rsidRPr="2193DBD9">
        <w:rPr>
          <w:noProof/>
        </w:rPr>
        <w:t>.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w:t>
      </w:r>
      <w:r w:rsidR="0024396C">
        <w:rPr>
          <w:noProof/>
        </w:rPr>
        <w:t xml:space="preserve"> </w:t>
      </w:r>
      <w:r w:rsidR="0DF02DAF" w:rsidRPr="2193DBD9">
        <w:rPr>
          <w:noProof/>
        </w:rPr>
        <w:t xml:space="preserve">% to </w:t>
      </w:r>
      <w:r w:rsidR="0024396C">
        <w:rPr>
          <w:noProof/>
        </w:rPr>
        <w:t xml:space="preserve">50 </w:t>
      </w:r>
      <w:r w:rsidR="0DF02DAF" w:rsidRPr="2193DBD9">
        <w:rPr>
          <w:noProof/>
        </w:rPr>
        <w:t>% respectively compared to the value applicable in the period from 2013 to 2020.</w:t>
      </w:r>
    </w:p>
    <w:p w14:paraId="47CDD301" w14:textId="77777777" w:rsidR="009E1F0E" w:rsidRDefault="3938CB30" w:rsidP="007D51B6">
      <w:pPr>
        <w:pStyle w:val="Considrant"/>
        <w:rPr>
          <w:noProof/>
          <w:lang w:val="en-IE" w:eastAsia="en-IE"/>
        </w:rPr>
      </w:pPr>
      <w:r w:rsidRPr="009E1F0E">
        <w:rPr>
          <w:noProof/>
          <w:lang w:val="en-IE" w:eastAsia="en-IE"/>
        </w:rPr>
        <w:t>To better reflect available emissions reduction capacities in different industrial sectors, it is appropriate to establish sector-specific heat and fuel benchmarks (‘fallback benchmarks’).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w:t>
      </w:r>
    </w:p>
    <w:p w14:paraId="6417C3B9" w14:textId="77777777" w:rsidR="009E1F0E" w:rsidRDefault="0024396C" w:rsidP="00C449DC">
      <w:pPr>
        <w:pStyle w:val="Considrant"/>
        <w:rPr>
          <w:noProof/>
          <w:lang w:val="en-IE" w:eastAsia="en-IE"/>
        </w:rPr>
      </w:pPr>
      <w:r w:rsidRPr="009E1F0E">
        <w:rPr>
          <w:noProof/>
          <w:lang w:val="en-IE" w:eastAsia="en-IE"/>
        </w:rPr>
        <w:t>In the event that demand for free allowances triggers the need to apply a uniform cross-sectoral correction factor before 2040, the share of allowances to be auctioned over the ten year period beginning on 1 January 2031 should be reduced by up to 4 % of the total quantity of allowances.</w:t>
      </w:r>
      <w:r w:rsidR="3938CB30" w:rsidRPr="009E1F0E">
        <w:rPr>
          <w:noProof/>
          <w:lang w:val="en-IE" w:eastAsia="en-IE"/>
        </w:rPr>
        <w:t xml:space="preserve">  </w:t>
      </w:r>
    </w:p>
    <w:p w14:paraId="7A705395" w14:textId="77777777" w:rsidR="009E1F0E" w:rsidRDefault="575D96F3" w:rsidP="009B4D30">
      <w:pPr>
        <w:pStyle w:val="Considrant"/>
        <w:rPr>
          <w:noProof/>
          <w:lang w:val="en-IE" w:eastAsia="en-IE"/>
        </w:rPr>
      </w:pPr>
      <w:r w:rsidRPr="2193DBD9">
        <w:rPr>
          <w:noProof/>
        </w:rPr>
        <w:t xml:space="preserve">Leftover allowances from the free allocation buffer established in Article 10a(5a) of Directive 2003/87/EC should be used to support the Innovation Fund and to support the scale-up and roll-out of more mature technologies in energy-intensive industries through the Investment Booster and the second phase of the Industrial Decarbonisation Bank. Where the allowances available are not sufficient to allocate 400 million allowances </w:t>
      </w:r>
      <w:r w:rsidR="5EF138FF" w:rsidRPr="2193DBD9">
        <w:rPr>
          <w:noProof/>
        </w:rPr>
        <w:t>to</w:t>
      </w:r>
      <w:r w:rsidRPr="2193DBD9">
        <w:rPr>
          <w:noProof/>
        </w:rPr>
        <w:t xml:space="preserve"> the Investment Booster, these should come from the leftover allowances from the new entrants reserve provided for in Article 10a(7) of Directive 2003/87/EC. To ensure that the size of the new </w:t>
      </w:r>
      <w:r w:rsidR="7827335F" w:rsidRPr="2193DBD9">
        <w:rPr>
          <w:noProof/>
        </w:rPr>
        <w:t>entrants’</w:t>
      </w:r>
      <w:r w:rsidRPr="2193DBD9">
        <w:rPr>
          <w:noProof/>
        </w:rPr>
        <w:t xml:space="preserve"> reserve is sufficient for the upcoming phase of the EU ETS, it should be allocated allowances from the phase-out of free allocation due to the phase-in of </w:t>
      </w:r>
      <w:r w:rsidR="66C85FA2" w:rsidRPr="2193DBD9">
        <w:rPr>
          <w:noProof/>
        </w:rPr>
        <w:t xml:space="preserve">carbon border adjustment mechanism (CBAM) </w:t>
      </w:r>
      <w:r w:rsidRPr="2193DBD9">
        <w:rPr>
          <w:noProof/>
        </w:rPr>
        <w:t xml:space="preserve">and allowances should not be returned to the </w:t>
      </w:r>
      <w:r w:rsidR="5EF138FF" w:rsidRPr="2193DBD9">
        <w:rPr>
          <w:noProof/>
        </w:rPr>
        <w:t>MSR</w:t>
      </w:r>
      <w:r w:rsidRPr="2193DBD9">
        <w:rPr>
          <w:noProof/>
        </w:rPr>
        <w:t>.</w:t>
      </w:r>
      <w:r w:rsidRPr="009E1F0E">
        <w:rPr>
          <w:noProof/>
          <w:lang w:val="en-IE" w:eastAsia="en-IE"/>
        </w:rPr>
        <w:t xml:space="preserve"> </w:t>
      </w:r>
    </w:p>
    <w:p w14:paraId="5C8FAD80" w14:textId="77777777" w:rsidR="009E1F0E" w:rsidRPr="009E1F0E" w:rsidRDefault="575D96F3" w:rsidP="00BE0544">
      <w:pPr>
        <w:pStyle w:val="Considrant"/>
        <w:rPr>
          <w:noProof/>
          <w:lang w:val="en-IE" w:eastAsia="en-IE"/>
        </w:rPr>
      </w:pPr>
      <w:r w:rsidRPr="009E1F0E">
        <w:rPr>
          <w:noProof/>
          <w:color w:val="000000" w:themeColor="text1"/>
          <w:lang w:val="en-IE"/>
        </w:rPr>
        <w:t>To avoid penalising new entrants and therefore limiting possible decarbonisation investments, it is appropriate to delete the application of the linear reduction factor to allocations to new entrants under Article 10a(7) of Directive</w:t>
      </w:r>
      <w:r w:rsidR="52CD46A6" w:rsidRPr="009E1F0E">
        <w:rPr>
          <w:noProof/>
          <w:color w:val="000000" w:themeColor="text1"/>
          <w:lang w:val="en-IE"/>
        </w:rPr>
        <w:t xml:space="preserve"> 2003/87/EC</w:t>
      </w:r>
      <w:r w:rsidRPr="009E1F0E">
        <w:rPr>
          <w:noProof/>
          <w:color w:val="000000" w:themeColor="text1"/>
          <w:lang w:val="en-IE"/>
        </w:rPr>
        <w:t>.</w:t>
      </w:r>
    </w:p>
    <w:p w14:paraId="352730BA" w14:textId="77777777" w:rsidR="009E1F0E" w:rsidRPr="009E1F0E" w:rsidRDefault="575D96F3" w:rsidP="00726D5A">
      <w:pPr>
        <w:pStyle w:val="Considrant"/>
        <w:rPr>
          <w:noProof/>
          <w:lang w:val="en-IE" w:eastAsia="en-IE"/>
        </w:rPr>
      </w:pPr>
      <w:r w:rsidRPr="009E1F0E">
        <w:rPr>
          <w:noProof/>
          <w:color w:val="000000" w:themeColor="text1"/>
          <w:lang w:val="en-IE"/>
        </w:rPr>
        <w:t xml:space="preserve">To ensure the correct implementation of rules related </w:t>
      </w:r>
      <w:r w:rsidR="54F80A78" w:rsidRPr="009E1F0E">
        <w:rPr>
          <w:noProof/>
          <w:color w:val="000000" w:themeColor="text1"/>
          <w:lang w:val="en-IE"/>
        </w:rPr>
        <w:t xml:space="preserve">to </w:t>
      </w:r>
      <w:r w:rsidRPr="009E1F0E">
        <w:rPr>
          <w:noProof/>
          <w:color w:val="000000" w:themeColor="text1"/>
          <w:lang w:val="en-IE"/>
        </w:rPr>
        <w:t>the allocation of allowances</w:t>
      </w:r>
      <w:r w:rsidR="54F80A78" w:rsidRPr="009E1F0E">
        <w:rPr>
          <w:noProof/>
          <w:color w:val="000000" w:themeColor="text1"/>
          <w:lang w:val="en-IE"/>
        </w:rPr>
        <w:t xml:space="preserve"> and</w:t>
      </w:r>
      <w:r w:rsidRPr="009E1F0E">
        <w:rPr>
          <w:noProof/>
          <w:color w:val="000000" w:themeColor="text1"/>
          <w:lang w:val="en-IE"/>
        </w:rPr>
        <w:t xml:space="preserve"> equal treatment of operators and </w:t>
      </w:r>
      <w:r w:rsidR="54F80A78" w:rsidRPr="009E1F0E">
        <w:rPr>
          <w:noProof/>
          <w:color w:val="000000" w:themeColor="text1"/>
          <w:lang w:val="en-IE"/>
        </w:rPr>
        <w:t xml:space="preserve">to </w:t>
      </w:r>
      <w:r w:rsidRPr="009E1F0E">
        <w:rPr>
          <w:noProof/>
          <w:color w:val="000000" w:themeColor="text1"/>
          <w:lang w:val="en-IE"/>
        </w:rPr>
        <w:t xml:space="preserve">prevent windfall profits, it should be clarified that </w:t>
      </w:r>
      <w:r w:rsidR="5F9CF485" w:rsidRPr="009E1F0E">
        <w:rPr>
          <w:noProof/>
          <w:color w:val="000000" w:themeColor="text1"/>
          <w:lang w:val="en-IE"/>
        </w:rPr>
        <w:t>competent authorities</w:t>
      </w:r>
      <w:r w:rsidRPr="009E1F0E">
        <w:rPr>
          <w:noProof/>
          <w:color w:val="000000" w:themeColor="text1"/>
          <w:lang w:val="en-IE"/>
        </w:rPr>
        <w:t xml:space="preserve"> are under </w:t>
      </w:r>
      <w:r w:rsidR="2813A4E1" w:rsidRPr="009E1F0E">
        <w:rPr>
          <w:noProof/>
          <w:color w:val="000000" w:themeColor="text1"/>
          <w:lang w:val="en-IE"/>
        </w:rPr>
        <w:t xml:space="preserve">an </w:t>
      </w:r>
      <w:r w:rsidRPr="009E1F0E">
        <w:rPr>
          <w:noProof/>
          <w:color w:val="000000" w:themeColor="text1"/>
          <w:lang w:val="en-IE"/>
        </w:rPr>
        <w:t xml:space="preserve">obligation to require the operator to return any excess </w:t>
      </w:r>
      <w:r w:rsidR="5252206F" w:rsidRPr="009E1F0E">
        <w:rPr>
          <w:noProof/>
          <w:color w:val="000000" w:themeColor="text1"/>
          <w:lang w:val="en-IE"/>
        </w:rPr>
        <w:t>allowance</w:t>
      </w:r>
      <w:r w:rsidR="22D3D4C2" w:rsidRPr="009E1F0E">
        <w:rPr>
          <w:noProof/>
          <w:color w:val="000000" w:themeColor="text1"/>
          <w:lang w:val="en-IE"/>
        </w:rPr>
        <w:t>s</w:t>
      </w:r>
      <w:r w:rsidR="4556A9DA" w:rsidRPr="009E1F0E">
        <w:rPr>
          <w:noProof/>
          <w:color w:val="000000" w:themeColor="text1"/>
          <w:lang w:val="en-IE"/>
        </w:rPr>
        <w:t xml:space="preserve"> and to instruct the national administrator to transfer returning excess allowances</w:t>
      </w:r>
      <w:r w:rsidR="73E95846" w:rsidRPr="2193DBD9">
        <w:rPr>
          <w:noProof/>
        </w:rPr>
        <w:t xml:space="preserve"> t</w:t>
      </w:r>
      <w:r w:rsidR="73E95846" w:rsidRPr="009E1F0E">
        <w:rPr>
          <w:noProof/>
          <w:color w:val="000000" w:themeColor="text1"/>
          <w:lang w:val="en-IE"/>
        </w:rPr>
        <w:t>o the EU Allocation Account</w:t>
      </w:r>
      <w:r w:rsidR="5252206F" w:rsidRPr="009E1F0E">
        <w:rPr>
          <w:noProof/>
          <w:color w:val="000000" w:themeColor="text1"/>
          <w:lang w:val="en-IE"/>
        </w:rPr>
        <w:t>.</w:t>
      </w:r>
      <w:r w:rsidRPr="009E1F0E">
        <w:rPr>
          <w:noProof/>
          <w:color w:val="000000" w:themeColor="text1"/>
          <w:lang w:val="en-IE"/>
        </w:rPr>
        <w:t xml:space="preserve"> </w:t>
      </w:r>
    </w:p>
    <w:p w14:paraId="23157167" w14:textId="77777777" w:rsidR="009E1F0E" w:rsidRDefault="575D96F3" w:rsidP="00AF0AD0">
      <w:pPr>
        <w:pStyle w:val="Considrant"/>
        <w:rPr>
          <w:noProof/>
          <w:color w:val="000000" w:themeColor="text1"/>
          <w:lang w:val="en-IE"/>
        </w:rPr>
      </w:pPr>
      <w:r w:rsidRPr="009E1F0E">
        <w:rPr>
          <w:noProof/>
          <w:color w:val="000000" w:themeColor="text1"/>
          <w:lang w:val="en-IE"/>
        </w:rPr>
        <w:t>In accordance with the commitment set out in Article 4</w:t>
      </w:r>
      <w:r w:rsidR="4752C8DC" w:rsidRPr="009E1F0E">
        <w:rPr>
          <w:noProof/>
          <w:color w:val="000000" w:themeColor="text1"/>
          <w:lang w:val="en-IE"/>
        </w:rPr>
        <w:t>(</w:t>
      </w:r>
      <w:r w:rsidRPr="009E1F0E">
        <w:rPr>
          <w:noProof/>
          <w:color w:val="000000" w:themeColor="text1"/>
          <w:lang w:val="en-IE"/>
        </w:rPr>
        <w:t>5</w:t>
      </w:r>
      <w:r w:rsidR="4752C8DC" w:rsidRPr="009E1F0E">
        <w:rPr>
          <w:noProof/>
          <w:color w:val="000000" w:themeColor="text1"/>
          <w:lang w:val="en-IE"/>
        </w:rPr>
        <w:t>)</w:t>
      </w:r>
      <w:r w:rsidRPr="009E1F0E">
        <w:rPr>
          <w:noProof/>
          <w:color w:val="000000" w:themeColor="text1"/>
          <w:lang w:val="en-IE"/>
        </w:rPr>
        <w:t xml:space="preserve">,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w:t>
      </w:r>
      <w:r w:rsidR="6898C3EE" w:rsidRPr="009E1F0E">
        <w:rPr>
          <w:noProof/>
          <w:color w:val="000000" w:themeColor="text1"/>
          <w:lang w:val="en-IE"/>
        </w:rPr>
        <w:t xml:space="preserve">To provide for this </w:t>
      </w:r>
      <w:r w:rsidRPr="009E1F0E">
        <w:rPr>
          <w:noProof/>
          <w:color w:val="000000" w:themeColor="text1"/>
          <w:lang w:val="en-IE"/>
        </w:rPr>
        <w:t xml:space="preserve">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w:t>
      </w:r>
      <w:r w:rsidR="1A3C518A" w:rsidRPr="009E1F0E">
        <w:rPr>
          <w:noProof/>
          <w:color w:val="000000" w:themeColor="text1"/>
          <w:lang w:val="en-IE"/>
        </w:rPr>
        <w:t>phased out</w:t>
      </w:r>
      <w:r w:rsidRPr="009E1F0E">
        <w:rPr>
          <w:noProof/>
          <w:color w:val="000000" w:themeColor="text1"/>
          <w:lang w:val="en-IE"/>
        </w:rPr>
        <w:t xml:space="preserve"> </w:t>
      </w:r>
      <w:r w:rsidR="7F2FBA6A" w:rsidRPr="009E1F0E">
        <w:rPr>
          <w:noProof/>
          <w:color w:val="000000" w:themeColor="text1"/>
          <w:lang w:val="en-IE"/>
        </w:rPr>
        <w:t xml:space="preserve">fully by </w:t>
      </w:r>
      <w:r w:rsidRPr="009E1F0E">
        <w:rPr>
          <w:noProof/>
          <w:color w:val="000000" w:themeColor="text1"/>
          <w:lang w:val="en-IE"/>
        </w:rPr>
        <w:t xml:space="preserve">the end of 2037. </w:t>
      </w:r>
      <w:r w:rsidR="6AE695F0" w:rsidRPr="009E1F0E">
        <w:rPr>
          <w:noProof/>
          <w:lang w:val="en-IE"/>
        </w:rPr>
        <w:t xml:space="preserve">In view of ensuring </w:t>
      </w:r>
      <w:r w:rsidR="2F01D706" w:rsidRPr="009E1F0E">
        <w:rPr>
          <w:noProof/>
          <w:lang w:val="en-IE"/>
        </w:rPr>
        <w:t xml:space="preserve">an achievable phase-in of CBAM factor in free allocation to </w:t>
      </w:r>
      <w:r w:rsidR="6AA6786A" w:rsidRPr="009E1F0E">
        <w:rPr>
          <w:noProof/>
          <w:lang w:val="en-IE"/>
        </w:rPr>
        <w:t xml:space="preserve">CBAM goods that will be newly included as a result of future revisions of Regulation (EU) 2021/1119, it is appropriate to provide </w:t>
      </w:r>
      <w:r w:rsidR="15FA2A41" w:rsidRPr="009E1F0E">
        <w:rPr>
          <w:noProof/>
          <w:lang w:val="en-IE"/>
        </w:rPr>
        <w:t>for specific phase-out rates for those new CBAM goods, applying as of the five-year period for free allocation that starts after their inclusion in the scope of Annex I to that Regulation.</w:t>
      </w:r>
      <w:r w:rsidR="6AE695F0" w:rsidRPr="009E1F0E">
        <w:rPr>
          <w:noProof/>
          <w:lang w:val="en-IE"/>
        </w:rPr>
        <w:t xml:space="preserve"> </w:t>
      </w:r>
      <w:r w:rsidR="5DC19633" w:rsidRPr="009E1F0E">
        <w:rPr>
          <w:noProof/>
          <w:lang w:val="en-IE"/>
        </w:rPr>
        <w:t>In l</w:t>
      </w:r>
      <w:r w:rsidR="5DC19633" w:rsidRPr="009E1F0E">
        <w:rPr>
          <w:noProof/>
          <w:color w:val="000000" w:themeColor="text1"/>
          <w:lang w:val="en-IE"/>
        </w:rPr>
        <w:t xml:space="preserve">ine with this </w:t>
      </w:r>
      <w:r w:rsidR="5F664A8C" w:rsidRPr="009E1F0E">
        <w:rPr>
          <w:noProof/>
          <w:color w:val="000000" w:themeColor="text1"/>
          <w:lang w:val="en-IE"/>
        </w:rPr>
        <w:t>Directive</w:t>
      </w:r>
      <w:r w:rsidR="5DC19633" w:rsidRPr="009E1F0E">
        <w:rPr>
          <w:noProof/>
          <w:color w:val="000000" w:themeColor="text1"/>
          <w:lang w:val="en-IE"/>
        </w:rPr>
        <w:t xml:space="preserve"> introducing </w:t>
      </w:r>
      <w:r w:rsidR="5E466521" w:rsidRPr="009E1F0E">
        <w:rPr>
          <w:noProof/>
          <w:lang w:val="en-IE"/>
        </w:rPr>
        <w:t>i</w:t>
      </w:r>
      <w:r w:rsidRPr="2193DBD9">
        <w:rPr>
          <w:noProof/>
        </w:rPr>
        <w:t>nvestment conditionality rules for free allocation</w:t>
      </w:r>
      <w:r w:rsidR="5E466521" w:rsidRPr="2193DBD9">
        <w:rPr>
          <w:noProof/>
        </w:rPr>
        <w:t xml:space="preserve"> in the EU ETS from 2031 onwards, </w:t>
      </w:r>
      <w:r w:rsidR="46B31B9C" w:rsidRPr="009E1F0E">
        <w:rPr>
          <w:noProof/>
          <w:color w:val="000000" w:themeColor="text1"/>
          <w:lang w:val="en-IE"/>
        </w:rPr>
        <w:t xml:space="preserve">those conditionality rules </w:t>
      </w:r>
      <w:r w:rsidR="5DC19633" w:rsidRPr="009E1F0E">
        <w:rPr>
          <w:noProof/>
          <w:color w:val="000000" w:themeColor="text1"/>
          <w:lang w:val="en-IE"/>
        </w:rPr>
        <w:t xml:space="preserve">should </w:t>
      </w:r>
      <w:r w:rsidR="2071DAB9" w:rsidRPr="009E1F0E">
        <w:rPr>
          <w:noProof/>
          <w:color w:val="000000" w:themeColor="text1"/>
          <w:lang w:val="en-IE"/>
        </w:rPr>
        <w:t xml:space="preserve">apply </w:t>
      </w:r>
      <w:r w:rsidRPr="009E1F0E">
        <w:rPr>
          <w:noProof/>
          <w:color w:val="000000" w:themeColor="text1"/>
          <w:lang w:val="en-IE"/>
        </w:rPr>
        <w:t xml:space="preserve">from 2031 onwards also for free allocation </w:t>
      </w:r>
      <w:r w:rsidR="4490EFD7" w:rsidRPr="009E1F0E">
        <w:rPr>
          <w:noProof/>
          <w:color w:val="000000" w:themeColor="text1"/>
          <w:lang w:val="en-IE"/>
        </w:rPr>
        <w:t xml:space="preserve">to installations </w:t>
      </w:r>
      <w:r w:rsidR="0574C880" w:rsidRPr="009E1F0E">
        <w:rPr>
          <w:noProof/>
          <w:color w:val="000000" w:themeColor="text1"/>
          <w:lang w:val="en-IE"/>
        </w:rPr>
        <w:t>to which the CBAM factor is applied</w:t>
      </w:r>
      <w:r w:rsidRPr="009E1F0E">
        <w:rPr>
          <w:noProof/>
          <w:color w:val="000000" w:themeColor="text1"/>
          <w:lang w:val="en-IE"/>
        </w:rPr>
        <w:t>.</w:t>
      </w:r>
    </w:p>
    <w:p w14:paraId="53C9B7D5" w14:textId="77777777" w:rsidR="009E1F0E" w:rsidRDefault="558D7AF3" w:rsidP="00C7222C">
      <w:pPr>
        <w:pStyle w:val="Considrant"/>
        <w:rPr>
          <w:noProof/>
          <w:color w:val="000000" w:themeColor="text1"/>
          <w:lang w:val="en-IE"/>
        </w:rPr>
      </w:pPr>
      <w:r w:rsidRPr="009E1F0E">
        <w:rPr>
          <w:noProof/>
          <w:color w:val="000000" w:themeColor="text1"/>
          <w:lang w:val="en-IE"/>
        </w:rPr>
        <w:t xml:space="preserve">To maintain adequate </w:t>
      </w:r>
      <w:r w:rsidR="2E0A21D8" w:rsidRPr="009E1F0E">
        <w:rPr>
          <w:noProof/>
          <w:color w:val="000000" w:themeColor="text1"/>
          <w:lang w:val="en-IE"/>
        </w:rPr>
        <w:t>protection against the risk of carbon leakage</w:t>
      </w:r>
      <w:r w:rsidR="575D96F3" w:rsidRPr="009E1F0E">
        <w:rPr>
          <w:noProof/>
          <w:color w:val="000000" w:themeColor="text1"/>
          <w:lang w:val="en-IE"/>
        </w:rPr>
        <w:t xml:space="preserve">, transitional measures to support certain energy intensive industries in the event of carbon leakage </w:t>
      </w:r>
      <w:r w:rsidR="2F52FF7A" w:rsidRPr="009E1F0E">
        <w:rPr>
          <w:noProof/>
          <w:color w:val="000000" w:themeColor="text1"/>
          <w:lang w:val="en-IE"/>
        </w:rPr>
        <w:t xml:space="preserve">should </w:t>
      </w:r>
      <w:r w:rsidR="575D96F3" w:rsidRPr="009E1F0E">
        <w:rPr>
          <w:noProof/>
          <w:color w:val="000000" w:themeColor="text1"/>
          <w:lang w:val="en-IE"/>
        </w:rPr>
        <w:t xml:space="preserve">continue </w:t>
      </w:r>
      <w:r w:rsidR="2F52FF7A" w:rsidRPr="009E1F0E">
        <w:rPr>
          <w:noProof/>
          <w:color w:val="000000" w:themeColor="text1"/>
          <w:lang w:val="en-IE"/>
        </w:rPr>
        <w:t xml:space="preserve">applying </w:t>
      </w:r>
      <w:r w:rsidR="575D96F3" w:rsidRPr="009E1F0E">
        <w:rPr>
          <w:noProof/>
          <w:color w:val="000000" w:themeColor="text1"/>
          <w:lang w:val="en-IE"/>
        </w:rPr>
        <w:t>until 31 December 2040</w:t>
      </w:r>
      <w:r w:rsidR="0E3C756D" w:rsidRPr="009E1F0E">
        <w:rPr>
          <w:noProof/>
          <w:color w:val="000000" w:themeColor="text1"/>
          <w:lang w:val="en-IE"/>
        </w:rPr>
        <w:t>, except where specific phase-out provisions apply</w:t>
      </w:r>
      <w:r w:rsidR="575D96F3" w:rsidRPr="009E1F0E">
        <w:rPr>
          <w:noProof/>
          <w:color w:val="000000" w:themeColor="text1"/>
          <w:lang w:val="en-IE"/>
        </w:rPr>
        <w:t xml:space="preserve">. Free allocation to district heating should be phased out by equal amounts starting in 2030 in </w:t>
      </w:r>
      <w:r w:rsidR="2071DAB9" w:rsidRPr="009E1F0E">
        <w:rPr>
          <w:noProof/>
          <w:color w:val="000000" w:themeColor="text1"/>
          <w:lang w:val="en-IE"/>
        </w:rPr>
        <w:t xml:space="preserve">view </w:t>
      </w:r>
      <w:r w:rsidR="575D96F3" w:rsidRPr="009E1F0E">
        <w:rPr>
          <w:noProof/>
          <w:color w:val="000000" w:themeColor="text1"/>
          <w:lang w:val="en-IE"/>
        </w:rPr>
        <w:t xml:space="preserve">of achieving </w:t>
      </w:r>
      <w:r w:rsidR="118C8845" w:rsidRPr="009E1F0E">
        <w:rPr>
          <w:noProof/>
          <w:color w:val="000000" w:themeColor="text1"/>
          <w:lang w:val="en-IE"/>
        </w:rPr>
        <w:t xml:space="preserve">zero </w:t>
      </w:r>
      <w:r w:rsidR="575D96F3" w:rsidRPr="009E1F0E">
        <w:rPr>
          <w:noProof/>
          <w:color w:val="000000" w:themeColor="text1"/>
          <w:lang w:val="en-IE"/>
        </w:rPr>
        <w:t xml:space="preserve">free allocation in 2040. </w:t>
      </w:r>
    </w:p>
    <w:p w14:paraId="3259BEC5" w14:textId="54C7566A" w:rsidR="009E1F0E" w:rsidRDefault="575D96F3" w:rsidP="001A69F1">
      <w:pPr>
        <w:pStyle w:val="Considrant"/>
        <w:rPr>
          <w:noProof/>
          <w:color w:val="000000" w:themeColor="text1"/>
          <w:lang w:val="en-IE"/>
        </w:rPr>
      </w:pPr>
      <w:r w:rsidRPr="009E1F0E">
        <w:rPr>
          <w:noProof/>
          <w:color w:val="000000" w:themeColor="text1"/>
          <w:lang w:val="en-IE"/>
        </w:rPr>
        <w:t>Achieving the EU’s 2040 climate target necessitates urgent and deep emission reductions in industry, particularly in energy-intensive sectors, where progress has thus far relied predominantly on energy efficiency gains rather than transformative decarbonisation. At the same time, to drive industrial transition substantial investments are required. Yet, the existing carbon price signal, even when combined with regulatory measures on renewables and energy efficiency, has proven insufficient to incentivise industrial decarbonisation investments, thereby justifying the allocation of allowances to a dedicated EU-level funding instrument, the Industrial Decarbonisation Bank, designed to bridge this gap and accelerate industrial decarbonisation</w:t>
      </w:r>
      <w:r w:rsidR="4589E15D" w:rsidRPr="009E1F0E">
        <w:rPr>
          <w:noProof/>
          <w:color w:val="000000" w:themeColor="text1"/>
          <w:lang w:val="en-IE"/>
        </w:rPr>
        <w:t>,</w:t>
      </w:r>
      <w:r w:rsidR="5239F057" w:rsidRPr="009E1F0E">
        <w:rPr>
          <w:noProof/>
          <w:color w:val="000000" w:themeColor="text1"/>
          <w:lang w:val="en-IE"/>
        </w:rPr>
        <w:t xml:space="preserve"> including through electrification</w:t>
      </w:r>
      <w:r w:rsidR="71898318" w:rsidRPr="009E1F0E">
        <w:rPr>
          <w:noProof/>
          <w:color w:val="000000" w:themeColor="text1"/>
          <w:lang w:val="en-IE"/>
        </w:rPr>
        <w:t>,</w:t>
      </w:r>
      <w:r w:rsidRPr="009E1F0E">
        <w:rPr>
          <w:noProof/>
          <w:color w:val="000000" w:themeColor="text1"/>
          <w:lang w:val="en-IE"/>
        </w:rPr>
        <w:t xml:space="preserve"> and enhance Europe’s competitiveness. Member States should be allowed and encouraged to make additional contributions from ETS allocations and related revenues to the Bank to further accelerate industrial decarbonisation in line with national priorities.</w:t>
      </w:r>
    </w:p>
    <w:p w14:paraId="0EAE5CDF" w14:textId="77777777" w:rsidR="009E1F0E" w:rsidRPr="009E1F0E" w:rsidRDefault="575D96F3" w:rsidP="00C17031">
      <w:pPr>
        <w:pStyle w:val="Considrant"/>
        <w:rPr>
          <w:noProof/>
          <w:color w:val="000000" w:themeColor="text1"/>
          <w:lang w:val="en-IE"/>
        </w:rPr>
      </w:pPr>
      <w:r w:rsidRPr="009E1F0E">
        <w:rPr>
          <w:noProof/>
          <w:lang w:val="en-US" w:eastAsia="de-DE"/>
        </w:rPr>
        <w:t xml:space="preserve">The Innovation Fund should continue to support innovative low-carbon technologies across all eligible sectors, including those covered by the CBAM, to ensure </w:t>
      </w:r>
      <w:r w:rsidR="444404EE" w:rsidRPr="009E1F0E">
        <w:rPr>
          <w:noProof/>
          <w:lang w:val="en-US" w:eastAsia="de-DE"/>
        </w:rPr>
        <w:t xml:space="preserve">that </w:t>
      </w:r>
      <w:r w:rsidRPr="009E1F0E">
        <w:rPr>
          <w:noProof/>
          <w:lang w:val="en-US" w:eastAsia="de-DE"/>
        </w:rPr>
        <w:t xml:space="preserve">breakthrough solutions reach commercial scale, bridging the gap between demonstration and market readiness in the transition. It should therefore continue to </w:t>
      </w:r>
      <w:r w:rsidRPr="009E1F0E">
        <w:rPr>
          <w:noProof/>
          <w:lang w:val="en-IE"/>
        </w:rPr>
        <w:t>focus on innovation</w:t>
      </w:r>
      <w:r w:rsidRPr="2193DBD9">
        <w:rPr>
          <w:noProof/>
        </w:rPr>
        <w:t xml:space="preserve">, supporting </w:t>
      </w:r>
      <w:r w:rsidRPr="009E1F0E">
        <w:rPr>
          <w:noProof/>
          <w:lang w:val="en-IE"/>
        </w:rPr>
        <w:t xml:space="preserve">early-stage, high-risk technologies, while the Industrial Decarbonisation Bank (IDB) </w:t>
      </w:r>
      <w:r w:rsidRPr="2193DBD9">
        <w:rPr>
          <w:noProof/>
        </w:rPr>
        <w:t>should</w:t>
      </w:r>
      <w:r w:rsidRPr="009E1F0E">
        <w:rPr>
          <w:noProof/>
          <w:lang w:val="en-IE"/>
        </w:rPr>
        <w:t xml:space="preserve"> </w:t>
      </w:r>
      <w:r w:rsidRPr="2193DBD9">
        <w:rPr>
          <w:noProof/>
        </w:rPr>
        <w:t>support the</w:t>
      </w:r>
      <w:r w:rsidRPr="009E1F0E">
        <w:rPr>
          <w:noProof/>
          <w:lang w:val="en-IE"/>
        </w:rPr>
        <w:t xml:space="preserve"> scale-up and roll-out</w:t>
      </w:r>
      <w:r w:rsidRPr="2193DBD9">
        <w:rPr>
          <w:noProof/>
        </w:rPr>
        <w:t xml:space="preserve"> of </w:t>
      </w:r>
      <w:r w:rsidRPr="009E1F0E">
        <w:rPr>
          <w:noProof/>
          <w:lang w:val="en-IE"/>
        </w:rPr>
        <w:t xml:space="preserve">more mature technologies </w:t>
      </w:r>
      <w:r w:rsidRPr="2193DBD9">
        <w:rPr>
          <w:noProof/>
        </w:rPr>
        <w:t>in energy-intensive industries</w:t>
      </w:r>
      <w:r w:rsidR="091CAC42" w:rsidRPr="2193DBD9">
        <w:rPr>
          <w:noProof/>
        </w:rPr>
        <w:t xml:space="preserve"> while building resilient value chains</w:t>
      </w:r>
      <w:r w:rsidR="104F391F" w:rsidRPr="2193DBD9">
        <w:rPr>
          <w:noProof/>
        </w:rPr>
        <w:t xml:space="preserve"> and contributing to energy system integration</w:t>
      </w:r>
      <w:r w:rsidR="091CAC42" w:rsidRPr="2193DBD9">
        <w:rPr>
          <w:noProof/>
        </w:rPr>
        <w:t xml:space="preserve">. </w:t>
      </w:r>
      <w:r w:rsidR="1233FE89" w:rsidRPr="2193DBD9">
        <w:rPr>
          <w:noProof/>
        </w:rPr>
        <w:t xml:space="preserve">Electrification will be a prime decarbonisation pathway as outlined in the Electrification Action Plan. </w:t>
      </w:r>
      <w:r w:rsidR="091CAC42" w:rsidRPr="2193DBD9">
        <w:rPr>
          <w:noProof/>
        </w:rPr>
        <w:t xml:space="preserve">Alignment with the requirements of the Net-Zero Industry Act and the Industrial Accelerator Act, including regarding EU content, </w:t>
      </w:r>
      <w:r w:rsidR="4E281740" w:rsidRPr="2193DBD9">
        <w:rPr>
          <w:noProof/>
        </w:rPr>
        <w:t>as well as circular economy principles,</w:t>
      </w:r>
      <w:r w:rsidR="091CAC42" w:rsidRPr="2193DBD9">
        <w:rPr>
          <w:noProof/>
        </w:rPr>
        <w:t xml:space="preserve"> should be ensured</w:t>
      </w:r>
      <w:r w:rsidRPr="009E1F0E">
        <w:rPr>
          <w:noProof/>
          <w:lang w:val="en-IE"/>
        </w:rPr>
        <w:t>.</w:t>
      </w:r>
      <w:r w:rsidRPr="2193DBD9">
        <w:rPr>
          <w:noProof/>
        </w:rPr>
        <w:t xml:space="preserve"> With its comprehensive approach from abatement to transformation and its more focused sectoral scope, the Industrial Decarbonisation Bank should support both the decarbonisation of existing installations and the deployment of new low-carbon or zero-emission production capacity, including processes that substitute carbon-intensive industrial products or methods, </w:t>
      </w:r>
      <w:r w:rsidR="16954A4A" w:rsidRPr="2193DBD9">
        <w:rPr>
          <w:noProof/>
        </w:rPr>
        <w:t>also by bio-based material, products and methods,</w:t>
      </w:r>
      <w:r w:rsidR="26377D89" w:rsidRPr="2193DBD9">
        <w:rPr>
          <w:noProof/>
        </w:rPr>
        <w:t xml:space="preserve"> </w:t>
      </w:r>
      <w:r w:rsidRPr="2193DBD9">
        <w:rPr>
          <w:noProof/>
        </w:rPr>
        <w:t>and as such can also result in the generation of permanent carbon removals</w:t>
      </w:r>
      <w:r w:rsidRPr="009E1F0E">
        <w:rPr>
          <w:noProof/>
          <w:lang w:val="en-US" w:eastAsia="de-DE"/>
        </w:rPr>
        <w:t>. In this context, also combustion activities below 20 MW should be able to benefit from the support.</w:t>
      </w:r>
      <w:r w:rsidRPr="2193DBD9">
        <w:rPr>
          <w:noProof/>
        </w:rPr>
        <w:t xml:space="preserve"> </w:t>
      </w:r>
      <w:r w:rsidRPr="009E1F0E">
        <w:rPr>
          <w:noProof/>
          <w:lang w:val="en-US" w:eastAsia="de-DE"/>
        </w:rPr>
        <w:t xml:space="preserve">In order to preserve the Union’s capacity to support the development, scale-up and deployment of innovative low-carbon technologies, it is necessary to ensure that the overall financial means expected for the Innovation Fund remain available. </w:t>
      </w:r>
      <w:r w:rsidR="28890429" w:rsidRPr="009E1F0E">
        <w:rPr>
          <w:noProof/>
          <w:lang w:val="en-US" w:eastAsia="de-DE"/>
        </w:rPr>
        <w:t>50</w:t>
      </w:r>
      <w:r w:rsidRPr="009E1F0E">
        <w:rPr>
          <w:noProof/>
          <w:lang w:val="en-US" w:eastAsia="de-DE"/>
        </w:rPr>
        <w:t xml:space="preserve"> million allowances from the free allocation buffer </w:t>
      </w:r>
      <w:r w:rsidR="6C08974E" w:rsidRPr="009E1F0E">
        <w:rPr>
          <w:noProof/>
          <w:lang w:val="en-US" w:eastAsia="de-DE"/>
        </w:rPr>
        <w:t xml:space="preserve">up to 2030 </w:t>
      </w:r>
      <w:r w:rsidRPr="009E1F0E">
        <w:rPr>
          <w:noProof/>
          <w:lang w:val="en-US" w:eastAsia="de-DE"/>
        </w:rPr>
        <w:t xml:space="preserve">were envisaged to contribute to the financing of the Innovation Fund, thereby providing an essential planning assumption for the timely preparation and implementation of projects towards the end of this decade. By 2028, the Innovation Fund </w:t>
      </w:r>
      <w:r w:rsidR="11EFE346" w:rsidRPr="009E1F0E">
        <w:rPr>
          <w:noProof/>
          <w:lang w:val="en-US" w:eastAsia="de-DE"/>
        </w:rPr>
        <w:t>should</w:t>
      </w:r>
      <w:r w:rsidRPr="009E1F0E">
        <w:rPr>
          <w:noProof/>
          <w:lang w:val="en-US" w:eastAsia="de-DE"/>
        </w:rPr>
        <w:t xml:space="preserve"> have committed almost all of its available resources and continued support for such projects requires timely replenishment from the Member States’ auction volume and a predictable funding basis, notably where, due to the operation of the rules on free allocation, part of the allowances originally envisaged </w:t>
      </w:r>
      <w:r w:rsidR="101DB2BC" w:rsidRPr="009E1F0E">
        <w:rPr>
          <w:noProof/>
          <w:lang w:val="en-US" w:eastAsia="de-DE"/>
        </w:rPr>
        <w:t>from the free allocation buffer</w:t>
      </w:r>
      <w:r w:rsidR="7A43E00E" w:rsidRPr="009E1F0E">
        <w:rPr>
          <w:noProof/>
          <w:lang w:val="en-US" w:eastAsia="de-DE"/>
        </w:rPr>
        <w:t xml:space="preserve"> available for</w:t>
      </w:r>
      <w:r w:rsidR="5252206F" w:rsidRPr="009E1F0E">
        <w:rPr>
          <w:noProof/>
          <w:lang w:val="en-US" w:eastAsia="de-DE"/>
        </w:rPr>
        <w:t xml:space="preserve"> </w:t>
      </w:r>
      <w:r w:rsidRPr="009E1F0E">
        <w:rPr>
          <w:noProof/>
          <w:lang w:val="en-US" w:eastAsia="de-DE"/>
        </w:rPr>
        <w:t>the Innovation Fund would no longer be available for that purpose.</w:t>
      </w:r>
    </w:p>
    <w:p w14:paraId="631D319A" w14:textId="7E4B0D73" w:rsidR="009E1F0E" w:rsidRDefault="575D96F3" w:rsidP="00F73CEB">
      <w:pPr>
        <w:pStyle w:val="Considrant"/>
        <w:rPr>
          <w:noProof/>
          <w:color w:val="000000" w:themeColor="text1"/>
          <w:lang w:val="en-IE"/>
        </w:rPr>
      </w:pPr>
      <w:r w:rsidRPr="009E1F0E">
        <w:rPr>
          <w:noProof/>
          <w:color w:val="000000" w:themeColor="text1"/>
          <w:lang w:val="en-IE"/>
        </w:rPr>
        <w:t>The first phase of the Industrial Decarbonisation Bank should be the ETS Investment Booster financed by 400 million allowances. To fast-track decarbonisation investments through speed, the ETS Investment Booster, operating on a ‘first in, first served’ basis, should provide fixed carbon premia per tonne of CO₂ avoided and paid in ETS allowances</w:t>
      </w:r>
      <w:r w:rsidR="2728CD5B" w:rsidRPr="009E1F0E">
        <w:rPr>
          <w:noProof/>
          <w:color w:val="000000" w:themeColor="text1"/>
          <w:lang w:val="en-IE"/>
        </w:rPr>
        <w:t>. It should also</w:t>
      </w:r>
      <w:r w:rsidR="7827335F" w:rsidRPr="009E1F0E">
        <w:rPr>
          <w:noProof/>
          <w:color w:val="000000" w:themeColor="text1"/>
          <w:lang w:val="en-IE"/>
        </w:rPr>
        <w:t xml:space="preserve"> </w:t>
      </w:r>
      <w:r w:rsidRPr="009E1F0E">
        <w:rPr>
          <w:noProof/>
          <w:color w:val="000000" w:themeColor="text1"/>
          <w:lang w:val="en-IE"/>
        </w:rPr>
        <w:t>ensure solidarity by ringfencing allowances for Member States facing higher investment challenges due to lower income or greater abatement needs. Administratively set fixed carbon premia, should ensure economically attractive returns, compensate for commercial risks, and secure additional private financing, while requiring strict completion deadlines and guarantees thereby enhancing business certainty upfront and enabling faster implementation.</w:t>
      </w:r>
      <w:r w:rsidR="2728CD5B" w:rsidRPr="009E1F0E">
        <w:rPr>
          <w:noProof/>
          <w:color w:val="000000" w:themeColor="text1"/>
          <w:lang w:val="en-IE"/>
        </w:rPr>
        <w:t xml:space="preserve"> </w:t>
      </w:r>
      <w:r w:rsidR="57935CC7" w:rsidRPr="009E1F0E">
        <w:rPr>
          <w:noProof/>
          <w:color w:val="000000" w:themeColor="text1"/>
          <w:lang w:val="en-IE"/>
        </w:rPr>
        <w:t>In order to ensure the best value for money, the Commission should develop Terms and Conditions for differentiated decarbonisation pathways, setting inter alia the fixed carbon premium rate per tonne of CO</w:t>
      </w:r>
      <w:r w:rsidR="57935CC7" w:rsidRPr="009E1F0E">
        <w:rPr>
          <w:noProof/>
          <w:color w:val="000000" w:themeColor="text1"/>
          <w:vertAlign w:val="subscript"/>
          <w:lang w:val="en-IE"/>
        </w:rPr>
        <w:t>2</w:t>
      </w:r>
      <w:r w:rsidR="57935CC7" w:rsidRPr="009E1F0E">
        <w:rPr>
          <w:noProof/>
          <w:color w:val="000000" w:themeColor="text1"/>
          <w:lang w:val="en-IE"/>
        </w:rPr>
        <w:t xml:space="preserve"> avoided, based on a funding gap analysis using the best available knowledge regarding the specific type and cost of the technologies supported as well as taking into account the need to ensure the proportionality of the support. The Commission should periodically assess those Terms and Conditions in the light of the experience gained and market developments.</w:t>
      </w:r>
    </w:p>
    <w:p w14:paraId="18117324" w14:textId="204FF907" w:rsidR="009E1F0E" w:rsidRDefault="575D96F3" w:rsidP="00F162D4">
      <w:pPr>
        <w:pStyle w:val="Considrant"/>
        <w:rPr>
          <w:noProof/>
          <w:color w:val="000000" w:themeColor="text1"/>
          <w:lang w:val="en-IE"/>
        </w:rPr>
      </w:pPr>
      <w:r w:rsidRPr="009E1F0E">
        <w:rPr>
          <w:noProof/>
          <w:color w:val="000000" w:themeColor="text1"/>
          <w:lang w:val="en-IE"/>
        </w:rPr>
        <w:t xml:space="preserve">The Investment Booster should be followed by a second phase whereby the Industrial Decarbonisation Bank would </w:t>
      </w:r>
      <w:r w:rsidR="7BCC812C" w:rsidRPr="2193DBD9">
        <w:rPr>
          <w:noProof/>
        </w:rPr>
        <w:t xml:space="preserve">continue to support the scale-up and roll-out of mature decarbonisation technologies for energy-intensive industries, including through </w:t>
      </w:r>
      <w:r w:rsidRPr="009E1F0E">
        <w:rPr>
          <w:noProof/>
          <w:color w:val="000000" w:themeColor="text1"/>
          <w:lang w:val="en-IE"/>
        </w:rPr>
        <w:t>guarantee</w:t>
      </w:r>
      <w:r w:rsidR="2EBFE4BA" w:rsidRPr="009E1F0E">
        <w:rPr>
          <w:noProof/>
          <w:color w:val="000000" w:themeColor="text1"/>
          <w:lang w:val="en-IE"/>
        </w:rPr>
        <w:t>ing</w:t>
      </w:r>
      <w:r w:rsidRPr="009E1F0E">
        <w:rPr>
          <w:noProof/>
          <w:color w:val="000000" w:themeColor="text1"/>
          <w:lang w:val="en-IE"/>
        </w:rPr>
        <w:t xml:space="preserve"> a level of the carbon price, thereby de-risking investments and ensuring long-term revenue stability for decarbonisation efforts through mechanisms such as Carbon Contracts for Difference (CCfDs) or </w:t>
      </w:r>
      <w:r w:rsidR="3370D0B2" w:rsidRPr="009E1F0E">
        <w:rPr>
          <w:noProof/>
          <w:color w:val="000000" w:themeColor="text1"/>
          <w:lang w:val="en-IE"/>
        </w:rPr>
        <w:t>f</w:t>
      </w:r>
      <w:r w:rsidRPr="009E1F0E">
        <w:rPr>
          <w:noProof/>
          <w:color w:val="000000" w:themeColor="text1"/>
          <w:lang w:val="en-IE"/>
        </w:rPr>
        <w:t xml:space="preserve">ixed </w:t>
      </w:r>
      <w:r w:rsidR="3370D0B2" w:rsidRPr="009E1F0E">
        <w:rPr>
          <w:noProof/>
          <w:color w:val="000000" w:themeColor="text1"/>
          <w:lang w:val="en-IE"/>
        </w:rPr>
        <w:t>c</w:t>
      </w:r>
      <w:r w:rsidRPr="009E1F0E">
        <w:rPr>
          <w:noProof/>
          <w:color w:val="000000" w:themeColor="text1"/>
          <w:lang w:val="en-IE"/>
        </w:rPr>
        <w:t xml:space="preserve">arbon </w:t>
      </w:r>
      <w:r w:rsidR="3370D0B2" w:rsidRPr="009E1F0E">
        <w:rPr>
          <w:noProof/>
          <w:color w:val="000000" w:themeColor="text1"/>
          <w:lang w:val="en-IE"/>
        </w:rPr>
        <w:t>p</w:t>
      </w:r>
      <w:r w:rsidRPr="009E1F0E">
        <w:rPr>
          <w:noProof/>
          <w:color w:val="000000" w:themeColor="text1"/>
          <w:lang w:val="en-IE"/>
        </w:rPr>
        <w:t xml:space="preserve">remia , disbursed upon verified GHG abatement, and accelerating industrial decarbonisation. </w:t>
      </w:r>
      <w:r w:rsidR="11FDE4E8" w:rsidRPr="009E1F0E">
        <w:rPr>
          <w:noProof/>
          <w:color w:val="000000" w:themeColor="text1"/>
          <w:lang w:val="en-IE"/>
        </w:rPr>
        <w:t xml:space="preserve">In implementing the Industrial Decarbonisation Bank phase 2, the Commission </w:t>
      </w:r>
      <w:r w:rsidR="1151AE3F" w:rsidRPr="009E1F0E">
        <w:rPr>
          <w:noProof/>
          <w:color w:val="000000" w:themeColor="text1"/>
          <w:lang w:val="en-IE"/>
        </w:rPr>
        <w:t xml:space="preserve">should </w:t>
      </w:r>
      <w:r w:rsidR="11FDE4E8" w:rsidRPr="009E1F0E">
        <w:rPr>
          <w:noProof/>
          <w:color w:val="000000" w:themeColor="text1"/>
          <w:lang w:val="en-IE"/>
        </w:rPr>
        <w:t>strive to ensure effective, quality-based geographical coverage across the Union.</w:t>
      </w:r>
      <w:r w:rsidR="355548C7" w:rsidRPr="009E1F0E">
        <w:rPr>
          <w:noProof/>
          <w:color w:val="000000" w:themeColor="text1"/>
          <w:lang w:val="en-IE"/>
        </w:rPr>
        <w:t xml:space="preserve"> To boost Europe’s industrial decarbonisation and turn every euro into investment early-on, the Industrial Decarbonisation Bank must move fast. Once the Investment Booster has fully deployed its allowances, the Industrial Decarbonisation Bank should open Phase 2, ensuring continued firepower for industrial decarbonisation well before 2031.</w:t>
      </w:r>
    </w:p>
    <w:p w14:paraId="2DBA42CC" w14:textId="77777777" w:rsidR="009E1F0E" w:rsidRDefault="575D96F3" w:rsidP="005126D6">
      <w:pPr>
        <w:pStyle w:val="Considrant"/>
        <w:rPr>
          <w:noProof/>
          <w:color w:val="000000" w:themeColor="text1"/>
          <w:lang w:val="en-IE"/>
        </w:rPr>
      </w:pPr>
      <w:r w:rsidRPr="009E1F0E">
        <w:rPr>
          <w:noProof/>
          <w:color w:val="000000" w:themeColor="text1"/>
          <w:lang w:val="en-IE"/>
        </w:rPr>
        <w:t>To ensure coherent and reinforced support for industrial decarbonisation, enhancing both climate and competitiveness objectives, the Commission should maximise synergies between the Industrial Decarbonisation Bank (IDB) and the European Competitiveness Fund (ECF). To this end, the proposed ‘competitiveness seal’ should be awarded to projects fulfilling all requirements for support under the Industrial Decarbonisation Bank, thereby streamlining access to complementary funding.</w:t>
      </w:r>
    </w:p>
    <w:p w14:paraId="1434544F" w14:textId="77777777" w:rsidR="009E1F0E" w:rsidRPr="009E1F0E" w:rsidRDefault="575D96F3" w:rsidP="00AB7102">
      <w:pPr>
        <w:pStyle w:val="Considrant"/>
        <w:rPr>
          <w:noProof/>
          <w:color w:val="000000" w:themeColor="text1"/>
          <w:lang w:val="en-IE"/>
        </w:rPr>
      </w:pPr>
      <w:r w:rsidRPr="009E1F0E">
        <w:rPr>
          <w:noProof/>
          <w:lang w:val="en-US"/>
        </w:rPr>
        <w:t xml:space="preserve">The Modernisation Fund plays a critical role in ensuring fairness and solidarity by supporting lower-income Member States in their transition to a climate-neutral economy. To enhance its effectiveness and align it with the Union’s 2040 framework targeted adjustments are necessary. Sized at </w:t>
      </w:r>
      <w:r w:rsidR="55C061F5" w:rsidRPr="009E1F0E">
        <w:rPr>
          <w:noProof/>
          <w:lang w:val="en-US"/>
        </w:rPr>
        <w:t>2,0</w:t>
      </w:r>
      <w:r w:rsidRPr="009E1F0E">
        <w:rPr>
          <w:noProof/>
          <w:lang w:val="en-US"/>
        </w:rPr>
        <w:t xml:space="preserve">% of the overall ETS cap, it will ensure a balanced allocation of resources, optimising support where it is most needed while reflecting the evolving economic capacities of Member States. To accelerate industrial </w:t>
      </w:r>
      <w:r w:rsidR="1151AE3F" w:rsidRPr="009E1F0E">
        <w:rPr>
          <w:noProof/>
          <w:lang w:val="en-US"/>
        </w:rPr>
        <w:t xml:space="preserve">decarbonisation </w:t>
      </w:r>
      <w:r w:rsidRPr="009E1F0E">
        <w:rPr>
          <w:noProof/>
          <w:lang w:val="en-US"/>
        </w:rPr>
        <w:t>required</w:t>
      </w:r>
      <w:r w:rsidR="1151AE3F" w:rsidRPr="009E1F0E">
        <w:rPr>
          <w:noProof/>
          <w:lang w:val="en-US"/>
        </w:rPr>
        <w:t xml:space="preserve"> to meet the</w:t>
      </w:r>
      <w:r w:rsidRPr="009E1F0E">
        <w:rPr>
          <w:noProof/>
          <w:lang w:val="en-US"/>
        </w:rPr>
        <w:t xml:space="preserve"> 2040</w:t>
      </w:r>
      <w:r w:rsidR="1151AE3F" w:rsidRPr="009E1F0E">
        <w:rPr>
          <w:noProof/>
          <w:lang w:val="en-US"/>
        </w:rPr>
        <w:t xml:space="preserve"> climate target</w:t>
      </w:r>
      <w:r w:rsidRPr="009E1F0E">
        <w:rPr>
          <w:noProof/>
          <w:lang w:val="en-US"/>
        </w:rPr>
        <w:t xml:space="preserve">, an additional </w:t>
      </w:r>
      <w:r w:rsidR="55C061F5" w:rsidRPr="009E1F0E">
        <w:rPr>
          <w:noProof/>
          <w:lang w:val="en-US"/>
        </w:rPr>
        <w:t>0.5</w:t>
      </w:r>
      <w:r w:rsidRPr="009E1F0E">
        <w:rPr>
          <w:noProof/>
          <w:lang w:val="en-US"/>
        </w:rPr>
        <w:t>% of the ETS cap should be allocated to beneficiary Member States through the Industrial Decarbonisation Bank. Together with an expanded scope, this will provide financial support to a broader range of innovative, scalable solutions critical to reducing emissions in energy-intensive industries and power generation, including CCS</w:t>
      </w:r>
      <w:r w:rsidR="337A3FD1" w:rsidRPr="009E1F0E">
        <w:rPr>
          <w:noProof/>
          <w:lang w:val="en-US"/>
        </w:rPr>
        <w:t xml:space="preserve"> and </w:t>
      </w:r>
      <w:r w:rsidRPr="009E1F0E">
        <w:rPr>
          <w:noProof/>
          <w:lang w:val="en-US"/>
        </w:rPr>
        <w:t>CCU</w:t>
      </w:r>
      <w:r w:rsidR="337A3FD1" w:rsidRPr="009E1F0E">
        <w:rPr>
          <w:noProof/>
          <w:lang w:val="en-US"/>
        </w:rPr>
        <w:t xml:space="preserve"> and </w:t>
      </w:r>
      <w:r w:rsidR="4CA3E8AB" w:rsidRPr="009E1F0E">
        <w:rPr>
          <w:noProof/>
          <w:lang w:val="en-US"/>
        </w:rPr>
        <w:t>electrification</w:t>
      </w:r>
      <w:r w:rsidRPr="009E1F0E">
        <w:rPr>
          <w:noProof/>
          <w:lang w:val="en-US"/>
        </w:rPr>
        <w:t>, while ensuring efficient</w:t>
      </w:r>
      <w:r w:rsidR="337A3FD1" w:rsidRPr="009E1F0E">
        <w:rPr>
          <w:noProof/>
          <w:lang w:val="en-US"/>
        </w:rPr>
        <w:t xml:space="preserve"> use </w:t>
      </w:r>
      <w:r w:rsidRPr="009E1F0E">
        <w:rPr>
          <w:noProof/>
          <w:lang w:val="en-US"/>
        </w:rPr>
        <w:t>of auction revenues. In addition, allowances available to the Modernisation Fund beneficiaries via 10% redistribution for reasons of solidarity should be channeled through the Modernisation Fund to maximise their impact.</w:t>
      </w:r>
      <w:r w:rsidR="004E5264" w:rsidRPr="009E1F0E">
        <w:rPr>
          <w:noProof/>
          <w:lang w:val="en-US"/>
        </w:rPr>
        <w:t xml:space="preserve"> For the same reason, the other Member States benefitting from the 10% solidarity redistribution should use those allowances for priority areas for spending of auction revenues.</w:t>
      </w:r>
      <w:r w:rsidRPr="009E1F0E">
        <w:rPr>
          <w:noProof/>
          <w:lang w:val="en-US"/>
        </w:rPr>
        <w:t xml:space="preserve"> Member States should further be permitted to voluntarily transfer additional allowances from their auction volumes to the Modernisation Fund, enhancing their flexibility to direct resources toward impactful decarbonisation efforts. The eligibility criteria and distribution key should be updated based on the latest available data (2022–2024), including </w:t>
      </w:r>
      <w:r w:rsidR="6C096394" w:rsidRPr="009E1F0E">
        <w:rPr>
          <w:noProof/>
          <w:lang w:val="en-US"/>
        </w:rPr>
        <w:t xml:space="preserve">a 75% </w:t>
      </w:r>
      <w:r w:rsidRPr="009E1F0E">
        <w:rPr>
          <w:noProof/>
          <w:lang w:val="en-US"/>
        </w:rPr>
        <w:t xml:space="preserve">GDP per capita </w:t>
      </w:r>
      <w:r w:rsidR="62A38312" w:rsidRPr="009E1F0E">
        <w:rPr>
          <w:noProof/>
          <w:lang w:val="en-US"/>
        </w:rPr>
        <w:t xml:space="preserve">threshold </w:t>
      </w:r>
      <w:r w:rsidRPr="009E1F0E">
        <w:rPr>
          <w:noProof/>
          <w:lang w:val="en-US"/>
        </w:rPr>
        <w:t>and emissions intensity. This will reflect current economic and emissions data, ensuring that the Member States with the greatest transition needs continue to benefit.</w:t>
      </w:r>
      <w:r w:rsidR="550EDA92" w:rsidRPr="009E1F0E">
        <w:rPr>
          <w:noProof/>
          <w:lang w:val="en-US"/>
        </w:rPr>
        <w:t xml:space="preserve"> </w:t>
      </w:r>
      <w:r w:rsidR="00E203CE" w:rsidRPr="009E1F0E">
        <w:rPr>
          <w:noProof/>
          <w:lang w:val="en-US"/>
        </w:rPr>
        <w:t xml:space="preserve">The Modernisation Fund’s scope should be broadened to further facilitate industrial decarbonisation, including, where relevant, support for investments in CCS, CCU, electrification and production of affordable low-carbon fertilisers. </w:t>
      </w:r>
      <w:r w:rsidR="550EDA92" w:rsidRPr="009E1F0E">
        <w:rPr>
          <w:noProof/>
          <w:lang w:val="en-US"/>
        </w:rPr>
        <w:t>In order to protect the financial interests of the Union, support under the Modernisation Fund should be implemented in accordance with Regulation (EU, Euratom) 2020/2092</w:t>
      </w:r>
      <w:r w:rsidR="00CA772A">
        <w:rPr>
          <w:rStyle w:val="FootnoteReference"/>
          <w:noProof/>
          <w:lang w:val="en-US"/>
        </w:rPr>
        <w:footnoteReference w:id="67"/>
      </w:r>
      <w:r w:rsidR="550EDA92" w:rsidRPr="009E1F0E">
        <w:rPr>
          <w:noProof/>
          <w:lang w:val="en-US"/>
        </w:rPr>
        <w:t>.</w:t>
      </w:r>
    </w:p>
    <w:p w14:paraId="668A3026" w14:textId="37114BF3" w:rsidR="009E1F0E" w:rsidRPr="009E1F0E" w:rsidRDefault="0F70C285" w:rsidP="009E0191">
      <w:pPr>
        <w:pStyle w:val="Considrant"/>
        <w:rPr>
          <w:noProof/>
          <w:color w:val="000000" w:themeColor="text1"/>
          <w:lang w:val="en-IE"/>
        </w:rPr>
      </w:pPr>
      <w:r w:rsidRPr="009E1F0E">
        <w:rPr>
          <w:noProof/>
          <w:lang w:val="en-US"/>
        </w:rPr>
        <w:t xml:space="preserve">This Directive should include strong safeguards concerning the principles of the rule of law as set out in Article 2(a) of Regulation (EU, Euratom) 2020/2092 of the European Parliament and of the Council to protect the resources of the Modernisation Fund. Should there be breaches of these principles, appropriate measures should be taken, applying the procedure set out in Article 6 of Regulation (EU, Euratom) 2020/2092. </w:t>
      </w:r>
    </w:p>
    <w:p w14:paraId="0207E9B6" w14:textId="77777777" w:rsidR="009E1F0E" w:rsidRPr="009E1F0E" w:rsidRDefault="18B59259" w:rsidP="001A607A">
      <w:pPr>
        <w:pStyle w:val="Considrant"/>
        <w:rPr>
          <w:noProof/>
          <w:color w:val="000000" w:themeColor="text1"/>
          <w:lang w:val="en-IE"/>
        </w:rPr>
      </w:pPr>
      <w:r w:rsidRPr="009E1F0E">
        <w:rPr>
          <w:noProof/>
          <w:lang w:val="en-IE"/>
        </w:rPr>
        <w:t xml:space="preserve">In line with Article 28b(3) of Directive 2003/87/EC, the extension of the geographic scope of application of the EU ETS in respect of aviation activities should be accompanied by the possibility for aircraft operators to deduct costs incurred from </w:t>
      </w:r>
      <w:r w:rsidR="6354E530" w:rsidRPr="009E1F0E">
        <w:rPr>
          <w:rFonts w:eastAsia="Calibri"/>
          <w:noProof/>
        </w:rPr>
        <w:t>Carbon Offsetting and Reduction Scheme for International Aviation (</w:t>
      </w:r>
      <w:r w:rsidRPr="009E1F0E">
        <w:rPr>
          <w:noProof/>
          <w:lang w:val="en-IE"/>
        </w:rPr>
        <w:t>CORSIA</w:t>
      </w:r>
      <w:r w:rsidR="6354E530" w:rsidRPr="009E1F0E">
        <w:rPr>
          <w:noProof/>
          <w:lang w:val="en-IE"/>
        </w:rPr>
        <w:t>)</w:t>
      </w:r>
      <w:r w:rsidRPr="009E1F0E">
        <w:rPr>
          <w:noProof/>
          <w:lang w:val="en-IE"/>
        </w:rPr>
        <w:t xml:space="preserve"> offsetting on extra-European routes from the EU ETS surrender obligation, in order to avoid double charging. Harmonised rules should apply in relation to such deductions, and therefore, for the calculation of the deduction the values of credits and allowances published in </w:t>
      </w:r>
      <w:r w:rsidR="6354E530" w:rsidRPr="009E1F0E">
        <w:rPr>
          <w:noProof/>
          <w:lang w:val="en-IE"/>
        </w:rPr>
        <w:t xml:space="preserve">a </w:t>
      </w:r>
      <w:r w:rsidRPr="009E1F0E">
        <w:rPr>
          <w:noProof/>
          <w:lang w:val="en-IE"/>
        </w:rPr>
        <w:t>Carbon Market Report adopted pursuant to Article 10(5) of Directive 2003/87/EC should be used. The value of credits eligible under Article 11a should be based on the best available price indices.</w:t>
      </w:r>
    </w:p>
    <w:p w14:paraId="5FCFFB32" w14:textId="77777777" w:rsidR="009E1F0E" w:rsidRDefault="575D96F3" w:rsidP="009C7C8B">
      <w:pPr>
        <w:pStyle w:val="Considrant"/>
        <w:rPr>
          <w:noProof/>
          <w:color w:val="000000" w:themeColor="text1"/>
          <w:lang w:val="en-IE"/>
        </w:rPr>
      </w:pPr>
      <w:r w:rsidRPr="009E1F0E">
        <w:rPr>
          <w:noProof/>
          <w:color w:val="000000" w:themeColor="text1"/>
          <w:lang w:val="en-IE"/>
        </w:rPr>
        <w:t>The geological storage of CO₂ in secure, permanently monitored sites is essential to enabling large-scale emissions reductions for industry. Proximity and accessibility of storage sites in third countries to EU industrial hubs could reduce transportation costs, minimise leakage risks and accelerate the deployment of CCS compared to more distant or less developed storage options, thereby facilitating this decarbonisation pathway for EU industry. However, storage in third countries should be only recognised when sufficient safeguards regarding monitoring, reporting, verification (MRV) and with respect to the rules set out in Directive 2009/31/EC</w:t>
      </w:r>
      <w:r w:rsidR="124A83F1" w:rsidRPr="009E1F0E">
        <w:rPr>
          <w:noProof/>
          <w:color w:val="000000" w:themeColor="text1"/>
          <w:lang w:val="en-IE"/>
        </w:rPr>
        <w:t xml:space="preserve"> </w:t>
      </w:r>
      <w:r w:rsidRPr="009E1F0E">
        <w:rPr>
          <w:noProof/>
          <w:color w:val="000000" w:themeColor="text1"/>
          <w:lang w:val="en-IE"/>
        </w:rPr>
        <w:t xml:space="preserve">exist; with a linked system to the EU ETS pursuant to Article 25 on a reciprocal basis as from 2031 and providing the sites are not used for enhanced oil or gas recovery. </w:t>
      </w:r>
    </w:p>
    <w:p w14:paraId="7665919C" w14:textId="77777777" w:rsidR="009E1F0E" w:rsidRPr="009E1F0E" w:rsidRDefault="575D96F3" w:rsidP="003F5E46">
      <w:pPr>
        <w:pStyle w:val="Considrant"/>
        <w:rPr>
          <w:noProof/>
          <w:color w:val="000000" w:themeColor="text1"/>
          <w:lang w:val="en-IE"/>
        </w:rPr>
      </w:pPr>
      <w:r w:rsidRPr="2193DBD9">
        <w:rPr>
          <w:noProof/>
        </w:rPr>
        <w:t xml:space="preserve">Under the current EU ETS framework, CO₂ emissions are accounted at the point of capture (upstream), meaning that installations capturing CO₂ must surrender allowances for the full volume of emissions generated, except where the CO₂ is permanently stored geologically or in products. This </w:t>
      </w:r>
      <w:r w:rsidR="7BEA7EFA" w:rsidRPr="2193DBD9">
        <w:rPr>
          <w:noProof/>
        </w:rPr>
        <w:t>does not contribute to achieving the</w:t>
      </w:r>
      <w:r w:rsidRPr="2193DBD9">
        <w:rPr>
          <w:noProof/>
        </w:rPr>
        <w:t xml:space="preserve"> objectives of the EU’s Industrial Carbon Management </w:t>
      </w:r>
      <w:r w:rsidR="3DF82FF9" w:rsidRPr="2193DBD9">
        <w:rPr>
          <w:noProof/>
        </w:rPr>
        <w:t>s</w:t>
      </w:r>
      <w:r w:rsidRPr="2193DBD9">
        <w:rPr>
          <w:noProof/>
        </w:rPr>
        <w:t xml:space="preserve">trategy, which seeks to scale up CCU as a key decarbonisation pathway for hard-to-abate sectors like cement, steel, and chemicals and to ensure the availability of alternative carbon feedstocks. The inclusion of waste incineration means that most stages of the life of a product in which captured carbon is used are subject to carbon pricing, allowing the accounting of emissions to be moved at the point of their release from products into the atmosphere without a high risk of under accounting. As a result, in those cases where carbon dioxide is captured and used in intermediate or final products from which the carbon is expected to be re-emitted in activities already covered by the EU ETS, such as synthetic fuels, chemicals, or other industrial feedstocks, the obligation to surrender allowances should be deferred—rather than eliminated—until the CO₂ is released in a process listed in Annex I (downstream). </w:t>
      </w:r>
      <w:r w:rsidR="57852E5D" w:rsidRPr="2193DBD9">
        <w:rPr>
          <w:noProof/>
        </w:rPr>
        <w:t>Conversely</w:t>
      </w:r>
      <w:r w:rsidRPr="2193DBD9">
        <w:rPr>
          <w:noProof/>
        </w:rPr>
        <w:t xml:space="preserve">, </w:t>
      </w:r>
      <w:r w:rsidR="48F63317" w:rsidRPr="2193DBD9">
        <w:rPr>
          <w:noProof/>
        </w:rPr>
        <w:t>when</w:t>
      </w:r>
      <w:r w:rsidRPr="2193DBD9">
        <w:rPr>
          <w:noProof/>
        </w:rPr>
        <w:t xml:space="preserve"> CO₂</w:t>
      </w:r>
      <w:r w:rsidR="48F63317" w:rsidRPr="2193DBD9">
        <w:rPr>
          <w:noProof/>
        </w:rPr>
        <w:t xml:space="preserve"> is used directly</w:t>
      </w:r>
      <w:r w:rsidRPr="2193DBD9">
        <w:rPr>
          <w:noProof/>
        </w:rPr>
        <w:t xml:space="preserve"> without binding</w:t>
      </w:r>
      <w:r w:rsidR="48F63317" w:rsidRPr="2193DBD9">
        <w:rPr>
          <w:noProof/>
        </w:rPr>
        <w:t xml:space="preserve"> its carbon chemically in a product, it</w:t>
      </w:r>
      <w:r w:rsidRPr="2193DBD9">
        <w:rPr>
          <w:noProof/>
        </w:rPr>
        <w:t xml:space="preserve"> should continue to be accounted upstream at the point of capture as the eventual release of that CO₂ </w:t>
      </w:r>
      <w:r w:rsidR="20395B73" w:rsidRPr="2193DBD9">
        <w:rPr>
          <w:noProof/>
        </w:rPr>
        <w:t xml:space="preserve">will take place outside of the EU ETS, </w:t>
      </w:r>
      <w:r w:rsidRPr="2193DBD9">
        <w:rPr>
          <w:noProof/>
        </w:rPr>
        <w:t xml:space="preserve">in agri-food, pharmaceuticals, fire extinguishers or other similar applications. The point of accounting of captured carbon embedded in synthetic fuels should take place when these are </w:t>
      </w:r>
      <w:r w:rsidR="6312DF20" w:rsidRPr="2193DBD9">
        <w:rPr>
          <w:noProof/>
        </w:rPr>
        <w:t>distributed</w:t>
      </w:r>
      <w:r w:rsidRPr="2193DBD9">
        <w:rPr>
          <w:noProof/>
        </w:rPr>
        <w:t xml:space="preserve"> (midstream), instead of at point of combustion of synthetic fuels in industrial facilities or in the transport sector. To ensure complete coverage of all carbon dioxide emissions of the carbon capture and utilisation chain, the ETS scope should be extended to the capture of carbon for use, captured carbon processing, liquefaction and similar services, and the transport of captured carbon for use, except for CO₂ for direct utilisation The Commission should be empowered to establish a list of those </w:t>
      </w:r>
      <w:r w:rsidR="695D8796" w:rsidRPr="2193DBD9">
        <w:rPr>
          <w:noProof/>
        </w:rPr>
        <w:t>CCU applications</w:t>
      </w:r>
      <w:r w:rsidRPr="2193DBD9">
        <w:rPr>
          <w:noProof/>
        </w:rPr>
        <w:t xml:space="preserve"> from which the carbon is expected to be re-emitted in activities already covered by the ETS. In addition, the permanent capture of carbon dioxide in physical objects that are not products, should also be recognised.</w:t>
      </w:r>
      <w:r w:rsidR="38C3F4A4" w:rsidRPr="2193DBD9">
        <w:rPr>
          <w:noProof/>
        </w:rPr>
        <w:t xml:space="preserve"> </w:t>
      </w:r>
      <w:r w:rsidR="38C3F4A4" w:rsidRPr="009E1F0E">
        <w:rPr>
          <w:noProof/>
          <w:lang w:val="en-IE"/>
        </w:rPr>
        <w:t xml:space="preserve">Due to the uncertainty regarding the end-of-life treatment each of type of utilisation, the Commission should also be empowered to establish de minimis thresholds for the risk of remission </w:t>
      </w:r>
      <w:r w:rsidR="61D8FD70" w:rsidRPr="009E1F0E">
        <w:rPr>
          <w:noProof/>
          <w:lang w:val="en-IE"/>
        </w:rPr>
        <w:t xml:space="preserve">outside of the EU ETS </w:t>
      </w:r>
      <w:r w:rsidR="38C3F4A4" w:rsidRPr="009E1F0E">
        <w:rPr>
          <w:noProof/>
          <w:lang w:val="en-IE"/>
        </w:rPr>
        <w:t xml:space="preserve">and may introduce measures, such as partial surrender requirements, to address </w:t>
      </w:r>
      <w:r w:rsidR="61D8FD70" w:rsidRPr="009E1F0E">
        <w:rPr>
          <w:noProof/>
          <w:lang w:val="en-IE"/>
        </w:rPr>
        <w:t xml:space="preserve">cases where the </w:t>
      </w:r>
      <w:r w:rsidR="4A31BBA2" w:rsidRPr="009E1F0E">
        <w:rPr>
          <w:noProof/>
          <w:lang w:val="en-IE"/>
        </w:rPr>
        <w:t>near threshold</w:t>
      </w:r>
      <w:r w:rsidR="61D8FD70" w:rsidRPr="009E1F0E">
        <w:rPr>
          <w:noProof/>
          <w:lang w:val="en-IE"/>
        </w:rPr>
        <w:t xml:space="preserve"> is</w:t>
      </w:r>
      <w:r w:rsidR="38C3F4A4" w:rsidRPr="009E1F0E">
        <w:rPr>
          <w:noProof/>
          <w:lang w:val="en-IE"/>
        </w:rPr>
        <w:t xml:space="preserve"> exceeded.</w:t>
      </w:r>
    </w:p>
    <w:p w14:paraId="17DC83AD" w14:textId="77777777" w:rsidR="009E1F0E" w:rsidRPr="009E1F0E" w:rsidRDefault="575D96F3" w:rsidP="00E414C2">
      <w:pPr>
        <w:pStyle w:val="Considrant"/>
        <w:rPr>
          <w:noProof/>
          <w:color w:val="000000" w:themeColor="text1"/>
          <w:lang w:val="en-IE"/>
        </w:rPr>
      </w:pPr>
      <w:r w:rsidRPr="009E1F0E">
        <w:rPr>
          <w:noProof/>
          <w:lang w:val="en-IE"/>
        </w:rPr>
        <w:t>Emissions from municipal waste incineration installations are substantial and have been subject to a monitoring, reporting and verification obligation since 2024, with a requirement to assess by 31 July 2026 the feasibility of its full inclusion in the EU ETS. On the basis of this</w:t>
      </w:r>
      <w:r w:rsidR="1F403613" w:rsidRPr="009E1F0E">
        <w:rPr>
          <w:noProof/>
          <w:lang w:val="en-IE"/>
        </w:rPr>
        <w:t xml:space="preserve"> assessment</w:t>
      </w:r>
      <w:r w:rsidRPr="009E1F0E">
        <w:rPr>
          <w:noProof/>
          <w:lang w:val="en-IE"/>
        </w:rPr>
        <w:t xml:space="preserve">, it is considered appropriate and feasible to amend Directive 2003/87/EC to include emissions from municipal waste incineration installations in the EU ETS. The extension of the EU ETS to municipal waste incineration, as part of a comprehensive approach with strengthened circular economy policies under </w:t>
      </w:r>
      <w:r w:rsidR="1C63F5ED" w:rsidRPr="009E1F0E">
        <w:rPr>
          <w:noProof/>
          <w:lang w:val="en-IE"/>
        </w:rPr>
        <w:t xml:space="preserve">Regulation (EU) […./..] of the European Parliament and of the Council </w:t>
      </w:r>
      <w:r w:rsidRPr="009E1F0E">
        <w:rPr>
          <w:noProof/>
          <w:lang w:val="en-IE"/>
        </w:rPr>
        <w:t>Circular Economy Act</w:t>
      </w:r>
      <w:r w:rsidR="003675CC">
        <w:rPr>
          <w:rStyle w:val="FootnoteReference"/>
          <w:noProof/>
          <w:lang w:val="en-IE"/>
        </w:rPr>
        <w:footnoteReference w:id="68"/>
      </w:r>
      <w:r w:rsidRPr="009E1F0E">
        <w:rPr>
          <w:noProof/>
          <w:lang w:val="en-IE"/>
        </w:rPr>
        <w:t xml:space="preserve"> and complemented with enabling conditions, incentivise</w:t>
      </w:r>
      <w:r w:rsidR="1291D807" w:rsidRPr="009E1F0E">
        <w:rPr>
          <w:noProof/>
          <w:lang w:val="en-IE"/>
        </w:rPr>
        <w:t>s</w:t>
      </w:r>
      <w:r w:rsidRPr="009E1F0E">
        <w:rPr>
          <w:noProof/>
          <w:lang w:val="en-IE"/>
        </w:rPr>
        <w:t xml:space="preserve"> economy-wide decarbonisation, circularity of materials and carbon, and a level playing field within and between sectors. As such, the inclusion of municipal waste incineration in the EU ETS contribute</w:t>
      </w:r>
      <w:r w:rsidR="1291D807" w:rsidRPr="009E1F0E">
        <w:rPr>
          <w:noProof/>
          <w:lang w:val="en-IE"/>
        </w:rPr>
        <w:t>s</w:t>
      </w:r>
      <w:r w:rsidRPr="009E1F0E">
        <w:rPr>
          <w:noProof/>
          <w:lang w:val="en-IE"/>
        </w:rPr>
        <w:t xml:space="preserve"> to the ambitions set out in the Competitiveness Compass and the Clean Industrial Deal to decarbonise the economy, accelerate the transition to more circularity, and establish a clear link between incentives for decarbonisation and circularity, increasing the EU’s economic security, resilience and competitiveness. The carbon price signal complement</w:t>
      </w:r>
      <w:r w:rsidR="1291D807" w:rsidRPr="009E1F0E">
        <w:rPr>
          <w:noProof/>
          <w:lang w:val="en-IE"/>
        </w:rPr>
        <w:t>s</w:t>
      </w:r>
      <w:r w:rsidRPr="009E1F0E">
        <w:rPr>
          <w:noProof/>
          <w:lang w:val="en-IE"/>
        </w:rPr>
        <w:t xml:space="preserve"> circular economy policies by financially incentivising and supporting the business case for carbon capture as a main decarbonisation pathway for the sector towards the 2050 economy-wide climate neutrality objective, reducing fossil emissions from incineration while fostering permanent carbon removals from biogenic emissions, supporting economy-wide decarbonisation. The carbon price signal on incineration further reinforces the business case for more circularity of materials, reducing GHG emissions from waste disposal and generating recycled materials displacing more carbon-intensive virgin materials. Furthermore, an extension of the EU ETS levels the playing field for industrial installations and clean energy production by harmonising the carbon price signal with co-incineration</w:t>
      </w:r>
      <w:r w:rsidR="663F2CEA" w:rsidRPr="009E1F0E">
        <w:rPr>
          <w:noProof/>
          <w:lang w:val="en-IE"/>
        </w:rPr>
        <w:t>, power generation</w:t>
      </w:r>
      <w:r w:rsidRPr="009E1F0E">
        <w:rPr>
          <w:noProof/>
          <w:lang w:val="en-IE"/>
        </w:rPr>
        <w:t xml:space="preserve"> and district heating production already covered under the EU ETS.</w:t>
      </w:r>
      <w:r w:rsidR="1B1774DE" w:rsidRPr="009E1F0E">
        <w:rPr>
          <w:noProof/>
          <w:lang w:val="en-IE"/>
        </w:rPr>
        <w:t xml:space="preserve"> </w:t>
      </w:r>
    </w:p>
    <w:p w14:paraId="287178E3" w14:textId="77777777" w:rsidR="009E1F0E" w:rsidRPr="009E1F0E" w:rsidRDefault="44082C19" w:rsidP="004E1CA8">
      <w:pPr>
        <w:pStyle w:val="Considrant"/>
        <w:rPr>
          <w:noProof/>
          <w:lang w:val="en-IE"/>
        </w:rPr>
      </w:pPr>
      <w:r w:rsidRPr="008E53A8">
        <w:rPr>
          <w:noProof/>
        </w:rPr>
        <w:t>The carbon price signal and circular economy policies are mutually reinforcing. The hierarchical principles of waste management, as established in the EU Waste Framework Directive 2008/98/EC</w:t>
      </w:r>
      <w:r w:rsidR="003E619E">
        <w:rPr>
          <w:rStyle w:val="FootnoteReference"/>
          <w:noProof/>
        </w:rPr>
        <w:footnoteReference w:id="69"/>
      </w:r>
      <w:r w:rsidRPr="008E53A8">
        <w:rPr>
          <w:noProof/>
        </w:rPr>
        <w:t xml:space="preserve">, prioritise prevention, reuse, recycling, and recovery over disposal, including incineration, and emphasise the need to reduce the environmental impact of waste at every stage of its lifecycle. The carbon price will complement regulatory and fiscal policies with a harmonised incentive and support for waste management in line with the higher steps of the waste hierarchy through improved waste prevention, preparing for reuse, separate collection, sorting and recycling. More circularity in turn reduces GHG emissions from waste management and displaces more carbon-intensive virgin materials. </w:t>
      </w:r>
      <w:r w:rsidR="5ABB8F84">
        <w:rPr>
          <w:noProof/>
        </w:rPr>
        <w:t>However, c</w:t>
      </w:r>
      <w:r w:rsidRPr="008E53A8">
        <w:rPr>
          <w:noProof/>
        </w:rPr>
        <w:t xml:space="preserve">arbon emissions generated during the incineration of waste are not solely determined by the incineration process and the pre-treatment carried out by operators. These emissions are </w:t>
      </w:r>
      <w:r w:rsidR="5ABB8F84">
        <w:rPr>
          <w:noProof/>
        </w:rPr>
        <w:t xml:space="preserve">also </w:t>
      </w:r>
      <w:r w:rsidRPr="008E53A8">
        <w:rPr>
          <w:noProof/>
        </w:rPr>
        <w:t xml:space="preserve">influenced by upstream activities, including the availability and utilisation of recycling, reuse, and composting infrastructure; the effectiveness of separate collection schemes for recyclable and recoverable materials; the extent of separation at source by households, commercial actors, and public authorities; the consumption patterns of products and materials; and the design and lifespan of goods. </w:t>
      </w:r>
      <w:r w:rsidR="5ABB8F84">
        <w:rPr>
          <w:noProof/>
        </w:rPr>
        <w:t>Therefore, c</w:t>
      </w:r>
      <w:r w:rsidRPr="008E53A8">
        <w:rPr>
          <w:noProof/>
        </w:rPr>
        <w:t xml:space="preserve">omplementary waste policies under </w:t>
      </w:r>
      <w:r w:rsidR="6B7C9D45" w:rsidRPr="009E1F0E">
        <w:rPr>
          <w:noProof/>
          <w:lang w:val="en-IE"/>
        </w:rPr>
        <w:t>Regulation (EU) […./..] [</w:t>
      </w:r>
      <w:r w:rsidRPr="009E1F0E">
        <w:rPr>
          <w:noProof/>
          <w:lang w:val="en-IE"/>
        </w:rPr>
        <w:t>Circular</w:t>
      </w:r>
      <w:r w:rsidRPr="008E53A8">
        <w:rPr>
          <w:noProof/>
        </w:rPr>
        <w:t xml:space="preserve"> Economy Act</w:t>
      </w:r>
      <w:r w:rsidR="6B7C9D45">
        <w:rPr>
          <w:noProof/>
        </w:rPr>
        <w:t>]</w:t>
      </w:r>
      <w:r w:rsidRPr="008E53A8">
        <w:rPr>
          <w:noProof/>
        </w:rPr>
        <w:t xml:space="preserve"> will contribute to ensure a comprehensive approach by stimulating the single market and demand for secondary materials and circular products, supporting investment in recycling capacity, reducing the landfilling and incineration of used raw materials, and rolling-out upstream producer-oriented policies such as eco-design requirements and strengthened Extended Producer Responsibility. </w:t>
      </w:r>
    </w:p>
    <w:p w14:paraId="73A6C8D6" w14:textId="77777777" w:rsidR="009E1F0E" w:rsidRPr="009E1F0E" w:rsidRDefault="1C1BEED6" w:rsidP="00C91BDD">
      <w:pPr>
        <w:pStyle w:val="Considrant"/>
        <w:rPr>
          <w:noProof/>
          <w:color w:val="000000" w:themeColor="text1"/>
          <w:lang w:val="en-IE"/>
        </w:rPr>
      </w:pPr>
      <w:r>
        <w:rPr>
          <w:noProof/>
        </w:rPr>
        <w:t>A</w:t>
      </w:r>
      <w:r w:rsidR="150A2E7A">
        <w:rPr>
          <w:noProof/>
        </w:rPr>
        <w:t xml:space="preserve"> new activity </w:t>
      </w:r>
      <w:r w:rsidR="5659D8FA">
        <w:rPr>
          <w:noProof/>
        </w:rPr>
        <w:t xml:space="preserve">for waste incineration and co-incineration </w:t>
      </w:r>
      <w:r w:rsidR="150A2E7A">
        <w:rPr>
          <w:noProof/>
        </w:rPr>
        <w:t>should be established in Annex I</w:t>
      </w:r>
      <w:r w:rsidR="5659D8FA">
        <w:rPr>
          <w:noProof/>
        </w:rPr>
        <w:t>.</w:t>
      </w:r>
      <w:r w:rsidR="150A2E7A">
        <w:rPr>
          <w:noProof/>
        </w:rPr>
        <w:t xml:space="preserve"> </w:t>
      </w:r>
      <w:r w:rsidR="150A2E7A" w:rsidRPr="74ABF4BA">
        <w:rPr>
          <w:noProof/>
        </w:rPr>
        <w:t>T</w:t>
      </w:r>
      <w:r w:rsidR="150A2E7A" w:rsidRPr="74ABF4BA" w:rsidDel="0068210E">
        <w:rPr>
          <w:noProof/>
        </w:rPr>
        <w:t xml:space="preserve">he installations covered by the scope of </w:t>
      </w:r>
      <w:r w:rsidR="7591BEA4">
        <w:rPr>
          <w:noProof/>
        </w:rPr>
        <w:t>this</w:t>
      </w:r>
      <w:r w:rsidR="150A2E7A" w:rsidRPr="74ABF4BA" w:rsidDel="0068210E">
        <w:rPr>
          <w:noProof/>
        </w:rPr>
        <w:t xml:space="preserve"> activity </w:t>
      </w:r>
      <w:r w:rsidR="150A2E7A" w:rsidRPr="74ABF4BA">
        <w:rPr>
          <w:noProof/>
        </w:rPr>
        <w:t xml:space="preserve">should be defined in line with the definition of </w:t>
      </w:r>
      <w:r w:rsidR="150A2E7A" w:rsidRPr="74ABF4BA" w:rsidDel="0068210E">
        <w:rPr>
          <w:noProof/>
        </w:rPr>
        <w:t>waste</w:t>
      </w:r>
      <w:r w:rsidR="150A2E7A">
        <w:rPr>
          <w:noProof/>
        </w:rPr>
        <w:t xml:space="preserve"> </w:t>
      </w:r>
      <w:r w:rsidR="150A2E7A" w:rsidRPr="009E1F0E">
        <w:rPr>
          <w:noProof/>
          <w:lang w:val="en-IE"/>
        </w:rPr>
        <w:t xml:space="preserve">incineration plants and waste co-incineration plants in Directive 2010/75/EU of the European Parliament and of the Council, for non-hazardous waste. </w:t>
      </w:r>
      <w:r w:rsidR="75D62AEA" w:rsidRPr="009E1F0E">
        <w:rPr>
          <w:noProof/>
          <w:lang w:val="en-IE"/>
        </w:rPr>
        <w:t>This</w:t>
      </w:r>
      <w:r w:rsidR="4DE744D1" w:rsidRPr="009E1F0E">
        <w:rPr>
          <w:noProof/>
          <w:lang w:val="en-IE"/>
        </w:rPr>
        <w:t xml:space="preserve"> new activity</w:t>
      </w:r>
      <w:r w:rsidR="75D62AEA" w:rsidRPr="009E1F0E">
        <w:rPr>
          <w:noProof/>
          <w:lang w:val="en-IE"/>
        </w:rPr>
        <w:t xml:space="preserve"> includes </w:t>
      </w:r>
      <w:r w:rsidR="75D62AEA" w:rsidRPr="00620F3F">
        <w:rPr>
          <w:noProof/>
        </w:rPr>
        <w:t>e</w:t>
      </w:r>
      <w:r w:rsidR="43E20780" w:rsidRPr="00F95316">
        <w:rPr>
          <w:noProof/>
        </w:rPr>
        <w:t>missions from co-incineration</w:t>
      </w:r>
      <w:r w:rsidR="75D62AEA" w:rsidRPr="00620F3F">
        <w:rPr>
          <w:noProof/>
        </w:rPr>
        <w:t>, which were</w:t>
      </w:r>
      <w:r w:rsidR="5DCA0DF4" w:rsidRPr="003E6B36">
        <w:rPr>
          <w:noProof/>
        </w:rPr>
        <w:t xml:space="preserve"> </w:t>
      </w:r>
      <w:r w:rsidR="43E20780" w:rsidRPr="003E6B36">
        <w:rPr>
          <w:noProof/>
        </w:rPr>
        <w:t>already covered by Directive 2003/87/EC as part of the activity ‘Combustion of fuels’</w:t>
      </w:r>
      <w:r w:rsidR="003B2E73" w:rsidRPr="00620F3F">
        <w:rPr>
          <w:rStyle w:val="FootnoteReference"/>
          <w:noProof/>
        </w:rPr>
        <w:footnoteReference w:id="70"/>
      </w:r>
      <w:r w:rsidR="46FBE74E" w:rsidRPr="00620F3F">
        <w:rPr>
          <w:noProof/>
        </w:rPr>
        <w:t>, so</w:t>
      </w:r>
      <w:r w:rsidR="43E20780" w:rsidRPr="003E6B36">
        <w:rPr>
          <w:noProof/>
        </w:rPr>
        <w:t xml:space="preserve"> that the incineration and co-incineration of waste can be part of a single activity.</w:t>
      </w:r>
      <w:r w:rsidR="3A4B05B5" w:rsidRPr="009E1F0E">
        <w:rPr>
          <w:noProof/>
          <w:color w:val="000000" w:themeColor="text1"/>
        </w:rPr>
        <w:t xml:space="preserve"> </w:t>
      </w:r>
      <w:r w:rsidR="7BA0B63F" w:rsidRPr="009E1F0E">
        <w:rPr>
          <w:noProof/>
          <w:color w:val="000000" w:themeColor="text1"/>
        </w:rPr>
        <w:t xml:space="preserve">In addition, </w:t>
      </w:r>
      <w:r w:rsidR="3A4B05B5" w:rsidRPr="009E1F0E">
        <w:rPr>
          <w:noProof/>
          <w:color w:val="000000" w:themeColor="text1"/>
        </w:rPr>
        <w:t xml:space="preserve">units </w:t>
      </w:r>
      <w:r w:rsidR="17814517" w:rsidRPr="009E1F0E">
        <w:rPr>
          <w:noProof/>
          <w:color w:val="000000" w:themeColor="text1"/>
        </w:rPr>
        <w:t xml:space="preserve">for the incineration of municipal </w:t>
      </w:r>
      <w:r w:rsidR="358DD344" w:rsidRPr="009E1F0E">
        <w:rPr>
          <w:noProof/>
          <w:color w:val="000000" w:themeColor="text1"/>
        </w:rPr>
        <w:t>waste</w:t>
      </w:r>
      <w:r w:rsidR="17814517" w:rsidRPr="009E1F0E">
        <w:rPr>
          <w:noProof/>
          <w:color w:val="000000" w:themeColor="text1"/>
        </w:rPr>
        <w:t xml:space="preserve"> </w:t>
      </w:r>
      <w:r w:rsidR="3A4B05B5" w:rsidRPr="009E1F0E">
        <w:rPr>
          <w:noProof/>
          <w:color w:val="000000" w:themeColor="text1"/>
        </w:rPr>
        <w:t xml:space="preserve">should be included in the greenhouse gas emission permits of an EU ETS activity. To this end, the current exemption of such units should be deleted in point 5 of Annex I to Directive 2003/87/EC. </w:t>
      </w:r>
      <w:r w:rsidR="56D8F220" w:rsidRPr="009E1F0E">
        <w:rPr>
          <w:noProof/>
          <w:lang w:val="en-IE"/>
        </w:rPr>
        <w:t xml:space="preserve">The recovery of waste through chemical recycling activities, including thermal treatment processes such as pyrolysis or gasification, is </w:t>
      </w:r>
      <w:r w:rsidR="45C364D3" w:rsidRPr="009E1F0E" w:rsidDel="56D8F220">
        <w:rPr>
          <w:noProof/>
          <w:lang w:val="en-IE"/>
        </w:rPr>
        <w:t>not covered by the extension of</w:t>
      </w:r>
      <w:r w:rsidR="45C364D3" w:rsidRPr="009E1F0E">
        <w:rPr>
          <w:noProof/>
          <w:lang w:val="en-IE"/>
        </w:rPr>
        <w:t xml:space="preserve"> the scope of the EU ETS to the extent that the substances resulting from the treatment are not subsequently incinerated</w:t>
      </w:r>
      <w:r w:rsidR="56D8F220" w:rsidRPr="009E1F0E">
        <w:rPr>
          <w:noProof/>
          <w:lang w:val="en-IE"/>
        </w:rPr>
        <w:t xml:space="preserve">. </w:t>
      </w:r>
      <w:r w:rsidR="150A2E7A" w:rsidRPr="009E1F0E">
        <w:rPr>
          <w:noProof/>
          <w:lang w:val="en-IE"/>
        </w:rPr>
        <w:t xml:space="preserve">To ensure regulatory consistency, accommodate the specific characteristics of waste as a feedstock, and promote environmental integrity through robust and comprehensive coverage avoiding threshold effects from diversion to smaller, less efficient installations, the capacity threshold for this activity should be aligned with Annex I, point 5.2.(a) of Directive 2010/75/EU </w:t>
      </w:r>
      <w:r w:rsidR="1DAD1311" w:rsidRPr="009E1F0E">
        <w:rPr>
          <w:noProof/>
          <w:lang w:val="en-IE"/>
        </w:rPr>
        <w:t>as</w:t>
      </w:r>
      <w:r w:rsidR="150A2E7A" w:rsidRPr="009E1F0E">
        <w:rPr>
          <w:noProof/>
          <w:lang w:val="en-IE"/>
        </w:rPr>
        <w:t xml:space="preserve"> installations</w:t>
      </w:r>
      <w:r w:rsidR="150A2E7A" w:rsidRPr="5176D132">
        <w:rPr>
          <w:noProof/>
        </w:rPr>
        <w:t xml:space="preserve"> with a capacity exceeding 3 tonnes per hour . Implementing Regulation (EU) 2018/2066 should be reviewed and updated accordingly regarding the monitoring and reporting rules for emissions from municipal waste incineration installations.</w:t>
      </w:r>
    </w:p>
    <w:p w14:paraId="59A912A2" w14:textId="77777777" w:rsidR="009E1F0E" w:rsidRPr="009E1F0E" w:rsidRDefault="150A2E7A" w:rsidP="008B596F">
      <w:pPr>
        <w:pStyle w:val="Considrant"/>
        <w:rPr>
          <w:noProof/>
          <w:color w:val="000000" w:themeColor="text1"/>
          <w:lang w:val="en-IE"/>
        </w:rPr>
      </w:pPr>
      <w:r w:rsidRPr="009E1F0E">
        <w:rPr>
          <w:noProof/>
          <w:color w:val="000000" w:themeColor="text1"/>
        </w:rPr>
        <w:t xml:space="preserve">Hazardous waste incineration, meaning incineration or co-incineration plants predominantly treating hazardous waste, should remain excluded from the EU ETS as the carbon price signal is not expected to incentivise cost-effective decarbonisation. The strict regulatory, technical and operational requirements limit alternative treatment options for hazardous materials that cannot be safely recycled, recovered, or treated by other means. In addition, operators do not have significant opportunities for permanent carbon removal generation due to the limited share of biogenic carbon in hazardous waste streams. The risk of municipal waste diversion to hazardous waste incineration installations is constrained by the prevailing regulatory framework, technical and operational differences in the incineration process, and the associated high incineration cost for hazardous waste incineration. </w:t>
      </w:r>
    </w:p>
    <w:p w14:paraId="15368893" w14:textId="77777777" w:rsidR="009E1F0E" w:rsidRPr="009E1F0E" w:rsidRDefault="575D96F3" w:rsidP="005D328E">
      <w:pPr>
        <w:pStyle w:val="Considrant"/>
        <w:rPr>
          <w:noProof/>
          <w:color w:val="000000" w:themeColor="text1"/>
          <w:lang w:val="en-IE"/>
        </w:rPr>
      </w:pPr>
      <w:r>
        <w:rPr>
          <w:noProof/>
        </w:rPr>
        <w:t xml:space="preserve">To ensure a smooth transition of the sector in the EU ETS, the surrendering of allowances by municipal waste incineration installations </w:t>
      </w:r>
      <w:r w:rsidR="51E6E264">
        <w:rPr>
          <w:noProof/>
        </w:rPr>
        <w:t xml:space="preserve">that become subject to the system from 2031 onwards </w:t>
      </w:r>
      <w:r>
        <w:rPr>
          <w:noProof/>
        </w:rPr>
        <w:t xml:space="preserve">should be gradually introduced with respect to verified emissions reported for the period 2031 to </w:t>
      </w:r>
      <w:r w:rsidR="5252206F">
        <w:rPr>
          <w:noProof/>
        </w:rPr>
        <w:t>203</w:t>
      </w:r>
      <w:r w:rsidR="22C4D794">
        <w:rPr>
          <w:noProof/>
        </w:rPr>
        <w:t>4</w:t>
      </w:r>
      <w:r w:rsidR="5252206F">
        <w:rPr>
          <w:noProof/>
        </w:rPr>
        <w:t xml:space="preserve">. </w:t>
      </w:r>
      <w:r w:rsidR="0A6A6205">
        <w:rPr>
          <w:noProof/>
        </w:rPr>
        <w:t>This</w:t>
      </w:r>
      <w:r w:rsidR="663F2CEA">
        <w:rPr>
          <w:noProof/>
        </w:rPr>
        <w:t xml:space="preserve"> staged integration</w:t>
      </w:r>
      <w:r w:rsidR="0A6A6205">
        <w:rPr>
          <w:noProof/>
        </w:rPr>
        <w:t xml:space="preserve"> should not apply to installations currently already included in the EU ETS.</w:t>
      </w:r>
      <w:r>
        <w:rPr>
          <w:noProof/>
        </w:rPr>
        <w:t xml:space="preserve"> Several reasons support a staged integration of the compliance obligation rather than immediate full inclusion. </w:t>
      </w:r>
      <w:r w:rsidR="70819C65">
        <w:rPr>
          <w:noProof/>
        </w:rPr>
        <w:t>The start</w:t>
      </w:r>
      <w:r w:rsidR="207801C2">
        <w:rPr>
          <w:noProof/>
        </w:rPr>
        <w:t xml:space="preserve"> from 2031</w:t>
      </w:r>
      <w:r w:rsidR="70819C65">
        <w:rPr>
          <w:noProof/>
        </w:rPr>
        <w:t xml:space="preserve"> allow</w:t>
      </w:r>
      <w:r w:rsidR="207801C2">
        <w:rPr>
          <w:noProof/>
        </w:rPr>
        <w:t>s for</w:t>
      </w:r>
      <w:r w:rsidR="70819C65">
        <w:rPr>
          <w:noProof/>
        </w:rPr>
        <w:t xml:space="preserve"> technical and administrative preparation, in particular for the development of monitoring and reporting rules that are better tailored to municipal waste incineration, including the distinction of biomass and fossil emissions. </w:t>
      </w:r>
      <w:r>
        <w:rPr>
          <w:noProof/>
        </w:rPr>
        <w:t xml:space="preserve">The </w:t>
      </w:r>
      <w:r w:rsidR="17A43491">
        <w:rPr>
          <w:noProof/>
        </w:rPr>
        <w:t>start from 2031 combined with the</w:t>
      </w:r>
      <w:r>
        <w:rPr>
          <w:noProof/>
        </w:rPr>
        <w:t xml:space="preserve"> phase-in allows planning and investment predictability for operators and local authorities, including for the adjustment of contractual arrangements between local authorities and incinerators. It also enables prior investment support, including through ETS revenue use, in abatement measures for installations and local authorities. Phasing-in surrender obligations for municipal waste incineration also contributes to the convergence towards the landfilling target </w:t>
      </w:r>
      <w:r w:rsidR="25D99397">
        <w:rPr>
          <w:noProof/>
        </w:rPr>
        <w:t>established in Article 5(5) of Directive 1999/31/EC</w:t>
      </w:r>
      <w:r w:rsidR="00BA7AEF">
        <w:rPr>
          <w:rStyle w:val="FootnoteReference"/>
          <w:noProof/>
        </w:rPr>
        <w:footnoteReference w:id="71"/>
      </w:r>
      <w:r w:rsidR="6666E495">
        <w:rPr>
          <w:noProof/>
        </w:rPr>
        <w:t xml:space="preserve"> </w:t>
      </w:r>
      <w:r>
        <w:rPr>
          <w:noProof/>
        </w:rPr>
        <w:t xml:space="preserve">while allowing to strengthen complementary circular economy policies at EU, national and local level to support waste prevention, reduction, collection, sorting and recycling and address landfilling, avoiding any unintended consequences in terms of waste diversion contrary to the waste hierarchy. To protect the environmental integrity of the system, the number of allowances added to the cap in respect of the sector should be proportionate to the gradually increasing surrender obligation for those years. The figures relating to the inclusion of municipal waste incineration should be derived from the data monitored and reported for the sector under Directive 2003/87/EC for 2024 in the Union and the States of the </w:t>
      </w:r>
      <w:r w:rsidR="279ADB59">
        <w:rPr>
          <w:noProof/>
        </w:rPr>
        <w:t>EEA</w:t>
      </w:r>
      <w:r>
        <w:rPr>
          <w:noProof/>
        </w:rPr>
        <w:t xml:space="preserve"> and the</w:t>
      </w:r>
      <w:r w:rsidR="7827335F">
        <w:rPr>
          <w:noProof/>
        </w:rPr>
        <w:t xml:space="preserve"> </w:t>
      </w:r>
      <w:r w:rsidR="279ADB59">
        <w:rPr>
          <w:noProof/>
        </w:rPr>
        <w:t>EFTA)</w:t>
      </w:r>
      <w:r>
        <w:rPr>
          <w:noProof/>
        </w:rPr>
        <w:t xml:space="preserve">, adjusted, from 2024 until 2031, by projections for estimated reporting data and capacity developments. The number of allowances added to the total </w:t>
      </w:r>
      <w:r w:rsidR="215DBF90">
        <w:rPr>
          <w:noProof/>
        </w:rPr>
        <w:t>U</w:t>
      </w:r>
      <w:r>
        <w:rPr>
          <w:noProof/>
        </w:rPr>
        <w:t xml:space="preserve">nion-wide quantity of allowances in respect of the sector should be commensurate to the phase-in trajectory from 2031 to </w:t>
      </w:r>
      <w:r w:rsidR="5252206F">
        <w:rPr>
          <w:noProof/>
        </w:rPr>
        <w:t>203</w:t>
      </w:r>
      <w:r w:rsidR="240F7340">
        <w:rPr>
          <w:noProof/>
        </w:rPr>
        <w:t>4</w:t>
      </w:r>
      <w:r>
        <w:rPr>
          <w:noProof/>
        </w:rPr>
        <w:t xml:space="preserve">, equivalent to </w:t>
      </w:r>
      <w:r w:rsidR="240F7340">
        <w:rPr>
          <w:noProof/>
        </w:rPr>
        <w:t>25</w:t>
      </w:r>
      <w:r>
        <w:rPr>
          <w:noProof/>
        </w:rPr>
        <w:t xml:space="preserve">% of that total number in 2031, </w:t>
      </w:r>
      <w:r w:rsidR="240F7340">
        <w:rPr>
          <w:noProof/>
        </w:rPr>
        <w:t>50</w:t>
      </w:r>
      <w:r>
        <w:rPr>
          <w:noProof/>
        </w:rPr>
        <w:t xml:space="preserve">% of that total number adjusted by the linear reduction factor in 2032, </w:t>
      </w:r>
      <w:r w:rsidR="240F7340">
        <w:rPr>
          <w:noProof/>
        </w:rPr>
        <w:t xml:space="preserve">75% of that total number adjusted by the linear reduction factor in 2033, </w:t>
      </w:r>
      <w:r>
        <w:rPr>
          <w:noProof/>
        </w:rPr>
        <w:t xml:space="preserve">and 100% of that total number adjusted by the linear reduction factor as of </w:t>
      </w:r>
      <w:r w:rsidR="5252206F">
        <w:rPr>
          <w:noProof/>
        </w:rPr>
        <w:t>203</w:t>
      </w:r>
      <w:r w:rsidR="569CD080">
        <w:rPr>
          <w:noProof/>
        </w:rPr>
        <w:t>4</w:t>
      </w:r>
      <w:r w:rsidR="5252206F">
        <w:rPr>
          <w:noProof/>
        </w:rPr>
        <w:t>.</w:t>
      </w:r>
      <w:r>
        <w:rPr>
          <w:noProof/>
        </w:rPr>
        <w:t xml:space="preserve"> </w:t>
      </w:r>
      <w:r w:rsidR="7D21D52C">
        <w:rPr>
          <w:noProof/>
        </w:rPr>
        <w:t xml:space="preserve">As from </w:t>
      </w:r>
      <w:r w:rsidR="6277A5D7">
        <w:rPr>
          <w:noProof/>
        </w:rPr>
        <w:t>203</w:t>
      </w:r>
      <w:r w:rsidR="447C2F59">
        <w:rPr>
          <w:noProof/>
        </w:rPr>
        <w:t>5</w:t>
      </w:r>
      <w:r w:rsidR="7D21D52C">
        <w:rPr>
          <w:noProof/>
        </w:rPr>
        <w:t>, municipal waste incineration installations should surrender the number of allowances corresponding to all of their verified emissions reported in the preceding year.</w:t>
      </w:r>
    </w:p>
    <w:p w14:paraId="605F950F" w14:textId="77777777" w:rsidR="009E1F0E" w:rsidRDefault="1A1D0C7B" w:rsidP="0008776B">
      <w:pPr>
        <w:pStyle w:val="Considrant"/>
        <w:rPr>
          <w:noProof/>
          <w:color w:val="000000" w:themeColor="text1"/>
          <w:lang w:val="en-IE"/>
        </w:rPr>
      </w:pPr>
      <w:r w:rsidRPr="009E1F0E">
        <w:rPr>
          <w:noProof/>
          <w:color w:val="000000" w:themeColor="text1"/>
          <w:lang w:val="en-IE"/>
        </w:rPr>
        <w:t xml:space="preserve">To further ensure a smooth transition, where a Member State has equivalent measures in place that achieve the objectives for including municipal waste incineration in Directive 2003/87/EC, a temporary opt-out possibility should be introduced until the end of 2035. To ensure </w:t>
      </w:r>
      <w:r w:rsidR="592121FD" w:rsidRPr="009E1F0E">
        <w:rPr>
          <w:noProof/>
          <w:color w:val="000000" w:themeColor="text1"/>
          <w:lang w:val="en-IE"/>
        </w:rPr>
        <w:t xml:space="preserve">compatibility with </w:t>
      </w:r>
      <w:r w:rsidR="7ECF8B65" w:rsidRPr="009E1F0E">
        <w:rPr>
          <w:noProof/>
          <w:color w:val="000000" w:themeColor="text1"/>
          <w:lang w:val="en-IE"/>
        </w:rPr>
        <w:t>decarbonisation,</w:t>
      </w:r>
      <w:r w:rsidR="5D3B4D5F" w:rsidRPr="009E1F0E">
        <w:rPr>
          <w:noProof/>
          <w:color w:val="000000" w:themeColor="text1"/>
          <w:lang w:val="en-IE"/>
        </w:rPr>
        <w:t xml:space="preserve"> </w:t>
      </w:r>
      <w:r w:rsidR="6F4ED954" w:rsidRPr="009E1F0E">
        <w:rPr>
          <w:noProof/>
          <w:color w:val="000000" w:themeColor="text1"/>
          <w:lang w:val="en-IE"/>
        </w:rPr>
        <w:t xml:space="preserve">material and carbon </w:t>
      </w:r>
      <w:r w:rsidR="5D3B4D5F" w:rsidRPr="009E1F0E">
        <w:rPr>
          <w:noProof/>
          <w:color w:val="000000" w:themeColor="text1"/>
          <w:lang w:val="en-IE"/>
        </w:rPr>
        <w:t>circularity and a level playing field</w:t>
      </w:r>
      <w:r w:rsidRPr="009E1F0E">
        <w:rPr>
          <w:noProof/>
          <w:color w:val="000000" w:themeColor="text1"/>
          <w:lang w:val="en-IE"/>
        </w:rPr>
        <w:t>, the option of applying that derogation should be available</w:t>
      </w:r>
      <w:r w:rsidR="4045D5EF" w:rsidRPr="009E1F0E">
        <w:rPr>
          <w:noProof/>
          <w:color w:val="000000" w:themeColor="text1"/>
          <w:lang w:val="en-IE"/>
        </w:rPr>
        <w:t xml:space="preserve"> only</w:t>
      </w:r>
      <w:r w:rsidRPr="009E1F0E">
        <w:rPr>
          <w:noProof/>
          <w:color w:val="000000" w:themeColor="text1"/>
          <w:lang w:val="en-IE"/>
        </w:rPr>
        <w:t xml:space="preserve"> where a Member State </w:t>
      </w:r>
      <w:r w:rsidR="41EA3486" w:rsidRPr="009E1F0E">
        <w:rPr>
          <w:noProof/>
          <w:color w:val="000000" w:themeColor="text1"/>
          <w:lang w:val="en-IE"/>
        </w:rPr>
        <w:t xml:space="preserve">can demonstrate it </w:t>
      </w:r>
      <w:r w:rsidRPr="009E1F0E">
        <w:rPr>
          <w:noProof/>
          <w:color w:val="000000" w:themeColor="text1"/>
          <w:lang w:val="en-IE"/>
        </w:rPr>
        <w:t xml:space="preserve">meets at least two out of </w:t>
      </w:r>
      <w:r w:rsidR="6337B6A8" w:rsidRPr="009E1F0E">
        <w:rPr>
          <w:noProof/>
          <w:color w:val="000000" w:themeColor="text1"/>
          <w:lang w:val="en-IE"/>
        </w:rPr>
        <w:t xml:space="preserve">the following </w:t>
      </w:r>
      <w:r w:rsidRPr="009E1F0E">
        <w:rPr>
          <w:noProof/>
          <w:color w:val="000000" w:themeColor="text1"/>
          <w:lang w:val="en-IE"/>
        </w:rPr>
        <w:t>three conditions</w:t>
      </w:r>
      <w:r w:rsidR="4C69A111" w:rsidRPr="009E1F0E">
        <w:rPr>
          <w:noProof/>
          <w:color w:val="000000" w:themeColor="text1"/>
          <w:lang w:val="en-IE"/>
        </w:rPr>
        <w:t>:</w:t>
      </w:r>
      <w:r w:rsidRPr="009E1F0E">
        <w:rPr>
          <w:noProof/>
          <w:color w:val="000000" w:themeColor="text1"/>
          <w:lang w:val="en-IE"/>
        </w:rPr>
        <w:t xml:space="preserve"> </w:t>
      </w:r>
      <w:r w:rsidR="7DB7E542" w:rsidRPr="009E1F0E">
        <w:rPr>
          <w:noProof/>
          <w:color w:val="000000" w:themeColor="text1"/>
          <w:lang w:val="en-IE"/>
        </w:rPr>
        <w:t xml:space="preserve">having </w:t>
      </w:r>
      <w:r w:rsidR="00E843D9" w:rsidRPr="009E1F0E">
        <w:rPr>
          <w:noProof/>
          <w:color w:val="000000" w:themeColor="text1"/>
          <w:lang w:val="en-IE"/>
        </w:rPr>
        <w:t>an equivalent</w:t>
      </w:r>
      <w:r w:rsidRPr="009E1F0E">
        <w:rPr>
          <w:noProof/>
          <w:color w:val="000000" w:themeColor="text1"/>
          <w:lang w:val="en-IE"/>
        </w:rPr>
        <w:t xml:space="preserve"> national </w:t>
      </w:r>
      <w:r w:rsidR="74B3113B" w:rsidRPr="009E1F0E">
        <w:rPr>
          <w:noProof/>
          <w:color w:val="000000" w:themeColor="text1"/>
          <w:lang w:val="en-IE"/>
        </w:rPr>
        <w:t xml:space="preserve">carbon </w:t>
      </w:r>
      <w:r w:rsidRPr="009E1F0E">
        <w:rPr>
          <w:noProof/>
          <w:color w:val="000000" w:themeColor="text1"/>
          <w:lang w:val="en-IE"/>
        </w:rPr>
        <w:t xml:space="preserve">tax </w:t>
      </w:r>
      <w:r w:rsidR="28891BDC" w:rsidRPr="009E1F0E">
        <w:rPr>
          <w:noProof/>
          <w:color w:val="000000" w:themeColor="text1"/>
          <w:lang w:val="en-IE"/>
        </w:rPr>
        <w:t xml:space="preserve">in place </w:t>
      </w:r>
      <w:r w:rsidR="4378235C" w:rsidRPr="009E1F0E">
        <w:rPr>
          <w:noProof/>
          <w:color w:val="000000" w:themeColor="text1"/>
          <w:lang w:val="en-IE"/>
        </w:rPr>
        <w:t xml:space="preserve">with a tax </w:t>
      </w:r>
      <w:r w:rsidRPr="009E1F0E">
        <w:rPr>
          <w:noProof/>
          <w:color w:val="000000" w:themeColor="text1"/>
          <w:lang w:val="en-IE"/>
        </w:rPr>
        <w:t>rate higher than the average auctioning price for the relevant year</w:t>
      </w:r>
      <w:r w:rsidR="72A40DB0" w:rsidRPr="009E1F0E">
        <w:rPr>
          <w:noProof/>
          <w:color w:val="000000" w:themeColor="text1"/>
          <w:lang w:val="en-IE"/>
        </w:rPr>
        <w:t>;</w:t>
      </w:r>
      <w:r w:rsidRPr="009E1F0E">
        <w:rPr>
          <w:noProof/>
          <w:color w:val="000000" w:themeColor="text1"/>
          <w:lang w:val="en-IE"/>
        </w:rPr>
        <w:t xml:space="preserve"> </w:t>
      </w:r>
      <w:r w:rsidR="41EA3486" w:rsidRPr="009E1F0E">
        <w:rPr>
          <w:noProof/>
          <w:color w:val="000000" w:themeColor="text1"/>
          <w:lang w:val="en-IE"/>
        </w:rPr>
        <w:t xml:space="preserve"> </w:t>
      </w:r>
      <w:r w:rsidRPr="009E1F0E">
        <w:rPr>
          <w:noProof/>
          <w:color w:val="000000" w:themeColor="text1"/>
          <w:lang w:val="en-IE"/>
        </w:rPr>
        <w:t>it is on track to achieve the EU municipal waste recycling targets under Article 11(2)(d) and (e) of Directive 2008/98/EC</w:t>
      </w:r>
      <w:r w:rsidR="3DD0A36B" w:rsidRPr="009E1F0E">
        <w:rPr>
          <w:noProof/>
          <w:color w:val="000000" w:themeColor="text1"/>
          <w:lang w:val="en-IE"/>
        </w:rPr>
        <w:t>;</w:t>
      </w:r>
      <w:r w:rsidRPr="009E1F0E">
        <w:rPr>
          <w:noProof/>
          <w:color w:val="000000" w:themeColor="text1"/>
          <w:lang w:val="en-IE"/>
        </w:rPr>
        <w:t xml:space="preserve"> and  it is on track to achieve the municipal waste landfill target under Article 5(5) of Directive 1999/31/EC. To ensure stability and transparency of the system, the request, including the relevant information to demonstrate compliance with at least two out of the three conditions, should be notified to the Commission by 31 July 2029. The temporary nature of this derogation is important to </w:t>
      </w:r>
      <w:r w:rsidR="55B3D23F" w:rsidRPr="009E1F0E">
        <w:rPr>
          <w:noProof/>
          <w:color w:val="000000" w:themeColor="text1"/>
          <w:lang w:val="en-IE"/>
        </w:rPr>
        <w:t>ensure compatibility with moving</w:t>
      </w:r>
      <w:r w:rsidRPr="009E1F0E">
        <w:rPr>
          <w:noProof/>
          <w:color w:val="000000" w:themeColor="text1"/>
          <w:lang w:val="en-IE"/>
        </w:rPr>
        <w:t xml:space="preserve"> the accounting of emissions where carbon dioxide is captured and used in intermediate or final products </w:t>
      </w:r>
      <w:r w:rsidR="0F2E05E0" w:rsidRPr="009E1F0E">
        <w:rPr>
          <w:noProof/>
          <w:color w:val="000000" w:themeColor="text1"/>
          <w:lang w:val="en-IE"/>
        </w:rPr>
        <w:t>(CCU)</w:t>
      </w:r>
      <w:r w:rsidRPr="009E1F0E">
        <w:rPr>
          <w:noProof/>
          <w:color w:val="000000" w:themeColor="text1"/>
          <w:lang w:val="en-IE"/>
        </w:rPr>
        <w:t xml:space="preserve"> </w:t>
      </w:r>
      <w:r w:rsidR="1E02B61E" w:rsidRPr="009E1F0E">
        <w:rPr>
          <w:noProof/>
          <w:color w:val="000000" w:themeColor="text1"/>
          <w:lang w:val="en-IE"/>
        </w:rPr>
        <w:t>to</w:t>
      </w:r>
      <w:r w:rsidRPr="009E1F0E">
        <w:rPr>
          <w:noProof/>
          <w:color w:val="000000" w:themeColor="text1"/>
          <w:lang w:val="en-IE"/>
        </w:rPr>
        <w:t xml:space="preserve"> the point of their release from products into the atmosphere </w:t>
      </w:r>
      <w:r w:rsidR="594363E6" w:rsidRPr="009E1F0E">
        <w:rPr>
          <w:noProof/>
          <w:color w:val="000000" w:themeColor="text1"/>
          <w:lang w:val="en-IE"/>
        </w:rPr>
        <w:t xml:space="preserve">while preventing </w:t>
      </w:r>
      <w:r w:rsidR="7D7A7D52" w:rsidRPr="009E1F0E">
        <w:rPr>
          <w:noProof/>
          <w:color w:val="000000" w:themeColor="text1"/>
          <w:lang w:val="en-IE"/>
        </w:rPr>
        <w:t>a high risk of underaccounting</w:t>
      </w:r>
      <w:r w:rsidR="24676779" w:rsidRPr="009E1F0E">
        <w:rPr>
          <w:noProof/>
          <w:color w:val="000000" w:themeColor="text1"/>
          <w:lang w:val="en-IE"/>
        </w:rPr>
        <w:t>.</w:t>
      </w:r>
    </w:p>
    <w:p w14:paraId="268A7FE3" w14:textId="10A628C1" w:rsidR="009E1F0E" w:rsidRDefault="5CF35D12" w:rsidP="00326AD6">
      <w:pPr>
        <w:pStyle w:val="Considrant"/>
        <w:rPr>
          <w:noProof/>
          <w:color w:val="000000" w:themeColor="text1"/>
          <w:lang w:val="en-IE"/>
        </w:rPr>
      </w:pPr>
      <w:r w:rsidRPr="009E1F0E">
        <w:rPr>
          <w:noProof/>
          <w:color w:val="000000" w:themeColor="text1"/>
          <w:lang w:val="en-IE"/>
        </w:rPr>
        <w:t>Taking into account the special characteristics and permanent constraints of the outermost regions of the Union as recognised in Article 349 of the Treaty on the Functioning of the European Union (TFEU), and given their constraints in deploying a comprehensive waste-management ecosystem at scale and distance from recycling markets, a</w:t>
      </w:r>
      <w:r w:rsidR="191AA12E" w:rsidRPr="009E1F0E">
        <w:rPr>
          <w:noProof/>
          <w:color w:val="000000" w:themeColor="text1"/>
          <w:lang w:val="en-IE"/>
        </w:rPr>
        <w:t>n</w:t>
      </w:r>
      <w:r w:rsidRPr="009E1F0E">
        <w:rPr>
          <w:noProof/>
          <w:color w:val="000000" w:themeColor="text1"/>
          <w:lang w:val="en-IE"/>
        </w:rPr>
        <w:t xml:space="preserve"> </w:t>
      </w:r>
      <w:r w:rsidR="310B9619" w:rsidRPr="009E1F0E">
        <w:rPr>
          <w:noProof/>
          <w:color w:val="000000" w:themeColor="text1"/>
          <w:lang w:val="en-IE"/>
        </w:rPr>
        <w:t>option</w:t>
      </w:r>
      <w:r w:rsidR="48202778" w:rsidRPr="009E1F0E">
        <w:rPr>
          <w:noProof/>
          <w:color w:val="000000" w:themeColor="text1"/>
          <w:lang w:val="en-IE"/>
        </w:rPr>
        <w:t xml:space="preserve"> is provided </w:t>
      </w:r>
      <w:r w:rsidR="17E0B45C" w:rsidRPr="009E1F0E">
        <w:rPr>
          <w:noProof/>
          <w:color w:val="000000" w:themeColor="text1"/>
          <w:lang w:val="en-IE"/>
        </w:rPr>
        <w:t>for Member States to</w:t>
      </w:r>
      <w:r w:rsidR="3C525427" w:rsidRPr="009E1F0E">
        <w:rPr>
          <w:noProof/>
          <w:color w:val="000000" w:themeColor="text1"/>
          <w:lang w:val="en-IE"/>
        </w:rPr>
        <w:t xml:space="preserve"> temporarily </w:t>
      </w:r>
      <w:r w:rsidR="17E0B45C" w:rsidRPr="009E1F0E">
        <w:rPr>
          <w:noProof/>
          <w:color w:val="000000" w:themeColor="text1"/>
          <w:lang w:val="en-IE"/>
        </w:rPr>
        <w:t>exempt installations located in the outermost region</w:t>
      </w:r>
      <w:r w:rsidR="437E67C3" w:rsidRPr="009E1F0E">
        <w:rPr>
          <w:noProof/>
          <w:color w:val="000000" w:themeColor="text1"/>
          <w:lang w:val="en-IE"/>
        </w:rPr>
        <w:t>s</w:t>
      </w:r>
      <w:r w:rsidRPr="009E1F0E">
        <w:rPr>
          <w:noProof/>
          <w:color w:val="000000" w:themeColor="text1"/>
          <w:lang w:val="en-IE"/>
        </w:rPr>
        <w:t xml:space="preserve"> from the surrender obligation for waste incineration and co-incineration pursuant to Directive 2003/87/EC.</w:t>
      </w:r>
    </w:p>
    <w:p w14:paraId="5A45207C" w14:textId="77777777" w:rsidR="009E1F0E" w:rsidRPr="009E1F0E" w:rsidRDefault="575D96F3" w:rsidP="004902AC">
      <w:pPr>
        <w:pStyle w:val="Considrant"/>
        <w:rPr>
          <w:noProof/>
          <w:color w:val="000000" w:themeColor="text1"/>
          <w:lang w:val="en-IE"/>
        </w:rPr>
      </w:pPr>
      <w:r w:rsidRPr="2193DBD9">
        <w:rPr>
          <w:noProof/>
        </w:rPr>
        <w:t>To drive meaningful behavioural change at all stages of the waste value chain and ensure the effectiveness of the carbon price in fostering circularity and decarbonisation, it is important that the price signal is reflected in pricing mechanisms and channelled through targeted measures and policies with a positive steering effect offering households and non-residential actors both an incentive and a choice to avoid the cost of mixed waste disposal through waste prevention, reduction and sorting. Such measures with a proven positive impact on waste reduction, sorting and recycling include, for example, modulated gate fees, Pay-As-You-Throw, weight-based and smart bin collection schemes, deposit return schemes, or mandatory separate collection schemes for specific waste streams. Those</w:t>
      </w:r>
      <w:r w:rsidR="06323CED" w:rsidRPr="2193DBD9">
        <w:rPr>
          <w:noProof/>
        </w:rPr>
        <w:t xml:space="preserve"> </w:t>
      </w:r>
      <w:r w:rsidRPr="2193DBD9">
        <w:rPr>
          <w:noProof/>
        </w:rPr>
        <w:t>measures should be complemented by reinforced upstream application of the polluter pays principle through measures such as strengthened harmonised Extended Producer Responsibility schemes and eco-design requirements. Member States should use revenues from emissions trading to support competent authorities, in particular local authorities, involved in the collection and disposal of municipal waste in the implementation of those circular economy measures, in order to steer waste disposal in line with the waste hierarchy, manage the impacts for households, and ensure a smooth transition for the waste sector, balancing environmental benefits and circularity with the cost of waste management as a public service.</w:t>
      </w:r>
    </w:p>
    <w:p w14:paraId="4EF2A241" w14:textId="77777777" w:rsidR="009E1F0E" w:rsidRPr="009E1F0E" w:rsidRDefault="575D96F3" w:rsidP="0047278E">
      <w:pPr>
        <w:pStyle w:val="Considrant"/>
        <w:rPr>
          <w:noProof/>
          <w:color w:val="000000" w:themeColor="text1"/>
          <w:lang w:val="en-IE"/>
        </w:rPr>
      </w:pPr>
      <w:r w:rsidRPr="2193DBD9">
        <w:rPr>
          <w:noProof/>
        </w:rPr>
        <w:t xml:space="preserve">The extension of the carbon price to municipal waste incineration should be accompanied by effective measures to </w:t>
      </w:r>
      <w:r w:rsidR="329BE13E" w:rsidRPr="2193DBD9">
        <w:rPr>
          <w:noProof/>
        </w:rPr>
        <w:t xml:space="preserve">continue </w:t>
      </w:r>
      <w:r w:rsidRPr="2193DBD9">
        <w:rPr>
          <w:noProof/>
        </w:rPr>
        <w:t>reduc</w:t>
      </w:r>
      <w:r w:rsidR="329BE13E" w:rsidRPr="2193DBD9">
        <w:rPr>
          <w:noProof/>
        </w:rPr>
        <w:t>ing</w:t>
      </w:r>
      <w:r w:rsidRPr="2193DBD9">
        <w:rPr>
          <w:noProof/>
        </w:rPr>
        <w:t xml:space="preserve"> landfilling and avoid unintended consequences in terms of waste diversion contrary to the waste hierarchy. This risk is mitigated by the fact that sustainable biomass emissions from incineration are zero-rated, limiting the incentive for organic waste diversion to landfilling -where it is the main source of methane- to avoid </w:t>
      </w:r>
      <w:r w:rsidR="5FE0D5EE" w:rsidRPr="2193DBD9">
        <w:rPr>
          <w:noProof/>
        </w:rPr>
        <w:t xml:space="preserve">having to pay </w:t>
      </w:r>
      <w:r w:rsidRPr="2193DBD9">
        <w:rPr>
          <w:noProof/>
        </w:rPr>
        <w:t xml:space="preserve">the carbon price. However, a risk of diversion of fossil-based material remains where no effective regulatory or fiscal </w:t>
      </w:r>
      <w:r w:rsidR="329BE13E" w:rsidRPr="2193DBD9">
        <w:rPr>
          <w:noProof/>
        </w:rPr>
        <w:t xml:space="preserve">landfill </w:t>
      </w:r>
      <w:r w:rsidRPr="2193DBD9">
        <w:rPr>
          <w:noProof/>
        </w:rPr>
        <w:t xml:space="preserve">policies are in place. Therefore, effective </w:t>
      </w:r>
      <w:r w:rsidR="329BE13E" w:rsidRPr="2193DBD9">
        <w:rPr>
          <w:noProof/>
        </w:rPr>
        <w:t xml:space="preserve">and reinforced </w:t>
      </w:r>
      <w:r w:rsidRPr="2193DBD9">
        <w:rPr>
          <w:noProof/>
        </w:rPr>
        <w:t xml:space="preserve">implementation and enforcement of policies and measures to limit the share of municipal waste landfilled to 10% or less by 2035 as established in Directive </w:t>
      </w:r>
      <w:r w:rsidR="0ABA5D39" w:rsidRPr="2193DBD9">
        <w:rPr>
          <w:noProof/>
        </w:rPr>
        <w:t xml:space="preserve">1999/31/EC </w:t>
      </w:r>
      <w:r w:rsidRPr="2193DBD9">
        <w:rPr>
          <w:noProof/>
        </w:rPr>
        <w:t xml:space="preserve">is essential. Furthermore, monitoring and reporting, as well as verification and accreditation </w:t>
      </w:r>
      <w:r w:rsidR="329BE13E" w:rsidRPr="2193DBD9">
        <w:rPr>
          <w:noProof/>
        </w:rPr>
        <w:t xml:space="preserve">of emissions from </w:t>
      </w:r>
      <w:r w:rsidRPr="2193DBD9">
        <w:rPr>
          <w:noProof/>
        </w:rPr>
        <w:t xml:space="preserve">landfilling of municipal waste should be developed in the future to monitor the development of methane emissions following the full extension of the EU ETS to emissions from municipal waste incineration. Uncertainty in the quantification of emissions from landfills remains high. Harmonised monitoring and reporting frameworks to collect standardised, robust and verified emissions data should therefore first be established to ensure a high degree of integrity in the system. The development of accurate monitoring and reporting rules </w:t>
      </w:r>
      <w:r w:rsidR="17A928DC" w:rsidRPr="2193DBD9">
        <w:rPr>
          <w:noProof/>
        </w:rPr>
        <w:t>is conditional</w:t>
      </w:r>
      <w:r w:rsidRPr="2193DBD9">
        <w:rPr>
          <w:noProof/>
        </w:rPr>
        <w:t xml:space="preserve"> on</w:t>
      </w:r>
      <w:r w:rsidR="17A928DC" w:rsidRPr="2193DBD9">
        <w:rPr>
          <w:noProof/>
        </w:rPr>
        <w:t xml:space="preserve"> the development, </w:t>
      </w:r>
      <w:r w:rsidR="4F27972A" w:rsidRPr="2193DBD9">
        <w:rPr>
          <w:noProof/>
        </w:rPr>
        <w:t>first, of</w:t>
      </w:r>
      <w:r w:rsidRPr="2193DBD9">
        <w:rPr>
          <w:noProof/>
        </w:rPr>
        <w:t xml:space="preserve"> the future Best Available Techniques for Landfills to ensure environmental integrity</w:t>
      </w:r>
      <w:r w:rsidR="439F846E" w:rsidRPr="2193DBD9">
        <w:rPr>
          <w:noProof/>
        </w:rPr>
        <w:t>,</w:t>
      </w:r>
      <w:r w:rsidRPr="2193DBD9">
        <w:rPr>
          <w:noProof/>
        </w:rPr>
        <w:t xml:space="preserve"> regulatory consistency and </w:t>
      </w:r>
      <w:r w:rsidR="439F846E" w:rsidRPr="2193DBD9">
        <w:rPr>
          <w:noProof/>
        </w:rPr>
        <w:t>the use of advanced monitoring tools</w:t>
      </w:r>
      <w:r w:rsidR="7043D2F6" w:rsidRPr="2193DBD9">
        <w:rPr>
          <w:noProof/>
        </w:rPr>
        <w:t>, including</w:t>
      </w:r>
      <w:r w:rsidR="031BE0F0" w:rsidRPr="2193DBD9">
        <w:rPr>
          <w:noProof/>
        </w:rPr>
        <w:t xml:space="preserve"> measurement and modelling methods</w:t>
      </w:r>
      <w:r w:rsidRPr="2193DBD9">
        <w:rPr>
          <w:noProof/>
        </w:rPr>
        <w:t xml:space="preserve">, and </w:t>
      </w:r>
      <w:r w:rsidR="17A928DC" w:rsidRPr="2193DBD9">
        <w:rPr>
          <w:noProof/>
        </w:rPr>
        <w:t xml:space="preserve">second, </w:t>
      </w:r>
      <w:r w:rsidRPr="2193DBD9">
        <w:rPr>
          <w:noProof/>
        </w:rPr>
        <w:t xml:space="preserve">of a comprehensive landfill </w:t>
      </w:r>
      <w:r w:rsidR="756658B0" w:rsidRPr="2193DBD9">
        <w:rPr>
          <w:noProof/>
        </w:rPr>
        <w:t>register</w:t>
      </w:r>
      <w:r w:rsidR="3E0C3890" w:rsidRPr="2193DBD9">
        <w:rPr>
          <w:noProof/>
        </w:rPr>
        <w:t xml:space="preserve"> or registers</w:t>
      </w:r>
      <w:r w:rsidR="756658B0" w:rsidRPr="2193DBD9">
        <w:rPr>
          <w:noProof/>
        </w:rPr>
        <w:t xml:space="preserve"> </w:t>
      </w:r>
      <w:r w:rsidRPr="2193DBD9">
        <w:rPr>
          <w:noProof/>
        </w:rPr>
        <w:t>to avoid circumvention and ensure its effectiveness. For this purpose, the Commission should report by 31 July 2029</w:t>
      </w:r>
      <w:r w:rsidR="70D3B883" w:rsidRPr="2193DBD9">
        <w:rPr>
          <w:noProof/>
        </w:rPr>
        <w:t xml:space="preserve"> </w:t>
      </w:r>
      <w:r w:rsidRPr="2193DBD9">
        <w:rPr>
          <w:noProof/>
        </w:rPr>
        <w:t xml:space="preserve">whether these enabling conditions have been fulfilled for the MRV to be developed by 2031 at the point of the start of the phase-in of municipal waste incineration. In case one of these conditions have not been fulfilled, the </w:t>
      </w:r>
      <w:r w:rsidR="0E68DBDC" w:rsidRPr="2193DBD9">
        <w:rPr>
          <w:noProof/>
        </w:rPr>
        <w:t>extension</w:t>
      </w:r>
      <w:r w:rsidRPr="2193DBD9">
        <w:rPr>
          <w:noProof/>
        </w:rPr>
        <w:t xml:space="preserve"> of the </w:t>
      </w:r>
      <w:r w:rsidR="0E68DBDC" w:rsidRPr="2193DBD9">
        <w:rPr>
          <w:noProof/>
        </w:rPr>
        <w:t xml:space="preserve">EU ETS to landfills for </w:t>
      </w:r>
      <w:r w:rsidRPr="2193DBD9">
        <w:rPr>
          <w:noProof/>
        </w:rPr>
        <w:t xml:space="preserve">MRV should be </w:t>
      </w:r>
      <w:r w:rsidR="0E68DBDC" w:rsidRPr="2193DBD9">
        <w:rPr>
          <w:noProof/>
        </w:rPr>
        <w:t xml:space="preserve">postponed from 2031 to </w:t>
      </w:r>
      <w:r w:rsidR="5252206F" w:rsidRPr="2193DBD9">
        <w:rPr>
          <w:noProof/>
        </w:rPr>
        <w:t>203</w:t>
      </w:r>
      <w:r w:rsidR="3880CC8D" w:rsidRPr="2193DBD9">
        <w:rPr>
          <w:noProof/>
        </w:rPr>
        <w:t>4</w:t>
      </w:r>
      <w:r w:rsidR="0E68DBDC" w:rsidRPr="2193DBD9">
        <w:rPr>
          <w:noProof/>
        </w:rPr>
        <w:t>,</w:t>
      </w:r>
      <w:r w:rsidR="5252206F" w:rsidRPr="2193DBD9">
        <w:rPr>
          <w:noProof/>
        </w:rPr>
        <w:t xml:space="preserve"> </w:t>
      </w:r>
      <w:r w:rsidRPr="2193DBD9">
        <w:rPr>
          <w:noProof/>
        </w:rPr>
        <w:t>at the point of full integration of municipal waste incineration</w:t>
      </w:r>
      <w:r w:rsidR="0E68DBDC" w:rsidRPr="2193DBD9">
        <w:rPr>
          <w:noProof/>
        </w:rPr>
        <w:t>,</w:t>
      </w:r>
      <w:r w:rsidRPr="2193DBD9">
        <w:rPr>
          <w:noProof/>
        </w:rPr>
        <w:t xml:space="preserve"> to allow additional time for these conditions to be fulfilled. The Commission should review Directive 2003/87/EC by </w:t>
      </w:r>
      <w:r w:rsidR="45B7A10C" w:rsidRPr="2193DBD9">
        <w:rPr>
          <w:noProof/>
        </w:rPr>
        <w:t>31 December 2034</w:t>
      </w:r>
      <w:r w:rsidR="3E9BD52C" w:rsidRPr="2193DBD9">
        <w:rPr>
          <w:noProof/>
        </w:rPr>
        <w:t xml:space="preserve"> </w:t>
      </w:r>
      <w:r w:rsidRPr="2193DBD9">
        <w:rPr>
          <w:noProof/>
        </w:rPr>
        <w:t>in light of these developments and any unintended consequences.</w:t>
      </w:r>
    </w:p>
    <w:p w14:paraId="218C0CF5" w14:textId="77777777" w:rsidR="009E1F0E" w:rsidRPr="009E1F0E" w:rsidRDefault="4DE1A997" w:rsidP="00D23E29">
      <w:pPr>
        <w:pStyle w:val="Considrant"/>
        <w:rPr>
          <w:noProof/>
          <w:color w:val="000000" w:themeColor="text1"/>
          <w:lang w:val="en-IE"/>
        </w:rPr>
      </w:pPr>
      <w:r w:rsidRPr="2193DBD9">
        <w:rPr>
          <w:noProof/>
        </w:rPr>
        <w:t>Carbon can be captured</w:t>
      </w:r>
      <w:r w:rsidR="575D96F3" w:rsidRPr="2193DBD9">
        <w:rPr>
          <w:noProof/>
        </w:rPr>
        <w:t xml:space="preserve"> for storage and utilisation in installations that have emissions resulting from a mix of fossil and zero-rated sources, such as from the combustion of sustainable biomass</w:t>
      </w:r>
      <w:r w:rsidR="736EFA1B" w:rsidRPr="2193DBD9">
        <w:rPr>
          <w:noProof/>
        </w:rPr>
        <w:t>, which is zero-rated in the EU ETS</w:t>
      </w:r>
      <w:r w:rsidR="5252206F" w:rsidRPr="2193DBD9">
        <w:rPr>
          <w:noProof/>
        </w:rPr>
        <w:t>.</w:t>
      </w:r>
      <w:r w:rsidR="575D96F3" w:rsidRPr="2193DBD9">
        <w:rPr>
          <w:noProof/>
        </w:rPr>
        <w:t xml:space="preserve"> As CO</w:t>
      </w:r>
      <w:r w:rsidR="575D96F3" w:rsidRPr="009E1F0E">
        <w:rPr>
          <w:noProof/>
          <w:vertAlign w:val="subscript"/>
        </w:rPr>
        <w:t>2</w:t>
      </w:r>
      <w:r w:rsidR="575D96F3" w:rsidRPr="2193DBD9">
        <w:rPr>
          <w:noProof/>
        </w:rPr>
        <w:t xml:space="preserve"> from zero-rated sources and from fossil sources are treated different for the purposes of determining the compliance obligations of EU ETS, </w:t>
      </w:r>
      <w:r w:rsidR="5252206F" w:rsidRPr="2193DBD9">
        <w:rPr>
          <w:noProof/>
        </w:rPr>
        <w:t>generat</w:t>
      </w:r>
      <w:r w:rsidR="5A9F63C6" w:rsidRPr="2193DBD9">
        <w:rPr>
          <w:noProof/>
        </w:rPr>
        <w:t>ing</w:t>
      </w:r>
      <w:r w:rsidR="575D96F3" w:rsidRPr="2193DBD9">
        <w:rPr>
          <w:noProof/>
        </w:rPr>
        <w:t xml:space="preserve"> removals or in the production of synthetic fuels, it is necessary to establish detailed rules regarding the order of which the different types of CO</w:t>
      </w:r>
      <w:r w:rsidR="575D96F3" w:rsidRPr="009E1F0E">
        <w:rPr>
          <w:noProof/>
          <w:vertAlign w:val="subscript"/>
        </w:rPr>
        <w:t>2</w:t>
      </w:r>
      <w:r w:rsidR="575D96F3" w:rsidRPr="2193DBD9">
        <w:rPr>
          <w:noProof/>
        </w:rPr>
        <w:t xml:space="preserve"> are considered to be captured and how to account for their emissions across the carbon capture, transport, utilisation or storage chain. </w:t>
      </w:r>
    </w:p>
    <w:p w14:paraId="5F7ECE5C" w14:textId="77777777" w:rsidR="009E1F0E" w:rsidRPr="009E1F0E" w:rsidRDefault="575D96F3" w:rsidP="00117B0C">
      <w:pPr>
        <w:pStyle w:val="Considrant"/>
        <w:rPr>
          <w:noProof/>
          <w:color w:val="000000" w:themeColor="text1"/>
          <w:lang w:val="en-IE"/>
        </w:rPr>
      </w:pPr>
      <w:r w:rsidRPr="2193DBD9">
        <w:rPr>
          <w:noProof/>
        </w:rPr>
        <w:t xml:space="preserve">In order to ensure a proper functioning and management of the EU ETS, it is appropriate to </w:t>
      </w:r>
      <w:r w:rsidR="3DDF8376" w:rsidRPr="2193DBD9">
        <w:rPr>
          <w:noProof/>
        </w:rPr>
        <w:t xml:space="preserve">allocate to the Commission </w:t>
      </w:r>
      <w:r w:rsidRPr="2193DBD9">
        <w:rPr>
          <w:noProof/>
        </w:rPr>
        <w:t xml:space="preserve">up to </w:t>
      </w:r>
      <w:r w:rsidR="24F6960E" w:rsidRPr="2193DBD9">
        <w:rPr>
          <w:noProof/>
        </w:rPr>
        <w:t>5</w:t>
      </w:r>
      <w:r w:rsidRPr="2193DBD9">
        <w:rPr>
          <w:noProof/>
        </w:rPr>
        <w:t xml:space="preserve"> million allowances from the Union-wide quantity of allowances. In line with the increased number of users and the increased coverage of the EU ETS, the growing value of allowances held in the Union Registry and the increased security challenges, those revenues should in particular be used to ensure the proper functioning, management and security of the Union Registry. In line with the increased coverage of the EU ETS and changes introduced </w:t>
      </w:r>
      <w:r w:rsidR="1D4E0A52" w:rsidRPr="2193DBD9">
        <w:rPr>
          <w:noProof/>
        </w:rPr>
        <w:t xml:space="preserve">by </w:t>
      </w:r>
      <w:r w:rsidRPr="2193DBD9">
        <w:rPr>
          <w:noProof/>
        </w:rPr>
        <w:t>this Directive, it is appropriate to ensure that those revenues may be used for other aspects of ensuring the proper functioning and management of the EU ETS, including on implementing the rules on investment conditionality for free allocation</w:t>
      </w:r>
      <w:r w:rsidR="4A9A47E5" w:rsidRPr="2193DBD9">
        <w:rPr>
          <w:noProof/>
        </w:rPr>
        <w:t xml:space="preserve">, and </w:t>
      </w:r>
      <w:r w:rsidR="45115DAB" w:rsidRPr="2193DBD9">
        <w:rPr>
          <w:noProof/>
        </w:rPr>
        <w:t>operation of the facility for the purchase of high quality and high integrity international credits</w:t>
      </w:r>
      <w:r w:rsidRPr="2193DBD9">
        <w:rPr>
          <w:noProof/>
        </w:rPr>
        <w:t xml:space="preserve">. </w:t>
      </w:r>
      <w:r w:rsidRPr="009E1F0E">
        <w:rPr>
          <w:rFonts w:eastAsia="Times New Roman"/>
          <w:noProof/>
        </w:rPr>
        <w:t>Conditions, modalities and procedures concerning the use of those revenues should be detailed by the Commission in delegated acts.</w:t>
      </w:r>
    </w:p>
    <w:p w14:paraId="18F600AC" w14:textId="77777777" w:rsidR="009E1F0E" w:rsidRPr="009E1F0E" w:rsidRDefault="575D96F3" w:rsidP="002C6A81">
      <w:pPr>
        <w:pStyle w:val="Considrant"/>
        <w:rPr>
          <w:noProof/>
          <w:color w:val="000000" w:themeColor="text1"/>
          <w:lang w:val="en-IE"/>
        </w:rPr>
      </w:pPr>
      <w:r w:rsidRPr="009E1F0E">
        <w:rPr>
          <w:rStyle w:val="normaltextrun"/>
          <w:noProof/>
          <w:color w:val="000000" w:themeColor="text1"/>
          <w:lang w:val="en-US"/>
        </w:rPr>
        <w:t>For coherence with the treatment of emissions from biomass that complies with the sustainability criteria and greenhouse gas emission-saving criteria for the use of biomass established by Directive (EU) 2018/</w:t>
      </w:r>
      <w:r w:rsidR="5D242F10" w:rsidRPr="009E1F0E">
        <w:rPr>
          <w:rStyle w:val="normaltextrun"/>
          <w:noProof/>
          <w:color w:val="000000" w:themeColor="text1"/>
          <w:lang w:val="en-US"/>
        </w:rPr>
        <w:t>2001 of the European Parliament and of the Council</w:t>
      </w:r>
      <w:r w:rsidR="00FF4F52">
        <w:rPr>
          <w:rStyle w:val="FootnoteReference"/>
          <w:noProof/>
          <w:color w:val="000000" w:themeColor="text1"/>
          <w:lang w:val="en-US"/>
        </w:rPr>
        <w:footnoteReference w:id="72"/>
      </w:r>
      <w:r w:rsidRPr="009E1F0E">
        <w:rPr>
          <w:rStyle w:val="normaltextrun"/>
          <w:noProof/>
          <w:color w:val="000000" w:themeColor="text1"/>
          <w:lang w:val="en-US"/>
        </w:rPr>
        <w:t>, and other zero-rated emissions in the EU ETS, carbon dioxide captured from the atmosphere or from sources with an emission factor of zero, should also have an emissions factor of zero when released in an activity in the EU ETS. For coherence with the treatment of emissions from biomass that that complies with the sustainability criteria and greenhouse gas emission-saving criteria for the use of biomass established by Directive (EU) 2018/2001</w:t>
      </w:r>
      <w:r w:rsidR="4F6C4DC3" w:rsidRPr="009E1F0E">
        <w:rPr>
          <w:rStyle w:val="normaltextrun"/>
          <w:noProof/>
          <w:color w:val="000000" w:themeColor="text1"/>
          <w:lang w:val="en-US"/>
        </w:rPr>
        <w:t xml:space="preserve"> of the European Parliament and of the Council</w:t>
      </w:r>
      <w:r w:rsidR="00FF4F52" w:rsidRPr="00D81562">
        <w:rPr>
          <w:rStyle w:val="FootnoteReference"/>
          <w:noProof/>
          <w:color w:val="000000" w:themeColor="text1"/>
          <w:lang w:val="en-US"/>
        </w:rPr>
        <w:footnoteReference w:id="73"/>
      </w:r>
      <w:r w:rsidRPr="009E1F0E">
        <w:rPr>
          <w:rStyle w:val="normaltextrun"/>
          <w:noProof/>
          <w:color w:val="000000" w:themeColor="text1"/>
          <w:lang w:val="en-US"/>
        </w:rPr>
        <w:t xml:space="preserve">, and other zero-rated emissions in the EU ETS, carbon dioxide captured from the atmosphere or from sources with an emission factor of zero, should also have an emissions factor of zero when released in an activity in the EU ETS. As an exception, that same </w:t>
      </w:r>
      <w:r w:rsidRPr="009E1F0E">
        <w:rPr>
          <w:rStyle w:val="normaltextrun"/>
          <w:noProof/>
          <w:lang w:val="en-US"/>
        </w:rPr>
        <w:t>CO</w:t>
      </w:r>
      <w:r w:rsidRPr="009E1F0E">
        <w:rPr>
          <w:noProof/>
          <w:vertAlign w:val="subscript"/>
        </w:rPr>
        <w:t xml:space="preserve">2 </w:t>
      </w:r>
      <w:r w:rsidRPr="009E1F0E">
        <w:rPr>
          <w:rStyle w:val="normaltextrun"/>
          <w:noProof/>
          <w:lang w:val="en-US"/>
        </w:rPr>
        <w:t xml:space="preserve">should </w:t>
      </w:r>
      <w:r w:rsidRPr="009E1F0E">
        <w:rPr>
          <w:rStyle w:val="normaltextrun"/>
          <w:noProof/>
          <w:color w:val="000000" w:themeColor="text1"/>
          <w:lang w:val="en-US"/>
        </w:rPr>
        <w:t>be subject to a surrender obligation when the CO</w:t>
      </w:r>
      <w:r w:rsidRPr="009E1F0E">
        <w:rPr>
          <w:rStyle w:val="normaltextrun"/>
          <w:noProof/>
          <w:color w:val="000000" w:themeColor="text1"/>
          <w:vertAlign w:val="subscript"/>
          <w:lang w:val="en-US"/>
        </w:rPr>
        <w:t>2</w:t>
      </w:r>
      <w:r w:rsidRPr="009E1F0E">
        <w:rPr>
          <w:rStyle w:val="normaltextrun"/>
          <w:noProof/>
          <w:color w:val="000000" w:themeColor="text1"/>
          <w:lang w:val="en-US"/>
        </w:rPr>
        <w:t xml:space="preserve"> is leaked, vented or otherwise released from a permanent geological storage site, as the CO</w:t>
      </w:r>
      <w:r w:rsidRPr="009E1F0E">
        <w:rPr>
          <w:rStyle w:val="normaltextrun"/>
          <w:noProof/>
          <w:color w:val="000000" w:themeColor="text1"/>
          <w:vertAlign w:val="subscript"/>
          <w:lang w:val="en-US"/>
        </w:rPr>
        <w:t>2</w:t>
      </w:r>
      <w:r w:rsidRPr="009E1F0E">
        <w:rPr>
          <w:rStyle w:val="normaltextrun"/>
          <w:noProof/>
          <w:color w:val="000000" w:themeColor="text1"/>
          <w:lang w:val="en-US"/>
        </w:rPr>
        <w:t xml:space="preserve"> will have received a reward as a negative emission under Regulation (EU) 2024/3012, which relies on the EU ETS for the liability for reversals</w:t>
      </w:r>
      <w:r w:rsidRPr="008E53A8">
        <w:rPr>
          <w:noProof/>
        </w:rPr>
        <w:t xml:space="preserve">. </w:t>
      </w:r>
    </w:p>
    <w:p w14:paraId="512B0743" w14:textId="77777777" w:rsidR="009E1F0E" w:rsidRPr="009E1F0E" w:rsidRDefault="5DC69930" w:rsidP="005B29CA">
      <w:pPr>
        <w:pStyle w:val="Considrant"/>
        <w:rPr>
          <w:noProof/>
          <w:color w:val="000000" w:themeColor="text1"/>
          <w:lang w:val="en-IE"/>
        </w:rPr>
      </w:pPr>
      <w:r w:rsidRPr="009E1F0E">
        <w:rPr>
          <w:noProof/>
          <w:lang w:val="en-IE"/>
        </w:rPr>
        <w:t>In accordance with Article 28b(2) of Directive 2003/87/EC, the Commission assess</w:t>
      </w:r>
      <w:r w:rsidR="00944676" w:rsidRPr="009E1F0E">
        <w:rPr>
          <w:noProof/>
          <w:lang w:val="en-IE"/>
        </w:rPr>
        <w:t>ed</w:t>
      </w:r>
      <w:r w:rsidRPr="009E1F0E">
        <w:rPr>
          <w:noProof/>
          <w:lang w:val="en-IE"/>
        </w:rPr>
        <w:t>g the environmental integrity of the global market-based measure</w:t>
      </w:r>
      <w:r w:rsidR="5936E245" w:rsidRPr="009E1F0E">
        <w:rPr>
          <w:noProof/>
          <w:lang w:val="en-IE"/>
        </w:rPr>
        <w:t xml:space="preserve"> </w:t>
      </w:r>
      <w:r w:rsidR="0A059FD0" w:rsidRPr="009E1F0E">
        <w:rPr>
          <w:noProof/>
          <w:lang w:val="en-IE"/>
        </w:rPr>
        <w:t xml:space="preserve">of the </w:t>
      </w:r>
      <w:r w:rsidR="0A059FD0" w:rsidRPr="009E1F0E">
        <w:rPr>
          <w:rFonts w:eastAsia="Calibri"/>
          <w:noProof/>
        </w:rPr>
        <w:t>International Civil Aviation Organization (ICAO)</w:t>
      </w:r>
      <w:r w:rsidRPr="009E1F0E">
        <w:rPr>
          <w:noProof/>
          <w:lang w:val="en-IE"/>
        </w:rPr>
        <w:t xml:space="preserve">. That report showed that CORSIA has not been strengthened and that states listed in the implementing act adopted pursuant to article 25a(3) of the ETS Directive represent less than 70% of international aviation emissions. Therefore, in accordance with Article 28b(3) of Directive 2003/87/EC, the scope of the EU ETS should be extended </w:t>
      </w:r>
      <w:r w:rsidR="00944676" w:rsidRPr="009E1F0E">
        <w:rPr>
          <w:noProof/>
          <w:lang w:val="en-IE"/>
        </w:rPr>
        <w:t xml:space="preserve">in a non-discriminatory way </w:t>
      </w:r>
      <w:r w:rsidRPr="009E1F0E">
        <w:rPr>
          <w:noProof/>
          <w:lang w:val="en-IE"/>
        </w:rPr>
        <w:t>to cover all flights departing from an airport situated in the EEA</w:t>
      </w:r>
      <w:r w:rsidR="67D2718A">
        <w:rPr>
          <w:noProof/>
        </w:rPr>
        <w:t xml:space="preserve"> </w:t>
      </w:r>
      <w:r w:rsidR="67D2718A" w:rsidRPr="009E1F0E">
        <w:rPr>
          <w:noProof/>
          <w:lang w:val="en-IE"/>
        </w:rPr>
        <w:t>and landing in aerodromes in third countries, no further than 5 000 kilometres from the largest aerodrome in the geographical centre of the Union</w:t>
      </w:r>
      <w:r w:rsidRPr="009E1F0E">
        <w:rPr>
          <w:noProof/>
          <w:lang w:val="en-IE"/>
        </w:rPr>
        <w:t>.</w:t>
      </w:r>
      <w:r w:rsidR="00944676" w:rsidRPr="009E1F0E">
        <w:rPr>
          <w:noProof/>
          <w:lang w:val="en-IE"/>
        </w:rPr>
        <w:t xml:space="preserve"> All airlines on these routes should be treated equally. Moreover, the EU ETS support for alternative fuels and for action in relation to contrails should be available to all airlines on those routes. This scope of application is around half the maximum distance of flights from the centre of Europe, taking account of analysis which indicates such routes are most susceptible to potential hub leakage. This coverage should apply from 2029 rather than 2027, for a period of four years and be dependent on the review in 2032.</w:t>
      </w:r>
    </w:p>
    <w:p w14:paraId="4C28DD12" w14:textId="77777777" w:rsidR="009E1F0E" w:rsidRDefault="299A6889" w:rsidP="00DF1A57">
      <w:pPr>
        <w:pStyle w:val="Considrant"/>
        <w:rPr>
          <w:noProof/>
          <w:color w:val="000000" w:themeColor="text1"/>
          <w:lang w:val="en-IE"/>
        </w:rPr>
      </w:pPr>
      <w:r w:rsidRPr="009E1F0E">
        <w:rPr>
          <w:noProof/>
          <w:color w:val="000000" w:themeColor="text1"/>
          <w:lang w:val="en-IE"/>
        </w:rPr>
        <w:t>Directive 2003/87/EC should be amended so that ICAO’s CORSIA scheme is implemented into EU law  from 2026 until 2035, and to ensure that aviation as a whole  contributes its fair share to addressing climate change in line the objectives of the Paris Agreement</w:t>
      </w:r>
      <w:r w:rsidR="041664B7" w:rsidRPr="009E1F0E">
        <w:rPr>
          <w:noProof/>
          <w:color w:val="000000" w:themeColor="text1"/>
          <w:lang w:val="en-IE"/>
        </w:rPr>
        <w:t>.</w:t>
      </w:r>
      <w:r w:rsidRPr="009E1F0E">
        <w:rPr>
          <w:noProof/>
          <w:color w:val="000000" w:themeColor="text1"/>
          <w:lang w:val="en-IE"/>
        </w:rPr>
        <w:t xml:space="preserve"> Emissions from international aviation outside Europe were to be capped from January 2021 by global market-based action, and the European Parliament and Council set out conditions for considering whether that scheme is sufficient action to tackle climate change or should be supplemented. In 2032, when the results of the functioning of CORSIA in terms of offsetting will be apparent, a review should be undertaken to assess the implementation of CORSIA by the major countries in the aviation sector for whom this is mandatory according to the CORSIA rules laid down by ICAO. In the event that CORSIA is proving to be ambitious, efficient and successful, the scope of effective carbon pricing under the EU ETS should be reduced to flights within the EEA and departing to the UK, Switzerland, to and from Gibraltar and other countries taking advantage of ETS as a service.</w:t>
      </w:r>
    </w:p>
    <w:p w14:paraId="467BCBF6" w14:textId="77777777" w:rsidR="009E1F0E" w:rsidRPr="009E1F0E" w:rsidRDefault="339DADBD" w:rsidP="00E56620">
      <w:pPr>
        <w:pStyle w:val="Considrant"/>
        <w:rPr>
          <w:noProof/>
          <w:color w:val="000000" w:themeColor="text1"/>
          <w:lang w:val="en-IE"/>
        </w:rPr>
      </w:pPr>
      <w:r w:rsidRPr="009E1F0E">
        <w:rPr>
          <w:noProof/>
          <w:lang w:val="en-IE"/>
        </w:rPr>
        <w:t xml:space="preserve">In order to limit additional stringency linked to the geographic extension of the scope of the EU ETS in respect of aviation activities and taking into account the fact that emissions stemming from aviation activities </w:t>
      </w:r>
      <w:r w:rsidR="575D96F3" w:rsidRPr="009E1F0E">
        <w:rPr>
          <w:noProof/>
          <w:lang w:val="en-IE"/>
        </w:rPr>
        <w:t>have been on an increasing trajectory</w:t>
      </w:r>
      <w:r w:rsidR="39D663A9" w:rsidRPr="009E1F0E">
        <w:rPr>
          <w:noProof/>
          <w:lang w:val="en-IE"/>
        </w:rPr>
        <w:t xml:space="preserve"> </w:t>
      </w:r>
      <w:r w:rsidR="575D96F3" w:rsidRPr="009E1F0E">
        <w:rPr>
          <w:noProof/>
          <w:lang w:val="en-IE"/>
        </w:rPr>
        <w:t xml:space="preserve">it is appropriate to </w:t>
      </w:r>
      <w:r w:rsidR="2ADC7721" w:rsidRPr="009E1F0E">
        <w:rPr>
          <w:noProof/>
          <w:lang w:val="en-IE"/>
        </w:rPr>
        <w:t>increase the total number of allowances available in respect of aviation activities in proportion to the emissions newly included in the scope, taking into account the latest available information on emissions</w:t>
      </w:r>
      <w:r w:rsidR="678595DA" w:rsidRPr="009E1F0E">
        <w:rPr>
          <w:noProof/>
          <w:lang w:val="en-IE"/>
        </w:rPr>
        <w:t xml:space="preserve">, and to </w:t>
      </w:r>
      <w:r w:rsidR="2F8F25D9" w:rsidRPr="009E1F0E">
        <w:rPr>
          <w:noProof/>
          <w:lang w:val="en-IE"/>
        </w:rPr>
        <w:t>reserve from</w:t>
      </w:r>
      <w:r w:rsidR="678595DA" w:rsidRPr="009E1F0E">
        <w:rPr>
          <w:noProof/>
          <w:lang w:val="en-IE"/>
        </w:rPr>
        <w:t xml:space="preserve"> </w:t>
      </w:r>
      <w:r w:rsidR="704E98D1" w:rsidRPr="009E1F0E">
        <w:rPr>
          <w:noProof/>
          <w:lang w:val="en-IE"/>
        </w:rPr>
        <w:t xml:space="preserve">those allowances for </w:t>
      </w:r>
      <w:r w:rsidR="678595DA" w:rsidRPr="009E1F0E">
        <w:rPr>
          <w:noProof/>
          <w:lang w:val="en-IE"/>
        </w:rPr>
        <w:t>additional support for reducing aviation’s climate impacts through sustainable aviation fuels</w:t>
      </w:r>
      <w:r w:rsidR="492623EB" w:rsidRPr="009E1F0E">
        <w:rPr>
          <w:noProof/>
          <w:lang w:val="en-IE"/>
        </w:rPr>
        <w:t xml:space="preserve">, </w:t>
      </w:r>
      <w:r w:rsidR="492623EB" w:rsidRPr="2193DBD9">
        <w:rPr>
          <w:noProof/>
        </w:rPr>
        <w:t>electrification and cost-effective reductions from contrails</w:t>
      </w:r>
      <w:r w:rsidR="5252206F" w:rsidRPr="009E1F0E">
        <w:rPr>
          <w:noProof/>
          <w:lang w:val="en-IE"/>
        </w:rPr>
        <w:t>.</w:t>
      </w:r>
      <w:r w:rsidR="575D96F3" w:rsidRPr="009E1F0E">
        <w:rPr>
          <w:noProof/>
          <w:lang w:val="en-IE"/>
        </w:rPr>
        <w:t xml:space="preserve"> </w:t>
      </w:r>
      <w:r w:rsidR="39242C34" w:rsidRPr="009E1F0E">
        <w:rPr>
          <w:noProof/>
          <w:lang w:val="en-IE"/>
        </w:rPr>
        <w:t>The total number of allowances available</w:t>
      </w:r>
      <w:r w:rsidR="31D2B877" w:rsidRPr="009E1F0E">
        <w:rPr>
          <w:noProof/>
          <w:lang w:val="en-IE"/>
        </w:rPr>
        <w:t xml:space="preserve"> in respect of </w:t>
      </w:r>
      <w:r w:rsidR="038D1190" w:rsidRPr="009E1F0E">
        <w:rPr>
          <w:noProof/>
          <w:lang w:val="en-IE"/>
        </w:rPr>
        <w:t>aviation</w:t>
      </w:r>
      <w:r w:rsidR="31D2B877" w:rsidRPr="009E1F0E">
        <w:rPr>
          <w:noProof/>
          <w:lang w:val="en-IE"/>
        </w:rPr>
        <w:t xml:space="preserve"> activities</w:t>
      </w:r>
      <w:r w:rsidR="39242C34" w:rsidRPr="009E1F0E">
        <w:rPr>
          <w:noProof/>
          <w:lang w:val="en-IE"/>
        </w:rPr>
        <w:t xml:space="preserve"> should nevertheless be reduced by an amount equalling the emissions deducted by aircraft operators from the surrender obligation to account for costs incurred by offsetting under CORSIA, because these emissions are no</w:t>
      </w:r>
      <w:r w:rsidR="0B321BAA" w:rsidRPr="009E1F0E">
        <w:rPr>
          <w:noProof/>
          <w:lang w:val="en-IE"/>
        </w:rPr>
        <w:t xml:space="preserve"> longer</w:t>
      </w:r>
      <w:r w:rsidR="39242C34" w:rsidRPr="009E1F0E">
        <w:rPr>
          <w:noProof/>
          <w:lang w:val="en-IE"/>
        </w:rPr>
        <w:t xml:space="preserve"> covered by the EU ETS.</w:t>
      </w:r>
    </w:p>
    <w:p w14:paraId="407C59A5" w14:textId="51762830" w:rsidR="009E1F0E" w:rsidRPr="009E1F0E" w:rsidRDefault="575D96F3" w:rsidP="00B437E5">
      <w:pPr>
        <w:pStyle w:val="Considrant"/>
        <w:rPr>
          <w:noProof/>
          <w:color w:val="000000" w:themeColor="text1"/>
          <w:lang w:val="en-IE"/>
        </w:rPr>
      </w:pPr>
      <w:r w:rsidRPr="009E1F0E">
        <w:rPr>
          <w:noProof/>
          <w:lang w:val="en-IE"/>
        </w:rPr>
        <w:t xml:space="preserve">Lowering the threshold applicable to the exclusion of aircraft operators </w:t>
      </w:r>
      <w:r w:rsidR="17E67954" w:rsidRPr="009E1F0E">
        <w:rPr>
          <w:noProof/>
          <w:lang w:val="en-IE"/>
        </w:rPr>
        <w:t>as laid down in Annex</w:t>
      </w:r>
      <w:r w:rsidR="6FAC57F0" w:rsidRPr="009E1F0E">
        <w:rPr>
          <w:noProof/>
          <w:lang w:val="en-IE"/>
        </w:rPr>
        <w:t xml:space="preserve"> </w:t>
      </w:r>
      <w:r w:rsidR="17E67954" w:rsidRPr="009E1F0E">
        <w:rPr>
          <w:noProof/>
          <w:lang w:val="en-IE"/>
        </w:rPr>
        <w:t xml:space="preserve">I </w:t>
      </w:r>
      <w:r w:rsidR="6FAC57F0" w:rsidRPr="009E1F0E">
        <w:rPr>
          <w:noProof/>
          <w:lang w:val="en-IE"/>
        </w:rPr>
        <w:t>t</w:t>
      </w:r>
      <w:r w:rsidR="17E67954" w:rsidRPr="009E1F0E">
        <w:rPr>
          <w:noProof/>
          <w:lang w:val="en-IE"/>
        </w:rPr>
        <w:t xml:space="preserve">o </w:t>
      </w:r>
      <w:r w:rsidR="5E275AB4" w:rsidRPr="009E1F0E">
        <w:rPr>
          <w:noProof/>
          <w:lang w:val="en-IE"/>
        </w:rPr>
        <w:t xml:space="preserve">Directive 2003/87/EC </w:t>
      </w:r>
      <w:r w:rsidR="3C3432BA" w:rsidRPr="009E1F0E">
        <w:rPr>
          <w:noProof/>
          <w:lang w:val="en-IE"/>
        </w:rPr>
        <w:t xml:space="preserve">leads to </w:t>
      </w:r>
      <w:r w:rsidRPr="009E1F0E">
        <w:rPr>
          <w:noProof/>
          <w:lang w:val="en-IE"/>
        </w:rPr>
        <w:t xml:space="preserve">the additional inclusion of a number of smaller aircraft operators. To take into account the limited administrative capacity of such small </w:t>
      </w:r>
      <w:r w:rsidR="20A8E13D" w:rsidRPr="009E1F0E">
        <w:rPr>
          <w:noProof/>
          <w:lang w:val="en-IE"/>
        </w:rPr>
        <w:t xml:space="preserve">aircraft </w:t>
      </w:r>
      <w:r w:rsidRPr="009E1F0E">
        <w:rPr>
          <w:noProof/>
          <w:lang w:val="en-IE"/>
        </w:rPr>
        <w:t xml:space="preserve">operators, it is appropriate to increase the threshold for enabling the use of simplified reporting tools. The reporting tool provided by Eurocontrol has reached a high level of accuracy during the several years of application and continuous improvement since its introduction, accordingly it is capable of providing emission values for all aircraft operators </w:t>
      </w:r>
      <w:r w:rsidR="3C3432BA" w:rsidRPr="009E1F0E">
        <w:rPr>
          <w:noProof/>
          <w:lang w:val="en-IE"/>
        </w:rPr>
        <w:t>concerned</w:t>
      </w:r>
      <w:r w:rsidRPr="009E1F0E">
        <w:rPr>
          <w:noProof/>
          <w:lang w:val="en-IE"/>
        </w:rPr>
        <w:t>.</w:t>
      </w:r>
    </w:p>
    <w:p w14:paraId="53FB253F" w14:textId="77777777" w:rsidR="009E1F0E" w:rsidRPr="009E1F0E" w:rsidRDefault="575D96F3" w:rsidP="00FF7DCB">
      <w:pPr>
        <w:pStyle w:val="Considrant"/>
        <w:rPr>
          <w:noProof/>
          <w:color w:val="000000" w:themeColor="text1"/>
          <w:lang w:val="en-IE"/>
        </w:rPr>
      </w:pPr>
      <w:r w:rsidRPr="009E1F0E">
        <w:rPr>
          <w:noProof/>
          <w:color w:val="000000" w:themeColor="text1"/>
        </w:rPr>
        <w:t xml:space="preserve">The scope and definition of the activity “Production of hydrogen (H2) and synthesis gas with a production capacity exceeding 5 tonnes per day” under Annex I to Directive </w:t>
      </w:r>
      <w:r w:rsidR="00179F1E" w:rsidRPr="009E1F0E">
        <w:rPr>
          <w:noProof/>
          <w:color w:val="000000" w:themeColor="text1"/>
        </w:rPr>
        <w:t>200</w:t>
      </w:r>
      <w:r w:rsidR="270E992E" w:rsidRPr="009E1F0E">
        <w:rPr>
          <w:noProof/>
          <w:color w:val="000000" w:themeColor="text1"/>
        </w:rPr>
        <w:t>3/87/EC</w:t>
      </w:r>
      <w:r w:rsidRPr="009E1F0E">
        <w:rPr>
          <w:noProof/>
          <w:color w:val="000000" w:themeColor="text1"/>
        </w:rPr>
        <w:t xml:space="preserve"> should be amended to solve recurring implementation questions and clarify the activity of production of hydrogen, also when solely produced as by-product, is covered whenever the threshold of a production capacity above 5 tonnes per day is exceeded.</w:t>
      </w:r>
    </w:p>
    <w:p w14:paraId="087C24BA" w14:textId="77777777" w:rsidR="009E1F0E" w:rsidRPr="009E1F0E" w:rsidRDefault="575D96F3" w:rsidP="00C43ACB">
      <w:pPr>
        <w:pStyle w:val="Considrant"/>
        <w:rPr>
          <w:noProof/>
          <w:color w:val="000000" w:themeColor="text1"/>
          <w:lang w:val="en-IE"/>
        </w:rPr>
      </w:pPr>
      <w:r w:rsidRPr="2193DBD9">
        <w:rPr>
          <w:noProof/>
        </w:rPr>
        <w:t>Emissions from flights operated by aircraft operators operating business aircraft have largely been exempted from the EU ETS</w:t>
      </w:r>
      <w:r w:rsidR="53AAA3D3" w:rsidRPr="2193DBD9">
        <w:rPr>
          <w:noProof/>
        </w:rPr>
        <w:t xml:space="preserve"> because they generally </w:t>
      </w:r>
      <w:r w:rsidR="0E5FCAB9" w:rsidRPr="2193DBD9">
        <w:rPr>
          <w:noProof/>
        </w:rPr>
        <w:t xml:space="preserve">operate </w:t>
      </w:r>
      <w:r w:rsidR="050AC46F" w:rsidRPr="2193DBD9">
        <w:rPr>
          <w:noProof/>
        </w:rPr>
        <w:t xml:space="preserve">fewer </w:t>
      </w:r>
      <w:r w:rsidR="0E5FCAB9" w:rsidRPr="2193DBD9">
        <w:rPr>
          <w:noProof/>
        </w:rPr>
        <w:t xml:space="preserve">flights </w:t>
      </w:r>
      <w:r w:rsidR="4F80D6A8" w:rsidRPr="2193DBD9">
        <w:rPr>
          <w:noProof/>
        </w:rPr>
        <w:t xml:space="preserve">or </w:t>
      </w:r>
      <w:r w:rsidR="12FC0F35" w:rsidRPr="2193DBD9">
        <w:rPr>
          <w:noProof/>
        </w:rPr>
        <w:t xml:space="preserve">emit less than the </w:t>
      </w:r>
      <w:r w:rsidR="0E5FCAB9" w:rsidRPr="2193DBD9">
        <w:rPr>
          <w:noProof/>
        </w:rPr>
        <w:t>exclusion threshold</w:t>
      </w:r>
      <w:r w:rsidR="4F80D6A8" w:rsidRPr="2193DBD9">
        <w:rPr>
          <w:noProof/>
        </w:rPr>
        <w:t>s</w:t>
      </w:r>
      <w:r w:rsidR="0E5FCAB9" w:rsidRPr="2193DBD9">
        <w:rPr>
          <w:noProof/>
        </w:rPr>
        <w:t xml:space="preserve"> laid down in Annex I to Directive 2003/87/EC</w:t>
      </w:r>
      <w:r w:rsidRPr="2193DBD9">
        <w:rPr>
          <w:noProof/>
        </w:rPr>
        <w:t>. Aircraft operators having yearly emissions on international flights less than 10.000t CO</w:t>
      </w:r>
      <w:r w:rsidRPr="009E1F0E">
        <w:rPr>
          <w:noProof/>
          <w:vertAlign w:val="subscript"/>
        </w:rPr>
        <w:t>2</w:t>
      </w:r>
      <w:r w:rsidRPr="2193DBD9">
        <w:rPr>
          <w:noProof/>
        </w:rPr>
        <w:t xml:space="preserve"> are not subject to ICAO’s CORSIA scheme</w:t>
      </w:r>
      <w:r w:rsidR="2F919BD1" w:rsidRPr="2193DBD9">
        <w:rPr>
          <w:noProof/>
        </w:rPr>
        <w:t xml:space="preserve"> and should therefore contribute through the EU ETS</w:t>
      </w:r>
      <w:r w:rsidRPr="2193DBD9">
        <w:rPr>
          <w:noProof/>
        </w:rPr>
        <w:t xml:space="preserve">. In order </w:t>
      </w:r>
      <w:r w:rsidR="4F80D6A8" w:rsidRPr="2193DBD9">
        <w:rPr>
          <w:noProof/>
        </w:rPr>
        <w:t xml:space="preserve">to ensure </w:t>
      </w:r>
      <w:r w:rsidRPr="2193DBD9">
        <w:rPr>
          <w:noProof/>
        </w:rPr>
        <w:t xml:space="preserve">that all aircraft operators contribute to climate action, it is therefore appropriate that </w:t>
      </w:r>
      <w:r w:rsidR="25801D55" w:rsidRPr="2193DBD9">
        <w:rPr>
          <w:noProof/>
        </w:rPr>
        <w:t>the number of flights be no longer a criterion for the exemption from the EU ETS</w:t>
      </w:r>
      <w:r w:rsidR="2CA37F31" w:rsidRPr="2193DBD9">
        <w:rPr>
          <w:noProof/>
        </w:rPr>
        <w:t xml:space="preserve"> and</w:t>
      </w:r>
      <w:r w:rsidR="25801D55" w:rsidRPr="2193DBD9">
        <w:rPr>
          <w:noProof/>
        </w:rPr>
        <w:t xml:space="preserve"> </w:t>
      </w:r>
      <w:r w:rsidRPr="2193DBD9">
        <w:rPr>
          <w:noProof/>
        </w:rPr>
        <w:t xml:space="preserve">the </w:t>
      </w:r>
      <w:r w:rsidR="2CA37F31" w:rsidRPr="2193DBD9">
        <w:rPr>
          <w:noProof/>
        </w:rPr>
        <w:t xml:space="preserve">emissions </w:t>
      </w:r>
      <w:r w:rsidRPr="2193DBD9">
        <w:rPr>
          <w:noProof/>
        </w:rPr>
        <w:t>threshold is reduced and simplified by having one single threshold for all</w:t>
      </w:r>
      <w:r w:rsidR="2CA37F31" w:rsidRPr="2193DBD9">
        <w:rPr>
          <w:noProof/>
        </w:rPr>
        <w:t xml:space="preserve"> types</w:t>
      </w:r>
      <w:r w:rsidR="6DC5AC87" w:rsidRPr="2193DBD9">
        <w:rPr>
          <w:noProof/>
        </w:rPr>
        <w:t xml:space="preserve"> of</w:t>
      </w:r>
      <w:r w:rsidRPr="2193DBD9">
        <w:rPr>
          <w:noProof/>
        </w:rPr>
        <w:t xml:space="preserve"> aircraft operators. </w:t>
      </w:r>
      <w:r w:rsidR="67797525" w:rsidRPr="2193DBD9">
        <w:rPr>
          <w:noProof/>
        </w:rPr>
        <w:t>Nevertheless, in order to ensure that the additional administrative burden on competent authorities remain reasonable, it is appropriate to</w:t>
      </w:r>
      <w:r w:rsidR="3093F523" w:rsidRPr="2193DBD9">
        <w:rPr>
          <w:noProof/>
        </w:rPr>
        <w:t xml:space="preserve"> </w:t>
      </w:r>
      <w:r w:rsidR="67797525" w:rsidRPr="2193DBD9">
        <w:rPr>
          <w:noProof/>
        </w:rPr>
        <w:t xml:space="preserve">exempt aircraft operators with a very small level of emissions </w:t>
      </w:r>
      <w:r w:rsidR="793A0EBE" w:rsidRPr="2193DBD9">
        <w:rPr>
          <w:noProof/>
        </w:rPr>
        <w:t xml:space="preserve">subject to </w:t>
      </w:r>
      <w:r w:rsidR="67797525" w:rsidRPr="2193DBD9">
        <w:rPr>
          <w:noProof/>
        </w:rPr>
        <w:t>the EU ETS surrender obligation, also taking into account the limited cumulative environmental benefit that their inclusion would lead to.</w:t>
      </w:r>
    </w:p>
    <w:p w14:paraId="2ACD5E3D" w14:textId="77777777" w:rsidR="009E1F0E" w:rsidRPr="009E1F0E" w:rsidRDefault="45EF96D0" w:rsidP="007C6951">
      <w:pPr>
        <w:pStyle w:val="Considrant"/>
        <w:rPr>
          <w:noProof/>
          <w:color w:val="000000" w:themeColor="text1"/>
          <w:lang w:val="en-IE"/>
        </w:rPr>
      </w:pPr>
      <w:r w:rsidRPr="2193DBD9">
        <w:rPr>
          <w:noProof/>
        </w:rPr>
        <w:t>The analysis carried out in the context of the Commission’s review of the reserve show that a more gradual release of allowances from the reserve into the market in case of a shrinking market will mitigate the risk of creating price spikes in the market when the number of allowances in circulation is close to the lower threshold. A lower buffer parameter should be introduced from 2028 for a proportionate release of allowances when the total amount of allowances in circulation is between 400 hundred million allowances and 300 hundred million allowances.</w:t>
      </w:r>
    </w:p>
    <w:p w14:paraId="358AAA49" w14:textId="77777777" w:rsidR="009E1F0E" w:rsidRPr="009E1F0E" w:rsidRDefault="45EF96D0" w:rsidP="00B516BE">
      <w:pPr>
        <w:pStyle w:val="Considrant"/>
        <w:rPr>
          <w:noProof/>
          <w:color w:val="000000" w:themeColor="text1"/>
          <w:lang w:val="en-IE"/>
        </w:rPr>
      </w:pPr>
      <w:r w:rsidRPr="2193DBD9">
        <w:rPr>
          <w:noProof/>
        </w:rPr>
        <w:t xml:space="preserve">In order to take account of a shrinking emission trajectory and ensure that the reserve remains resilient to external shocks over time, the reference parameters of the market stability reserve should be updated for intakes and releases from the reserve to be proportionate to market developments. To that end, the upper threshold, lower threshold and corresponding buffers and the release quantity should be adjusted annually and reduced with </w:t>
      </w:r>
      <w:r w:rsidR="7CBA7D87" w:rsidRPr="2193DBD9">
        <w:rPr>
          <w:noProof/>
        </w:rPr>
        <w:t>4 %</w:t>
      </w:r>
      <w:r w:rsidRPr="2193DBD9">
        <w:rPr>
          <w:noProof/>
        </w:rPr>
        <w:t xml:space="preserve"> to remain aligned with the evolution of the shrinking market.</w:t>
      </w:r>
    </w:p>
    <w:p w14:paraId="48FD103C" w14:textId="77777777" w:rsidR="009E1F0E" w:rsidRPr="009E1F0E" w:rsidRDefault="45EF96D0" w:rsidP="00FA1D57">
      <w:pPr>
        <w:pStyle w:val="Considrant"/>
        <w:rPr>
          <w:noProof/>
          <w:color w:val="000000" w:themeColor="text1"/>
          <w:lang w:val="en-IE"/>
        </w:rPr>
      </w:pPr>
      <w:r w:rsidRPr="2193DBD9">
        <w:rPr>
          <w:noProof/>
        </w:rPr>
        <w:t>The analysis carried out in the context of the Commission’s review of the reserve and the expected developments relevant to the carbon market indicate that the intake rate of 24 % has served its purpose and in view of the recent and future evolution of the market, this intake rate should return to 12%. To that end, the upper buffer threshold should be adjusted correspondingly.</w:t>
      </w:r>
    </w:p>
    <w:p w14:paraId="31A37261" w14:textId="77777777" w:rsidR="009E1F0E" w:rsidRPr="009E1F0E" w:rsidRDefault="45EF96D0" w:rsidP="00175696">
      <w:pPr>
        <w:pStyle w:val="Considrant"/>
        <w:rPr>
          <w:noProof/>
          <w:color w:val="000000" w:themeColor="text1"/>
          <w:lang w:val="en-IE"/>
        </w:rPr>
      </w:pPr>
      <w:r w:rsidRPr="2193DBD9">
        <w:rPr>
          <w:noProof/>
        </w:rPr>
        <w:t>The calculation of the total number of allowances in circulation only considers data related to stationary installations until 31 December 2023. To take account of historic demand for allowances by aviation in the period between 1 January 2012 and 31 December 2023, the annual calculation of the total amount of allowances should be adjusted to reflect the cumulative demand from the aviation sector over this period.</w:t>
      </w:r>
      <w:r w:rsidRPr="009E1F0E">
        <w:rPr>
          <w:noProof/>
          <w:color w:val="0070C0"/>
        </w:rPr>
        <w:t xml:space="preserve"> </w:t>
      </w:r>
    </w:p>
    <w:p w14:paraId="4ABF36C7" w14:textId="3CF09C7E" w:rsidR="009E1F0E" w:rsidRDefault="575D96F3" w:rsidP="00937816">
      <w:pPr>
        <w:pStyle w:val="Considrant"/>
        <w:rPr>
          <w:noProof/>
        </w:rPr>
      </w:pPr>
      <w:r w:rsidRPr="2193DBD9">
        <w:rPr>
          <w:noProof/>
        </w:rPr>
        <w:t xml:space="preserve">Since the objectives of this Directive, namely to promote reductions of greenhouse gas emissions in a cost-effective and economically efficient way in a manner commensurate with the economy-wide net greenhouse gas emission reduction target for </w:t>
      </w:r>
      <w:r w:rsidR="25C175F1" w:rsidRPr="2193DBD9">
        <w:rPr>
          <w:noProof/>
        </w:rPr>
        <w:t xml:space="preserve">2040 </w:t>
      </w:r>
      <w:r w:rsidRPr="2193DBD9">
        <w:rPr>
          <w:noProof/>
        </w:rPr>
        <w:t>through an extended and amended Union wide market-based mechanism, cannot be sufficiently achieved by the Member States but can rather, by reason of its scale and effects,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those objectives.</w:t>
      </w:r>
    </w:p>
    <w:p w14:paraId="2026CFA6" w14:textId="77777777" w:rsidR="009E1F0E" w:rsidRPr="009E1F0E" w:rsidRDefault="575D96F3" w:rsidP="0064216D">
      <w:pPr>
        <w:pStyle w:val="Considrant"/>
        <w:rPr>
          <w:noProof/>
          <w:color w:val="000000" w:themeColor="text1"/>
          <w:lang w:val="en-IE"/>
        </w:rPr>
      </w:pPr>
      <w:r w:rsidRPr="2193DBD9">
        <w:rPr>
          <w:noProof/>
        </w:rPr>
        <w:t xml:space="preserve">In order to ensure uniform conditions for the implementation of </w:t>
      </w:r>
      <w:r w:rsidR="26CCD840" w:rsidRPr="2193DBD9">
        <w:rPr>
          <w:noProof/>
        </w:rPr>
        <w:t>Article</w:t>
      </w:r>
      <w:r w:rsidR="7E192DFC" w:rsidRPr="2193DBD9">
        <w:rPr>
          <w:noProof/>
        </w:rPr>
        <w:t>s 4 to 7 of Directive 2003/87/EC concerning the granting,</w:t>
      </w:r>
      <w:r w:rsidR="78D61ADA" w:rsidRPr="2193DBD9">
        <w:rPr>
          <w:noProof/>
        </w:rPr>
        <w:t xml:space="preserve"> suspension and</w:t>
      </w:r>
      <w:r w:rsidR="7E192DFC" w:rsidRPr="2193DBD9">
        <w:rPr>
          <w:noProof/>
        </w:rPr>
        <w:t xml:space="preserve"> withdrawing of greenhouse gas emissions permits by competent authorities</w:t>
      </w:r>
      <w:r w:rsidR="78D61ADA" w:rsidRPr="2193DBD9">
        <w:rPr>
          <w:noProof/>
        </w:rPr>
        <w:t>, Article</w:t>
      </w:r>
      <w:r w:rsidR="4CD90B1E" w:rsidRPr="2193DBD9">
        <w:rPr>
          <w:noProof/>
        </w:rPr>
        <w:t xml:space="preserve"> 10a(</w:t>
      </w:r>
      <w:r w:rsidR="22955666" w:rsidRPr="2193DBD9">
        <w:rPr>
          <w:noProof/>
        </w:rPr>
        <w:t>3b</w:t>
      </w:r>
      <w:r w:rsidR="4CD90B1E" w:rsidRPr="2193DBD9">
        <w:rPr>
          <w:noProof/>
        </w:rPr>
        <w:t>)</w:t>
      </w:r>
      <w:r w:rsidR="78D61ADA" w:rsidRPr="2193DBD9">
        <w:rPr>
          <w:noProof/>
        </w:rPr>
        <w:t xml:space="preserve"> to </w:t>
      </w:r>
      <w:r w:rsidR="4CD90B1E" w:rsidRPr="2193DBD9">
        <w:rPr>
          <w:noProof/>
        </w:rPr>
        <w:t>(</w:t>
      </w:r>
      <w:r w:rsidR="22955666" w:rsidRPr="2193DBD9">
        <w:rPr>
          <w:noProof/>
        </w:rPr>
        <w:t>3d</w:t>
      </w:r>
      <w:r w:rsidR="4CD90B1E" w:rsidRPr="2193DBD9">
        <w:rPr>
          <w:noProof/>
        </w:rPr>
        <w:t>)</w:t>
      </w:r>
      <w:r w:rsidR="78D61ADA" w:rsidRPr="2193DBD9">
        <w:rPr>
          <w:noProof/>
        </w:rPr>
        <w:t xml:space="preserve"> </w:t>
      </w:r>
      <w:r w:rsidR="592B914D" w:rsidRPr="2193DBD9">
        <w:rPr>
          <w:noProof/>
        </w:rPr>
        <w:t>of Directive 2003/87/EC on</w:t>
      </w:r>
      <w:r w:rsidR="78D61ADA" w:rsidRPr="2193DBD9">
        <w:rPr>
          <w:noProof/>
        </w:rPr>
        <w:t xml:space="preserve"> the decarbonisation investment in the EU conditionality rules for free allocation</w:t>
      </w:r>
      <w:r w:rsidR="592B914D" w:rsidRPr="2193DBD9">
        <w:rPr>
          <w:noProof/>
        </w:rPr>
        <w:t xml:space="preserve"> concerning the format and content of the Invest in EU decarbonisation plans</w:t>
      </w:r>
      <w:r w:rsidR="4820FB95" w:rsidRPr="2193DBD9">
        <w:rPr>
          <w:noProof/>
        </w:rPr>
        <w:t>,</w:t>
      </w:r>
      <w:r w:rsidRPr="2193DBD9">
        <w:rPr>
          <w:noProof/>
        </w:rPr>
        <w:t xml:space="preserve">implementing powers should be conferred on the Commission. </w:t>
      </w:r>
      <w:r w:rsidR="75895DEE" w:rsidRPr="009E1F0E">
        <w:rPr>
          <w:noProof/>
          <w:color w:val="000000" w:themeColor="text1"/>
        </w:rPr>
        <w:t xml:space="preserve">In addition, to ensure uniform conditions for the implementation of the reservation and allocation mechanism pursuant to Article 3gaa of Directive 2003/87/EC as regards the non-Union ports and third countries in respect of which a derogation from the origin requirements should apply, implementing powers should be conferred on the Commission. </w:t>
      </w:r>
      <w:r w:rsidR="637CE96C" w:rsidRPr="009E1F0E">
        <w:rPr>
          <w:noProof/>
          <w:color w:val="000000" w:themeColor="text1"/>
        </w:rPr>
        <w:t xml:space="preserve">The implementing </w:t>
      </w:r>
      <w:r w:rsidR="637CE96C" w:rsidRPr="2193DBD9">
        <w:rPr>
          <w:noProof/>
        </w:rPr>
        <w:t xml:space="preserve">powers conferred on the Commission pursuant to Article 14 of Directive 2003/87/EC should be extended </w:t>
      </w:r>
      <w:r w:rsidR="4F5E4D3B" w:rsidRPr="2193DBD9">
        <w:rPr>
          <w:noProof/>
        </w:rPr>
        <w:t>to establish</w:t>
      </w:r>
      <w:r w:rsidR="637CE96C" w:rsidRPr="2193DBD9">
        <w:rPr>
          <w:noProof/>
        </w:rPr>
        <w:t xml:space="preserve"> the</w:t>
      </w:r>
      <w:r w:rsidR="7673DFFF" w:rsidRPr="2193DBD9">
        <w:rPr>
          <w:noProof/>
        </w:rPr>
        <w:t xml:space="preserve"> </w:t>
      </w:r>
      <w:r w:rsidR="637CE96C" w:rsidRPr="2193DBD9">
        <w:rPr>
          <w:noProof/>
        </w:rPr>
        <w:t>order of capture accounting of emissions from captured CO</w:t>
      </w:r>
      <w:r w:rsidR="637CE96C" w:rsidRPr="009E1F0E">
        <w:rPr>
          <w:noProof/>
          <w:vertAlign w:val="subscript"/>
        </w:rPr>
        <w:t>2</w:t>
      </w:r>
      <w:r w:rsidR="637CE96C" w:rsidRPr="2193DBD9">
        <w:rPr>
          <w:noProof/>
        </w:rPr>
        <w:t xml:space="preserve"> from a mix of zero-rated and non-zero-rated sources, and to the accounting of emissions from synthetic fuels, to ensure that emissions are accounted for and that double counting is avoided.</w:t>
      </w:r>
      <w:r w:rsidR="2617B5E9" w:rsidRPr="2193DBD9">
        <w:rPr>
          <w:noProof/>
        </w:rPr>
        <w:t xml:space="preserve"> </w:t>
      </w:r>
      <w:r w:rsidR="538525AF" w:rsidRPr="2193DBD9">
        <w:rPr>
          <w:noProof/>
        </w:rPr>
        <w:t>In addition, the implementing powers conferred on the Commission pursuant to Article 3ga(2)</w:t>
      </w:r>
      <w:r w:rsidR="2617B5E9" w:rsidRPr="2193DBD9">
        <w:rPr>
          <w:noProof/>
        </w:rPr>
        <w:t xml:space="preserve"> </w:t>
      </w:r>
      <w:r w:rsidR="7673DFFF" w:rsidRPr="2193DBD9">
        <w:rPr>
          <w:noProof/>
        </w:rPr>
        <w:t xml:space="preserve">should be extended in order to </w:t>
      </w:r>
      <w:r w:rsidR="35A5EDC2" w:rsidRPr="2193DBD9">
        <w:rPr>
          <w:noProof/>
        </w:rPr>
        <w:t xml:space="preserve">take into account the </w:t>
      </w:r>
      <w:r w:rsidR="003A4F13" w:rsidRPr="2193DBD9">
        <w:rPr>
          <w:noProof/>
        </w:rPr>
        <w:t>changes to the</w:t>
      </w:r>
      <w:r w:rsidR="7673DFFF" w:rsidRPr="2193DBD9">
        <w:rPr>
          <w:noProof/>
        </w:rPr>
        <w:t xml:space="preserve"> </w:t>
      </w:r>
      <w:r w:rsidR="70433D65" w:rsidRPr="2193DBD9">
        <w:rPr>
          <w:noProof/>
        </w:rPr>
        <w:t xml:space="preserve">measure </w:t>
      </w:r>
      <w:r w:rsidR="32CD8E9A" w:rsidRPr="2193DBD9">
        <w:rPr>
          <w:noProof/>
        </w:rPr>
        <w:t>that aim</w:t>
      </w:r>
      <w:r w:rsidR="56357DC4" w:rsidRPr="2193DBD9">
        <w:rPr>
          <w:noProof/>
        </w:rPr>
        <w:t>s</w:t>
      </w:r>
      <w:r w:rsidR="32CD8E9A" w:rsidRPr="2193DBD9">
        <w:rPr>
          <w:noProof/>
        </w:rPr>
        <w:t xml:space="preserve"> to </w:t>
      </w:r>
      <w:r w:rsidR="382602DE" w:rsidRPr="2193DBD9">
        <w:rPr>
          <w:noProof/>
        </w:rPr>
        <w:t xml:space="preserve">further </w:t>
      </w:r>
      <w:r w:rsidR="32CD8E9A" w:rsidRPr="2193DBD9">
        <w:rPr>
          <w:noProof/>
        </w:rPr>
        <w:t xml:space="preserve">limit the risk of evasive port calls and relocation of </w:t>
      </w:r>
      <w:r w:rsidR="08BB53D9" w:rsidRPr="2193DBD9">
        <w:rPr>
          <w:noProof/>
        </w:rPr>
        <w:t xml:space="preserve">container </w:t>
      </w:r>
      <w:r w:rsidR="32CD8E9A" w:rsidRPr="2193DBD9">
        <w:rPr>
          <w:noProof/>
        </w:rPr>
        <w:t>transhipment activities</w:t>
      </w:r>
      <w:r w:rsidR="382602DE" w:rsidRPr="2193DBD9">
        <w:rPr>
          <w:noProof/>
        </w:rPr>
        <w:t>.</w:t>
      </w:r>
      <w:r w:rsidR="2617B5E9" w:rsidRPr="2193DBD9">
        <w:rPr>
          <w:noProof/>
        </w:rPr>
        <w:t xml:space="preserve"> </w:t>
      </w:r>
      <w:r w:rsidRPr="2193DBD9">
        <w:rPr>
          <w:noProof/>
        </w:rPr>
        <w:t>Those implementing powers be exercised in accordance with Regulation (EU) No 182/2011.</w:t>
      </w:r>
    </w:p>
    <w:p w14:paraId="600E8675" w14:textId="77777777" w:rsidR="009E1F0E" w:rsidRPr="009E1F0E" w:rsidRDefault="575D96F3" w:rsidP="00EE7AC2">
      <w:pPr>
        <w:pStyle w:val="Considrant"/>
        <w:rPr>
          <w:noProof/>
          <w:color w:val="000000" w:themeColor="text1"/>
          <w:lang w:val="en-IE"/>
        </w:rPr>
      </w:pPr>
      <w:r w:rsidRPr="008E53A8">
        <w:rPr>
          <w:noProof/>
        </w:rPr>
        <w:t xml:space="preserve">In order to adopt non-legislative acts of general application to supplement or amend certain non-essential elements of a legislative act, the power to adopt acts in accordance with Article 290 </w:t>
      </w:r>
      <w:r w:rsidR="08CEC2D7">
        <w:rPr>
          <w:noProof/>
        </w:rPr>
        <w:t>TFEU</w:t>
      </w:r>
      <w:r w:rsidRPr="008E53A8">
        <w:rPr>
          <w:noProof/>
        </w:rPr>
        <w:t xml:space="preserve"> should be delegated to the Commission in respect of </w:t>
      </w:r>
      <w:r w:rsidR="18229D92" w:rsidRPr="00B243EC">
        <w:rPr>
          <w:noProof/>
        </w:rPr>
        <w:t xml:space="preserve">supplementing </w:t>
      </w:r>
      <w:r w:rsidR="1E6182BB" w:rsidRPr="00B243EC">
        <w:rPr>
          <w:noProof/>
        </w:rPr>
        <w:t>the decarbonisation investment in the EU conditionality rules for free allocation</w:t>
      </w:r>
      <w:r w:rsidR="1E6182BB">
        <w:rPr>
          <w:noProof/>
        </w:rPr>
        <w:t xml:space="preserve"> in Article 10a(</w:t>
      </w:r>
      <w:r w:rsidR="219F2B9F">
        <w:rPr>
          <w:noProof/>
        </w:rPr>
        <w:t>3b</w:t>
      </w:r>
      <w:r w:rsidR="1E6182BB">
        <w:rPr>
          <w:noProof/>
        </w:rPr>
        <w:t>) to (</w:t>
      </w:r>
      <w:r w:rsidR="219F2B9F">
        <w:rPr>
          <w:noProof/>
        </w:rPr>
        <w:t>3d</w:t>
      </w:r>
      <w:r w:rsidR="1E6182BB">
        <w:rPr>
          <w:noProof/>
        </w:rPr>
        <w:t>) of Directive 2003/87/EC</w:t>
      </w:r>
      <w:r w:rsidR="592B914D">
        <w:rPr>
          <w:noProof/>
        </w:rPr>
        <w:t xml:space="preserve">, with regards to the </w:t>
      </w:r>
      <w:r w:rsidR="592B914D" w:rsidRPr="009E1F0E">
        <w:rPr>
          <w:noProof/>
          <w:lang w:val="en-IE"/>
        </w:rPr>
        <w:t>detailed conditions to form a pool</w:t>
      </w:r>
      <w:r w:rsidR="592B914D">
        <w:rPr>
          <w:noProof/>
        </w:rPr>
        <w:t xml:space="preserve"> rules on pooling under Article 10a(</w:t>
      </w:r>
      <w:r w:rsidR="223D5400">
        <w:rPr>
          <w:noProof/>
        </w:rPr>
        <w:t>3d</w:t>
      </w:r>
      <w:r w:rsidR="592B914D">
        <w:rPr>
          <w:noProof/>
        </w:rPr>
        <w:t xml:space="preserve">) and the repartition of liability between operators in that case, the detailed conditions for the derogations set out in the </w:t>
      </w:r>
      <w:r>
        <w:rPr>
          <w:noProof/>
        </w:rPr>
        <w:t>fifth</w:t>
      </w:r>
      <w:r w:rsidR="003F51EE">
        <w:rPr>
          <w:noProof/>
        </w:rPr>
        <w:t xml:space="preserve"> </w:t>
      </w:r>
      <w:r w:rsidR="654DF301">
        <w:rPr>
          <w:noProof/>
        </w:rPr>
        <w:t>and</w:t>
      </w:r>
      <w:r w:rsidR="592B914D">
        <w:rPr>
          <w:noProof/>
        </w:rPr>
        <w:t xml:space="preserve"> </w:t>
      </w:r>
      <w:r>
        <w:rPr>
          <w:noProof/>
        </w:rPr>
        <w:t>sixth</w:t>
      </w:r>
      <w:r w:rsidR="592B914D">
        <w:rPr>
          <w:noProof/>
        </w:rPr>
        <w:t xml:space="preserve"> subparagraphs of Article 10a(</w:t>
      </w:r>
      <w:r w:rsidR="7271FC1D">
        <w:rPr>
          <w:noProof/>
        </w:rPr>
        <w:t>3c</w:t>
      </w:r>
      <w:r w:rsidR="592B914D">
        <w:rPr>
          <w:noProof/>
        </w:rPr>
        <w:t>), the detailed timeline for the submission of the Invest in EU decarbonisation plans, the qualification as decarbonisation investments, the qualification as significant emissions reduction, and the determination of the economic value of the quantity of free allowances</w:t>
      </w:r>
      <w:r w:rsidR="60434A92">
        <w:rPr>
          <w:noProof/>
        </w:rPr>
        <w:t>.</w:t>
      </w:r>
      <w:r w:rsidR="2BB7B6A4">
        <w:rPr>
          <w:noProof/>
        </w:rPr>
        <w:t xml:space="preserve"> In addition, </w:t>
      </w:r>
      <w:r w:rsidR="2BB7B6A4" w:rsidRPr="008E53A8">
        <w:rPr>
          <w:noProof/>
        </w:rPr>
        <w:t xml:space="preserve">the power to adopt acts in accordance with Article 290 </w:t>
      </w:r>
      <w:r w:rsidR="08CEC2D7">
        <w:rPr>
          <w:noProof/>
        </w:rPr>
        <w:t>TFEU</w:t>
      </w:r>
      <w:r w:rsidR="2BB7B6A4" w:rsidRPr="008E53A8">
        <w:rPr>
          <w:noProof/>
        </w:rPr>
        <w:t xml:space="preserve"> should be delegated to the Commission</w:t>
      </w:r>
      <w:r w:rsidR="2BB7B6A4" w:rsidRPr="00B243EC">
        <w:rPr>
          <w:noProof/>
        </w:rPr>
        <w:t xml:space="preserve"> </w:t>
      </w:r>
      <w:r w:rsidR="2BB7B6A4">
        <w:rPr>
          <w:noProof/>
        </w:rPr>
        <w:t xml:space="preserve">in respect of </w:t>
      </w:r>
      <w:r w:rsidR="2BB7B6A4" w:rsidRPr="00B243EC">
        <w:rPr>
          <w:noProof/>
        </w:rPr>
        <w:t>supplementing</w:t>
      </w:r>
      <w:r w:rsidR="2BB7B6A4">
        <w:rPr>
          <w:noProof/>
        </w:rPr>
        <w:t xml:space="preserve"> Article 9c of Directive 2003/87/EC on the modalities for the purchase of carbon removals and auctioning of the corresponding allowances, and to supplement Articles </w:t>
      </w:r>
      <w:r w:rsidR="1CCCF00B">
        <w:rPr>
          <w:noProof/>
        </w:rPr>
        <w:t>10cb,</w:t>
      </w:r>
      <w:r w:rsidR="2BB7B6A4">
        <w:rPr>
          <w:noProof/>
        </w:rPr>
        <w:t xml:space="preserve"> </w:t>
      </w:r>
      <w:r w:rsidR="1CCCF00B">
        <w:rPr>
          <w:noProof/>
        </w:rPr>
        <w:t>10cc</w:t>
      </w:r>
      <w:r w:rsidR="2BB7B6A4">
        <w:rPr>
          <w:noProof/>
        </w:rPr>
        <w:t xml:space="preserve">, </w:t>
      </w:r>
      <w:r w:rsidR="1CCCF00B">
        <w:rPr>
          <w:noProof/>
        </w:rPr>
        <w:t>10cd</w:t>
      </w:r>
      <w:r w:rsidR="2BB7B6A4">
        <w:rPr>
          <w:noProof/>
        </w:rPr>
        <w:t xml:space="preserve"> and </w:t>
      </w:r>
      <w:r w:rsidR="1CCCF00B">
        <w:rPr>
          <w:noProof/>
        </w:rPr>
        <w:t>10ce</w:t>
      </w:r>
      <w:r w:rsidR="2BB7B6A4">
        <w:rPr>
          <w:noProof/>
        </w:rPr>
        <w:t xml:space="preserve"> </w:t>
      </w:r>
      <w:r w:rsidR="4D892B87">
        <w:rPr>
          <w:noProof/>
        </w:rPr>
        <w:t xml:space="preserve">of </w:t>
      </w:r>
      <w:r w:rsidR="2BB7B6A4">
        <w:rPr>
          <w:noProof/>
        </w:rPr>
        <w:t>Directive 2003/87/EC on the operation of the Innovation Fund and the Industrial Decarbonisation Bank</w:t>
      </w:r>
      <w:r w:rsidR="6697F4C5">
        <w:rPr>
          <w:noProof/>
        </w:rPr>
        <w:t>.</w:t>
      </w:r>
      <w:r w:rsidR="60434A92">
        <w:rPr>
          <w:noProof/>
        </w:rPr>
        <w:t xml:space="preserve"> </w:t>
      </w:r>
      <w:r w:rsidR="3B6B482B">
        <w:rPr>
          <w:noProof/>
        </w:rPr>
        <w:t xml:space="preserve">Moreover, </w:t>
      </w:r>
      <w:r w:rsidR="3B6B482B" w:rsidRPr="008E53A8">
        <w:rPr>
          <w:noProof/>
        </w:rPr>
        <w:t xml:space="preserve">the power to adopt acts in accordance with Article 290 </w:t>
      </w:r>
      <w:r w:rsidR="4D892B87">
        <w:rPr>
          <w:noProof/>
        </w:rPr>
        <w:t>TFEU</w:t>
      </w:r>
      <w:r w:rsidR="3B6B482B" w:rsidRPr="008E53A8">
        <w:rPr>
          <w:noProof/>
        </w:rPr>
        <w:t xml:space="preserve"> should be delegated to the Commission</w:t>
      </w:r>
      <w:r w:rsidR="3B6B482B" w:rsidRPr="00B243EC">
        <w:rPr>
          <w:noProof/>
        </w:rPr>
        <w:t xml:space="preserve"> </w:t>
      </w:r>
      <w:r w:rsidR="3B6B482B">
        <w:rPr>
          <w:noProof/>
        </w:rPr>
        <w:t xml:space="preserve">in respect of </w:t>
      </w:r>
      <w:r w:rsidR="1E6182BB" w:rsidRPr="00B243EC">
        <w:rPr>
          <w:noProof/>
        </w:rPr>
        <w:t>supplementing Article 19 of Directive 2003/87/EC with regards to the conditions, modalities and procedures under which the Central Administrator makes use of revenues from the auctioning of allowances to cover expenses linked with the functioning and management of the EU ETS</w:t>
      </w:r>
      <w:r w:rsidR="18229D92">
        <w:rPr>
          <w:noProof/>
        </w:rPr>
        <w:t>.</w:t>
      </w:r>
      <w:r w:rsidR="6697F4C5">
        <w:rPr>
          <w:noProof/>
        </w:rPr>
        <w:t xml:space="preserve"> The power to adopt such acts should also be delegated on the Commission to supplement Article 12(3b) </w:t>
      </w:r>
      <w:r w:rsidR="6697F4C5" w:rsidRPr="00562422">
        <w:rPr>
          <w:noProof/>
        </w:rPr>
        <w:t xml:space="preserve">concerning the requirements for considering that greenhouse gases have become permanently chemically bound or chemically bound </w:t>
      </w:r>
      <w:r w:rsidR="6697F4C5">
        <w:rPr>
          <w:noProof/>
        </w:rPr>
        <w:t>and determine measures to address the risk of loopholes.</w:t>
      </w:r>
      <w:r w:rsidR="2BB7B6A4">
        <w:rPr>
          <w:noProof/>
        </w:rPr>
        <w:t xml:space="preserve"> </w:t>
      </w:r>
      <w:r w:rsidR="6E8DFD50" w:rsidRPr="009E1F0E">
        <w:rPr>
          <w:noProof/>
          <w:color w:val="000000" w:themeColor="text1"/>
        </w:rPr>
        <w:t xml:space="preserve">The power to adopt acts in accordance with Article 290 </w:t>
      </w:r>
      <w:r w:rsidR="1325E686" w:rsidRPr="009E1F0E">
        <w:rPr>
          <w:noProof/>
          <w:color w:val="000000" w:themeColor="text1"/>
        </w:rPr>
        <w:t xml:space="preserve">TFEU </w:t>
      </w:r>
      <w:r w:rsidR="6E8DFD50" w:rsidRPr="009E1F0E">
        <w:rPr>
          <w:noProof/>
          <w:color w:val="000000" w:themeColor="text1"/>
        </w:rPr>
        <w:t>should be delegated to the Commission to supplement</w:t>
      </w:r>
      <w:r w:rsidR="5C2450D2" w:rsidRPr="009E1F0E">
        <w:rPr>
          <w:noProof/>
          <w:color w:val="000000" w:themeColor="text1"/>
        </w:rPr>
        <w:t xml:space="preserve"> </w:t>
      </w:r>
      <w:r w:rsidR="6E8DFD50" w:rsidRPr="009E1F0E">
        <w:rPr>
          <w:noProof/>
          <w:color w:val="000000" w:themeColor="text1"/>
        </w:rPr>
        <w:t>Article 3gaa of Directive 2003/87/EC in respect of the detailed rules necessary for the application of the reservation and allocation of allowances for the use of sustainable maritime fuels and zero-emission propulsion technologies</w:t>
      </w:r>
      <w:r w:rsidR="5C2450D2" w:rsidRPr="009E1F0E">
        <w:rPr>
          <w:noProof/>
          <w:color w:val="000000" w:themeColor="text1"/>
        </w:rPr>
        <w:t>, as well as Article 3gab</w:t>
      </w:r>
      <w:r w:rsidRPr="009E1F0E">
        <w:rPr>
          <w:noProof/>
          <w:color w:val="000000" w:themeColor="text1"/>
        </w:rPr>
        <w:t>.</w:t>
      </w:r>
      <w:r w:rsidR="5C2450D2" w:rsidRPr="009E1F0E">
        <w:rPr>
          <w:noProof/>
          <w:color w:val="000000" w:themeColor="text1"/>
        </w:rPr>
        <w:t xml:space="preserve"> In addition, the power to adopt the power to adopt acts in accordance with Article 290 of the Treaty on the Functioning of the European Union should be delegated to the Commission to supplement Article 25b of Directive 2003/87/EC in respect of the rules on the operation of ETS as a service and to amend Article 3ga(1) of that Directive in respect of the coverage of the remaining emissions released during a voyage between a port of call under the jurisdiction of a Member State and a port of call under the jurisdiction of a third country to which ETS as a service is provided</w:t>
      </w:r>
      <w:r w:rsidR="6E8DFD50" w:rsidRPr="009E1F0E">
        <w:rPr>
          <w:noProof/>
          <w:color w:val="000000" w:themeColor="text1"/>
        </w:rPr>
        <w:t xml:space="preserve">. </w:t>
      </w:r>
      <w:r w:rsidRPr="008E53A8">
        <w:rPr>
          <w:noProof/>
        </w:rPr>
        <w:t>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00522588" w:rsidRPr="2CDA6E6C">
        <w:rPr>
          <w:rStyle w:val="FootnoteReference"/>
          <w:noProof/>
        </w:rPr>
        <w:footnoteReference w:id="74"/>
      </w:r>
      <w:r w:rsidRPr="008E53A8">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14:paraId="549231A6" w14:textId="5EA0973A" w:rsidR="009E1F0E" w:rsidRDefault="31519C59" w:rsidP="00FA25C5">
      <w:pPr>
        <w:pStyle w:val="Considrant"/>
        <w:rPr>
          <w:noProof/>
        </w:rPr>
      </w:pPr>
      <w:r w:rsidRPr="006933C1">
        <w:rPr>
          <w:noProof/>
        </w:rPr>
        <w:t>The provisions relating to the amendment to Article 3(h) and the introduction of Article 6(4) and Article 10a(</w:t>
      </w:r>
      <w:r w:rsidR="000541BD">
        <w:rPr>
          <w:noProof/>
        </w:rPr>
        <w:t>3f</w:t>
      </w:r>
      <w:r w:rsidRPr="006933C1">
        <w:rPr>
          <w:noProof/>
        </w:rPr>
        <w:t>) of Directive 2003/87/EC should apply from 1 January 2028 to clarify the rules on permitting and the corrections in case of excess free allocation as early as feasible. Consequently, Member States should transpose the provisions relating to those articles by 31 December 2027. The deadline for transposing the remaining provisions of this Directive should be 31 December 2028, to provide sufficient time for orderly implementation.</w:t>
      </w:r>
      <w:r w:rsidR="575D96F3" w:rsidRPr="008E53A8">
        <w:rPr>
          <w:noProof/>
        </w:rPr>
        <w:t xml:space="preserve"> In accordance with the Joint Political Declaration of 28 September 2011 of Member States and the Commission on explanatory documents</w:t>
      </w:r>
      <w:r w:rsidR="008E53A8" w:rsidRPr="008E53A8">
        <w:rPr>
          <w:rStyle w:val="FootnoteReference"/>
          <w:noProof/>
        </w:rPr>
        <w:footnoteReference w:id="75"/>
      </w:r>
      <w:r w:rsidR="575D96F3" w:rsidRPr="008E53A8">
        <w:rPr>
          <w:noProof/>
        </w:rPr>
        <w:t>,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 the transmission of such documents to be justified.</w:t>
      </w:r>
    </w:p>
    <w:p w14:paraId="5F5AE96F" w14:textId="75B06C8E" w:rsidR="009E1F0E" w:rsidRDefault="47EA9994" w:rsidP="00057686">
      <w:pPr>
        <w:pStyle w:val="Considrant"/>
        <w:rPr>
          <w:noProof/>
        </w:rPr>
      </w:pPr>
      <w:r w:rsidRPr="2193DBD9">
        <w:rPr>
          <w:noProof/>
        </w:rPr>
        <w:t xml:space="preserve">To ensure clarity already in the ongoing </w:t>
      </w:r>
      <w:r w:rsidR="01B11E71" w:rsidRPr="2193DBD9">
        <w:rPr>
          <w:noProof/>
        </w:rPr>
        <w:t xml:space="preserve">period, </w:t>
      </w:r>
      <w:r w:rsidRPr="2193DBD9">
        <w:rPr>
          <w:noProof/>
        </w:rPr>
        <w:t xml:space="preserve">Members States should </w:t>
      </w:r>
      <w:r w:rsidR="01B11E71" w:rsidRPr="2193DBD9">
        <w:rPr>
          <w:noProof/>
        </w:rPr>
        <w:t>transpose the p</w:t>
      </w:r>
      <w:r w:rsidRPr="2193DBD9">
        <w:rPr>
          <w:noProof/>
        </w:rPr>
        <w:t xml:space="preserve">rovisions clarifying existing rules in line with their implementation and the practice </w:t>
      </w:r>
      <w:r w:rsidR="01B11E71" w:rsidRPr="2193DBD9">
        <w:rPr>
          <w:noProof/>
        </w:rPr>
        <w:t>by 1 January 2028.</w:t>
      </w:r>
      <w:r w:rsidR="3646F0B0" w:rsidRPr="2193DBD9">
        <w:rPr>
          <w:noProof/>
        </w:rPr>
        <w:t xml:space="preserve"> </w:t>
      </w:r>
      <w:r w:rsidR="1240EF89" w:rsidRPr="2193DBD9">
        <w:rPr>
          <w:noProof/>
        </w:rPr>
        <w:t>Th</w:t>
      </w:r>
      <w:r w:rsidRPr="2193DBD9">
        <w:rPr>
          <w:noProof/>
        </w:rPr>
        <w:t>is concerns th</w:t>
      </w:r>
      <w:r w:rsidR="1240EF89" w:rsidRPr="2193DBD9">
        <w:rPr>
          <w:noProof/>
        </w:rPr>
        <w:t xml:space="preserve">e provisions clarifying and aligning rules with the practice as regards the definition of a new entrant in Article 3, point (h), </w:t>
      </w:r>
      <w:r w:rsidR="3646F0B0" w:rsidRPr="2193DBD9">
        <w:rPr>
          <w:noProof/>
        </w:rPr>
        <w:t xml:space="preserve">Article 6(4) clarifying the </w:t>
      </w:r>
      <w:r w:rsidR="1240EF89" w:rsidRPr="2193DBD9">
        <w:rPr>
          <w:noProof/>
        </w:rPr>
        <w:t xml:space="preserve">treatment of installations to which a greenhouse emissions permit is successively granted for the first time, withdrawn and a new permit is granted during the same five-year period for free allocation and after the submission of the list </w:t>
      </w:r>
      <w:r w:rsidR="3646F0B0" w:rsidRPr="2193DBD9">
        <w:rPr>
          <w:noProof/>
        </w:rPr>
        <w:t>referred to in Article 11(1) for that period, and Article 10a(4d) of Directive 2003/87/EC as regards returning excess allowances</w:t>
      </w:r>
      <w:r w:rsidR="01B11E71" w:rsidRPr="2193DBD9">
        <w:rPr>
          <w:noProof/>
        </w:rPr>
        <w:t xml:space="preserve">. </w:t>
      </w:r>
    </w:p>
    <w:p w14:paraId="595FC7AE" w14:textId="77777777" w:rsidR="009E1F0E" w:rsidRPr="009E1F0E" w:rsidRDefault="75A705DA" w:rsidP="001B321E">
      <w:pPr>
        <w:pStyle w:val="Considrant"/>
        <w:rPr>
          <w:noProof/>
          <w:color w:val="000000" w:themeColor="text1"/>
          <w:lang w:val="en-IE"/>
        </w:rPr>
      </w:pPr>
      <w:r w:rsidRPr="2193DBD9">
        <w:rPr>
          <w:noProof/>
        </w:rPr>
        <w:t xml:space="preserve">To ensure timely availability of the corresponding funds, the provisions amending Articles 10a(5b), 10a(7) and </w:t>
      </w:r>
      <w:r w:rsidR="445F97D1" w:rsidRPr="2193DBD9">
        <w:rPr>
          <w:noProof/>
        </w:rPr>
        <w:t xml:space="preserve">inserting a new Article </w:t>
      </w:r>
      <w:r w:rsidRPr="2193DBD9">
        <w:rPr>
          <w:noProof/>
        </w:rPr>
        <w:t>19</w:t>
      </w:r>
      <w:r w:rsidR="445F97D1" w:rsidRPr="2193DBD9">
        <w:rPr>
          <w:noProof/>
        </w:rPr>
        <w:t>(1a)</w:t>
      </w:r>
      <w:r w:rsidR="087068D8" w:rsidRPr="2193DBD9">
        <w:rPr>
          <w:noProof/>
        </w:rPr>
        <w:t xml:space="preserve"> should start applying on 30 September 2027. Those provisions concern, </w:t>
      </w:r>
      <w:r w:rsidR="445F97D1" w:rsidRPr="2193DBD9">
        <w:rPr>
          <w:noProof/>
        </w:rPr>
        <w:t xml:space="preserve">respectively, </w:t>
      </w:r>
      <w:r w:rsidR="56DD5BC1" w:rsidRPr="2193DBD9">
        <w:rPr>
          <w:noProof/>
        </w:rPr>
        <w:t xml:space="preserve">the use of any remaining </w:t>
      </w:r>
      <w:r w:rsidR="0FDC49CB" w:rsidRPr="2193DBD9">
        <w:rPr>
          <w:noProof/>
        </w:rPr>
        <w:t xml:space="preserve">quantity of </w:t>
      </w:r>
      <w:r w:rsidR="56DD5BC1" w:rsidRPr="2193DBD9">
        <w:rPr>
          <w:noProof/>
        </w:rPr>
        <w:t>allowances from the additional amount of up to 3 % of the total quantity of allowances referred to in Article 10a(5a)</w:t>
      </w:r>
      <w:r w:rsidR="445F97D1" w:rsidRPr="2193DBD9">
        <w:rPr>
          <w:noProof/>
        </w:rPr>
        <w:t xml:space="preserve">, </w:t>
      </w:r>
      <w:r w:rsidR="56DD5BC1" w:rsidRPr="2193DBD9">
        <w:rPr>
          <w:noProof/>
        </w:rPr>
        <w:t xml:space="preserve">the </w:t>
      </w:r>
      <w:r w:rsidR="0FDC49CB" w:rsidRPr="2193DBD9">
        <w:rPr>
          <w:noProof/>
        </w:rPr>
        <w:t>allowances that should be set aside for new entrants</w:t>
      </w:r>
      <w:r w:rsidR="445F97D1" w:rsidRPr="2193DBD9">
        <w:rPr>
          <w:noProof/>
        </w:rPr>
        <w:t xml:space="preserve"> and </w:t>
      </w:r>
      <w:r w:rsidR="798B950E" w:rsidRPr="2193DBD9">
        <w:rPr>
          <w:noProof/>
        </w:rPr>
        <w:t>the provision enabling the Commission to use allowances from the Union-wide quantity of allowances to cover expenses linked with the functioning and management of the EU ETS</w:t>
      </w:r>
      <w:r w:rsidR="445F97D1" w:rsidRPr="2193DBD9">
        <w:rPr>
          <w:noProof/>
        </w:rPr>
        <w:t xml:space="preserve">. </w:t>
      </w:r>
      <w:r w:rsidR="5BDED11C" w:rsidRPr="2193DBD9">
        <w:rPr>
          <w:noProof/>
        </w:rPr>
        <w:t>To ensure timely adjustment, the provision amending Article 10a(1a) of Directive 2003/87/EC concerning the CBAM factor should also apply from 30 September 2027 onwards.</w:t>
      </w:r>
    </w:p>
    <w:p w14:paraId="2BE5AE0A" w14:textId="6A910AFF" w:rsidR="008E53A8" w:rsidRPr="009E1F0E" w:rsidRDefault="575D96F3" w:rsidP="001B321E">
      <w:pPr>
        <w:pStyle w:val="Considrant"/>
        <w:rPr>
          <w:noProof/>
          <w:color w:val="000000" w:themeColor="text1"/>
          <w:lang w:val="en-IE"/>
        </w:rPr>
      </w:pPr>
      <w:r>
        <w:rPr>
          <w:noProof/>
        </w:rPr>
        <w:t>Directive 2003/87/EC</w:t>
      </w:r>
      <w:r w:rsidR="541B59C4">
        <w:rPr>
          <w:noProof/>
        </w:rPr>
        <w:t xml:space="preserve"> and</w:t>
      </w:r>
      <w:r>
        <w:rPr>
          <w:noProof/>
        </w:rPr>
        <w:t xml:space="preserve"> Decision (EU) 2015/1814 </w:t>
      </w:r>
      <w:r w:rsidR="25DA70A1">
        <w:rPr>
          <w:noProof/>
        </w:rPr>
        <w:t>of the European Parliament and of the Council</w:t>
      </w:r>
      <w:r w:rsidR="00CA772A">
        <w:rPr>
          <w:rStyle w:val="FootnoteReference"/>
          <w:noProof/>
        </w:rPr>
        <w:footnoteReference w:id="76"/>
      </w:r>
      <w:r w:rsidR="27F6ABE8">
        <w:rPr>
          <w:noProof/>
        </w:rPr>
        <w:t xml:space="preserve"> </w:t>
      </w:r>
      <w:r>
        <w:rPr>
          <w:noProof/>
        </w:rPr>
        <w:t>should therefore be amended accordingly,</w:t>
      </w:r>
    </w:p>
    <w:p w14:paraId="255273FA" w14:textId="77777777" w:rsidR="006052EE" w:rsidRPr="00AC7E92" w:rsidRDefault="006052EE" w:rsidP="00445C9D">
      <w:pPr>
        <w:pStyle w:val="Formuledadoption"/>
        <w:rPr>
          <w:noProof/>
        </w:rPr>
      </w:pPr>
      <w:r w:rsidRPr="00AC7E92">
        <w:rPr>
          <w:noProof/>
        </w:rPr>
        <w:t>HAVE ADOPTED THIS DIRECTIVE:</w:t>
      </w:r>
    </w:p>
    <w:p w14:paraId="6737F617" w14:textId="77777777" w:rsidR="006052EE" w:rsidRDefault="006052EE" w:rsidP="00445C9D">
      <w:pPr>
        <w:pStyle w:val="Titrearticle"/>
        <w:rPr>
          <w:noProof/>
        </w:rPr>
      </w:pPr>
      <w:r w:rsidRPr="00AC7E92">
        <w:rPr>
          <w:noProof/>
        </w:rPr>
        <w:t>Article 1</w:t>
      </w:r>
    </w:p>
    <w:p w14:paraId="68E8BA01" w14:textId="77777777" w:rsidR="006052EE" w:rsidRDefault="006052EE" w:rsidP="006052EE">
      <w:pPr>
        <w:jc w:val="center"/>
        <w:rPr>
          <w:b/>
          <w:bCs/>
          <w:noProof/>
        </w:rPr>
      </w:pPr>
      <w:r>
        <w:rPr>
          <w:b/>
          <w:bCs/>
          <w:noProof/>
        </w:rPr>
        <w:t>Amendments to Directive 2003/87/EC</w:t>
      </w:r>
    </w:p>
    <w:p w14:paraId="4334968C" w14:textId="77777777" w:rsidR="00651C6D" w:rsidRDefault="00651C6D" w:rsidP="00651C6D">
      <w:pPr>
        <w:rPr>
          <w:noProof/>
        </w:rPr>
      </w:pPr>
      <w:r w:rsidRPr="00651C6D">
        <w:rPr>
          <w:noProof/>
        </w:rPr>
        <w:t>Directive 2003/87/EC is amended as follows:</w:t>
      </w:r>
    </w:p>
    <w:p w14:paraId="7ECBB95B" w14:textId="4D949258" w:rsidR="00675444" w:rsidRDefault="00D81562" w:rsidP="005E0E3B">
      <w:pPr>
        <w:pStyle w:val="Point0"/>
        <w:rPr>
          <w:noProof/>
        </w:rPr>
      </w:pPr>
      <w:r>
        <w:rPr>
          <w:noProof/>
        </w:rPr>
        <w:t>(1)</w:t>
      </w:r>
      <w:r>
        <w:rPr>
          <w:noProof/>
        </w:rPr>
        <w:tab/>
        <w:t>i</w:t>
      </w:r>
      <w:r w:rsidR="00675444">
        <w:rPr>
          <w:noProof/>
        </w:rPr>
        <w:t xml:space="preserve">n Article 2, </w:t>
      </w:r>
      <w:r w:rsidR="003834E0" w:rsidDel="002837B2">
        <w:rPr>
          <w:noProof/>
        </w:rPr>
        <w:t>the first sub</w:t>
      </w:r>
      <w:r w:rsidR="003834E0">
        <w:rPr>
          <w:noProof/>
        </w:rPr>
        <w:t xml:space="preserve">paragraph </w:t>
      </w:r>
      <w:r w:rsidR="00675444">
        <w:rPr>
          <w:noProof/>
        </w:rPr>
        <w:t xml:space="preserve">is </w:t>
      </w:r>
      <w:r w:rsidR="003834E0">
        <w:rPr>
          <w:noProof/>
        </w:rPr>
        <w:t>replaced by the following</w:t>
      </w:r>
      <w:r w:rsidR="009C2290">
        <w:rPr>
          <w:noProof/>
        </w:rPr>
        <w:t>:</w:t>
      </w:r>
    </w:p>
    <w:p w14:paraId="6892E260" w14:textId="77777777" w:rsidR="00821D7C" w:rsidRPr="00611CEF" w:rsidRDefault="00821D7C" w:rsidP="00611CEF">
      <w:pPr>
        <w:pStyle w:val="Text1"/>
        <w:rPr>
          <w:noProof/>
        </w:rPr>
      </w:pPr>
      <w:r w:rsidRPr="00611CEF">
        <w:rPr>
          <w:noProof/>
        </w:rPr>
        <w:t>‘1. This Directive shall apply to the activities listed in Annexes I and III, and to the greenhouse gases listed in Annex II. Where an installation that is included within the scope of the EU ETS due to the operation of combustion units with a total rated thermal input exceeding 20 MW changes its production processes to reduce its greenhouse gas emissions and no longer meets that threshold, the Member State in which that installation is situated shall provide the operator with the options of remaining within the scope of the EU ETS until the end of the current and the two following five-year periods referred to in Article 11(1), second subparagraph, following the change to its production processes. The operator of that installation may decide that the installation is to remain within the scope of the EU ETS until the end of the current five-year period only, the end of the next five-year period only</w:t>
      </w:r>
      <w:r w:rsidR="001D6E60" w:rsidRPr="00611CEF">
        <w:rPr>
          <w:noProof/>
        </w:rPr>
        <w:t xml:space="preserve"> following the change to its production processes</w:t>
      </w:r>
      <w:r w:rsidRPr="00611CEF">
        <w:rPr>
          <w:noProof/>
        </w:rPr>
        <w:t>, or the end of the following two five-year periods following the change to its production processes. The Member State concerned shall notify the Commission of changes compared to the list submitted to the Commission pursuant to Article 11(1).</w:t>
      </w:r>
      <w:r w:rsidR="001D6E60" w:rsidRPr="00611CEF">
        <w:rPr>
          <w:noProof/>
        </w:rPr>
        <w:t xml:space="preserve">’; </w:t>
      </w:r>
    </w:p>
    <w:p w14:paraId="660362B3" w14:textId="64246EEE" w:rsidR="00651C6D" w:rsidRDefault="00770B98" w:rsidP="005E0E3B">
      <w:pPr>
        <w:pStyle w:val="Point0"/>
        <w:rPr>
          <w:noProof/>
        </w:rPr>
      </w:pPr>
      <w:r>
        <w:rPr>
          <w:noProof/>
        </w:rPr>
        <w:t>(2)</w:t>
      </w:r>
      <w:r>
        <w:rPr>
          <w:noProof/>
        </w:rPr>
        <w:tab/>
        <w:t>A</w:t>
      </w:r>
      <w:r w:rsidR="00651C6D" w:rsidRPr="00651C6D">
        <w:rPr>
          <w:noProof/>
        </w:rPr>
        <w:t>rticle 3 is amended as follows:</w:t>
      </w:r>
    </w:p>
    <w:p w14:paraId="2AEE6776" w14:textId="77777777" w:rsidR="00651C6D" w:rsidRPr="00651C6D" w:rsidRDefault="00651C6D" w:rsidP="00AF61E4">
      <w:pPr>
        <w:pStyle w:val="Point1"/>
        <w:rPr>
          <w:noProof/>
        </w:rPr>
      </w:pPr>
      <w:r>
        <w:rPr>
          <w:noProof/>
        </w:rPr>
        <w:t>(a)</w:t>
      </w:r>
      <w:r>
        <w:rPr>
          <w:noProof/>
        </w:rPr>
        <w:tab/>
      </w:r>
      <w:r w:rsidRPr="00651C6D">
        <w:rPr>
          <w:noProof/>
        </w:rPr>
        <w:t xml:space="preserve">point (e) is </w:t>
      </w:r>
      <w:r w:rsidRPr="00633D2B">
        <w:rPr>
          <w:noProof/>
        </w:rPr>
        <w:t>replaced</w:t>
      </w:r>
      <w:r w:rsidRPr="00651C6D">
        <w:rPr>
          <w:noProof/>
        </w:rPr>
        <w:t xml:space="preserve"> by the following:</w:t>
      </w:r>
    </w:p>
    <w:p w14:paraId="1703EC11" w14:textId="77777777" w:rsidR="00651C6D" w:rsidRPr="00F00A1E" w:rsidRDefault="00651C6D" w:rsidP="00F00A1E">
      <w:pPr>
        <w:pStyle w:val="Text2"/>
        <w:rPr>
          <w:noProof/>
        </w:rPr>
      </w:pPr>
      <w:r w:rsidRPr="00F00A1E">
        <w:rPr>
          <w:noProof/>
        </w:rPr>
        <w:t>‘(e) ‘installation’ means</w:t>
      </w:r>
      <w:r w:rsidR="00BF3546" w:rsidRPr="00F00A1E">
        <w:rPr>
          <w:noProof/>
        </w:rPr>
        <w:t xml:space="preserve"> either of the following:</w:t>
      </w:r>
    </w:p>
    <w:p w14:paraId="0C84059F" w14:textId="77777777" w:rsidR="00651C6D" w:rsidRPr="00F00A1E" w:rsidRDefault="00651C6D" w:rsidP="00F00A1E">
      <w:pPr>
        <w:pStyle w:val="Text2"/>
        <w:rPr>
          <w:noProof/>
        </w:rPr>
      </w:pPr>
      <w:r w:rsidRPr="00F00A1E">
        <w:rPr>
          <w:noProof/>
        </w:rPr>
        <w:t xml:space="preserve">(i) a stationary technical unit where one or more activities listed in Annex I are carried out and any other directly associated activities which have a technical connection with the activities carried out and which could have an effect on emissions and pollution; </w:t>
      </w:r>
    </w:p>
    <w:p w14:paraId="3FD85624" w14:textId="77777777" w:rsidR="00651C6D" w:rsidRPr="00F00A1E" w:rsidRDefault="00651C6D" w:rsidP="00F00A1E">
      <w:pPr>
        <w:pStyle w:val="Text2"/>
        <w:rPr>
          <w:noProof/>
        </w:rPr>
      </w:pPr>
      <w:r w:rsidRPr="00F00A1E">
        <w:rPr>
          <w:noProof/>
        </w:rPr>
        <w:t xml:space="preserve">(ii) a CO2 transport infrastructure as defined in Article 3(29) of Regulation (EU) 2024/1735 </w:t>
      </w:r>
      <w:r w:rsidR="00E51E9A" w:rsidRPr="00F00A1E">
        <w:rPr>
          <w:noProof/>
        </w:rPr>
        <w:t>of the European Parliament and of the Council</w:t>
      </w:r>
      <w:r w:rsidR="00835BD5" w:rsidRPr="00F00A1E">
        <w:rPr>
          <w:noProof/>
        </w:rPr>
        <w:t>*</w:t>
      </w:r>
      <w:r w:rsidRPr="00F00A1E">
        <w:rPr>
          <w:noProof/>
        </w:rPr>
        <w:t xml:space="preserve"> that carries out the activity of transport of carbon dioxide listed in Annex I;</w:t>
      </w:r>
    </w:p>
    <w:p w14:paraId="696D7173" w14:textId="77777777" w:rsidR="00835BD5" w:rsidRPr="00F00A1E" w:rsidRDefault="00835BD5" w:rsidP="00F00A1E">
      <w:pPr>
        <w:pStyle w:val="Text2"/>
        <w:rPr>
          <w:noProof/>
        </w:rPr>
      </w:pPr>
      <w:r w:rsidRPr="00F00A1E">
        <w:rPr>
          <w:noProof/>
        </w:rPr>
        <w:t>___________</w:t>
      </w:r>
    </w:p>
    <w:p w14:paraId="26A648D5" w14:textId="77777777" w:rsidR="00835BD5" w:rsidRPr="00F00A1E" w:rsidRDefault="005043C4" w:rsidP="00F00A1E">
      <w:pPr>
        <w:pStyle w:val="Text2"/>
        <w:rPr>
          <w:noProof/>
        </w:rPr>
      </w:pPr>
      <w:r w:rsidRPr="00F90D41">
        <w:rPr>
          <w:noProof/>
        </w:rPr>
        <w:t>*</w:t>
      </w:r>
      <w:r>
        <w:rPr>
          <w:noProof/>
        </w:rPr>
        <w:t xml:space="preserve"> </w:t>
      </w:r>
      <w:r w:rsidR="00A37495" w:rsidRPr="00F00A1E">
        <w:rPr>
          <w:noProof/>
        </w:rPr>
        <w:t xml:space="preserve">Regulation (EU) 2024/1735 of the European Parliament and of the Council of 13 June 2024 on establishing a framework of measures for strengthening Europe’s net-zero technology manufacturing ecosystem and amending Regulation (EU) 2018/1724 (OJ L, 2024/1735, 28.6.2024, ELI: </w:t>
      </w:r>
      <w:hyperlink r:id="rId24" w:history="1">
        <w:r w:rsidR="006933C1" w:rsidRPr="00F00A1E">
          <w:rPr>
            <w:rStyle w:val="Hyperlink"/>
            <w:noProof/>
            <w:color w:val="auto"/>
            <w:u w:val="none"/>
          </w:rPr>
          <w:t>http://data.europa.eu/eli/reg/2024/1735/oj</w:t>
        </w:r>
      </w:hyperlink>
      <w:r w:rsidR="00A37495" w:rsidRPr="00F00A1E">
        <w:rPr>
          <w:noProof/>
        </w:rPr>
        <w:t>).</w:t>
      </w:r>
      <w:r w:rsidR="00835BD5" w:rsidRPr="00F00A1E">
        <w:rPr>
          <w:noProof/>
        </w:rPr>
        <w:t>’</w:t>
      </w:r>
    </w:p>
    <w:p w14:paraId="5444D71D" w14:textId="77777777" w:rsidR="00816468" w:rsidRPr="00AF61E4" w:rsidRDefault="00816468" w:rsidP="00AF61E4">
      <w:pPr>
        <w:pStyle w:val="Point1"/>
        <w:rPr>
          <w:noProof/>
        </w:rPr>
      </w:pPr>
      <w:r>
        <w:rPr>
          <w:noProof/>
        </w:rPr>
        <w:t>(b)</w:t>
      </w:r>
      <w:r>
        <w:rPr>
          <w:noProof/>
        </w:rPr>
        <w:tab/>
      </w:r>
      <w:r w:rsidRPr="00AF61E4">
        <w:rPr>
          <w:noProof/>
        </w:rPr>
        <w:t xml:space="preserve">point (h) is replaced by the following: </w:t>
      </w:r>
    </w:p>
    <w:p w14:paraId="6FFD552A" w14:textId="77777777" w:rsidR="00816468" w:rsidRPr="00620F3F" w:rsidRDefault="00816468" w:rsidP="00F00A1E">
      <w:pPr>
        <w:pStyle w:val="Text2"/>
        <w:rPr>
          <w:noProof/>
          <w:lang w:val="en-IE" w:eastAsia="en-IE"/>
        </w:rPr>
      </w:pPr>
      <w:r w:rsidRPr="00633D2B">
        <w:rPr>
          <w:noProof/>
          <w:lang w:val="en-IE"/>
        </w:rPr>
        <w:t>‘(h) ‘new entrant’ means any installation carrying out one or more of the activities listed in Annex I or an activity included in the EU ETS in accordance with Article 24, which has obtained a greenhouse gas emissions permit for the first time within the period starting from three months before the date for submission of the list under Article 11(1), and ending on 31 December of the</w:t>
      </w:r>
      <w:r>
        <w:rPr>
          <w:noProof/>
          <w:lang w:val="en-IE"/>
        </w:rPr>
        <w:t xml:space="preserve"> last</w:t>
      </w:r>
      <w:r w:rsidRPr="00633D2B">
        <w:rPr>
          <w:noProof/>
          <w:lang w:val="en-IE"/>
        </w:rPr>
        <w:t xml:space="preserve"> year</w:t>
      </w:r>
      <w:r>
        <w:rPr>
          <w:noProof/>
          <w:lang w:val="en-IE"/>
        </w:rPr>
        <w:t xml:space="preserve"> in </w:t>
      </w:r>
      <w:r w:rsidRPr="00633D2B">
        <w:rPr>
          <w:noProof/>
          <w:lang w:val="en-IE"/>
        </w:rPr>
        <w:t>the corresponding five-year period for free allocation referred to in Article 11(1);’</w:t>
      </w:r>
      <w:r w:rsidR="00532D16">
        <w:rPr>
          <w:noProof/>
          <w:lang w:val="en-IE"/>
        </w:rPr>
        <w:t>;</w:t>
      </w:r>
    </w:p>
    <w:p w14:paraId="64B92018" w14:textId="77777777" w:rsidR="00651C6D" w:rsidRPr="00651C6D" w:rsidRDefault="00651C6D" w:rsidP="00AF61E4">
      <w:pPr>
        <w:pStyle w:val="Point1"/>
        <w:rPr>
          <w:noProof/>
        </w:rPr>
      </w:pPr>
      <w:r>
        <w:rPr>
          <w:noProof/>
        </w:rPr>
        <w:t>(c)</w:t>
      </w:r>
      <w:r>
        <w:rPr>
          <w:noProof/>
        </w:rPr>
        <w:tab/>
      </w:r>
      <w:r w:rsidRPr="00651C6D">
        <w:rPr>
          <w:noProof/>
        </w:rPr>
        <w:t>point (o) is replaced by the following:</w:t>
      </w:r>
    </w:p>
    <w:p w14:paraId="2D113207" w14:textId="77777777" w:rsidR="00651C6D" w:rsidRDefault="00651C6D" w:rsidP="00F00A1E">
      <w:pPr>
        <w:pStyle w:val="Text2"/>
        <w:rPr>
          <w:noProof/>
        </w:rPr>
      </w:pPr>
      <w:r>
        <w:rPr>
          <w:noProof/>
        </w:rPr>
        <w:t>‘(o) ‘aircraft operator’ means the person who operates an aircraft at the time it performs an aviation activity listed in Annex I or, where that person cannot be identified, the entity charged for air navigation service charges pursuant to Article 32 of Regulation (EU) 2024/2803</w:t>
      </w:r>
      <w:r w:rsidR="00266D13">
        <w:rPr>
          <w:noProof/>
        </w:rPr>
        <w:t xml:space="preserve"> of the European Parliament and the Council</w:t>
      </w:r>
      <w:r w:rsidR="00B74E78">
        <w:rPr>
          <w:noProof/>
        </w:rPr>
        <w:t>*</w:t>
      </w:r>
      <w:r>
        <w:rPr>
          <w:noProof/>
        </w:rPr>
        <w:t>, or ultimately the owner of the aircraft;</w:t>
      </w:r>
    </w:p>
    <w:p w14:paraId="07B9134F" w14:textId="77777777" w:rsidR="00651C6D" w:rsidRDefault="00651C6D" w:rsidP="00F00A1E">
      <w:pPr>
        <w:pStyle w:val="Text2"/>
        <w:rPr>
          <w:noProof/>
        </w:rPr>
      </w:pPr>
      <w:r>
        <w:rPr>
          <w:noProof/>
        </w:rPr>
        <w:t>___________</w:t>
      </w:r>
    </w:p>
    <w:p w14:paraId="62266C3A" w14:textId="77777777" w:rsidR="00633D2B" w:rsidRPr="00633D2B" w:rsidRDefault="00651C6D" w:rsidP="00F00A1E">
      <w:pPr>
        <w:pStyle w:val="Text2"/>
        <w:rPr>
          <w:rStyle w:val="CommentReference"/>
          <w:noProof/>
        </w:rPr>
      </w:pPr>
      <w:r w:rsidRPr="00651C6D">
        <w:rPr>
          <w:noProof/>
        </w:rPr>
        <w:t xml:space="preserve">* Regulation (EU) 2024/2803 of the European Parliament and of the Council of 23 October 2024 on the implementation of the Single European Sky </w:t>
      </w:r>
      <w:r w:rsidR="00335185">
        <w:rPr>
          <w:noProof/>
        </w:rPr>
        <w:t>(</w:t>
      </w:r>
      <w:r w:rsidRPr="00651C6D">
        <w:rPr>
          <w:noProof/>
        </w:rPr>
        <w:t>OJ L, 2024/2803</w:t>
      </w:r>
      <w:r w:rsidRPr="00633D2B">
        <w:rPr>
          <w:noProof/>
        </w:rPr>
        <w:t xml:space="preserve">, 11.11.2024, ELI: </w:t>
      </w:r>
      <w:hyperlink r:id="rId25" w:history="1">
        <w:r w:rsidR="00633D2B" w:rsidRPr="00633D2B">
          <w:rPr>
            <w:rStyle w:val="Hyperlink"/>
            <w:noProof/>
          </w:rPr>
          <w:t>http://data.europa.eu/eli/reg/2024/2803/oj</w:t>
        </w:r>
      </w:hyperlink>
      <w:r w:rsidR="00335185">
        <w:rPr>
          <w:noProof/>
        </w:rPr>
        <w:t>).’;</w:t>
      </w:r>
    </w:p>
    <w:p w14:paraId="7712E58D" w14:textId="77777777" w:rsidR="00633D2B" w:rsidRPr="00AF61E4" w:rsidRDefault="00633D2B" w:rsidP="00AF61E4">
      <w:pPr>
        <w:pStyle w:val="Point1"/>
        <w:rPr>
          <w:noProof/>
        </w:rPr>
      </w:pPr>
      <w:r>
        <w:rPr>
          <w:noProof/>
        </w:rPr>
        <w:t>(d)</w:t>
      </w:r>
      <w:r>
        <w:rPr>
          <w:noProof/>
        </w:rPr>
        <w:tab/>
      </w:r>
      <w:r w:rsidRPr="00AF61E4">
        <w:rPr>
          <w:noProof/>
        </w:rPr>
        <w:t>point (p) is deleted;</w:t>
      </w:r>
    </w:p>
    <w:p w14:paraId="2AFD556C" w14:textId="77777777" w:rsidR="00633D2B" w:rsidRPr="00633D2B" w:rsidRDefault="00633D2B" w:rsidP="00AF61E4">
      <w:pPr>
        <w:pStyle w:val="Point1"/>
        <w:rPr>
          <w:noProof/>
        </w:rPr>
      </w:pPr>
      <w:r>
        <w:rPr>
          <w:noProof/>
        </w:rPr>
        <w:t>(e)</w:t>
      </w:r>
      <w:r>
        <w:rPr>
          <w:noProof/>
        </w:rPr>
        <w:tab/>
      </w:r>
      <w:r w:rsidRPr="00633D2B">
        <w:rPr>
          <w:noProof/>
        </w:rPr>
        <w:t xml:space="preserve">point (z) is replaced by the following: </w:t>
      </w:r>
    </w:p>
    <w:p w14:paraId="53C2EC2C" w14:textId="77777777" w:rsidR="0051306B" w:rsidRPr="00EE009E" w:rsidRDefault="00633D2B" w:rsidP="00F00A1E">
      <w:pPr>
        <w:pStyle w:val="Text2"/>
        <w:rPr>
          <w:noProof/>
          <w:lang w:val="en-IE" w:eastAsia="en-IE"/>
        </w:rPr>
      </w:pPr>
      <w:r w:rsidRPr="00633D2B">
        <w:rPr>
          <w:noProof/>
          <w:lang w:val="en-IE" w:eastAsia="en-IE"/>
        </w:rPr>
        <w:t xml:space="preserve">‘(z) ‘port of call’ means </w:t>
      </w:r>
      <w:r w:rsidR="0051306B">
        <w:rPr>
          <w:noProof/>
          <w:lang w:val="en-IE" w:eastAsia="en-IE"/>
        </w:rPr>
        <w:t xml:space="preserve">either </w:t>
      </w:r>
      <w:r w:rsidR="0051306B" w:rsidRPr="00EE009E">
        <w:rPr>
          <w:noProof/>
          <w:lang w:val="en-IE" w:eastAsia="en-IE"/>
        </w:rPr>
        <w:t xml:space="preserve">of the following: </w:t>
      </w:r>
    </w:p>
    <w:p w14:paraId="77EB28F3" w14:textId="77777777" w:rsidR="001C2770" w:rsidRDefault="001C2770" w:rsidP="001C2770">
      <w:pPr>
        <w:pStyle w:val="Text2"/>
        <w:rPr>
          <w:noProof/>
          <w:lang w:val="en-IE" w:eastAsia="en-IE"/>
        </w:rPr>
      </w:pPr>
      <w:r w:rsidRPr="00EE009E">
        <w:rPr>
          <w:noProof/>
          <w:lang w:val="en-IE" w:eastAsia="en-IE"/>
        </w:rPr>
        <w:t>(i) for ships transporting for commercial purposes cargo or passengers,</w:t>
      </w:r>
      <w:r w:rsidR="00633D2B" w:rsidRPr="00EE009E">
        <w:rPr>
          <w:noProof/>
          <w:lang w:val="en-IE" w:eastAsia="en-IE"/>
        </w:rPr>
        <w:t xml:space="preserve"> the port where a ship stops to load or unload cargo or to embark or disembark passengers; stops for the sole purposes of refuelling, obtaining supplies, relieving the crew of a ship, going into dry-</w:t>
      </w:r>
      <w:r w:rsidR="00633D2B" w:rsidRPr="00633D2B">
        <w:rPr>
          <w:noProof/>
          <w:lang w:val="en-IE" w:eastAsia="en-IE"/>
        </w:rPr>
        <w:t>dock or making repairs to the ship, its equipment, or both, stops in port because the ship is in need of assistance or in distress, ship-to-ship transfers carried out outside ports, stops for the sole purpose of taking shelter from adverse weather or rendered necessary by search and rescue activities, and stops of containerships in a neighbouring container transhipment port listed in the implementing act adopted pursuant to Article 3ga(2) are excluded;</w:t>
      </w:r>
    </w:p>
    <w:p w14:paraId="138EF1BC" w14:textId="77777777" w:rsidR="00633D2B" w:rsidRDefault="001C2770" w:rsidP="00F00A1E">
      <w:pPr>
        <w:pStyle w:val="Text2"/>
        <w:rPr>
          <w:noProof/>
          <w:lang w:val="en-IE" w:eastAsia="en-IE"/>
        </w:rPr>
      </w:pPr>
      <w:r w:rsidRPr="7A2AF681">
        <w:rPr>
          <w:noProof/>
          <w:lang w:val="en-IE" w:eastAsia="en-IE"/>
        </w:rPr>
        <w:t xml:space="preserve">(ii) </w:t>
      </w:r>
      <w:r w:rsidR="00F416BF" w:rsidRPr="7A2AF681">
        <w:rPr>
          <w:noProof/>
          <w:lang w:val="en-IE" w:eastAsia="en-IE"/>
        </w:rPr>
        <w:t>for ships performing or supporting offshore operations in connection with an offshore worksite, the port where a ship stops to load or unload cargo or to embark or disembark passengers, or the offshore worksite where a ship performs or supports offshore operations; stops for the sole purposes of refuelling, obtaining supplies, relieving the crew of a ship, going into dry-dock or making repairs to the ship, its equipment, or both, stops in port because the ship is in need of assistance or in distress, ship-to-ship transfers carried out outside ports, stops for the sole purpose of taking shelter from adverse weather or rendered necessary by search and rescue activities, and stops of containerships in a neighbouring container transhipment port listed in the implementing act adopted pursuant to Article 3ga(2) are excluded;</w:t>
      </w:r>
      <w:r w:rsidR="00633D2B" w:rsidRPr="7A2AF681">
        <w:rPr>
          <w:noProof/>
          <w:lang w:val="en-IE" w:eastAsia="en-IE"/>
        </w:rPr>
        <w:t>’</w:t>
      </w:r>
    </w:p>
    <w:p w14:paraId="6DDC6BB9" w14:textId="77777777" w:rsidR="001D2857" w:rsidRPr="00AF61E4" w:rsidRDefault="001D2857" w:rsidP="00AF61E4">
      <w:pPr>
        <w:pStyle w:val="Point1"/>
        <w:rPr>
          <w:noProof/>
        </w:rPr>
      </w:pPr>
      <w:r>
        <w:rPr>
          <w:noProof/>
        </w:rPr>
        <w:t>(f)</w:t>
      </w:r>
      <w:r>
        <w:rPr>
          <w:noProof/>
        </w:rPr>
        <w:tab/>
      </w:r>
      <w:r w:rsidRPr="00AF61E4">
        <w:rPr>
          <w:noProof/>
        </w:rPr>
        <w:t>in point (ag), the words ‘for the purposes of Chapter IVa of this Directive’ are deleted;</w:t>
      </w:r>
    </w:p>
    <w:p w14:paraId="3C1D7B6A" w14:textId="77777777" w:rsidR="00633D2B" w:rsidRPr="00AF61E4" w:rsidRDefault="00633D2B" w:rsidP="00AF61E4">
      <w:pPr>
        <w:pStyle w:val="Point1"/>
        <w:rPr>
          <w:noProof/>
        </w:rPr>
      </w:pPr>
      <w:r>
        <w:rPr>
          <w:noProof/>
        </w:rPr>
        <w:t>(g)</w:t>
      </w:r>
      <w:r>
        <w:rPr>
          <w:noProof/>
        </w:rPr>
        <w:tab/>
      </w:r>
      <w:r w:rsidRPr="00AF61E4">
        <w:rPr>
          <w:noProof/>
        </w:rPr>
        <w:t>the following points are added:</w:t>
      </w:r>
    </w:p>
    <w:p w14:paraId="521457DD" w14:textId="77777777" w:rsidR="00633D2B" w:rsidRPr="00AD5731" w:rsidRDefault="00633D2B" w:rsidP="00F00A1E">
      <w:pPr>
        <w:pStyle w:val="Text2"/>
        <w:rPr>
          <w:noProof/>
        </w:rPr>
      </w:pPr>
      <w:r w:rsidRPr="00AD5731">
        <w:rPr>
          <w:noProof/>
        </w:rPr>
        <w:t>‘(a</w:t>
      </w:r>
      <w:r w:rsidR="002837EB" w:rsidRPr="00AD5731">
        <w:rPr>
          <w:noProof/>
        </w:rPr>
        <w:t>j</w:t>
      </w:r>
      <w:r w:rsidRPr="00AD5731">
        <w:rPr>
          <w:noProof/>
        </w:rPr>
        <w:t>) ‘hazardous waste’ means hazardous waste as defined in Article 3</w:t>
      </w:r>
      <w:r w:rsidR="0002660F" w:rsidRPr="00F90D41">
        <w:rPr>
          <w:noProof/>
        </w:rPr>
        <w:t>,</w:t>
      </w:r>
      <w:r w:rsidR="00AB18DD" w:rsidRPr="00F90D41">
        <w:rPr>
          <w:noProof/>
        </w:rPr>
        <w:t xml:space="preserve"> point </w:t>
      </w:r>
      <w:r w:rsidRPr="00F90D41">
        <w:rPr>
          <w:noProof/>
        </w:rPr>
        <w:t>(2) of Directive 2008/98/EC of the European Parliament and of the Council </w:t>
      </w:r>
      <w:r w:rsidR="00B44568" w:rsidRPr="00F90D41">
        <w:rPr>
          <w:noProof/>
        </w:rPr>
        <w:t>(*)</w:t>
      </w:r>
    </w:p>
    <w:p w14:paraId="717BA8A0" w14:textId="77777777" w:rsidR="00633D2B" w:rsidRPr="00AD5731" w:rsidRDefault="00633D2B" w:rsidP="00F00A1E">
      <w:pPr>
        <w:pStyle w:val="Text2"/>
        <w:rPr>
          <w:noProof/>
        </w:rPr>
      </w:pPr>
      <w:r w:rsidRPr="00AD5731">
        <w:rPr>
          <w:noProof/>
        </w:rPr>
        <w:t>(a</w:t>
      </w:r>
      <w:r w:rsidR="002837EB" w:rsidRPr="00AD5731">
        <w:rPr>
          <w:noProof/>
        </w:rPr>
        <w:t>k</w:t>
      </w:r>
      <w:r w:rsidRPr="00AD5731">
        <w:rPr>
          <w:noProof/>
        </w:rPr>
        <w:t>) ‘municipal waste’ means municipal waste as defined in Article 3</w:t>
      </w:r>
      <w:r w:rsidR="0002660F" w:rsidRPr="00AD5731">
        <w:rPr>
          <w:noProof/>
        </w:rPr>
        <w:t>,</w:t>
      </w:r>
      <w:r w:rsidR="00AB18DD" w:rsidRPr="00AD5731">
        <w:rPr>
          <w:noProof/>
        </w:rPr>
        <w:t xml:space="preserve"> point </w:t>
      </w:r>
      <w:r w:rsidRPr="00AD5731">
        <w:rPr>
          <w:noProof/>
        </w:rPr>
        <w:t>(2b) of Directive 2008/98/EC</w:t>
      </w:r>
      <w:r w:rsidR="0002660F" w:rsidRPr="00AD5731">
        <w:rPr>
          <w:noProof/>
        </w:rPr>
        <w:t>;</w:t>
      </w:r>
    </w:p>
    <w:p w14:paraId="3000FF2E" w14:textId="77777777" w:rsidR="00633D2B" w:rsidRPr="00AD5731" w:rsidRDefault="00633D2B" w:rsidP="00F00A1E">
      <w:pPr>
        <w:pStyle w:val="Text2"/>
        <w:rPr>
          <w:noProof/>
        </w:rPr>
      </w:pPr>
      <w:r w:rsidRPr="00AD5731">
        <w:rPr>
          <w:noProof/>
        </w:rPr>
        <w:t>(a</w:t>
      </w:r>
      <w:r w:rsidR="002837EB" w:rsidRPr="00AD5731">
        <w:rPr>
          <w:noProof/>
        </w:rPr>
        <w:t>l</w:t>
      </w:r>
      <w:r w:rsidRPr="00AD5731">
        <w:rPr>
          <w:noProof/>
        </w:rPr>
        <w:t>) ‘synthetic fuels’ means renewable fuels of non-biological origin as defined in Article 2, point (36) of Directive (EU) 2018/2001 and low-carbon fuels as defined in Article 2, point (13)</w:t>
      </w:r>
      <w:r w:rsidR="0089743D" w:rsidRPr="00AD5731">
        <w:rPr>
          <w:noProof/>
        </w:rPr>
        <w:t>,</w:t>
      </w:r>
      <w:r w:rsidRPr="00AD5731">
        <w:rPr>
          <w:noProof/>
        </w:rPr>
        <w:t xml:space="preserve"> of Directive (EU) 2024/1788 </w:t>
      </w:r>
      <w:r w:rsidR="0002660F" w:rsidRPr="00AD5731">
        <w:rPr>
          <w:noProof/>
        </w:rPr>
        <w:t>of the European Parliament and of the Council</w:t>
      </w:r>
      <w:r w:rsidR="00314A59" w:rsidRPr="00AD5731">
        <w:rPr>
          <w:noProof/>
        </w:rPr>
        <w:t>*;</w:t>
      </w:r>
      <w:r w:rsidRPr="00AD5731">
        <w:rPr>
          <w:noProof/>
        </w:rPr>
        <w:t xml:space="preserve"> </w:t>
      </w:r>
    </w:p>
    <w:p w14:paraId="314A67B2" w14:textId="77777777" w:rsidR="00633D2B" w:rsidRPr="00AD5731" w:rsidRDefault="00633D2B" w:rsidP="00F00A1E">
      <w:pPr>
        <w:pStyle w:val="Text2"/>
        <w:rPr>
          <w:noProof/>
        </w:rPr>
      </w:pPr>
      <w:r w:rsidRPr="00AD5731">
        <w:rPr>
          <w:noProof/>
        </w:rPr>
        <w:t>(a</w:t>
      </w:r>
      <w:r w:rsidR="002837EB" w:rsidRPr="00AD5731">
        <w:rPr>
          <w:noProof/>
        </w:rPr>
        <w:t>m</w:t>
      </w:r>
      <w:r w:rsidRPr="00AD5731">
        <w:rPr>
          <w:noProof/>
        </w:rPr>
        <w:t>) ‘offshore operations’ means activities in connection with the exploration, appraisal or exploitation of natural resources of the seabed and subsoil, or activities in connection with offshore installations or offshore infrastructure, but excluding the activities of maritime transport of oil and gas;</w:t>
      </w:r>
    </w:p>
    <w:p w14:paraId="0E78E54B" w14:textId="77777777" w:rsidR="00633D2B" w:rsidRPr="00AD5731" w:rsidRDefault="00633D2B" w:rsidP="00F00A1E">
      <w:pPr>
        <w:pStyle w:val="Text2"/>
        <w:rPr>
          <w:noProof/>
        </w:rPr>
      </w:pPr>
      <w:r w:rsidRPr="00AD5731">
        <w:rPr>
          <w:noProof/>
        </w:rPr>
        <w:t>(a</w:t>
      </w:r>
      <w:r w:rsidR="002837EB" w:rsidRPr="00AD5731">
        <w:rPr>
          <w:noProof/>
        </w:rPr>
        <w:t>n</w:t>
      </w:r>
      <w:r w:rsidRPr="00AD5731">
        <w:rPr>
          <w:noProof/>
        </w:rPr>
        <w:t>) ‘offshore worksite’ means the geographical area covered by an authorisation delivered by the competent authority for conducting offshore operations;</w:t>
      </w:r>
    </w:p>
    <w:p w14:paraId="4F01289D" w14:textId="77777777" w:rsidR="00633D2B" w:rsidRPr="00AD5731" w:rsidRDefault="00633D2B" w:rsidP="00F00A1E">
      <w:pPr>
        <w:pStyle w:val="Text2"/>
        <w:rPr>
          <w:noProof/>
        </w:rPr>
      </w:pPr>
      <w:r w:rsidRPr="00AD5731">
        <w:rPr>
          <w:noProof/>
        </w:rPr>
        <w:t>(a</w:t>
      </w:r>
      <w:r w:rsidR="002837EB" w:rsidRPr="00AD5731">
        <w:rPr>
          <w:noProof/>
        </w:rPr>
        <w:t>o</w:t>
      </w:r>
      <w:r w:rsidRPr="00AD5731">
        <w:rPr>
          <w:noProof/>
        </w:rPr>
        <w:t xml:space="preserve">) ‘business flight’ means a flight that is performed with a </w:t>
      </w:r>
      <w:r w:rsidR="000E42A5" w:rsidRPr="00AD5731">
        <w:rPr>
          <w:noProof/>
        </w:rPr>
        <w:t xml:space="preserve">business </w:t>
      </w:r>
      <w:r w:rsidRPr="00AD5731">
        <w:rPr>
          <w:noProof/>
        </w:rPr>
        <w:t xml:space="preserve">aircraft </w:t>
      </w:r>
      <w:r w:rsidR="00CE4413" w:rsidRPr="00AD5731">
        <w:rPr>
          <w:noProof/>
        </w:rPr>
        <w:t>included</w:t>
      </w:r>
      <w:r w:rsidRPr="00AD5731">
        <w:rPr>
          <w:noProof/>
        </w:rPr>
        <w:t xml:space="preserve"> on the list adopted by the Commission pursuant to Article 3c(6).’.</w:t>
      </w:r>
    </w:p>
    <w:p w14:paraId="7A7FFBFA" w14:textId="77777777" w:rsidR="00B44568" w:rsidRPr="00AD5731" w:rsidRDefault="00B44568" w:rsidP="00F00A1E">
      <w:pPr>
        <w:pStyle w:val="Text2"/>
        <w:rPr>
          <w:noProof/>
        </w:rPr>
      </w:pPr>
      <w:r w:rsidRPr="00AD5731">
        <w:rPr>
          <w:noProof/>
        </w:rPr>
        <w:t>___________</w:t>
      </w:r>
    </w:p>
    <w:p w14:paraId="1AF2AA12" w14:textId="4C9D6927" w:rsidR="00B44568" w:rsidRPr="00AD5731" w:rsidRDefault="0018686A" w:rsidP="00F00A1E">
      <w:pPr>
        <w:pStyle w:val="Text2"/>
        <w:rPr>
          <w:noProof/>
        </w:rPr>
      </w:pPr>
      <w:r w:rsidRPr="00AD5731">
        <w:rPr>
          <w:noProof/>
        </w:rPr>
        <w:t xml:space="preserve">* </w:t>
      </w:r>
      <w:r w:rsidR="00B44568" w:rsidRPr="00AD5731">
        <w:rPr>
          <w:noProof/>
        </w:rPr>
        <w:t xml:space="preserve">Directive 2008/98/EC of the European Parliament and of the Council of 19 </w:t>
      </w:r>
      <w:r w:rsidR="00B44568" w:rsidRPr="00F90D41">
        <w:rPr>
          <w:noProof/>
        </w:rPr>
        <w:t>November 2008 on waste and repealing certain Directives (OJ L 312, 22.11.2008</w:t>
      </w:r>
      <w:r w:rsidR="005043C4" w:rsidRPr="00F90D41">
        <w:rPr>
          <w:noProof/>
        </w:rPr>
        <w:t xml:space="preserve">, ELI: </w:t>
      </w:r>
      <w:hyperlink r:id="rId26" w:history="1">
        <w:r w:rsidR="005043C4" w:rsidRPr="00F90D41">
          <w:rPr>
            <w:rStyle w:val="Hyperlink"/>
            <w:noProof/>
          </w:rPr>
          <w:t>http://data.europa.eu/eli/dir/2008/98/oj</w:t>
        </w:r>
      </w:hyperlink>
      <w:r w:rsidR="00B44568" w:rsidRPr="00F90D41">
        <w:rPr>
          <w:noProof/>
        </w:rPr>
        <w:t>)</w:t>
      </w:r>
    </w:p>
    <w:p w14:paraId="6A733EF1" w14:textId="77777777" w:rsidR="009E23DE" w:rsidRPr="00AD5731" w:rsidRDefault="009E23DE" w:rsidP="00F00A1E">
      <w:pPr>
        <w:pStyle w:val="Text2"/>
        <w:rPr>
          <w:noProof/>
        </w:rPr>
      </w:pPr>
      <w:r w:rsidRPr="00AD5731">
        <w:rPr>
          <w:noProof/>
        </w:rPr>
        <w:t xml:space="preserve">* Directive (EU) 2024/1788 of the European Parliament and of the Council of 13 June 2024 on common rules for the internal markets for renewable gas, natural gas and hydrogen, amending Directive (EU) 2023/1791 and repealing Directive 2009/73/EC </w:t>
      </w:r>
      <w:r w:rsidRPr="00AD5731" w:rsidDel="00F26398">
        <w:rPr>
          <w:noProof/>
        </w:rPr>
        <w:t xml:space="preserve">(recast) </w:t>
      </w:r>
      <w:r w:rsidRPr="00AD5731">
        <w:rPr>
          <w:noProof/>
        </w:rPr>
        <w:t xml:space="preserve">(OJ L, 2024/1788, 15.7.2024, ELI: </w:t>
      </w:r>
      <w:hyperlink r:id="rId27" w:history="1">
        <w:r w:rsidR="006933C1" w:rsidRPr="00AD5731">
          <w:rPr>
            <w:rStyle w:val="Hyperlink"/>
            <w:noProof/>
            <w:color w:val="auto"/>
            <w:u w:val="none"/>
          </w:rPr>
          <w:t>http://data.europa.eu/eli/dir/2024/1788/oj</w:t>
        </w:r>
      </w:hyperlink>
      <w:r w:rsidRPr="00AD5731">
        <w:rPr>
          <w:noProof/>
        </w:rPr>
        <w:t>).’;</w:t>
      </w:r>
    </w:p>
    <w:p w14:paraId="62428B8D" w14:textId="021B3040" w:rsidR="004742B8" w:rsidRPr="00B97C25" w:rsidRDefault="00633D2B" w:rsidP="005E0E3B">
      <w:pPr>
        <w:pStyle w:val="Point0"/>
        <w:rPr>
          <w:noProof/>
        </w:rPr>
      </w:pPr>
      <w:r>
        <w:rPr>
          <w:noProof/>
        </w:rPr>
        <w:t>(3)</w:t>
      </w:r>
      <w:r>
        <w:rPr>
          <w:noProof/>
        </w:rPr>
        <w:tab/>
      </w:r>
      <w:r w:rsidRPr="00B97C25">
        <w:rPr>
          <w:noProof/>
        </w:rPr>
        <w:t>Article 3c</w:t>
      </w:r>
      <w:r w:rsidR="00BB1F54" w:rsidRPr="00B97C25">
        <w:rPr>
          <w:noProof/>
        </w:rPr>
        <w:t xml:space="preserve"> is amended as follows</w:t>
      </w:r>
      <w:r w:rsidR="00F90D41">
        <w:rPr>
          <w:noProof/>
        </w:rPr>
        <w:t>:</w:t>
      </w:r>
      <w:r w:rsidR="00E40763" w:rsidRPr="00B97C25">
        <w:rPr>
          <w:noProof/>
        </w:rPr>
        <w:t xml:space="preserve"> </w:t>
      </w:r>
    </w:p>
    <w:p w14:paraId="2DF07E8F" w14:textId="77777777" w:rsidR="00633D2B" w:rsidRPr="00633D2B" w:rsidRDefault="00E40763" w:rsidP="003419C1">
      <w:pPr>
        <w:pStyle w:val="Point1"/>
        <w:rPr>
          <w:noProof/>
          <w:lang w:val="en-IE"/>
        </w:rPr>
      </w:pPr>
      <w:r>
        <w:rPr>
          <w:noProof/>
        </w:rPr>
        <w:t>(a)</w:t>
      </w:r>
      <w:r>
        <w:rPr>
          <w:noProof/>
        </w:rPr>
        <w:tab/>
      </w:r>
      <w:r w:rsidRPr="004742B8">
        <w:rPr>
          <w:noProof/>
        </w:rPr>
        <w:t>paragraph</w:t>
      </w:r>
      <w:r>
        <w:rPr>
          <w:noProof/>
          <w:lang w:val="en-IE"/>
        </w:rPr>
        <w:t xml:space="preserve"> </w:t>
      </w:r>
      <w:r w:rsidR="00633D2B" w:rsidRPr="00633D2B">
        <w:rPr>
          <w:noProof/>
          <w:lang w:val="en-IE"/>
        </w:rPr>
        <w:t>6 is replaced by the following:</w:t>
      </w:r>
    </w:p>
    <w:p w14:paraId="7E3401B9" w14:textId="77777777" w:rsidR="00AD5731" w:rsidRDefault="00633D2B" w:rsidP="00B97C25">
      <w:pPr>
        <w:pStyle w:val="Text2"/>
        <w:rPr>
          <w:noProof/>
        </w:rPr>
      </w:pPr>
      <w:r w:rsidRPr="00AD5731">
        <w:rPr>
          <w:noProof/>
        </w:rPr>
        <w:t xml:space="preserve">‘6. For the period from 1 January 2024 until 31 December 2030, a maximum of 20 million of the total quantity of allowances referred to in paragraph 5 shall be reserved in respect of aircraft operators, on a transparent, equal-treatment and non-discriminatory basis, for the use of sustainable aviation fuels, and other aviation fuels that are not derived from fossil fuels, </w:t>
      </w:r>
      <w:r w:rsidR="00824E96" w:rsidRPr="00AD5731">
        <w:rPr>
          <w:noProof/>
        </w:rPr>
        <w:t>referred to</w:t>
      </w:r>
      <w:r w:rsidRPr="00AD5731">
        <w:rPr>
          <w:noProof/>
        </w:rPr>
        <w:t xml:space="preserve"> in Article 4(1)</w:t>
      </w:r>
      <w:r w:rsidR="000051D4" w:rsidRPr="00AD5731">
        <w:rPr>
          <w:noProof/>
        </w:rPr>
        <w:t>, second subparagraph</w:t>
      </w:r>
      <w:r w:rsidR="000D1BD3" w:rsidRPr="00AD5731">
        <w:rPr>
          <w:noProof/>
        </w:rPr>
        <w:t>,</w:t>
      </w:r>
      <w:r w:rsidRPr="00AD5731">
        <w:rPr>
          <w:noProof/>
        </w:rPr>
        <w:t xml:space="preserve"> of Regulation (EU) 2023/2405 </w:t>
      </w:r>
      <w:r w:rsidR="008867CB" w:rsidRPr="00AD5731">
        <w:rPr>
          <w:noProof/>
        </w:rPr>
        <w:t>of the European Parliament and the Council*</w:t>
      </w:r>
      <w:r w:rsidRPr="00AD5731">
        <w:rPr>
          <w:noProof/>
        </w:rPr>
        <w:t xml:space="preserve"> and for </w:t>
      </w:r>
      <w:r w:rsidR="0033377B" w:rsidRPr="00AD5731">
        <w:rPr>
          <w:noProof/>
        </w:rPr>
        <w:t>the use of</w:t>
      </w:r>
      <w:r w:rsidRPr="00AD5731">
        <w:rPr>
          <w:noProof/>
        </w:rPr>
        <w:t xml:space="preserve"> electricity, for subsonic flights for which allowances have to be surrendered in accordance with Article 12(3) of this Directive and for which the fulfilment of that obligation is not considered to be satisfied pursuant to Article 28a(1)</w:t>
      </w:r>
      <w:r w:rsidR="004E0E8A" w:rsidRPr="00AD5731">
        <w:rPr>
          <w:noProof/>
        </w:rPr>
        <w:t xml:space="preserve"> of this Directive</w:t>
      </w:r>
      <w:r w:rsidRPr="00AD5731">
        <w:rPr>
          <w:noProof/>
        </w:rPr>
        <w:t>. For business flights, the reserved amount shall be available only for the use of electricity. Where eligible aviation fuel cannot be physically attributed to a specific flight, the allowances reserved under this subparagraph shall be available for eligible aviation fuels uplifted in the EEA proportionate to the emissions from flights, except business flights, of the aircraft operator for which allowances have to be surrendered in accordance with Article 12(3) of this Directive and the fulfilment of that obligation is not considered to be satisfied pursuant to Article 28a(1)</w:t>
      </w:r>
      <w:r w:rsidR="00632C30" w:rsidRPr="00AD5731">
        <w:rPr>
          <w:noProof/>
        </w:rPr>
        <w:t xml:space="preserve"> of this Directive</w:t>
      </w:r>
      <w:r w:rsidRPr="00AD5731">
        <w:rPr>
          <w:noProof/>
        </w:rPr>
        <w:t>. The same principle shall apply to defining the volume of fuels to which zero emission factor applies.</w:t>
      </w:r>
    </w:p>
    <w:p w14:paraId="2C3304E1" w14:textId="77777777" w:rsidR="00AD5731" w:rsidRDefault="00633D2B" w:rsidP="00B97C25">
      <w:pPr>
        <w:pStyle w:val="Text2"/>
        <w:rPr>
          <w:noProof/>
          <w:lang w:val="en-IE"/>
        </w:rPr>
      </w:pPr>
      <w:r w:rsidRPr="00633D2B">
        <w:rPr>
          <w:noProof/>
          <w:lang w:val="en-IE"/>
        </w:rPr>
        <w:t xml:space="preserve">The allowances reserved under the first subparagraph of this paragraph shall be allocated by the Member States to cover part of or all of the price differential between the use of fossil kerosene and the use of the relevant eligible aviation fuels, taking into account incentives from the price of carbon and from harmonised minimum levels of taxation on fossil fuels. When calculating that price differential, the Commission shall take into account the technical report published by the European Union Aviation Safety Agency </w:t>
      </w:r>
      <w:r w:rsidRPr="00620F3F">
        <w:rPr>
          <w:noProof/>
          <w:lang w:val="en-IE"/>
        </w:rPr>
        <w:t>pursuant to Article 13(1) of Regulation (EU) 2023/2405</w:t>
      </w:r>
      <w:r w:rsidRPr="00633D2B">
        <w:rPr>
          <w:noProof/>
          <w:lang w:val="en-IE"/>
        </w:rPr>
        <w:t>. Member States shall ensure the visibility of funding under this paragraph in a manner corresponding to the requirements in Article 30m(1), points (a) and (b), of this Directive.</w:t>
      </w:r>
    </w:p>
    <w:p w14:paraId="3C4EEA27" w14:textId="77777777" w:rsidR="00633D2B" w:rsidRPr="00AD5731" w:rsidRDefault="00633D2B" w:rsidP="00B97C25">
      <w:pPr>
        <w:pStyle w:val="Text2"/>
        <w:rPr>
          <w:noProof/>
        </w:rPr>
      </w:pPr>
      <w:r w:rsidRPr="00633D2B">
        <w:rPr>
          <w:noProof/>
          <w:lang w:val="en-IE"/>
        </w:rPr>
        <w:t>The allowances allocated under this paragraph shall cover:</w:t>
      </w:r>
    </w:p>
    <w:p w14:paraId="3A79BFC5" w14:textId="63B0B8C0" w:rsidR="00AD5731" w:rsidRPr="005E0E3B" w:rsidRDefault="00633D2B" w:rsidP="000B709E">
      <w:pPr>
        <w:pStyle w:val="Point2letter"/>
        <w:numPr>
          <w:ilvl w:val="5"/>
          <w:numId w:val="40"/>
        </w:numPr>
      </w:pPr>
      <w:r w:rsidRPr="005E0E3B">
        <w:t xml:space="preserve">50 % of the remaining price differential between the use of fossil kerosene and advanced biofuels as defined in Article 2, second paragraph, point (34), of Directive (EU) 2018/2001 of the European Parliament and of the Council </w:t>
      </w:r>
      <w:r w:rsidR="00385B09" w:rsidRPr="005E0E3B">
        <w:t>*</w:t>
      </w:r>
      <w:r w:rsidR="00F203B6" w:rsidRPr="005E0E3B">
        <w:t>*</w:t>
      </w:r>
      <w:r w:rsidRPr="005E0E3B">
        <w:t xml:space="preserve">, for which the emission factor is zero under Annex IV </w:t>
      </w:r>
      <w:r w:rsidR="004B698D" w:rsidRPr="005E0E3B">
        <w:t>to this Directive</w:t>
      </w:r>
      <w:r w:rsidRPr="005E0E3B">
        <w:t xml:space="preserve"> or under the implementing act adopted pursuant to Article 14 of this Directive;</w:t>
      </w:r>
    </w:p>
    <w:p w14:paraId="6BBECE18" w14:textId="4BDFE672" w:rsidR="00AD5731" w:rsidRPr="009D5618" w:rsidRDefault="00633D2B" w:rsidP="005E0E3B">
      <w:pPr>
        <w:pStyle w:val="Point2letter"/>
        <w:rPr>
          <w:noProof/>
        </w:rPr>
      </w:pPr>
      <w:r w:rsidRPr="009D5618">
        <w:rPr>
          <w:noProof/>
        </w:rPr>
        <w:t xml:space="preserve">60 % of the remaining price differential between the use of fossil kerosene and hydrogen from renewable energy sources, and drop-in renewable fuels of non-biological origin compliant with Article 25 of Directive (EU) 2018/2001, used in aviation, for which the emission factor is zero under Annex IV </w:t>
      </w:r>
      <w:r w:rsidR="00604F99" w:rsidRPr="009D5618">
        <w:rPr>
          <w:noProof/>
        </w:rPr>
        <w:t>to this Directive</w:t>
      </w:r>
      <w:r w:rsidRPr="009D5618">
        <w:rPr>
          <w:noProof/>
        </w:rPr>
        <w:t xml:space="preserve"> or under the implementing act adopted pursuant to Article 14 of this Directive;</w:t>
      </w:r>
    </w:p>
    <w:p w14:paraId="11F54D48" w14:textId="1E3F6346" w:rsidR="00AD5731" w:rsidRPr="009D5618" w:rsidRDefault="00633D2B" w:rsidP="005E0E3B">
      <w:pPr>
        <w:pStyle w:val="Point2letter"/>
        <w:rPr>
          <w:noProof/>
        </w:rPr>
      </w:pPr>
      <w:r w:rsidRPr="009D5618">
        <w:rPr>
          <w:noProof/>
        </w:rPr>
        <w:t>100 % of the remaining price differential between the use of fossil kerosene and any eligible aviation fuel that is not derived from fossil fuels covered by the first subparagraph of this paragraph, at airports situated on islands smaller than 10 000 km2 and with no road or rail link with the mainland and at airports located in an outermost region, where the physical delivery of the eligible aviation fuel, outside of a mass balance system, took place;</w:t>
      </w:r>
    </w:p>
    <w:p w14:paraId="0AA27FA1" w14:textId="5A080751" w:rsidR="00AD5731" w:rsidRPr="009D5618" w:rsidRDefault="00A977C6" w:rsidP="005E0E3B">
      <w:pPr>
        <w:pStyle w:val="Point2letter"/>
        <w:rPr>
          <w:noProof/>
        </w:rPr>
      </w:pPr>
      <w:r w:rsidRPr="009D5618">
        <w:rPr>
          <w:noProof/>
        </w:rPr>
        <w:t>until</w:t>
      </w:r>
      <w:r w:rsidR="00633D2B" w:rsidRPr="009D5618">
        <w:rPr>
          <w:noProof/>
        </w:rPr>
        <w:t xml:space="preserve"> 31 December 2029, in cases other than those referred to in points (a), (b) and (c), 30 % of the remaining price differential between the use of fossil kerosene and any eligible aviation fuel that is not derived from fossil fuels covered by the first subparagraph of this paragraph.</w:t>
      </w:r>
    </w:p>
    <w:p w14:paraId="1706E702" w14:textId="2C17D7A3" w:rsidR="00633D2B" w:rsidRPr="009D5618" w:rsidRDefault="00A977C6" w:rsidP="005E0E3B">
      <w:pPr>
        <w:pStyle w:val="Point2letter"/>
        <w:rPr>
          <w:noProof/>
        </w:rPr>
      </w:pPr>
      <w:r w:rsidRPr="009D5618">
        <w:rPr>
          <w:noProof/>
        </w:rPr>
        <w:t>from</w:t>
      </w:r>
      <w:r w:rsidR="00633D2B" w:rsidRPr="009D5618">
        <w:rPr>
          <w:noProof/>
        </w:rPr>
        <w:t xml:space="preserve"> 1 January 2027, the same number of allowances per </w:t>
      </w:r>
      <w:r w:rsidR="00CE33DF" w:rsidRPr="009D5618">
        <w:rPr>
          <w:noProof/>
        </w:rPr>
        <w:t>megajoule</w:t>
      </w:r>
      <w:r w:rsidR="00633D2B" w:rsidRPr="009D5618">
        <w:rPr>
          <w:noProof/>
        </w:rPr>
        <w:t xml:space="preserve"> </w:t>
      </w:r>
      <w:r w:rsidR="00CE33DF" w:rsidRPr="009D5618">
        <w:rPr>
          <w:noProof/>
        </w:rPr>
        <w:t>(</w:t>
      </w:r>
      <w:r w:rsidR="00633D2B" w:rsidRPr="009D5618">
        <w:rPr>
          <w:noProof/>
        </w:rPr>
        <w:t>MJ</w:t>
      </w:r>
      <w:r w:rsidR="00CE33DF" w:rsidRPr="009D5618">
        <w:rPr>
          <w:noProof/>
        </w:rPr>
        <w:t>)</w:t>
      </w:r>
      <w:r w:rsidR="00633D2B" w:rsidRPr="009D5618">
        <w:rPr>
          <w:noProof/>
        </w:rPr>
        <w:t xml:space="preserve"> of electricity consumed as aircraft operators are entitled to receive pursuant to point (b) for the use of drop-in renewable fuels of non-biological origin, in case of electric or hybrid aircraft performing flights for which allowances have to be surrendered in accordance with Article 12(3).</w:t>
      </w:r>
    </w:p>
    <w:p w14:paraId="7ED8EEF2" w14:textId="77777777" w:rsidR="00633D2B" w:rsidRPr="009D5618" w:rsidRDefault="00633D2B" w:rsidP="00B97C25">
      <w:pPr>
        <w:pStyle w:val="Text2"/>
        <w:rPr>
          <w:noProof/>
        </w:rPr>
      </w:pPr>
      <w:r w:rsidRPr="009D5618">
        <w:rPr>
          <w:noProof/>
        </w:rPr>
        <w:t xml:space="preserve">Fuels shall </w:t>
      </w:r>
      <w:r w:rsidR="00A00BCB" w:rsidRPr="009D5618">
        <w:rPr>
          <w:noProof/>
        </w:rPr>
        <w:t>be eligible for</w:t>
      </w:r>
      <w:r w:rsidRPr="009D5618">
        <w:rPr>
          <w:noProof/>
        </w:rPr>
        <w:t xml:space="preserve"> support </w:t>
      </w:r>
      <w:r w:rsidR="00A00BCB" w:rsidRPr="009D5618">
        <w:rPr>
          <w:noProof/>
        </w:rPr>
        <w:t xml:space="preserve">referred to in this </w:t>
      </w:r>
      <w:r w:rsidR="00AE3C01" w:rsidRPr="009D5618">
        <w:rPr>
          <w:noProof/>
        </w:rPr>
        <w:t xml:space="preserve">paragraph </w:t>
      </w:r>
      <w:r w:rsidRPr="009D5618">
        <w:rPr>
          <w:noProof/>
        </w:rPr>
        <w:t>only if the</w:t>
      </w:r>
      <w:r w:rsidR="00AE3C01" w:rsidRPr="009D5618">
        <w:rPr>
          <w:noProof/>
        </w:rPr>
        <w:t>y</w:t>
      </w:r>
      <w:r w:rsidRPr="009D5618">
        <w:rPr>
          <w:noProof/>
        </w:rPr>
        <w:t xml:space="preserve"> </w:t>
      </w:r>
      <w:r w:rsidR="00AE3C01" w:rsidRPr="009D5618">
        <w:rPr>
          <w:noProof/>
        </w:rPr>
        <w:t>are produced</w:t>
      </w:r>
      <w:r w:rsidRPr="009D5618">
        <w:rPr>
          <w:noProof/>
        </w:rPr>
        <w:t xml:space="preserve"> in the EEA, in a third country that has an emissions trading system linked with the EU ETS, or in a third country to which the Union provides support pursuant to Article 25b. Fuels </w:t>
      </w:r>
      <w:r w:rsidR="00841992" w:rsidRPr="009D5618">
        <w:rPr>
          <w:noProof/>
        </w:rPr>
        <w:t>referred to in the third subparagraph,</w:t>
      </w:r>
      <w:r w:rsidRPr="009D5618">
        <w:rPr>
          <w:noProof/>
        </w:rPr>
        <w:t xml:space="preserve"> points (a), (b) and (d)</w:t>
      </w:r>
      <w:r w:rsidR="00234759" w:rsidRPr="009D5618">
        <w:rPr>
          <w:noProof/>
        </w:rPr>
        <w:t>,</w:t>
      </w:r>
      <w:r w:rsidRPr="009D5618">
        <w:rPr>
          <w:noProof/>
        </w:rPr>
        <w:t xml:space="preserve"> shall </w:t>
      </w:r>
      <w:r w:rsidR="001F018B" w:rsidRPr="009D5618">
        <w:rPr>
          <w:noProof/>
        </w:rPr>
        <w:t xml:space="preserve">be eligible </w:t>
      </w:r>
      <w:r w:rsidR="00553A3D" w:rsidRPr="009D5618">
        <w:rPr>
          <w:noProof/>
        </w:rPr>
        <w:t xml:space="preserve">for </w:t>
      </w:r>
      <w:r w:rsidR="001F018B" w:rsidRPr="009D5618">
        <w:rPr>
          <w:noProof/>
        </w:rPr>
        <w:t xml:space="preserve">a </w:t>
      </w:r>
      <w:r w:rsidRPr="009D5618">
        <w:rPr>
          <w:noProof/>
        </w:rPr>
        <w:t xml:space="preserve">10 percentage point </w:t>
      </w:r>
      <w:r w:rsidR="001F018B" w:rsidRPr="009D5618">
        <w:rPr>
          <w:noProof/>
        </w:rPr>
        <w:t>increase in</w:t>
      </w:r>
      <w:r w:rsidRPr="009D5618">
        <w:rPr>
          <w:noProof/>
        </w:rPr>
        <w:t xml:space="preserve"> coverage if they are produced using feedstock that is sourced in the Union, in a third country that has an emissions trading system linked with the EU ETS, or in a third country to which the Union provides support pursuant to Article 25b. </w:t>
      </w:r>
    </w:p>
    <w:p w14:paraId="6353B518" w14:textId="77777777" w:rsidR="00633D2B" w:rsidRPr="009D5618" w:rsidRDefault="00633D2B" w:rsidP="00B97C25">
      <w:pPr>
        <w:pStyle w:val="Text2"/>
        <w:rPr>
          <w:noProof/>
        </w:rPr>
      </w:pPr>
      <w:r w:rsidRPr="009D5618">
        <w:rPr>
          <w:noProof/>
        </w:rPr>
        <w:t>The allocation of allowances under this paragraph may take into account possible support from other schemes at national, Union, or international level.</w:t>
      </w:r>
    </w:p>
    <w:p w14:paraId="1D574B3D" w14:textId="77777777" w:rsidR="00633D2B" w:rsidRPr="009D5618" w:rsidRDefault="00633D2B" w:rsidP="00B97C25">
      <w:pPr>
        <w:pStyle w:val="Text2"/>
        <w:rPr>
          <w:noProof/>
        </w:rPr>
      </w:pPr>
      <w:r w:rsidRPr="009D5618">
        <w:rPr>
          <w:noProof/>
        </w:rPr>
        <w:t>On a yearly basis, aircraft operators may apply for an allocation of allowances based on the quantity of each eligible aviation fuel referred to in this paragraph used on subsonic flights, with the exception of business flights, for which allowances have to be surrendered in accordance with Article 12(3) between 1 January 2024 and 31 December 20</w:t>
      </w:r>
      <w:r w:rsidR="00B959CC">
        <w:rPr>
          <w:noProof/>
        </w:rPr>
        <w:t>40</w:t>
      </w:r>
      <w:r w:rsidRPr="009D5618">
        <w:rPr>
          <w:noProof/>
        </w:rPr>
        <w:t>, excluding flights for which that requirement is considered to be satisfied pursuant to Article 28a(1). On a yearly basis</w:t>
      </w:r>
      <w:r w:rsidR="00250F79" w:rsidRPr="009D5618">
        <w:rPr>
          <w:noProof/>
        </w:rPr>
        <w:t>,</w:t>
      </w:r>
      <w:r w:rsidRPr="009D5618">
        <w:rPr>
          <w:noProof/>
        </w:rPr>
        <w:t xml:space="preserve"> aircraft operators may apply for an allocation of allowances in case of electric or hybrid aircraft </w:t>
      </w:r>
      <w:r w:rsidR="00227C2E" w:rsidRPr="009D5618">
        <w:rPr>
          <w:noProof/>
        </w:rPr>
        <w:t xml:space="preserve">using electricity or hydrogen for </w:t>
      </w:r>
      <w:r w:rsidRPr="009D5618">
        <w:rPr>
          <w:noProof/>
        </w:rPr>
        <w:t>performing any flight for which allowances have to be surrendered in accordance with Article 12(3) until 31 December 2035.</w:t>
      </w:r>
    </w:p>
    <w:p w14:paraId="38EE1DC1" w14:textId="77777777" w:rsidR="00633D2B" w:rsidRPr="009D5618" w:rsidRDefault="00633D2B" w:rsidP="00B97C25">
      <w:pPr>
        <w:pStyle w:val="Text2"/>
        <w:rPr>
          <w:noProof/>
        </w:rPr>
      </w:pPr>
      <w:r w:rsidRPr="009D5618">
        <w:rPr>
          <w:noProof/>
        </w:rPr>
        <w:t xml:space="preserve">If an aircraft operator demonstrates to the satisfaction of the Commission a binding </w:t>
      </w:r>
      <w:r w:rsidR="00684087" w:rsidRPr="009D5618">
        <w:rPr>
          <w:noProof/>
        </w:rPr>
        <w:t>long</w:t>
      </w:r>
      <w:r w:rsidR="00A762ED" w:rsidRPr="009D5618">
        <w:rPr>
          <w:noProof/>
        </w:rPr>
        <w:t>-</w:t>
      </w:r>
      <w:r w:rsidR="00684087" w:rsidRPr="009D5618">
        <w:rPr>
          <w:noProof/>
        </w:rPr>
        <w:t xml:space="preserve">term </w:t>
      </w:r>
      <w:r w:rsidRPr="009D5618">
        <w:rPr>
          <w:noProof/>
        </w:rPr>
        <w:t xml:space="preserve">fuel supply contract for the fuels </w:t>
      </w:r>
      <w:r w:rsidR="00A762ED" w:rsidRPr="009D5618">
        <w:rPr>
          <w:noProof/>
        </w:rPr>
        <w:t>referred to in the third subparagraph,</w:t>
      </w:r>
      <w:r w:rsidRPr="009D5618">
        <w:rPr>
          <w:noProof/>
        </w:rPr>
        <w:t xml:space="preserve"> points (a), (b) and (e), which binds both the fuel supplier and the aircraft operator, and is valid for </w:t>
      </w:r>
      <w:r w:rsidR="001E4658" w:rsidRPr="009D5618">
        <w:rPr>
          <w:noProof/>
        </w:rPr>
        <w:t xml:space="preserve">at least three </w:t>
      </w:r>
      <w:r w:rsidRPr="009D5618">
        <w:rPr>
          <w:noProof/>
        </w:rPr>
        <w:t xml:space="preserve">years, the allowances covering the price difference for each year of the duration of the contract, for a maximum of five years, shall be reserved for that aircraft operator. The yearly allocation of the allowances for the use of the eligible fuels delivered under those contracts shall </w:t>
      </w:r>
      <w:r w:rsidR="00240B84" w:rsidRPr="009D5618">
        <w:rPr>
          <w:noProof/>
        </w:rPr>
        <w:t xml:space="preserve">be done </w:t>
      </w:r>
      <w:r w:rsidRPr="009D5618">
        <w:rPr>
          <w:noProof/>
        </w:rPr>
        <w:t xml:space="preserve">the same way as </w:t>
      </w:r>
      <w:r w:rsidR="005239A5" w:rsidRPr="009D5618">
        <w:rPr>
          <w:noProof/>
        </w:rPr>
        <w:t>set out</w:t>
      </w:r>
      <w:r w:rsidRPr="009D5618">
        <w:rPr>
          <w:noProof/>
        </w:rPr>
        <w:t xml:space="preserve"> in the </w:t>
      </w:r>
      <w:r w:rsidR="00C206B3" w:rsidRPr="009D5618">
        <w:rPr>
          <w:noProof/>
        </w:rPr>
        <w:t xml:space="preserve">second to fourth </w:t>
      </w:r>
      <w:r w:rsidRPr="009D5618">
        <w:rPr>
          <w:noProof/>
        </w:rPr>
        <w:t>subparagraph</w:t>
      </w:r>
      <w:r w:rsidR="00935810" w:rsidRPr="009D5618">
        <w:rPr>
          <w:noProof/>
        </w:rPr>
        <w:t>s</w:t>
      </w:r>
      <w:r w:rsidRPr="009D5618">
        <w:rPr>
          <w:noProof/>
        </w:rPr>
        <w:t xml:space="preserve">. Allowances reserved under this point cannot exceed </w:t>
      </w:r>
      <w:r w:rsidR="00B60ECE" w:rsidRPr="009D5618">
        <w:rPr>
          <w:noProof/>
        </w:rPr>
        <w:t>10</w:t>
      </w:r>
      <w:r w:rsidRPr="009D5618">
        <w:rPr>
          <w:noProof/>
        </w:rPr>
        <w:t xml:space="preserve"> million.</w:t>
      </w:r>
    </w:p>
    <w:p w14:paraId="21F8509A" w14:textId="77777777" w:rsidR="00633D2B" w:rsidRPr="009D5618" w:rsidRDefault="00633D2B" w:rsidP="00B97C25">
      <w:pPr>
        <w:pStyle w:val="Text2"/>
        <w:rPr>
          <w:noProof/>
        </w:rPr>
      </w:pPr>
      <w:r w:rsidRPr="009D5618">
        <w:rPr>
          <w:noProof/>
        </w:rPr>
        <w:t>If, for a given year, the demand for allowances pursuant to this paragraph is higher than the availability of allowances, the quantity of allowances shall be reduced in a uniform manner for all aircraft operators concerned by the allocation for that year.</w:t>
      </w:r>
    </w:p>
    <w:p w14:paraId="4E38F577" w14:textId="77777777" w:rsidR="00633D2B" w:rsidRPr="009D5618" w:rsidRDefault="000E1465" w:rsidP="00B97C25">
      <w:pPr>
        <w:pStyle w:val="Text2"/>
        <w:rPr>
          <w:noProof/>
        </w:rPr>
      </w:pPr>
      <w:r w:rsidRPr="009D5618">
        <w:rPr>
          <w:noProof/>
        </w:rPr>
        <w:t>Significant</w:t>
      </w:r>
      <w:r w:rsidR="00C930E0" w:rsidRPr="009D5618">
        <w:rPr>
          <w:noProof/>
        </w:rPr>
        <w:t xml:space="preserve"> reductions in </w:t>
      </w:r>
      <w:r w:rsidRPr="009D5618">
        <w:rPr>
          <w:noProof/>
        </w:rPr>
        <w:t xml:space="preserve">climate </w:t>
      </w:r>
      <w:r w:rsidR="00C930E0" w:rsidRPr="009D5618">
        <w:rPr>
          <w:noProof/>
        </w:rPr>
        <w:t xml:space="preserve">impacts </w:t>
      </w:r>
      <w:r w:rsidRPr="009D5618">
        <w:rPr>
          <w:noProof/>
        </w:rPr>
        <w:t>from contrails</w:t>
      </w:r>
      <w:r w:rsidR="00C930E0" w:rsidRPr="009D5618">
        <w:rPr>
          <w:noProof/>
        </w:rPr>
        <w:t xml:space="preserve"> in the order of millions of tonnes of CO</w:t>
      </w:r>
      <w:r w:rsidR="00C930E0" w:rsidRPr="00DE2C42">
        <w:rPr>
          <w:noProof/>
          <w:vertAlign w:val="subscript"/>
        </w:rPr>
        <w:t>2</w:t>
      </w:r>
      <w:r w:rsidR="00C930E0" w:rsidRPr="009D5618">
        <w:rPr>
          <w:noProof/>
        </w:rPr>
        <w:t xml:space="preserve">e </w:t>
      </w:r>
      <w:r w:rsidR="00252B76" w:rsidRPr="009D5618">
        <w:rPr>
          <w:noProof/>
        </w:rPr>
        <w:t>may</w:t>
      </w:r>
      <w:r w:rsidR="00C930E0" w:rsidRPr="009D5618">
        <w:rPr>
          <w:noProof/>
        </w:rPr>
        <w:t xml:space="preserve"> be incentivised through the yearly use of </w:t>
      </w:r>
      <w:r w:rsidR="003F173D" w:rsidRPr="009D5618">
        <w:rPr>
          <w:noProof/>
        </w:rPr>
        <w:t xml:space="preserve">no more </w:t>
      </w:r>
      <w:r w:rsidR="00CD15CB" w:rsidRPr="009D5618">
        <w:rPr>
          <w:noProof/>
        </w:rPr>
        <w:t xml:space="preserve">than </w:t>
      </w:r>
      <w:r w:rsidR="001514A0" w:rsidRPr="009D5618">
        <w:rPr>
          <w:noProof/>
        </w:rPr>
        <w:t>420 000</w:t>
      </w:r>
      <w:r w:rsidR="008D240E" w:rsidRPr="009D5618">
        <w:rPr>
          <w:noProof/>
        </w:rPr>
        <w:t xml:space="preserve"> </w:t>
      </w:r>
      <w:r w:rsidR="00C930E0" w:rsidRPr="009D5618">
        <w:rPr>
          <w:noProof/>
        </w:rPr>
        <w:t>allowances</w:t>
      </w:r>
      <w:r w:rsidR="001D79E9" w:rsidRPr="009D5618">
        <w:rPr>
          <w:noProof/>
        </w:rPr>
        <w:t>.</w:t>
      </w:r>
      <w:r w:rsidR="00C930E0" w:rsidRPr="009D5618">
        <w:rPr>
          <w:noProof/>
        </w:rPr>
        <w:t xml:space="preserve"> </w:t>
      </w:r>
      <w:r w:rsidR="00C3714C" w:rsidRPr="009D5618">
        <w:rPr>
          <w:noProof/>
        </w:rPr>
        <w:t>From</w:t>
      </w:r>
      <w:r w:rsidR="00C930E0" w:rsidRPr="009D5618">
        <w:rPr>
          <w:noProof/>
        </w:rPr>
        <w:t xml:space="preserve"> the amount reserved pursuant to the first subparagraph, a total of up to </w:t>
      </w:r>
      <w:r w:rsidR="001514A0" w:rsidRPr="009D5618">
        <w:rPr>
          <w:noProof/>
        </w:rPr>
        <w:t>3</w:t>
      </w:r>
      <w:r w:rsidR="00C930E0" w:rsidRPr="009D5618">
        <w:rPr>
          <w:noProof/>
        </w:rPr>
        <w:t xml:space="preserve"> million allowances, available until 31 December 2033</w:t>
      </w:r>
      <w:r w:rsidR="00C95B95" w:rsidRPr="009D5618">
        <w:rPr>
          <w:noProof/>
        </w:rPr>
        <w:t>,</w:t>
      </w:r>
      <w:r w:rsidR="000150F0" w:rsidRPr="009D5618">
        <w:rPr>
          <w:noProof/>
        </w:rPr>
        <w:t xml:space="preserve"> shall be dedicated to the cost</w:t>
      </w:r>
      <w:r w:rsidR="00C95B95" w:rsidRPr="009D5618">
        <w:rPr>
          <w:noProof/>
        </w:rPr>
        <w:t>-</w:t>
      </w:r>
      <w:r w:rsidR="000150F0" w:rsidRPr="009D5618">
        <w:rPr>
          <w:noProof/>
        </w:rPr>
        <w:t>effective reduction of climate impacts from contrails</w:t>
      </w:r>
      <w:r w:rsidR="00633D2B" w:rsidRPr="009D5618">
        <w:rPr>
          <w:noProof/>
        </w:rPr>
        <w:t>. Member States shall allocate allowances equal to 0</w:t>
      </w:r>
      <w:r w:rsidR="00FF75DD" w:rsidRPr="009D5618">
        <w:rPr>
          <w:noProof/>
        </w:rPr>
        <w:t>,</w:t>
      </w:r>
      <w:r w:rsidR="00633D2B" w:rsidRPr="009D5618">
        <w:rPr>
          <w:noProof/>
        </w:rPr>
        <w:t xml:space="preserve">1 percent of the verified emissions of an aircraft operator, upon its request, which has embedded contrails forecasting models in its flight planning tools. </w:t>
      </w:r>
      <w:r w:rsidR="004C6DAF" w:rsidRPr="009D5618">
        <w:rPr>
          <w:noProof/>
        </w:rPr>
        <w:t>In order to be eligible for this allocation aircraft operators shall make available the</w:t>
      </w:r>
      <w:r w:rsidR="00633D2B" w:rsidRPr="009D5618">
        <w:rPr>
          <w:noProof/>
        </w:rPr>
        <w:t xml:space="preserve"> contrail forecasts to the</w:t>
      </w:r>
      <w:r w:rsidR="004C6DAF" w:rsidRPr="009D5618">
        <w:rPr>
          <w:noProof/>
        </w:rPr>
        <w:t>ir</w:t>
      </w:r>
      <w:r w:rsidR="00633D2B" w:rsidRPr="009D5618">
        <w:rPr>
          <w:noProof/>
        </w:rPr>
        <w:t xml:space="preserve"> operations control centre or equivalent, which shall be instructed to assess their operational viability and, if possible, to incorporate them when filing the corresponding flights. An additional amount equal to 0</w:t>
      </w:r>
      <w:r w:rsidR="00FF75DD" w:rsidRPr="009D5618">
        <w:rPr>
          <w:noProof/>
        </w:rPr>
        <w:t>,</w:t>
      </w:r>
      <w:r w:rsidR="00633D2B" w:rsidRPr="009D5618">
        <w:rPr>
          <w:noProof/>
        </w:rPr>
        <w:t xml:space="preserve">02 percent of the verified emissions shall be allocated to aircraft operators, </w:t>
      </w:r>
      <w:r w:rsidR="006D3C83" w:rsidRPr="009D5618">
        <w:rPr>
          <w:noProof/>
        </w:rPr>
        <w:t>referred to in</w:t>
      </w:r>
      <w:r w:rsidR="00633D2B" w:rsidRPr="009D5618">
        <w:rPr>
          <w:noProof/>
        </w:rPr>
        <w:t xml:space="preserve"> the first sentence of this </w:t>
      </w:r>
      <w:r w:rsidR="006D3C83" w:rsidRPr="009D5618">
        <w:rPr>
          <w:noProof/>
        </w:rPr>
        <w:t>sub</w:t>
      </w:r>
      <w:r w:rsidR="00633D2B" w:rsidRPr="009D5618">
        <w:rPr>
          <w:noProof/>
        </w:rPr>
        <w:t>paragraph, for flights for which the aircraft operator uses flight trajectories and fuel flow as in-flight measured data for the given year to report non-CO₂ aviation effects pursuant to Article 14(5).</w:t>
      </w:r>
      <w:r w:rsidR="000F29D9" w:rsidRPr="009D5618">
        <w:rPr>
          <w:noProof/>
        </w:rPr>
        <w:t xml:space="preserve"> </w:t>
      </w:r>
      <w:r w:rsidR="00633D2B" w:rsidRPr="009D5618">
        <w:rPr>
          <w:noProof/>
        </w:rPr>
        <w:t xml:space="preserve">The contrail forecasting models </w:t>
      </w:r>
      <w:r w:rsidR="000F29D9" w:rsidRPr="009D5618">
        <w:rPr>
          <w:noProof/>
        </w:rPr>
        <w:t>of aircraft operators referred to in the first sentence of this subparagraph</w:t>
      </w:r>
      <w:r w:rsidR="00633D2B" w:rsidRPr="009D5618">
        <w:rPr>
          <w:noProof/>
        </w:rPr>
        <w:t xml:space="preserve"> shall use, as a basis, the same common reference numerical weather prediction model and weather data as the one used in the monitoring, reporting and verification tools provided by the Commission referred to in Article 14(5). </w:t>
      </w:r>
    </w:p>
    <w:p w14:paraId="7A2DC80B" w14:textId="77777777" w:rsidR="00633D2B" w:rsidRPr="009D5618" w:rsidRDefault="00633D2B" w:rsidP="00B97C25">
      <w:pPr>
        <w:pStyle w:val="Text2"/>
        <w:rPr>
          <w:noProof/>
        </w:rPr>
      </w:pPr>
      <w:r w:rsidRPr="009D5618">
        <w:rPr>
          <w:noProof/>
        </w:rPr>
        <w:t>The Commission shall publish in the Official Journal of the European Union details of the average cost difference between fossil kerosene, taking into account incentives from the price of carbon and from harmonised minimum levels of taxation on fossil fuels, and the relevant eligible aviation fuels, on a yearly basis for the previous year.</w:t>
      </w:r>
    </w:p>
    <w:p w14:paraId="49604AD4" w14:textId="77777777" w:rsidR="00633D2B" w:rsidRPr="009D5618" w:rsidRDefault="00633D2B" w:rsidP="00B97C25">
      <w:pPr>
        <w:pStyle w:val="Text2"/>
        <w:rPr>
          <w:noProof/>
        </w:rPr>
      </w:pPr>
      <w:r w:rsidRPr="009D5618">
        <w:rPr>
          <w:noProof/>
        </w:rPr>
        <w:t>The Commission is empowered to adopt delegated acts in accordance with Article 23 to supplement this Directive by establishing the detailed rules for the yearly calculation of the cost difference referred to in the sixth subparagraph of this paragraph, for the allocation of allowances for the use of the fuels identified in the first subparagraph of this paragraph as reported under the implementing act adopted pursuant to Article 14(1), and establishing the arrangements for taking into account incentives from the price of carbon and from harmonised minimum levels of taxation on fossil fuels. Those delegated acts may also lay down further rules and procedures for validation of contrail forecasting models and their inclusion in flight planning tools.</w:t>
      </w:r>
    </w:p>
    <w:p w14:paraId="0E23722C" w14:textId="77777777" w:rsidR="00633D2B" w:rsidRPr="009D5618" w:rsidRDefault="00633D2B" w:rsidP="00B97C25">
      <w:pPr>
        <w:pStyle w:val="Text2"/>
        <w:rPr>
          <w:noProof/>
        </w:rPr>
      </w:pPr>
      <w:r w:rsidRPr="009D5618">
        <w:rPr>
          <w:noProof/>
        </w:rPr>
        <w:t>The Commission shall adopt implementing acts listing business aircraft</w:t>
      </w:r>
      <w:r w:rsidR="00A65E3A" w:rsidRPr="009D5618">
        <w:rPr>
          <w:noProof/>
        </w:rPr>
        <w:t>(</w:t>
      </w:r>
      <w:r w:rsidR="002709FB" w:rsidRPr="009D5618">
        <w:rPr>
          <w:noProof/>
        </w:rPr>
        <w:t>s</w:t>
      </w:r>
      <w:r w:rsidR="00A65E3A" w:rsidRPr="009D5618">
        <w:rPr>
          <w:noProof/>
        </w:rPr>
        <w:t>)</w:t>
      </w:r>
      <w:r w:rsidRPr="009D5618">
        <w:rPr>
          <w:noProof/>
        </w:rPr>
        <w:t>, the flights performed by which</w:t>
      </w:r>
      <w:r w:rsidR="7D223315">
        <w:rPr>
          <w:noProof/>
        </w:rPr>
        <w:t xml:space="preserve"> </w:t>
      </w:r>
      <w:r w:rsidRPr="009D5618">
        <w:rPr>
          <w:noProof/>
        </w:rPr>
        <w:t>aircraft are considered business flights. Those implementing acts shall be adopted in accordance with the examination procedure referred to in Article 22a(2).</w:t>
      </w:r>
    </w:p>
    <w:p w14:paraId="41038249" w14:textId="2DA29988" w:rsidR="00944676" w:rsidRDefault="00944676">
      <w:pPr>
        <w:pStyle w:val="Text2"/>
        <w:rPr>
          <w:noProof/>
        </w:rPr>
      </w:pPr>
      <w:r w:rsidRPr="00944676">
        <w:rPr>
          <w:noProof/>
        </w:rPr>
        <w:t xml:space="preserve">By 1 July 2032, the Commission shall carry out an assessment regarding the application of this paragraph and submit the results in a report to the European Parliament and to the Council. The report may, where appropriate, be accompanied by a legislative proposal to revise the amount reserved under this paragraph until 31 December 2040, taking into account  changes to the geographic extent of flights subject to the surrender </w:t>
      </w:r>
      <w:r>
        <w:rPr>
          <w:noProof/>
        </w:rPr>
        <w:t>obligation</w:t>
      </w:r>
      <w:r w:rsidRPr="00944676">
        <w:rPr>
          <w:noProof/>
        </w:rPr>
        <w:t xml:space="preserve"> laid down in Article 12(3),  to continue incentivise the use of the fuels identified in the first subparagraph of this paragraph, in particular the use of renewable fuels of non-biological origin compliant with Article 25 of Directive (EU) 2018/2001, used in aviation, for which the emission factor is zero under Annex IV or under the implementing act adopted pursuant to Article 14 of this Directive.</w:t>
      </w:r>
    </w:p>
    <w:p w14:paraId="00DFBC95" w14:textId="64238072" w:rsidR="00633D2B" w:rsidRPr="009D5618" w:rsidRDefault="00633D2B" w:rsidP="00B97C25">
      <w:pPr>
        <w:pStyle w:val="Text2"/>
        <w:rPr>
          <w:noProof/>
        </w:rPr>
      </w:pPr>
      <w:r w:rsidRPr="009D5618">
        <w:rPr>
          <w:noProof/>
        </w:rPr>
        <w:t>From 1 January 2028, the Commission shall evaluate the application of this paragraph in the annual report it is required to submit pursuant to Article 10(5).</w:t>
      </w:r>
    </w:p>
    <w:p w14:paraId="22525541" w14:textId="77777777" w:rsidR="00385B09" w:rsidRPr="009D5618" w:rsidRDefault="00385B09" w:rsidP="00B97C25">
      <w:pPr>
        <w:pStyle w:val="Text2"/>
        <w:rPr>
          <w:noProof/>
        </w:rPr>
      </w:pPr>
      <w:r w:rsidRPr="009D5618">
        <w:rPr>
          <w:noProof/>
        </w:rPr>
        <w:t>___________</w:t>
      </w:r>
    </w:p>
    <w:p w14:paraId="4B9D7023" w14:textId="77777777" w:rsidR="00DF2107" w:rsidRPr="009D5618" w:rsidRDefault="00DF2107" w:rsidP="00B97C25">
      <w:pPr>
        <w:pStyle w:val="Text2"/>
        <w:rPr>
          <w:noProof/>
        </w:rPr>
      </w:pPr>
      <w:r w:rsidRPr="009D5618">
        <w:rPr>
          <w:noProof/>
        </w:rPr>
        <w:t xml:space="preserve">* Regulation (EU) 2023/2405 of the European Parliament and of the Council of 18 October 2023 on ensuring a level playing field for sustainable air transport (ReFuelEU Aviation) (OJ L, 2023/2405, 31.10.2023, ELI: </w:t>
      </w:r>
      <w:hyperlink r:id="rId28" w:history="1">
        <w:r w:rsidRPr="009D5618">
          <w:rPr>
            <w:rStyle w:val="Hyperlink"/>
            <w:noProof/>
            <w:color w:val="auto"/>
            <w:u w:val="none"/>
          </w:rPr>
          <w:t>http://data.europa.eu/eli/reg/2023/2405/oj</w:t>
        </w:r>
      </w:hyperlink>
      <w:r w:rsidRPr="009D5618">
        <w:rPr>
          <w:noProof/>
        </w:rPr>
        <w:t>).</w:t>
      </w:r>
    </w:p>
    <w:p w14:paraId="71E3C5AB" w14:textId="77777777" w:rsidR="00385B09" w:rsidRDefault="00385B09" w:rsidP="00B97C25">
      <w:pPr>
        <w:pStyle w:val="Text2"/>
        <w:rPr>
          <w:noProof/>
        </w:rPr>
      </w:pPr>
      <w:r w:rsidRPr="009D5618">
        <w:rPr>
          <w:noProof/>
        </w:rPr>
        <w:t>*</w:t>
      </w:r>
      <w:r w:rsidR="001E2377" w:rsidRPr="009D5618">
        <w:rPr>
          <w:noProof/>
        </w:rPr>
        <w:t>*</w:t>
      </w:r>
      <w:r w:rsidRPr="009D5618">
        <w:rPr>
          <w:noProof/>
        </w:rPr>
        <w:t xml:space="preserve"> Directive (EU) 2018/2001 of the European Parliament and of the Council of 11 December 2018 on the promotion of the use of energy from renewable sources (OJ L 328, 21.12.2018, p. 82</w:t>
      </w:r>
      <w:r w:rsidR="1C1B43D5" w:rsidRPr="1D5BA5BB">
        <w:rPr>
          <w:rFonts w:eastAsia="Times New Roman"/>
          <w:noProof/>
          <w:szCs w:val="24"/>
        </w:rPr>
        <w:t xml:space="preserve">, ELI: </w:t>
      </w:r>
      <w:hyperlink r:id="rId29" w:history="1">
        <w:r w:rsidR="00BB1F54" w:rsidRPr="00EF1856">
          <w:rPr>
            <w:rStyle w:val="Hyperlink"/>
            <w:rFonts w:eastAsia="Times New Roman"/>
            <w:noProof/>
            <w:szCs w:val="24"/>
          </w:rPr>
          <w:t>http://data.europa.eu/eli/dir/2018/2001/oj</w:t>
        </w:r>
        <w:r w:rsidR="00BB1F54" w:rsidRPr="00EF1856">
          <w:rPr>
            <w:rStyle w:val="Hyperlink"/>
            <w:noProof/>
          </w:rPr>
          <w:t>)</w:t>
        </w:r>
      </w:hyperlink>
      <w:r>
        <w:rPr>
          <w:noProof/>
        </w:rPr>
        <w:t>.</w:t>
      </w:r>
      <w:r w:rsidR="00DF2107">
        <w:rPr>
          <w:noProof/>
        </w:rPr>
        <w:t>’;</w:t>
      </w:r>
    </w:p>
    <w:p w14:paraId="4A231646" w14:textId="729FDB3F" w:rsidR="00BB1F54" w:rsidRPr="005E0E3B" w:rsidRDefault="0016460B" w:rsidP="005E0E3B">
      <w:pPr>
        <w:pStyle w:val="Point1"/>
      </w:pPr>
      <w:r w:rsidRPr="005E0E3B">
        <w:t>(</w:t>
      </w:r>
      <w:r w:rsidR="005E0E3B">
        <w:t>b</w:t>
      </w:r>
      <w:r w:rsidRPr="005E0E3B">
        <w:t>)</w:t>
      </w:r>
      <w:r w:rsidRPr="005E0E3B">
        <w:tab/>
        <w:t>paragraph 8 is replaced by the following:</w:t>
      </w:r>
    </w:p>
    <w:p w14:paraId="3F1A5DA9" w14:textId="77777777" w:rsidR="00BB1F54" w:rsidRDefault="0016207C" w:rsidP="00B97C25">
      <w:pPr>
        <w:pStyle w:val="Text2"/>
        <w:rPr>
          <w:noProof/>
          <w:lang w:val="en-IE"/>
        </w:rPr>
      </w:pPr>
      <w:r>
        <w:rPr>
          <w:noProof/>
          <w:lang w:val="en-IE"/>
        </w:rPr>
        <w:t>‘</w:t>
      </w:r>
      <w:r w:rsidRPr="0004493C">
        <w:rPr>
          <w:noProof/>
          <w:lang w:val="en-IE"/>
        </w:rPr>
        <w:t xml:space="preserve">8.   By way of derogation from Article 12(3), Article 14(3) and Article 16, Member States shall consider the requirements set out in those provisions to be satisfied and shall take no action against aircraft operators in respect of emissions released until 31 December </w:t>
      </w:r>
      <w:r w:rsidRPr="0016207C">
        <w:rPr>
          <w:noProof/>
          <w:lang w:val="en-IE"/>
        </w:rPr>
        <w:t>2035</w:t>
      </w:r>
      <w:r w:rsidRPr="0004493C">
        <w:rPr>
          <w:noProof/>
          <w:lang w:val="en-IE"/>
        </w:rPr>
        <w:t xml:space="preserve"> from flights between an aerodrome located in an outermost region of a Member State and an aerodrome located in </w:t>
      </w:r>
      <w:r>
        <w:rPr>
          <w:noProof/>
        </w:rPr>
        <w:t>the same Member State, including another aerodrome located in the same</w:t>
      </w:r>
      <w:r w:rsidRPr="0004493C">
        <w:rPr>
          <w:noProof/>
          <w:lang w:val="en-IE"/>
        </w:rPr>
        <w:t xml:space="preserve"> outermost region or in another outermost region of the same Member State</w:t>
      </w:r>
      <w:r>
        <w:rPr>
          <w:noProof/>
          <w:lang w:val="en-IE"/>
        </w:rPr>
        <w:t>.’;</w:t>
      </w:r>
    </w:p>
    <w:p w14:paraId="7187FB40" w14:textId="0559D4F5" w:rsidR="008C28CE" w:rsidRPr="00B97C25" w:rsidRDefault="008C28CE" w:rsidP="005E0E3B">
      <w:pPr>
        <w:pStyle w:val="Point0"/>
        <w:rPr>
          <w:noProof/>
        </w:rPr>
      </w:pPr>
      <w:r>
        <w:rPr>
          <w:noProof/>
        </w:rPr>
        <w:t>(4)</w:t>
      </w:r>
      <w:r>
        <w:rPr>
          <w:noProof/>
        </w:rPr>
        <w:tab/>
      </w:r>
      <w:r w:rsidRPr="00B97C25">
        <w:rPr>
          <w:noProof/>
        </w:rPr>
        <w:t>Article 3ga is amended as follows:</w:t>
      </w:r>
    </w:p>
    <w:p w14:paraId="08BEC4CF" w14:textId="27C99453" w:rsidR="008845AB" w:rsidRPr="005E0E3B" w:rsidRDefault="0048495A" w:rsidP="005E0E3B">
      <w:pPr>
        <w:pStyle w:val="Point1"/>
        <w:rPr>
          <w:noProof/>
        </w:rPr>
      </w:pPr>
      <w:r>
        <w:rPr>
          <w:noProof/>
        </w:rPr>
        <w:t xml:space="preserve">(a) </w:t>
      </w:r>
      <w:r w:rsidR="00B13FF5">
        <w:rPr>
          <w:noProof/>
        </w:rPr>
        <w:tab/>
      </w:r>
      <w:r w:rsidR="008C28CE" w:rsidRPr="005E0E3B">
        <w:rPr>
          <w:noProof/>
        </w:rPr>
        <w:t>paragraph 1</w:t>
      </w:r>
      <w:r w:rsidR="00F416BF" w:rsidRPr="005E0E3B">
        <w:rPr>
          <w:noProof/>
        </w:rPr>
        <w:t xml:space="preserve"> is replaced by the following</w:t>
      </w:r>
      <w:r w:rsidR="00826284" w:rsidRPr="005E0E3B">
        <w:rPr>
          <w:noProof/>
        </w:rPr>
        <w:t xml:space="preserve">: </w:t>
      </w:r>
    </w:p>
    <w:p w14:paraId="1990E4BC" w14:textId="77777777" w:rsidR="00577241" w:rsidRPr="005E0E3B" w:rsidRDefault="00633D2B" w:rsidP="005E0E3B">
      <w:pPr>
        <w:pStyle w:val="Text2"/>
      </w:pPr>
      <w:r w:rsidRPr="005E0E3B">
        <w:t>‘</w:t>
      </w:r>
      <w:r w:rsidR="00804D7D" w:rsidRPr="005E0E3B">
        <w:t xml:space="preserve">1.   </w:t>
      </w:r>
      <w:r w:rsidR="00577241" w:rsidRPr="005E0E3B">
        <w:t>In respect of ships transporting for commercial purposes cargo or passengers, t</w:t>
      </w:r>
      <w:r w:rsidR="00804D7D" w:rsidRPr="005E0E3B">
        <w:t>he allocation of allowances and the application of surrender requirements in respect of maritime transport activities shall apply in respect of fifty percent (50 %) of the emissions from ships performing voyages departing from a port of call under the jurisdiction of a Member State and arriving at a port of call outside the jurisdiction of a Member State, fifty percent (50 %) of the emissions from ships performing voyages departing from a port of call outside the jurisdiction of a Member State and arriving at a port of call under the jurisdiction of a Member State, one hundred percent (100 %) of emissions from ships performing voyages departing from a port of call under the jurisdiction of a Member State and arriving at a port of call under the jurisdiction of a Member State, and one hundred percent (100 %) of emissions from ships within a port of call under the jurisdiction of a Member State.</w:t>
      </w:r>
    </w:p>
    <w:p w14:paraId="66A3C83A" w14:textId="77777777" w:rsidR="006B1AEC" w:rsidRPr="005E0E3B" w:rsidRDefault="00C83E75" w:rsidP="005E0E3B">
      <w:pPr>
        <w:pStyle w:val="Text2"/>
      </w:pPr>
      <w:r w:rsidRPr="005E0E3B">
        <w:t xml:space="preserve">In respect of ships </w:t>
      </w:r>
      <w:r w:rsidR="00633D2B" w:rsidRPr="005E0E3B">
        <w:t>performing or supporting offshore operations</w:t>
      </w:r>
      <w:r w:rsidR="006B1AEC" w:rsidRPr="005E0E3B">
        <w:t xml:space="preserve"> in connection with an offshore worksite</w:t>
      </w:r>
      <w:r w:rsidR="00633D2B" w:rsidRPr="005E0E3B">
        <w:t xml:space="preserve">, the allocation of allowances and the application of surrender requirements shall apply in respect of </w:t>
      </w:r>
      <w:r w:rsidR="006B1AEC" w:rsidRPr="005E0E3B">
        <w:t>the following:</w:t>
      </w:r>
      <w:r w:rsidR="00633D2B" w:rsidRPr="005E0E3B">
        <w:t xml:space="preserve"> </w:t>
      </w:r>
    </w:p>
    <w:p w14:paraId="3445414C" w14:textId="77777777" w:rsidR="002B6B76" w:rsidRDefault="003E5224" w:rsidP="00F00A1E">
      <w:pPr>
        <w:pStyle w:val="Text3"/>
        <w:rPr>
          <w:noProof/>
          <w:lang w:val="en-IE"/>
        </w:rPr>
      </w:pPr>
      <w:r>
        <w:rPr>
          <w:noProof/>
          <w:lang w:val="en-IE"/>
        </w:rPr>
        <w:t xml:space="preserve">(i) </w:t>
      </w:r>
      <w:r w:rsidR="00633D2B" w:rsidRPr="00633D2B">
        <w:rPr>
          <w:noProof/>
          <w:lang w:val="en-IE"/>
        </w:rPr>
        <w:t>half of the emissions from that ship released during voyages between a port of call under the jurisdiction of a Member State and a port of call outside the jurisdiction of a Member State for the purpose of performing or supporting offshore operations in connection with an offshore worksite situated in the territorial sea, the EEZ</w:t>
      </w:r>
      <w:r w:rsidR="006B1AEC">
        <w:rPr>
          <w:noProof/>
          <w:lang w:val="en-IE"/>
        </w:rPr>
        <w:t>,</w:t>
      </w:r>
      <w:r w:rsidR="00633D2B" w:rsidRPr="00633D2B">
        <w:rPr>
          <w:noProof/>
          <w:lang w:val="en-IE"/>
        </w:rPr>
        <w:t xml:space="preserve"> the continental shelf</w:t>
      </w:r>
      <w:r w:rsidR="006B1AEC">
        <w:rPr>
          <w:noProof/>
          <w:lang w:val="en-IE"/>
        </w:rPr>
        <w:t xml:space="preserve"> or </w:t>
      </w:r>
      <w:r w:rsidR="002B6B76" w:rsidRPr="00633D2B">
        <w:rPr>
          <w:noProof/>
          <w:lang w:val="en-IE"/>
        </w:rPr>
        <w:t>the continental shelf</w:t>
      </w:r>
      <w:r w:rsidR="002B6B76">
        <w:rPr>
          <w:noProof/>
          <w:lang w:val="en-IE"/>
        </w:rPr>
        <w:t xml:space="preserve"> sea</w:t>
      </w:r>
      <w:r w:rsidR="00633D2B" w:rsidRPr="00633D2B">
        <w:rPr>
          <w:noProof/>
          <w:lang w:val="en-IE"/>
        </w:rPr>
        <w:t xml:space="preserve"> of a Member State</w:t>
      </w:r>
      <w:r w:rsidR="002B6B76">
        <w:rPr>
          <w:noProof/>
          <w:lang w:val="en-IE"/>
        </w:rPr>
        <w:t>;</w:t>
      </w:r>
      <w:r w:rsidR="00633D2B" w:rsidRPr="00633D2B">
        <w:rPr>
          <w:noProof/>
          <w:lang w:val="en-IE"/>
        </w:rPr>
        <w:t xml:space="preserve"> </w:t>
      </w:r>
    </w:p>
    <w:p w14:paraId="5FE6CD7C" w14:textId="77777777" w:rsidR="002B6B76" w:rsidRDefault="003E5224" w:rsidP="00F00A1E">
      <w:pPr>
        <w:pStyle w:val="Text3"/>
        <w:rPr>
          <w:noProof/>
          <w:lang w:val="en-IE"/>
        </w:rPr>
      </w:pPr>
      <w:r>
        <w:rPr>
          <w:noProof/>
          <w:lang w:val="en-IE"/>
        </w:rPr>
        <w:t xml:space="preserve">(ii) </w:t>
      </w:r>
      <w:r w:rsidR="00633D2B" w:rsidRPr="00633D2B">
        <w:rPr>
          <w:noProof/>
          <w:lang w:val="en-IE"/>
        </w:rPr>
        <w:t>all emissions from that ship released during voyages for the purpose of performing or supporting offshore operations in connection with an offshore worksite situated in the territorial sea, the EEZ</w:t>
      </w:r>
      <w:r w:rsidR="002B6B76">
        <w:rPr>
          <w:noProof/>
          <w:lang w:val="en-IE"/>
        </w:rPr>
        <w:t>, the continental shelf</w:t>
      </w:r>
      <w:r w:rsidR="00633D2B" w:rsidRPr="00633D2B">
        <w:rPr>
          <w:noProof/>
          <w:lang w:val="en-IE"/>
        </w:rPr>
        <w:t xml:space="preserve"> or the continental shelf </w:t>
      </w:r>
      <w:r w:rsidR="002B6B76">
        <w:rPr>
          <w:noProof/>
          <w:lang w:val="en-IE"/>
        </w:rPr>
        <w:t xml:space="preserve">sea </w:t>
      </w:r>
      <w:r w:rsidR="00633D2B" w:rsidRPr="00633D2B">
        <w:rPr>
          <w:noProof/>
          <w:lang w:val="en-IE"/>
        </w:rPr>
        <w:t>of a Member State that depart from a port of call under the jurisdiction of a Member State and arrive at a port of call under the jurisdiction of a Member State</w:t>
      </w:r>
      <w:r w:rsidR="002B6B76">
        <w:rPr>
          <w:noProof/>
          <w:lang w:val="en-IE"/>
        </w:rPr>
        <w:t>;</w:t>
      </w:r>
      <w:r w:rsidR="00633D2B" w:rsidRPr="00633D2B">
        <w:rPr>
          <w:noProof/>
          <w:lang w:val="en-IE"/>
        </w:rPr>
        <w:t xml:space="preserve"> </w:t>
      </w:r>
    </w:p>
    <w:p w14:paraId="3465F5D3" w14:textId="77777777" w:rsidR="00633D2B" w:rsidRPr="00633D2B" w:rsidRDefault="003E5224" w:rsidP="00F00A1E">
      <w:pPr>
        <w:pStyle w:val="Text3"/>
        <w:rPr>
          <w:noProof/>
          <w:lang w:val="en-IE"/>
        </w:rPr>
      </w:pPr>
      <w:r>
        <w:rPr>
          <w:noProof/>
          <w:lang w:val="en-IE"/>
        </w:rPr>
        <w:t xml:space="preserve">(iii) </w:t>
      </w:r>
      <w:r w:rsidR="00633D2B" w:rsidRPr="00633D2B">
        <w:rPr>
          <w:noProof/>
          <w:lang w:val="en-IE"/>
        </w:rPr>
        <w:t>all emissions from that ship within a port of call under the jurisdiction of a Member State, if these emissions are closely related to performing or supporting offshore operations in connection with an offshore worksite situated in the territorial sea, the EEZ</w:t>
      </w:r>
      <w:r w:rsidR="00E848E5">
        <w:rPr>
          <w:noProof/>
          <w:lang w:val="en-IE"/>
        </w:rPr>
        <w:t>, the continental shelf</w:t>
      </w:r>
      <w:r w:rsidR="00633D2B" w:rsidRPr="00633D2B">
        <w:rPr>
          <w:noProof/>
          <w:lang w:val="en-IE"/>
        </w:rPr>
        <w:t xml:space="preserve"> or the continental shelf </w:t>
      </w:r>
      <w:r w:rsidR="00E848E5">
        <w:rPr>
          <w:noProof/>
          <w:lang w:val="en-IE"/>
        </w:rPr>
        <w:t>sea</w:t>
      </w:r>
      <w:r w:rsidR="00633D2B" w:rsidRPr="00633D2B">
        <w:rPr>
          <w:noProof/>
          <w:lang w:val="en-IE"/>
        </w:rPr>
        <w:t xml:space="preserve"> of a Member State.</w:t>
      </w:r>
    </w:p>
    <w:p w14:paraId="46946915" w14:textId="77777777" w:rsidR="00633D2B" w:rsidRDefault="00EB2BD5" w:rsidP="00F00A1E">
      <w:pPr>
        <w:pStyle w:val="Text2"/>
        <w:rPr>
          <w:noProof/>
          <w:lang w:val="en-IE"/>
        </w:rPr>
      </w:pPr>
      <w:r>
        <w:rPr>
          <w:noProof/>
          <w:lang w:val="en-IE"/>
        </w:rPr>
        <w:t>However, t</w:t>
      </w:r>
      <w:r w:rsidR="00633D2B" w:rsidRPr="00633D2B">
        <w:rPr>
          <w:noProof/>
          <w:lang w:val="en-IE"/>
        </w:rPr>
        <w:t>he allocation of allowances and the application of surrender requirements shall not apply in respect of emissions released during voyages for the purpose of performing or supporting offshore operations in connection with an offshore worksite situated outside the territorial sea, the EEZ</w:t>
      </w:r>
      <w:r w:rsidR="002B6B76">
        <w:rPr>
          <w:noProof/>
          <w:lang w:val="en-IE"/>
        </w:rPr>
        <w:t>, the continental shelf</w:t>
      </w:r>
      <w:r w:rsidR="00633D2B" w:rsidRPr="00633D2B">
        <w:rPr>
          <w:noProof/>
          <w:lang w:val="en-IE"/>
        </w:rPr>
        <w:t xml:space="preserve"> or the continental shelf</w:t>
      </w:r>
      <w:r w:rsidR="002B6B76">
        <w:rPr>
          <w:noProof/>
          <w:lang w:val="en-IE"/>
        </w:rPr>
        <w:t xml:space="preserve"> sea</w:t>
      </w:r>
      <w:r w:rsidR="00633D2B" w:rsidRPr="00633D2B">
        <w:rPr>
          <w:noProof/>
          <w:lang w:val="en-IE"/>
        </w:rPr>
        <w:t xml:space="preserve"> of a Member State, and in respect of emissions released within a port of call under the jurisdiction of a Member State, if these emissions are closely related to performing or supporting offshore operations in connection with an offshore worksite situated outside the territorial sea, the EEZ</w:t>
      </w:r>
      <w:r w:rsidR="002B6B76">
        <w:rPr>
          <w:noProof/>
          <w:lang w:val="en-IE"/>
        </w:rPr>
        <w:t>, the continental shelf</w:t>
      </w:r>
      <w:r w:rsidR="00633D2B" w:rsidRPr="00633D2B">
        <w:rPr>
          <w:noProof/>
          <w:lang w:val="en-IE"/>
        </w:rPr>
        <w:t xml:space="preserve"> or the continental shelf </w:t>
      </w:r>
      <w:r w:rsidR="002B6B76">
        <w:rPr>
          <w:noProof/>
          <w:lang w:val="en-IE"/>
        </w:rPr>
        <w:t>sea</w:t>
      </w:r>
      <w:r w:rsidR="00633D2B" w:rsidRPr="00633D2B">
        <w:rPr>
          <w:noProof/>
          <w:lang w:val="en-IE"/>
        </w:rPr>
        <w:t xml:space="preserve"> of a Member State.’;</w:t>
      </w:r>
    </w:p>
    <w:p w14:paraId="469024C4" w14:textId="47F9C7FE" w:rsidR="00AB51B8" w:rsidRPr="004F6AF9" w:rsidRDefault="008C28CE" w:rsidP="00B97C25">
      <w:pPr>
        <w:pStyle w:val="Point1"/>
        <w:rPr>
          <w:noProof/>
          <w:lang w:val="en-IE"/>
        </w:rPr>
      </w:pPr>
      <w:r>
        <w:rPr>
          <w:noProof/>
        </w:rPr>
        <w:t>(b)</w:t>
      </w:r>
      <w:r>
        <w:rPr>
          <w:noProof/>
        </w:rPr>
        <w:tab/>
      </w:r>
      <w:r w:rsidRPr="004F6AF9">
        <w:rPr>
          <w:noProof/>
          <w:lang w:val="en-IE"/>
        </w:rPr>
        <w:t>paragraph 2 is</w:t>
      </w:r>
      <w:r w:rsidR="005B7697" w:rsidRPr="004F6AF9">
        <w:rPr>
          <w:noProof/>
          <w:lang w:val="en-IE"/>
        </w:rPr>
        <w:t xml:space="preserve"> </w:t>
      </w:r>
      <w:r w:rsidR="00AB51B8" w:rsidRPr="004F6AF9">
        <w:rPr>
          <w:noProof/>
          <w:lang w:val="en-IE"/>
        </w:rPr>
        <w:t>replaced by the following</w:t>
      </w:r>
      <w:r w:rsidR="00633D2B" w:rsidRPr="004F6AF9">
        <w:rPr>
          <w:noProof/>
          <w:lang w:val="en-IE"/>
        </w:rPr>
        <w:t xml:space="preserve">: </w:t>
      </w:r>
    </w:p>
    <w:p w14:paraId="22DF60C0" w14:textId="77777777" w:rsidR="006D7C79" w:rsidRDefault="00633D2B" w:rsidP="00F00A1E">
      <w:pPr>
        <w:pStyle w:val="Text2"/>
        <w:rPr>
          <w:noProof/>
          <w:lang w:val="en-IE"/>
        </w:rPr>
      </w:pPr>
      <w:r w:rsidRPr="00633D2B">
        <w:rPr>
          <w:noProof/>
          <w:lang w:val="en-IE"/>
        </w:rPr>
        <w:t>‘</w:t>
      </w:r>
      <w:r w:rsidR="006D7C79">
        <w:rPr>
          <w:noProof/>
          <w:lang w:val="en-IE"/>
        </w:rPr>
        <w:t xml:space="preserve">2. </w:t>
      </w:r>
      <w:r w:rsidRPr="00633D2B">
        <w:rPr>
          <w:noProof/>
          <w:lang w:val="en-IE"/>
        </w:rPr>
        <w:t>The Commission shall by means of implementing acts establish a list of neighbouring container transhipment ports and update that list, where necessary, by 31 December every year.</w:t>
      </w:r>
    </w:p>
    <w:p w14:paraId="6E8F6EA7" w14:textId="77777777" w:rsidR="00E044EC" w:rsidRPr="003A50D3" w:rsidRDefault="00E044EC" w:rsidP="00F00A1E">
      <w:pPr>
        <w:pStyle w:val="Text2"/>
        <w:rPr>
          <w:noProof/>
          <w:lang w:val="en-IE"/>
        </w:rPr>
      </w:pPr>
      <w:r w:rsidRPr="003A50D3">
        <w:rPr>
          <w:noProof/>
          <w:lang w:val="en-IE"/>
        </w:rPr>
        <w:t>Those implementing acts shall list a port as a neighbouring container transhipment port either where that port is located outside the Union but less than 150 nautical miles from a port under the jurisdiction of a Member State</w:t>
      </w:r>
      <w:r w:rsidR="00D62863">
        <w:rPr>
          <w:noProof/>
          <w:lang w:val="en-IE"/>
        </w:rPr>
        <w:t>,</w:t>
      </w:r>
      <w:r w:rsidRPr="003A50D3">
        <w:rPr>
          <w:noProof/>
          <w:lang w:val="en-IE"/>
        </w:rPr>
        <w:t xml:space="preserve"> where the draught and berth length of that port exceed 11 meters and 250 meters, respectively, </w:t>
      </w:r>
      <w:r w:rsidR="00D62863" w:rsidRPr="00D62863">
        <w:rPr>
          <w:noProof/>
          <w:lang w:val="en-IE"/>
        </w:rPr>
        <w:t xml:space="preserve">and where there are available ship-to-shore cranes suitable for container transhipment operations, </w:t>
      </w:r>
      <w:r w:rsidRPr="003A50D3">
        <w:rPr>
          <w:noProof/>
          <w:lang w:val="en-IE"/>
        </w:rPr>
        <w:t>or where the share of transhipment of containers, measured in twenty-foot equivalent units, exceeds 50 % of the total container traffic of that port during the most recent twelve-month period for which relevant data are available and where that port is located outside the Union but less than 300 nautical miles from a port under the jurisdiction of a Member State. For the purposes of this paragraph, containers shall be considered to be transhipped when they are unloaded from a ship to the port for the sole purpose of being loaded onto another ship. The list established by the Commission pursuant to the first subparagraph shall not include ports located in a third country for which that third country effectively applies measures equivalent to this Directive.</w:t>
      </w:r>
      <w:r w:rsidR="003A50D3" w:rsidRPr="003A50D3">
        <w:rPr>
          <w:noProof/>
        </w:rPr>
        <w:t xml:space="preserve"> </w:t>
      </w:r>
      <w:r w:rsidR="003A50D3" w:rsidRPr="003A50D3">
        <w:rPr>
          <w:noProof/>
          <w:lang w:val="en-IE"/>
        </w:rPr>
        <w:t>This includes ports in third countries with whom an ETS linking agreement is in place.</w:t>
      </w:r>
    </w:p>
    <w:p w14:paraId="0F94F2C2" w14:textId="77777777" w:rsidR="00633D2B" w:rsidRDefault="07977AA5" w:rsidP="00F00A1E">
      <w:pPr>
        <w:pStyle w:val="Text2"/>
        <w:rPr>
          <w:noProof/>
          <w:color w:val="000000" w:themeColor="text1"/>
        </w:rPr>
      </w:pPr>
      <w:r w:rsidRPr="2193DBD9">
        <w:rPr>
          <w:noProof/>
          <w:lang w:val="en-IE"/>
        </w:rPr>
        <w:t xml:space="preserve">Those </w:t>
      </w:r>
      <w:r>
        <w:rPr>
          <w:noProof/>
          <w:color w:val="000000" w:themeColor="text1"/>
          <w:lang w:val="en-IE"/>
        </w:rPr>
        <w:t>implementing acts shall be adopted in accordance with the examination procedure referred to in Article 22a(2)</w:t>
      </w:r>
      <w:r w:rsidR="2A442D4C">
        <w:rPr>
          <w:noProof/>
          <w:color w:val="000000" w:themeColor="text1"/>
          <w:lang w:val="en-IE"/>
        </w:rPr>
        <w:t>.</w:t>
      </w:r>
      <w:r w:rsidR="37614409">
        <w:rPr>
          <w:noProof/>
          <w:color w:val="000000" w:themeColor="text1"/>
          <w:lang w:val="en-IE"/>
        </w:rPr>
        <w:t>’;</w:t>
      </w:r>
    </w:p>
    <w:p w14:paraId="78A53F49" w14:textId="715A34B9" w:rsidR="00093712" w:rsidRDefault="00093712" w:rsidP="00093712">
      <w:pPr>
        <w:pStyle w:val="Point1"/>
        <w:rPr>
          <w:noProof/>
          <w:color w:val="000000" w:themeColor="text1"/>
          <w:lang w:val="en-IE"/>
        </w:rPr>
      </w:pPr>
      <w:r>
        <w:rPr>
          <w:noProof/>
        </w:rPr>
        <w:t>(c)</w:t>
      </w:r>
      <w:r>
        <w:rPr>
          <w:noProof/>
        </w:rPr>
        <w:tab/>
      </w:r>
      <w:r>
        <w:rPr>
          <w:rFonts w:eastAsia="Times New Roman"/>
          <w:noProof/>
          <w:color w:val="000000" w:themeColor="text1"/>
          <w:szCs w:val="24"/>
          <w:lang w:val="en-IE"/>
        </w:rPr>
        <w:t>paragraph</w:t>
      </w:r>
      <w:r>
        <w:rPr>
          <w:noProof/>
          <w:color w:val="000000" w:themeColor="text1"/>
          <w:lang w:val="en-IE"/>
        </w:rPr>
        <w:t xml:space="preserve"> 3 is </w:t>
      </w:r>
      <w:r w:rsidR="00387946">
        <w:rPr>
          <w:noProof/>
          <w:color w:val="000000" w:themeColor="text1"/>
          <w:lang w:val="en-IE"/>
        </w:rPr>
        <w:t>amended as</w:t>
      </w:r>
      <w:r>
        <w:rPr>
          <w:noProof/>
          <w:color w:val="000000" w:themeColor="text1"/>
          <w:lang w:val="en-IE"/>
        </w:rPr>
        <w:t xml:space="preserve"> follow</w:t>
      </w:r>
      <w:r w:rsidR="00387946">
        <w:rPr>
          <w:noProof/>
          <w:color w:val="000000" w:themeColor="text1"/>
          <w:lang w:val="en-IE"/>
        </w:rPr>
        <w:t>s</w:t>
      </w:r>
      <w:r>
        <w:rPr>
          <w:noProof/>
          <w:color w:val="000000" w:themeColor="text1"/>
          <w:lang w:val="en-IE"/>
        </w:rPr>
        <w:t>:  </w:t>
      </w:r>
    </w:p>
    <w:p w14:paraId="7679CB2D" w14:textId="2CA58AFA" w:rsidR="00093712" w:rsidRPr="00B97C25" w:rsidRDefault="00093712" w:rsidP="00B97C25">
      <w:pPr>
        <w:pStyle w:val="Text2"/>
        <w:rPr>
          <w:noProof/>
          <w:lang w:val="en-IE"/>
        </w:rPr>
      </w:pPr>
      <w:r>
        <w:rPr>
          <w:noProof/>
          <w:color w:val="000000" w:themeColor="text1"/>
        </w:rPr>
        <w:t>(i)</w:t>
      </w:r>
      <w:r>
        <w:rPr>
          <w:noProof/>
          <w:color w:val="000000" w:themeColor="text1"/>
          <w:lang w:val="en-IE"/>
        </w:rPr>
        <w:t xml:space="preserve"> the date “31 December 2030” is replaced by “31 </w:t>
      </w:r>
      <w:r w:rsidRPr="00B97C25">
        <w:rPr>
          <w:noProof/>
          <w:lang w:val="en-IE"/>
        </w:rPr>
        <w:t>December 2038”.  </w:t>
      </w:r>
    </w:p>
    <w:p w14:paraId="74C01A92" w14:textId="65D176B4" w:rsidR="00387946" w:rsidRDefault="00093712">
      <w:pPr>
        <w:pStyle w:val="Text2"/>
        <w:rPr>
          <w:noProof/>
        </w:rPr>
      </w:pPr>
      <w:r w:rsidRPr="00B97C25">
        <w:rPr>
          <w:noProof/>
        </w:rPr>
        <w:t>(ii)  </w:t>
      </w:r>
      <w:r>
        <w:rPr>
          <w:noProof/>
        </w:rPr>
        <w:t>the</w:t>
      </w:r>
      <w:r w:rsidRPr="00B97C25">
        <w:rPr>
          <w:noProof/>
        </w:rPr>
        <w:t xml:space="preserve"> </w:t>
      </w:r>
      <w:r w:rsidR="00387946">
        <w:rPr>
          <w:noProof/>
        </w:rPr>
        <w:t xml:space="preserve">penultimate </w:t>
      </w:r>
      <w:r w:rsidRPr="00B97C25">
        <w:rPr>
          <w:noProof/>
        </w:rPr>
        <w:t xml:space="preserve">sentence </w:t>
      </w:r>
      <w:r w:rsidR="00387946">
        <w:rPr>
          <w:noProof/>
        </w:rPr>
        <w:t>is replaced by the following:</w:t>
      </w:r>
    </w:p>
    <w:p w14:paraId="397480B3" w14:textId="04DFAEAA" w:rsidR="00093712" w:rsidRPr="00B97C25" w:rsidRDefault="00387946" w:rsidP="00B97C25">
      <w:pPr>
        <w:pStyle w:val="Text2"/>
        <w:rPr>
          <w:noProof/>
          <w:lang w:val="en-IE"/>
        </w:rPr>
      </w:pPr>
      <w:r w:rsidRPr="004A34E5">
        <w:rPr>
          <w:noProof/>
        </w:rPr>
        <w:t xml:space="preserve"> ‘The revenue generated from the auctioning of that share of allowances shall be used for the </w:t>
      </w:r>
      <w:r>
        <w:rPr>
          <w:noProof/>
        </w:rPr>
        <w:t xml:space="preserve">priority </w:t>
      </w:r>
      <w:r w:rsidRPr="004A34E5">
        <w:rPr>
          <w:noProof/>
        </w:rPr>
        <w:t xml:space="preserve">purposes referred to in </w:t>
      </w:r>
      <w:r>
        <w:rPr>
          <w:noProof/>
        </w:rPr>
        <w:t xml:space="preserve">the first subparagraph of </w:t>
      </w:r>
      <w:r w:rsidRPr="004A34E5">
        <w:rPr>
          <w:noProof/>
        </w:rPr>
        <w:t>Article 10(3), points (a)</w:t>
      </w:r>
      <w:r w:rsidR="00690AC6">
        <w:rPr>
          <w:noProof/>
        </w:rPr>
        <w:t xml:space="preserve"> and</w:t>
      </w:r>
      <w:r w:rsidRPr="004A34E5">
        <w:rPr>
          <w:noProof/>
        </w:rPr>
        <w:t xml:space="preserve"> (</w:t>
      </w:r>
      <w:r>
        <w:rPr>
          <w:noProof/>
        </w:rPr>
        <w:t>d), and for purpose (g) of the purposes referred to in the second subparagraph of Article 10(3</w:t>
      </w:r>
      <w:r w:rsidR="00471F83">
        <w:rPr>
          <w:noProof/>
        </w:rPr>
        <w:t>)</w:t>
      </w:r>
      <w:r w:rsidRPr="004A34E5">
        <w:rPr>
          <w:noProof/>
        </w:rPr>
        <w:t>.’</w:t>
      </w:r>
      <w:r w:rsidR="00093712" w:rsidRPr="00B97C25">
        <w:rPr>
          <w:noProof/>
          <w:lang w:val="en-IE"/>
        </w:rPr>
        <w:t> </w:t>
      </w:r>
    </w:p>
    <w:p w14:paraId="143C6BDA" w14:textId="77777777" w:rsidR="008A50D4" w:rsidRDefault="2193DBD9" w:rsidP="00493744">
      <w:pPr>
        <w:pStyle w:val="Point1"/>
        <w:rPr>
          <w:noProof/>
          <w:lang w:val="en-IE"/>
        </w:rPr>
      </w:pPr>
      <w:r>
        <w:rPr>
          <w:noProof/>
        </w:rPr>
        <w:t>(d)</w:t>
      </w:r>
      <w:r>
        <w:rPr>
          <w:noProof/>
        </w:rPr>
        <w:tab/>
      </w:r>
      <w:r w:rsidRPr="2193DBD9">
        <w:rPr>
          <w:noProof/>
          <w:lang w:val="en-IE"/>
        </w:rPr>
        <w:t xml:space="preserve">the following </w:t>
      </w:r>
      <w:r w:rsidR="0563F6A2" w:rsidRPr="2193DBD9">
        <w:rPr>
          <w:noProof/>
          <w:lang w:val="en-IE"/>
        </w:rPr>
        <w:t xml:space="preserve">new </w:t>
      </w:r>
      <w:r w:rsidR="2D037E95" w:rsidRPr="2193DBD9">
        <w:rPr>
          <w:noProof/>
          <w:lang w:val="en-IE"/>
        </w:rPr>
        <w:t>paragraph is added</w:t>
      </w:r>
      <w:r w:rsidRPr="2193DBD9">
        <w:rPr>
          <w:noProof/>
          <w:lang w:val="en-IE"/>
        </w:rPr>
        <w:t>:</w:t>
      </w:r>
    </w:p>
    <w:p w14:paraId="6EBEE3B9" w14:textId="77777777" w:rsidR="002F254E" w:rsidRPr="00FF67ED" w:rsidRDefault="002F254E" w:rsidP="00F00A1E">
      <w:pPr>
        <w:pStyle w:val="Text2"/>
        <w:rPr>
          <w:noProof/>
          <w:lang w:val="en-IE"/>
        </w:rPr>
      </w:pPr>
      <w:r>
        <w:rPr>
          <w:noProof/>
          <w:lang w:val="en-IE"/>
        </w:rPr>
        <w:t>‘</w:t>
      </w:r>
      <w:r w:rsidR="0005284F">
        <w:rPr>
          <w:noProof/>
          <w:lang w:val="en-IE"/>
        </w:rPr>
        <w:t xml:space="preserve">4. </w:t>
      </w:r>
      <w:r w:rsidRPr="00FF67ED">
        <w:rPr>
          <w:noProof/>
          <w:lang w:val="en-IE"/>
        </w:rPr>
        <w:t>In the period until 2040, the Commission shall use up to a maximum of</w:t>
      </w:r>
      <w:r>
        <w:rPr>
          <w:noProof/>
          <w:lang w:val="en-IE"/>
        </w:rPr>
        <w:t xml:space="preserve"> </w:t>
      </w:r>
      <w:r w:rsidR="00D86D3B">
        <w:rPr>
          <w:noProof/>
          <w:lang w:val="en-IE"/>
        </w:rPr>
        <w:t>0.5</w:t>
      </w:r>
      <w:r>
        <w:rPr>
          <w:noProof/>
          <w:lang w:val="en-IE"/>
        </w:rPr>
        <w:t xml:space="preserve"> </w:t>
      </w:r>
      <w:r w:rsidRPr="00FF67ED">
        <w:rPr>
          <w:noProof/>
          <w:lang w:val="en-IE"/>
        </w:rPr>
        <w:t>million allowances from the Union-wide quantity of allowances referred to in Article 9 to cover the financing of the</w:t>
      </w:r>
      <w:r>
        <w:rPr>
          <w:noProof/>
          <w:lang w:val="en-IE"/>
        </w:rPr>
        <w:t xml:space="preserve"> implementation of the system in relation to maritime transport activities.</w:t>
      </w:r>
      <w:r w:rsidRPr="00FF67ED">
        <w:rPr>
          <w:noProof/>
          <w:lang w:val="en-IE"/>
        </w:rPr>
        <w:t xml:space="preserve"> </w:t>
      </w:r>
    </w:p>
    <w:p w14:paraId="2C331895" w14:textId="77777777" w:rsidR="0004243F" w:rsidRDefault="002F254E" w:rsidP="00F00A1E">
      <w:pPr>
        <w:pStyle w:val="Text2"/>
        <w:rPr>
          <w:noProof/>
          <w:lang w:val="en-IE"/>
        </w:rPr>
      </w:pPr>
      <w:r w:rsidRPr="00FF67ED">
        <w:rPr>
          <w:noProof/>
          <w:lang w:val="en-IE"/>
        </w:rPr>
        <w:t>These allowances shall be auctioned in accordance with Article 10(4)</w:t>
      </w:r>
      <w:r>
        <w:rPr>
          <w:noProof/>
          <w:lang w:val="en-IE"/>
        </w:rPr>
        <w:t xml:space="preserve"> of this Directive</w:t>
      </w:r>
      <w:r w:rsidRPr="00FF67ED">
        <w:rPr>
          <w:noProof/>
          <w:lang w:val="en-IE"/>
        </w:rPr>
        <w:t>, with proceeds constituting external assigned revenue under Article 21(5) of Regulation (EU, Euratom) 2024/2509.</w:t>
      </w:r>
      <w:r>
        <w:rPr>
          <w:noProof/>
          <w:lang w:val="en-IE"/>
        </w:rPr>
        <w:t>’</w:t>
      </w:r>
      <w:r w:rsidR="0005284F">
        <w:rPr>
          <w:noProof/>
          <w:lang w:val="en-IE"/>
        </w:rPr>
        <w:t>;</w:t>
      </w:r>
      <w:r w:rsidRPr="00FF67ED">
        <w:rPr>
          <w:noProof/>
          <w:lang w:val="en-IE"/>
        </w:rPr>
        <w:t xml:space="preserve"> </w:t>
      </w:r>
    </w:p>
    <w:p w14:paraId="3F42E704" w14:textId="441ABB32" w:rsidR="00633D2B" w:rsidRPr="00B97C25" w:rsidRDefault="00633D2B" w:rsidP="005E0E3B">
      <w:pPr>
        <w:pStyle w:val="Point0"/>
        <w:rPr>
          <w:noProof/>
        </w:rPr>
      </w:pPr>
      <w:r>
        <w:rPr>
          <w:noProof/>
        </w:rPr>
        <w:t>(5)</w:t>
      </w:r>
      <w:r>
        <w:rPr>
          <w:noProof/>
        </w:rPr>
        <w:tab/>
      </w:r>
      <w:r w:rsidRPr="00B97C25">
        <w:rPr>
          <w:noProof/>
        </w:rPr>
        <w:t xml:space="preserve">the following Article 3gaa is inserted: </w:t>
      </w:r>
    </w:p>
    <w:p w14:paraId="04A56AF5" w14:textId="77777777" w:rsidR="00633D2B" w:rsidRPr="00633D2B" w:rsidRDefault="00633D2B" w:rsidP="009D5618">
      <w:pPr>
        <w:pStyle w:val="Titrearticle"/>
        <w:rPr>
          <w:noProof/>
          <w:lang w:val="en-IE"/>
        </w:rPr>
      </w:pPr>
      <w:r w:rsidRPr="00633D2B">
        <w:rPr>
          <w:noProof/>
          <w:lang w:val="en-IE"/>
        </w:rPr>
        <w:t>‘</w:t>
      </w:r>
      <w:r w:rsidRPr="008F25D7">
        <w:rPr>
          <w:noProof/>
          <w:lang w:val="en-IE"/>
        </w:rPr>
        <w:t>Article 3gaa</w:t>
      </w:r>
    </w:p>
    <w:p w14:paraId="5904FF10" w14:textId="77777777" w:rsidR="00633D2B" w:rsidRPr="008F25D7" w:rsidRDefault="00633D2B" w:rsidP="001241CC">
      <w:pPr>
        <w:ind w:left="720" w:hanging="720"/>
        <w:jc w:val="center"/>
        <w:rPr>
          <w:b/>
          <w:bCs/>
          <w:noProof/>
          <w:lang w:val="en-IE"/>
        </w:rPr>
      </w:pPr>
      <w:r w:rsidRPr="008F25D7">
        <w:rPr>
          <w:b/>
          <w:bCs/>
          <w:noProof/>
          <w:lang w:val="en-IE"/>
        </w:rPr>
        <w:t>Reservation and allocation of allowances for the use of sustainable maritime fuels and zero-emission propulsion technologies</w:t>
      </w:r>
    </w:p>
    <w:p w14:paraId="2FB9DC49" w14:textId="77777777" w:rsidR="00633D2B" w:rsidRPr="00633D2B" w:rsidRDefault="001B333C" w:rsidP="00F90D41">
      <w:pPr>
        <w:pStyle w:val="LegalNumPar"/>
        <w:spacing w:line="240" w:lineRule="auto"/>
        <w:ind w:left="0" w:firstLine="0"/>
        <w:rPr>
          <w:noProof/>
          <w:lang w:val="en-IE"/>
        </w:rPr>
      </w:pPr>
      <w:r>
        <w:rPr>
          <w:noProof/>
          <w:lang w:val="en-IE"/>
        </w:rPr>
        <w:t>Notwithstanding Article 10(1), f</w:t>
      </w:r>
      <w:r w:rsidR="00633D2B" w:rsidRPr="00633D2B">
        <w:rPr>
          <w:noProof/>
          <w:lang w:val="en-IE"/>
        </w:rPr>
        <w:t xml:space="preserve">or the period from 1 January [2028/first year after the entry into force of this Directive] to 31 December </w:t>
      </w:r>
      <w:r w:rsidR="00FE53DD">
        <w:rPr>
          <w:noProof/>
          <w:lang w:val="en-IE"/>
        </w:rPr>
        <w:t>2040</w:t>
      </w:r>
      <w:r w:rsidR="00633D2B" w:rsidRPr="00633D2B">
        <w:rPr>
          <w:noProof/>
          <w:lang w:val="en-IE"/>
        </w:rPr>
        <w:t xml:space="preserve">, a maximum of </w:t>
      </w:r>
      <w:r w:rsidR="00FE53DD">
        <w:rPr>
          <w:noProof/>
          <w:lang w:val="en-IE"/>
        </w:rPr>
        <w:t>110</w:t>
      </w:r>
      <w:r w:rsidR="00633D2B" w:rsidRPr="00633D2B">
        <w:rPr>
          <w:noProof/>
          <w:lang w:val="en-IE"/>
        </w:rPr>
        <w:t xml:space="preserve"> million of the Union-wide quantity of allowances referred to in Article 9 shall be reserved for the use of sustainable maritime fuels or the deployment and operation of zero-emission propulsion technologies, including electric and wind-assisted propulsion systems, provided that th</w:t>
      </w:r>
      <w:r w:rsidR="00F62A21">
        <w:rPr>
          <w:noProof/>
          <w:lang w:val="en-IE"/>
        </w:rPr>
        <w:t>o</w:t>
      </w:r>
      <w:r w:rsidR="00633D2B" w:rsidRPr="00633D2B">
        <w:rPr>
          <w:noProof/>
          <w:lang w:val="en-IE"/>
        </w:rPr>
        <w:t xml:space="preserve">se fuels and technologies are used in accordance with the rules laid down in this Article. </w:t>
      </w:r>
    </w:p>
    <w:p w14:paraId="08449D56" w14:textId="77777777" w:rsidR="00633D2B" w:rsidRPr="00633D2B" w:rsidRDefault="00633D2B" w:rsidP="00F90D41">
      <w:pPr>
        <w:pStyle w:val="LegalNumPar"/>
        <w:spacing w:line="240" w:lineRule="auto"/>
        <w:ind w:left="0" w:firstLine="0"/>
        <w:rPr>
          <w:noProof/>
          <w:lang w:val="en-IE"/>
        </w:rPr>
      </w:pPr>
      <w:r w:rsidRPr="00633D2B">
        <w:rPr>
          <w:noProof/>
          <w:lang w:val="en-IE"/>
        </w:rPr>
        <w:t xml:space="preserve">For the purposes of this Article, ‘sustainable maritime fuels’ means: </w:t>
      </w:r>
    </w:p>
    <w:p w14:paraId="4B54A44A" w14:textId="77777777" w:rsidR="00633D2B" w:rsidRPr="001E1E28" w:rsidRDefault="003467DF">
      <w:pPr>
        <w:pStyle w:val="Point1"/>
        <w:rPr>
          <w:noProof/>
          <w:lang w:val="en-IE"/>
        </w:rPr>
      </w:pPr>
      <w:r>
        <w:rPr>
          <w:noProof/>
        </w:rPr>
        <w:t>(a)</w:t>
      </w:r>
      <w:r>
        <w:rPr>
          <w:noProof/>
        </w:rPr>
        <w:tab/>
      </w:r>
      <w:r w:rsidRPr="001E1E28">
        <w:rPr>
          <w:noProof/>
          <w:lang w:val="en-IE"/>
        </w:rPr>
        <w:t>biogas and advanced biofuels</w:t>
      </w:r>
      <w:r w:rsidR="00633D2B" w:rsidRPr="001E1E28">
        <w:rPr>
          <w:noProof/>
          <w:lang w:val="en-IE"/>
        </w:rPr>
        <w:t xml:space="preserve"> as defined in Article 2, second paragraph, points (28) and (34), </w:t>
      </w:r>
      <w:r w:rsidRPr="001E1E28">
        <w:rPr>
          <w:noProof/>
          <w:lang w:val="en-IE"/>
        </w:rPr>
        <w:t xml:space="preserve">respectively, </w:t>
      </w:r>
      <w:r w:rsidR="00633D2B" w:rsidRPr="001E1E28">
        <w:rPr>
          <w:noProof/>
          <w:lang w:val="en-IE"/>
        </w:rPr>
        <w:t xml:space="preserve">of Directive (EU) 2018/2001, for which the emission factor is zero under Annex IV of this Directive or under the implementing act adopted pursuant to Article 14 of this Directive; </w:t>
      </w:r>
    </w:p>
    <w:p w14:paraId="092F7FA1" w14:textId="77777777" w:rsidR="00633D2B" w:rsidRPr="004F6AF9" w:rsidRDefault="00633D2B">
      <w:pPr>
        <w:pStyle w:val="Point1"/>
        <w:rPr>
          <w:noProof/>
          <w:lang w:val="en-IE"/>
        </w:rPr>
      </w:pPr>
      <w:r>
        <w:rPr>
          <w:noProof/>
        </w:rPr>
        <w:t>(b)</w:t>
      </w:r>
      <w:r>
        <w:rPr>
          <w:noProof/>
        </w:rPr>
        <w:tab/>
      </w:r>
      <w:r w:rsidRPr="004F6AF9">
        <w:rPr>
          <w:noProof/>
          <w:lang w:val="en-IE"/>
        </w:rPr>
        <w:t>renewable fuels of non-biological origin compliant with Article 25 of Directive (EU) 2018/2001, for which the emission factor is zero under Annex IV or under the implementing act adopted pursuant to Article 14 of this Directive;</w:t>
      </w:r>
    </w:p>
    <w:p w14:paraId="7E4007AB" w14:textId="62CB21D5" w:rsidR="00633D2B" w:rsidRPr="006B0541" w:rsidRDefault="00CF4F43" w:rsidP="009D5618">
      <w:pPr>
        <w:pStyle w:val="Point1"/>
        <w:rPr>
          <w:noProof/>
          <w:lang w:val="en-IE"/>
        </w:rPr>
      </w:pPr>
      <w:r>
        <w:rPr>
          <w:noProof/>
        </w:rPr>
        <w:t>(c)</w:t>
      </w:r>
      <w:r>
        <w:rPr>
          <w:noProof/>
        </w:rPr>
        <w:tab/>
      </w:r>
      <w:r w:rsidRPr="00CF4F43">
        <w:rPr>
          <w:noProof/>
          <w:lang w:val="en-IE"/>
        </w:rPr>
        <w:t>low-carbon hydrogen and low-carbon fuels as defined respectively in Article 2, point (11) and (13) of Directive (EU) 2024/1788 for which the emission factor is zero under Annex IV or under the implementing act adopted pursuant to Article 14 of this Directive.</w:t>
      </w:r>
      <w:r w:rsidR="00633D2B" w:rsidRPr="006B0541">
        <w:rPr>
          <w:noProof/>
          <w:lang w:val="en-IE"/>
        </w:rPr>
        <w:t>.</w:t>
      </w:r>
    </w:p>
    <w:p w14:paraId="7973368F" w14:textId="77777777" w:rsidR="009D5618" w:rsidRDefault="00633D2B" w:rsidP="00F90D41">
      <w:pPr>
        <w:pStyle w:val="LegalNumPar"/>
        <w:spacing w:line="240" w:lineRule="auto"/>
        <w:ind w:left="0" w:firstLine="0"/>
        <w:rPr>
          <w:noProof/>
          <w:lang w:val="en-IE"/>
        </w:rPr>
      </w:pPr>
      <w:r w:rsidRPr="00633D2B">
        <w:rPr>
          <w:noProof/>
          <w:lang w:val="en-IE"/>
        </w:rPr>
        <w:t xml:space="preserve">The allowances referred to in paragraph </w:t>
      </w:r>
      <w:r w:rsidR="003467DF">
        <w:rPr>
          <w:noProof/>
          <w:lang w:val="en-IE"/>
        </w:rPr>
        <w:t>1</w:t>
      </w:r>
      <w:r w:rsidRPr="00633D2B">
        <w:rPr>
          <w:noProof/>
          <w:lang w:val="en-IE"/>
        </w:rPr>
        <w:t xml:space="preserve"> </w:t>
      </w:r>
      <w:r w:rsidR="00CF3F24">
        <w:rPr>
          <w:noProof/>
          <w:lang w:val="en-IE"/>
        </w:rPr>
        <w:t xml:space="preserve">of this Article </w:t>
      </w:r>
      <w:r w:rsidRPr="00633D2B">
        <w:rPr>
          <w:noProof/>
          <w:lang w:val="en-IE"/>
        </w:rPr>
        <w:t xml:space="preserve">shall be reserved, on a transparent, equal-treatment and non-discriminatory basis, in respect of shipping companies for the use of sustainable maritime fuels and zero-emission propulsion technologies on voyages for which allowances have to be surrendered in accordance with Article 12(3). </w:t>
      </w:r>
    </w:p>
    <w:p w14:paraId="54010D80" w14:textId="77777777" w:rsidR="00633D2B" w:rsidRPr="009D5618" w:rsidRDefault="00633D2B" w:rsidP="004F6AF9">
      <w:pPr>
        <w:pStyle w:val="LegalNumPar"/>
        <w:numPr>
          <w:ilvl w:val="0"/>
          <w:numId w:val="0"/>
        </w:numPr>
        <w:spacing w:line="240" w:lineRule="auto"/>
        <w:rPr>
          <w:noProof/>
          <w:lang w:val="en-IE"/>
        </w:rPr>
      </w:pPr>
      <w:r w:rsidRPr="00AC69C1">
        <w:rPr>
          <w:noProof/>
        </w:rPr>
        <w:t>Allowances may support</w:t>
      </w:r>
      <w:r w:rsidRPr="009D5618">
        <w:rPr>
          <w:noProof/>
        </w:rPr>
        <w:t xml:space="preserve"> the use of sustainable maritime fuels or zero-emission propulsion technologies by vessels below 5 000 gross tonnage but not below 400 gross tonnage on voyages from their last port of call to a port of call under the jurisdiction of a Member State and from a port of call under the jurisdiction of a Member State to their next port of call, as well as within ports of call under the jurisdiction of a Member State. </w:t>
      </w:r>
    </w:p>
    <w:p w14:paraId="476FC396" w14:textId="77777777" w:rsidR="00633D2B" w:rsidRPr="00633D2B" w:rsidRDefault="00633D2B" w:rsidP="00F90D41">
      <w:pPr>
        <w:pStyle w:val="LegalNumPar"/>
        <w:spacing w:line="240" w:lineRule="auto"/>
        <w:ind w:left="0" w:firstLine="0"/>
        <w:rPr>
          <w:noProof/>
          <w:lang w:val="en-IE"/>
        </w:rPr>
      </w:pPr>
      <w:r w:rsidRPr="00633D2B">
        <w:rPr>
          <w:noProof/>
          <w:lang w:val="en-IE"/>
        </w:rPr>
        <w:t xml:space="preserve">Member States shall allocate the allowances reserved under paragraph </w:t>
      </w:r>
      <w:r w:rsidR="00EE4594">
        <w:rPr>
          <w:noProof/>
          <w:lang w:val="en-IE"/>
        </w:rPr>
        <w:t>1</w:t>
      </w:r>
      <w:r w:rsidRPr="00633D2B">
        <w:rPr>
          <w:noProof/>
          <w:lang w:val="en-IE"/>
        </w:rPr>
        <w:t xml:space="preserve"> of this Article to cover all or part of: </w:t>
      </w:r>
    </w:p>
    <w:p w14:paraId="25AF3466" w14:textId="0959DE26" w:rsidR="00633D2B" w:rsidRPr="001E1E28" w:rsidRDefault="0048495A">
      <w:pPr>
        <w:pStyle w:val="Point1"/>
        <w:rPr>
          <w:noProof/>
          <w:lang w:val="en-IE"/>
        </w:rPr>
      </w:pPr>
      <w:r>
        <w:rPr>
          <w:noProof/>
          <w:lang w:val="en-IE"/>
        </w:rPr>
        <w:t xml:space="preserve">(a) </w:t>
      </w:r>
      <w:r w:rsidR="00633D2B" w:rsidRPr="001E1E28">
        <w:rPr>
          <w:noProof/>
          <w:lang w:val="en-IE"/>
        </w:rPr>
        <w:t xml:space="preserve">the remaining price differential between the use of sustainable maritime fuels and the use of maritime fossil fuels; </w:t>
      </w:r>
    </w:p>
    <w:p w14:paraId="4D79FDE7" w14:textId="07640162" w:rsidR="00633D2B" w:rsidRPr="004F6AF9" w:rsidRDefault="00633D2B" w:rsidP="0048495A">
      <w:pPr>
        <w:pStyle w:val="Point1"/>
        <w:rPr>
          <w:noProof/>
          <w:lang w:val="en-IE"/>
        </w:rPr>
      </w:pPr>
      <w:r>
        <w:rPr>
          <w:noProof/>
        </w:rPr>
        <w:t>(</w:t>
      </w:r>
      <w:r w:rsidR="005E0E3B">
        <w:rPr>
          <w:noProof/>
        </w:rPr>
        <w:t>b</w:t>
      </w:r>
      <w:r>
        <w:rPr>
          <w:noProof/>
        </w:rPr>
        <w:t>)</w:t>
      </w:r>
      <w:r>
        <w:rPr>
          <w:noProof/>
        </w:rPr>
        <w:tab/>
      </w:r>
      <w:r w:rsidRPr="004F6AF9">
        <w:rPr>
          <w:noProof/>
          <w:lang w:val="en-IE"/>
        </w:rPr>
        <w:t xml:space="preserve">the cost incurred in deploying and operating zero-emission propulsion technologies compared to conventional propulsion systems, in proportion to the amount of emission reductions achieved through the use of these zero-emission propulsion technologies. </w:t>
      </w:r>
    </w:p>
    <w:p w14:paraId="5C0E6062" w14:textId="77777777" w:rsidR="009D5618" w:rsidRDefault="00633D2B" w:rsidP="00F90D41">
      <w:pPr>
        <w:pStyle w:val="LegalNumPar"/>
        <w:spacing w:line="240" w:lineRule="auto"/>
        <w:ind w:left="0" w:firstLine="0"/>
        <w:rPr>
          <w:noProof/>
          <w:lang w:val="en-IE"/>
        </w:rPr>
      </w:pPr>
      <w:r w:rsidRPr="00633D2B">
        <w:rPr>
          <w:noProof/>
          <w:lang w:val="en-IE"/>
        </w:rPr>
        <w:t xml:space="preserve">The </w:t>
      </w:r>
      <w:r w:rsidR="00757BFD">
        <w:rPr>
          <w:noProof/>
          <w:lang w:val="en-IE"/>
        </w:rPr>
        <w:t>Commission</w:t>
      </w:r>
      <w:r w:rsidRPr="00633D2B">
        <w:rPr>
          <w:noProof/>
          <w:lang w:val="en-IE"/>
        </w:rPr>
        <w:t xml:space="preserve"> </w:t>
      </w:r>
      <w:r w:rsidR="00E16358">
        <w:rPr>
          <w:noProof/>
          <w:lang w:val="en-IE"/>
        </w:rPr>
        <w:t>shall</w:t>
      </w:r>
      <w:r w:rsidR="00202DAB">
        <w:rPr>
          <w:noProof/>
          <w:lang w:val="en-IE"/>
        </w:rPr>
        <w:t xml:space="preserve"> determine the</w:t>
      </w:r>
      <w:r w:rsidRPr="00633D2B">
        <w:rPr>
          <w:noProof/>
          <w:lang w:val="en-IE"/>
        </w:rPr>
        <w:t xml:space="preserve"> price differential between the use of maritime fossil fuels and sustainable maritime fuels on the basis of objective and verifiable information, including, where available, actual transaction prices. Where no representative market price exists for sustainable maritime fuels, the Commission shall establish reference prices on the basis of objective and verifiable elements. For maritime fossil fuels, the Commission shall estimate a weighted average price reflecting the actual mix of maritime fossil fuels reported under Regulation (EU) 2015/757.</w:t>
      </w:r>
    </w:p>
    <w:p w14:paraId="2E9464CC" w14:textId="77777777" w:rsidR="009D5618" w:rsidRDefault="00633D2B" w:rsidP="004F6AF9">
      <w:pPr>
        <w:pStyle w:val="LegalNumPar"/>
        <w:numPr>
          <w:ilvl w:val="0"/>
          <w:numId w:val="0"/>
        </w:numPr>
        <w:spacing w:line="240" w:lineRule="auto"/>
        <w:rPr>
          <w:noProof/>
          <w:lang w:val="en-IE"/>
        </w:rPr>
      </w:pPr>
      <w:r w:rsidRPr="009D5618">
        <w:rPr>
          <w:noProof/>
          <w:lang w:val="en-IE"/>
        </w:rPr>
        <w:t xml:space="preserve">The cost incurred in deploying and operating zero-emission propulsion technologies compared to conventional propulsion systems shall be calculated </w:t>
      </w:r>
      <w:r w:rsidR="0047491C" w:rsidRPr="009D5618">
        <w:rPr>
          <w:noProof/>
          <w:lang w:val="en-IE"/>
        </w:rPr>
        <w:t>by shipping companies</w:t>
      </w:r>
      <w:r w:rsidRPr="009D5618">
        <w:rPr>
          <w:noProof/>
          <w:lang w:val="en-IE"/>
        </w:rPr>
        <w:t xml:space="preserve"> on the basis of average emissions reduction costs to be determined by the Commission, taking into account objective and verifiable information.</w:t>
      </w:r>
    </w:p>
    <w:p w14:paraId="0DEBADBF" w14:textId="77777777" w:rsidR="00633D2B" w:rsidRPr="00633D2B" w:rsidRDefault="00633D2B" w:rsidP="00F90D41">
      <w:pPr>
        <w:pStyle w:val="LegalNumPar"/>
        <w:spacing w:line="240" w:lineRule="auto"/>
        <w:ind w:left="0" w:firstLine="0"/>
        <w:rPr>
          <w:noProof/>
          <w:lang w:val="en-IE"/>
        </w:rPr>
      </w:pPr>
      <w:r w:rsidRPr="00313E70">
        <w:rPr>
          <w:noProof/>
          <w:lang w:val="en-IE"/>
        </w:rPr>
        <w:t xml:space="preserve">When allocating allowances in accordance with this Article, Member States shall ensure that the </w:t>
      </w:r>
      <w:r w:rsidR="00993A51" w:rsidRPr="00313E70">
        <w:rPr>
          <w:noProof/>
          <w:lang w:val="en-IE"/>
        </w:rPr>
        <w:t xml:space="preserve">following </w:t>
      </w:r>
      <w:r w:rsidRPr="00313E70">
        <w:rPr>
          <w:noProof/>
          <w:lang w:val="en-IE"/>
        </w:rPr>
        <w:t>origin requirements are fulfilled:</w:t>
      </w:r>
      <w:r w:rsidRPr="00633D2B">
        <w:rPr>
          <w:noProof/>
          <w:lang w:val="en-IE"/>
        </w:rPr>
        <w:t xml:space="preserve"> </w:t>
      </w:r>
    </w:p>
    <w:p w14:paraId="25751E61" w14:textId="74EFF14D" w:rsidR="00633D2B" w:rsidRPr="00D62460" w:rsidRDefault="0048495A">
      <w:pPr>
        <w:pStyle w:val="Point1"/>
        <w:ind w:firstLine="0"/>
        <w:rPr>
          <w:noProof/>
        </w:rPr>
      </w:pPr>
      <w:r>
        <w:rPr>
          <w:noProof/>
        </w:rPr>
        <w:t xml:space="preserve">(a) </w:t>
      </w:r>
      <w:r w:rsidR="00633D2B" w:rsidRPr="00D62460">
        <w:rPr>
          <w:noProof/>
        </w:rPr>
        <w:t>the batches of sustainable maritime fuels shall be produced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p w14:paraId="191B263D" w14:textId="44C1486C" w:rsidR="00633D2B" w:rsidRPr="00D62460" w:rsidRDefault="0048495A">
      <w:pPr>
        <w:pStyle w:val="Point1"/>
        <w:ind w:firstLine="0"/>
        <w:rPr>
          <w:noProof/>
        </w:rPr>
      </w:pPr>
      <w:r>
        <w:rPr>
          <w:noProof/>
        </w:rPr>
        <w:t xml:space="preserve">(b) </w:t>
      </w:r>
      <w:r w:rsidR="00633D2B" w:rsidRPr="00D62460">
        <w:rPr>
          <w:noProof/>
        </w:rPr>
        <w:t>the zero-emission propulsion technologies shall be manufactured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w:t>
      </w:r>
    </w:p>
    <w:p w14:paraId="4D3A5A6B" w14:textId="0CE61A47" w:rsidR="00633D2B" w:rsidRPr="00571A13" w:rsidRDefault="00633D2B" w:rsidP="00571A13">
      <w:pPr>
        <w:pStyle w:val="LegalNumPar"/>
        <w:spacing w:line="240" w:lineRule="auto"/>
        <w:ind w:left="0" w:firstLine="0"/>
        <w:rPr>
          <w:noProof/>
          <w:lang w:val="en-IE"/>
        </w:rPr>
      </w:pPr>
      <w:r w:rsidRPr="00633D2B">
        <w:rPr>
          <w:noProof/>
          <w:lang w:val="en-IE"/>
        </w:rPr>
        <w:t xml:space="preserve">By way of derogation </w:t>
      </w:r>
      <w:r w:rsidR="006B60D2">
        <w:rPr>
          <w:noProof/>
          <w:lang w:val="en-IE"/>
        </w:rPr>
        <w:t>from paragraph 6</w:t>
      </w:r>
      <w:r w:rsidRPr="00633D2B">
        <w:rPr>
          <w:noProof/>
          <w:lang w:val="en-IE"/>
        </w:rPr>
        <w:t>, Member States shall not apply origin requirements in respect of</w:t>
      </w:r>
      <w:r w:rsidR="00571A13">
        <w:rPr>
          <w:noProof/>
          <w:lang w:val="en-IE"/>
        </w:rPr>
        <w:t xml:space="preserve"> </w:t>
      </w:r>
      <w:r w:rsidR="00571A13" w:rsidRPr="00571A13">
        <w:rPr>
          <w:noProof/>
          <w:lang w:val="en-IE"/>
        </w:rPr>
        <w:t>sustainable maritime fuels used on eligible voyages between a port of call under the jurisdiction of a Member State and a port outside the jurisdiction of a Member State that is identified in the implementing act adopted pursuant to paragraph 8, first subparagrap</w:t>
      </w:r>
      <w:r w:rsidR="00571A13">
        <w:rPr>
          <w:noProof/>
          <w:lang w:val="en-IE"/>
        </w:rPr>
        <w:t>h.</w:t>
      </w:r>
    </w:p>
    <w:p w14:paraId="52AB9AB4" w14:textId="77777777" w:rsidR="009D5618" w:rsidRDefault="00E96AD8" w:rsidP="00F90D41">
      <w:pPr>
        <w:pStyle w:val="LegalNumPar"/>
        <w:spacing w:line="240" w:lineRule="auto"/>
        <w:ind w:left="0" w:firstLine="0"/>
        <w:rPr>
          <w:noProof/>
          <w:lang w:val="en-IE"/>
        </w:rPr>
      </w:pPr>
      <w:r w:rsidRPr="00633D2B" w:rsidDel="008623FD">
        <w:rPr>
          <w:noProof/>
          <w:lang w:val="en-IE"/>
        </w:rPr>
        <w:t>The Co</w:t>
      </w:r>
      <w:r w:rsidR="00CA772A">
        <w:rPr>
          <w:noProof/>
          <w:lang w:val="en-IE"/>
        </w:rPr>
        <w:t>m</w:t>
      </w:r>
      <w:r w:rsidRPr="00633D2B" w:rsidDel="008623FD">
        <w:rPr>
          <w:noProof/>
          <w:lang w:val="en-IE"/>
        </w:rPr>
        <w:t xml:space="preserve">mission </w:t>
      </w:r>
      <w:r w:rsidR="00CF3F24">
        <w:rPr>
          <w:noProof/>
          <w:lang w:val="en-IE"/>
        </w:rPr>
        <w:t>is empowered to</w:t>
      </w:r>
      <w:r w:rsidR="00CF3F24" w:rsidRPr="00633D2B" w:rsidDel="008623FD">
        <w:rPr>
          <w:noProof/>
          <w:lang w:val="en-IE"/>
        </w:rPr>
        <w:t xml:space="preserve"> </w:t>
      </w:r>
      <w:r w:rsidRPr="00633D2B" w:rsidDel="008623FD">
        <w:rPr>
          <w:noProof/>
          <w:lang w:val="en-IE"/>
        </w:rPr>
        <w:t xml:space="preserve">adopt implementing acts listing ports outside the jurisdiction of a Member State that align with the guiding principles for support to port projects in third countries identified in the EU Ports </w:t>
      </w:r>
      <w:r w:rsidR="009C2597">
        <w:rPr>
          <w:noProof/>
          <w:lang w:val="en-IE"/>
        </w:rPr>
        <w:t>s</w:t>
      </w:r>
      <w:r w:rsidRPr="00633D2B" w:rsidDel="008623FD">
        <w:rPr>
          <w:noProof/>
          <w:lang w:val="en-IE"/>
        </w:rPr>
        <w:t xml:space="preserve">trategy* and that participate in green shipping corridors with other ports under the jurisdiction of a Member State. The Commission </w:t>
      </w:r>
      <w:r w:rsidR="00CF3F24">
        <w:rPr>
          <w:noProof/>
          <w:lang w:val="en-IE"/>
        </w:rPr>
        <w:t>is also empowered to adopt</w:t>
      </w:r>
      <w:r w:rsidRPr="00633D2B" w:rsidDel="008623FD">
        <w:rPr>
          <w:noProof/>
          <w:lang w:val="en-IE"/>
        </w:rPr>
        <w:t xml:space="preserve"> implementing acts to update that list, as appropriate. </w:t>
      </w:r>
      <w:r w:rsidR="00F45319">
        <w:rPr>
          <w:noProof/>
          <w:lang w:val="en-IE"/>
        </w:rPr>
        <w:t>Such</w:t>
      </w:r>
      <w:r w:rsidRPr="00633D2B" w:rsidDel="008623FD">
        <w:rPr>
          <w:noProof/>
          <w:lang w:val="en-IE"/>
        </w:rPr>
        <w:t xml:space="preserve"> implementing acts shall be adopted in accordance with the examination procedure referred to in Article 22a(2).</w:t>
      </w:r>
    </w:p>
    <w:p w14:paraId="1C5AD172" w14:textId="77777777" w:rsidR="00633D2B" w:rsidRPr="00633D2B" w:rsidRDefault="00633D2B" w:rsidP="00F90D41">
      <w:pPr>
        <w:pStyle w:val="LegalNumPar"/>
        <w:spacing w:line="240" w:lineRule="auto"/>
        <w:ind w:left="0" w:firstLine="0"/>
        <w:rPr>
          <w:noProof/>
          <w:lang w:val="en-IE"/>
        </w:rPr>
      </w:pPr>
      <w:r w:rsidRPr="00633D2B">
        <w:rPr>
          <w:noProof/>
          <w:lang w:val="en-IE"/>
        </w:rPr>
        <w:t xml:space="preserve">The allowances allocated in relation to the use of sustainable maritime fuels and zero-emission propulsion technologies shall cover: </w:t>
      </w:r>
    </w:p>
    <w:p w14:paraId="6321C506" w14:textId="4908DDA7" w:rsidR="00633D2B" w:rsidRPr="0048495A" w:rsidRDefault="006711A2">
      <w:pPr>
        <w:pStyle w:val="Point1"/>
        <w:rPr>
          <w:noProof/>
          <w:lang w:val="en-IE"/>
        </w:rPr>
      </w:pPr>
      <w:r>
        <w:rPr>
          <w:noProof/>
        </w:rPr>
        <w:t>(a)</w:t>
      </w:r>
      <w:r>
        <w:rPr>
          <w:noProof/>
        </w:rPr>
        <w:tab/>
      </w:r>
      <w:r w:rsidRPr="0048495A">
        <w:rPr>
          <w:noProof/>
          <w:lang w:val="en-IE"/>
        </w:rPr>
        <w:t xml:space="preserve">55 </w:t>
      </w:r>
      <w:r w:rsidR="00633D2B" w:rsidRPr="0048495A">
        <w:rPr>
          <w:noProof/>
          <w:lang w:val="en-IE"/>
        </w:rPr>
        <w:t>% of the remaining price differential between the use of maritime fossil fuels</w:t>
      </w:r>
      <w:r w:rsidR="00C97D4E" w:rsidRPr="0048495A">
        <w:rPr>
          <w:noProof/>
          <w:lang w:val="en-IE"/>
        </w:rPr>
        <w:t>, on the one hand,</w:t>
      </w:r>
      <w:r w:rsidR="00633D2B" w:rsidRPr="0048495A">
        <w:rPr>
          <w:noProof/>
          <w:lang w:val="en-IE"/>
        </w:rPr>
        <w:t xml:space="preserve"> and </w:t>
      </w:r>
      <w:r w:rsidR="00866546" w:rsidRPr="0048495A">
        <w:rPr>
          <w:noProof/>
          <w:lang w:val="en-IE"/>
        </w:rPr>
        <w:t>biogas</w:t>
      </w:r>
      <w:r w:rsidR="00633D2B" w:rsidRPr="0048495A">
        <w:rPr>
          <w:noProof/>
          <w:lang w:val="en-IE"/>
        </w:rPr>
        <w:t xml:space="preserve"> and advanced biofuels as defined in Article 2 points (28) and (34), of Directive (EU) 2018/2001, for which the emission factor is zero under Annex IV </w:t>
      </w:r>
      <w:r w:rsidR="00075288" w:rsidRPr="0048495A">
        <w:rPr>
          <w:noProof/>
          <w:lang w:val="en-IE"/>
        </w:rPr>
        <w:t>to</w:t>
      </w:r>
      <w:r w:rsidR="00633D2B" w:rsidRPr="0048495A">
        <w:rPr>
          <w:noProof/>
          <w:lang w:val="en-IE"/>
        </w:rPr>
        <w:t xml:space="preserve"> this Directive or under the implementing act adopted pursuant to Article 14 of this Directive;</w:t>
      </w:r>
    </w:p>
    <w:p w14:paraId="21906361" w14:textId="742C1F50" w:rsidR="00633D2B" w:rsidRPr="0048495A" w:rsidRDefault="006711A2">
      <w:pPr>
        <w:pStyle w:val="Point1"/>
        <w:rPr>
          <w:noProof/>
          <w:lang w:val="en-IE"/>
        </w:rPr>
      </w:pPr>
      <w:r>
        <w:rPr>
          <w:noProof/>
        </w:rPr>
        <w:t>(b)</w:t>
      </w:r>
      <w:r>
        <w:rPr>
          <w:noProof/>
        </w:rPr>
        <w:tab/>
      </w:r>
      <w:r w:rsidRPr="0048495A">
        <w:rPr>
          <w:noProof/>
          <w:lang w:val="en-IE"/>
        </w:rPr>
        <w:t>9</w:t>
      </w:r>
      <w:r w:rsidR="00633D2B" w:rsidRPr="0048495A">
        <w:rPr>
          <w:noProof/>
          <w:lang w:val="en-IE"/>
        </w:rPr>
        <w:t>0</w:t>
      </w:r>
      <w:r w:rsidR="00CF799B" w:rsidRPr="0048495A">
        <w:rPr>
          <w:noProof/>
          <w:lang w:val="en-IE"/>
        </w:rPr>
        <w:t xml:space="preserve"> </w:t>
      </w:r>
      <w:r w:rsidR="00633D2B" w:rsidRPr="0048495A">
        <w:rPr>
          <w:noProof/>
          <w:lang w:val="en-IE"/>
        </w:rPr>
        <w:t xml:space="preserve">% of the remaining price differential between the use of maritime fossil fuels and renewable fuels of non-biological origin compliant with Article 25 of Directive (EU) 2018/2001 for which the emission factor is zero under Annex IV </w:t>
      </w:r>
      <w:r w:rsidR="00075288" w:rsidRPr="0048495A">
        <w:rPr>
          <w:noProof/>
          <w:lang w:val="en-IE"/>
        </w:rPr>
        <w:t>to</w:t>
      </w:r>
      <w:r w:rsidR="00633D2B" w:rsidRPr="0048495A">
        <w:rPr>
          <w:noProof/>
          <w:lang w:val="en-IE"/>
        </w:rPr>
        <w:t xml:space="preserve"> this Directive or under the implementing act adopted pursuant to Article 14 of this Directive;</w:t>
      </w:r>
    </w:p>
    <w:p w14:paraId="3B413ECE" w14:textId="6D025798" w:rsidR="00633D2B" w:rsidRPr="0048495A" w:rsidRDefault="006711A2">
      <w:pPr>
        <w:pStyle w:val="Point1"/>
        <w:rPr>
          <w:noProof/>
          <w:lang w:val="en-IE"/>
        </w:rPr>
      </w:pPr>
      <w:r>
        <w:rPr>
          <w:noProof/>
        </w:rPr>
        <w:t>(c)</w:t>
      </w:r>
      <w:r>
        <w:rPr>
          <w:noProof/>
        </w:rPr>
        <w:tab/>
      </w:r>
      <w:r w:rsidRPr="0048495A">
        <w:rPr>
          <w:noProof/>
          <w:lang w:val="en-IE"/>
        </w:rPr>
        <w:t xml:space="preserve">80 </w:t>
      </w:r>
      <w:r w:rsidR="00633D2B" w:rsidRPr="0048495A">
        <w:rPr>
          <w:noProof/>
          <w:lang w:val="en-IE"/>
        </w:rPr>
        <w:t xml:space="preserve">% of the remaining price differential between the use of maritime fossil fuels and low-carbon hydrogen </w:t>
      </w:r>
      <w:r>
        <w:rPr>
          <w:noProof/>
          <w:lang w:val="en-IE"/>
        </w:rPr>
        <w:t xml:space="preserve">and low-carbon fuels </w:t>
      </w:r>
      <w:r w:rsidR="00AF08AD" w:rsidRPr="00CF4F43">
        <w:rPr>
          <w:noProof/>
          <w:lang w:val="en-IE"/>
        </w:rPr>
        <w:t xml:space="preserve">as defined </w:t>
      </w:r>
      <w:r>
        <w:rPr>
          <w:noProof/>
          <w:lang w:val="en-IE"/>
        </w:rPr>
        <w:t xml:space="preserve">respectively </w:t>
      </w:r>
      <w:r w:rsidR="00AF08AD" w:rsidRPr="00CF4F43">
        <w:rPr>
          <w:noProof/>
          <w:lang w:val="en-IE"/>
        </w:rPr>
        <w:t xml:space="preserve">in Article 2, point (11) </w:t>
      </w:r>
      <w:r>
        <w:rPr>
          <w:noProof/>
          <w:lang w:val="en-IE"/>
        </w:rPr>
        <w:t xml:space="preserve">and (13) </w:t>
      </w:r>
      <w:r w:rsidR="00AF08AD" w:rsidRPr="00CF4F43">
        <w:rPr>
          <w:noProof/>
          <w:lang w:val="en-IE"/>
        </w:rPr>
        <w:t>of Directive (EU) 2024/1788</w:t>
      </w:r>
      <w:r>
        <w:rPr>
          <w:noProof/>
          <w:lang w:val="en-IE"/>
        </w:rPr>
        <w:t xml:space="preserve"> for which the emission factor is zero under Annex IV or under the implementing act adopted pursuant to Article 14 of this Directive.;</w:t>
      </w:r>
    </w:p>
    <w:p w14:paraId="51133203" w14:textId="77777777" w:rsidR="00633D2B" w:rsidRPr="0048495A" w:rsidRDefault="00633D2B">
      <w:pPr>
        <w:pStyle w:val="Point1"/>
        <w:rPr>
          <w:noProof/>
          <w:lang w:val="en-IE"/>
        </w:rPr>
      </w:pPr>
      <w:r>
        <w:rPr>
          <w:noProof/>
        </w:rPr>
        <w:t>(d)</w:t>
      </w:r>
      <w:r>
        <w:rPr>
          <w:noProof/>
        </w:rPr>
        <w:tab/>
      </w:r>
      <w:r w:rsidRPr="0048495A">
        <w:rPr>
          <w:noProof/>
          <w:lang w:val="en-IE"/>
        </w:rPr>
        <w:t>90</w:t>
      </w:r>
      <w:r w:rsidR="00CF799B" w:rsidRPr="0048495A">
        <w:rPr>
          <w:noProof/>
          <w:lang w:val="en-IE"/>
        </w:rPr>
        <w:t xml:space="preserve"> </w:t>
      </w:r>
      <w:r w:rsidRPr="0048495A">
        <w:rPr>
          <w:noProof/>
          <w:lang w:val="en-IE"/>
        </w:rPr>
        <w:t xml:space="preserve">% of the additional cost incurred in deploying and operating zero-emission propulsion technologies compared to conventional propulsion systems. </w:t>
      </w:r>
    </w:p>
    <w:p w14:paraId="68727A60" w14:textId="77777777" w:rsidR="009D5618" w:rsidRDefault="00633D2B" w:rsidP="007D64CC">
      <w:pPr>
        <w:pStyle w:val="LegalNumPar"/>
        <w:numPr>
          <w:ilvl w:val="0"/>
          <w:numId w:val="0"/>
        </w:numPr>
        <w:spacing w:line="240" w:lineRule="auto"/>
        <w:rPr>
          <w:noProof/>
          <w:lang w:val="en-IE"/>
        </w:rPr>
      </w:pPr>
      <w:r w:rsidRPr="00633D2B">
        <w:rPr>
          <w:noProof/>
          <w:lang w:val="en-IE"/>
        </w:rPr>
        <w:t xml:space="preserve">Where sustainable maritime fuels or zero-emission propulsion technologies are used on a voyage between a port under the jurisdiction of a Member State and a port under the jurisdiction of a Member State located on an island, for which allowances have to be surrendered in accordance with Article 12(3), the percentages </w:t>
      </w:r>
      <w:r w:rsidR="006E1628">
        <w:rPr>
          <w:noProof/>
          <w:lang w:val="en-IE"/>
        </w:rPr>
        <w:t>laid down the first subparagraph,</w:t>
      </w:r>
      <w:r w:rsidRPr="00633D2B">
        <w:rPr>
          <w:noProof/>
          <w:lang w:val="en-IE"/>
        </w:rPr>
        <w:t xml:space="preserve"> points (a) to (d)</w:t>
      </w:r>
      <w:r w:rsidR="006E1628">
        <w:rPr>
          <w:noProof/>
          <w:lang w:val="en-IE"/>
        </w:rPr>
        <w:t>,</w:t>
      </w:r>
      <w:r w:rsidRPr="00633D2B">
        <w:rPr>
          <w:noProof/>
          <w:lang w:val="en-IE"/>
        </w:rPr>
        <w:t xml:space="preserve"> shall be increased by 5 percentage points.</w:t>
      </w:r>
    </w:p>
    <w:p w14:paraId="0ACD9430" w14:textId="77777777" w:rsidR="009D5618" w:rsidRDefault="00633D2B" w:rsidP="007D64CC">
      <w:pPr>
        <w:pStyle w:val="LegalNumPar"/>
        <w:numPr>
          <w:ilvl w:val="0"/>
          <w:numId w:val="0"/>
        </w:numPr>
        <w:spacing w:line="240" w:lineRule="auto"/>
        <w:rPr>
          <w:noProof/>
          <w:lang w:val="en-IE"/>
        </w:rPr>
      </w:pPr>
      <w:r w:rsidRPr="00633D2B">
        <w:rPr>
          <w:noProof/>
          <w:lang w:val="en-IE"/>
        </w:rPr>
        <w:t xml:space="preserve">Where allowances are to be allocated in relation to sustainable maritime fuels produced using feedstock that is sourced in the Union, or in a third country that has an emissions trading system linked with the emissions trading system established in accordance with this Directive, or in a third country to which the Union provides support pursuant to Article 25b for the effective application of greenhouse gas emission pricing with an absolute emissions cap, the percentages </w:t>
      </w:r>
      <w:r w:rsidR="0036048D">
        <w:rPr>
          <w:noProof/>
          <w:lang w:val="en-IE"/>
        </w:rPr>
        <w:t>laid down in the first subparagraph,</w:t>
      </w:r>
      <w:r w:rsidRPr="00633D2B">
        <w:rPr>
          <w:noProof/>
          <w:lang w:val="en-IE"/>
        </w:rPr>
        <w:t xml:space="preserve"> points (a) to (c)</w:t>
      </w:r>
      <w:r w:rsidR="0036048D">
        <w:rPr>
          <w:noProof/>
          <w:lang w:val="en-IE"/>
        </w:rPr>
        <w:t>,</w:t>
      </w:r>
      <w:r w:rsidRPr="00633D2B">
        <w:rPr>
          <w:noProof/>
          <w:lang w:val="en-IE"/>
        </w:rPr>
        <w:t xml:space="preserve"> shall be increased by 10 percentage points.</w:t>
      </w:r>
    </w:p>
    <w:p w14:paraId="0BBAAAB7" w14:textId="77777777" w:rsidR="009D5618" w:rsidRDefault="00633D2B" w:rsidP="007D64CC">
      <w:pPr>
        <w:pStyle w:val="LegalNumPar"/>
        <w:numPr>
          <w:ilvl w:val="0"/>
          <w:numId w:val="0"/>
        </w:numPr>
        <w:spacing w:line="240" w:lineRule="auto"/>
        <w:rPr>
          <w:noProof/>
          <w:lang w:val="en-IE"/>
        </w:rPr>
      </w:pPr>
      <w:r w:rsidRPr="00633D2B">
        <w:rPr>
          <w:noProof/>
          <w:lang w:val="en-IE"/>
        </w:rPr>
        <w:t xml:space="preserve">Where allowances are to be allocated in relation to the deployment and operation of zero-emission propulsion technologies that have been fitted on ships in Union shipyards, the percentage </w:t>
      </w:r>
      <w:r w:rsidR="00820A99">
        <w:rPr>
          <w:noProof/>
          <w:lang w:val="en-IE"/>
        </w:rPr>
        <w:t xml:space="preserve">laid down in the first subparagraph, </w:t>
      </w:r>
      <w:r w:rsidRPr="00633D2B">
        <w:rPr>
          <w:noProof/>
          <w:lang w:val="en-IE"/>
        </w:rPr>
        <w:t>point (d)</w:t>
      </w:r>
      <w:r w:rsidR="00820A99">
        <w:rPr>
          <w:noProof/>
          <w:lang w:val="en-IE"/>
        </w:rPr>
        <w:t>,</w:t>
      </w:r>
      <w:r w:rsidRPr="00633D2B">
        <w:rPr>
          <w:noProof/>
          <w:lang w:val="en-IE"/>
        </w:rPr>
        <w:t xml:space="preserve"> shall be increased by 5 percentage points.</w:t>
      </w:r>
    </w:p>
    <w:p w14:paraId="1333E794" w14:textId="77777777" w:rsidR="00633D2B" w:rsidRPr="00633D2B" w:rsidRDefault="00633D2B" w:rsidP="007D64CC">
      <w:pPr>
        <w:pStyle w:val="LegalNumPar"/>
        <w:numPr>
          <w:ilvl w:val="0"/>
          <w:numId w:val="0"/>
        </w:numPr>
        <w:spacing w:line="240" w:lineRule="auto"/>
        <w:rPr>
          <w:noProof/>
          <w:lang w:val="en-IE"/>
        </w:rPr>
      </w:pPr>
      <w:r w:rsidRPr="00633D2B">
        <w:rPr>
          <w:noProof/>
          <w:lang w:val="en-IE"/>
        </w:rPr>
        <w:t xml:space="preserve">Where sustainable maritime fuels are used or zero-emission propulsion technologies are deployed or operated on a voyage between a port of call under the jurisdiction of a Member State and a port of call outside the jurisdiction of a Member State, the amount of allowances to be allocated </w:t>
      </w:r>
      <w:r w:rsidR="00F95F82">
        <w:rPr>
          <w:noProof/>
          <w:lang w:val="en-IE"/>
        </w:rPr>
        <w:t xml:space="preserve">in accordance with </w:t>
      </w:r>
      <w:r w:rsidR="009B76D1">
        <w:rPr>
          <w:noProof/>
          <w:lang w:val="en-IE"/>
        </w:rPr>
        <w:t>this Article</w:t>
      </w:r>
      <w:r w:rsidRPr="00633D2B">
        <w:rPr>
          <w:noProof/>
          <w:lang w:val="en-IE"/>
        </w:rPr>
        <w:t xml:space="preserve"> shall be multiplied by 50 %, in accordance with the geographical scope referred to in Article 3ga of this Directive. </w:t>
      </w:r>
    </w:p>
    <w:p w14:paraId="4947DBFA" w14:textId="77777777" w:rsidR="00633D2B" w:rsidRPr="00633D2B" w:rsidRDefault="00633D2B" w:rsidP="00F90D41">
      <w:pPr>
        <w:pStyle w:val="LegalNumPar"/>
        <w:spacing w:line="240" w:lineRule="auto"/>
        <w:ind w:left="0" w:firstLine="0"/>
        <w:rPr>
          <w:noProof/>
          <w:lang w:val="en-IE"/>
        </w:rPr>
      </w:pPr>
      <w:r w:rsidRPr="00633D2B">
        <w:rPr>
          <w:noProof/>
          <w:lang w:val="en-IE"/>
        </w:rPr>
        <w:t xml:space="preserve">On a yearly basis, shipping companies may apply for an allocation of allowances based on the quantity of sustainable maritime fuels used and the emission reductions achieved through zero-emission propulsion technologies during the preceding calendar year. </w:t>
      </w:r>
    </w:p>
    <w:p w14:paraId="64CEDD09" w14:textId="77777777" w:rsidR="00633D2B" w:rsidRPr="00633D2B" w:rsidRDefault="00633D2B" w:rsidP="00F90D41">
      <w:pPr>
        <w:pStyle w:val="LegalNumPar"/>
        <w:spacing w:line="240" w:lineRule="auto"/>
        <w:ind w:left="0" w:firstLine="0"/>
        <w:rPr>
          <w:noProof/>
          <w:lang w:val="en-IE"/>
        </w:rPr>
      </w:pPr>
      <w:r w:rsidRPr="00633D2B">
        <w:rPr>
          <w:noProof/>
          <w:lang w:val="en-IE"/>
        </w:rPr>
        <w:t xml:space="preserve">If, for a given year, the demand for allowances exceeds the quantity of allowances available, the quantity of allowances shall be reduced in a uniform manner for all shipping companies concerned by the allocation for that year. </w:t>
      </w:r>
    </w:p>
    <w:p w14:paraId="6F028C97" w14:textId="77777777" w:rsidR="00633D2B" w:rsidRPr="00633D2B" w:rsidRDefault="00633D2B" w:rsidP="00F90D41">
      <w:pPr>
        <w:pStyle w:val="LegalNumPar"/>
        <w:spacing w:line="240" w:lineRule="auto"/>
        <w:ind w:left="0" w:firstLine="0"/>
        <w:rPr>
          <w:noProof/>
          <w:lang w:val="en-IE"/>
        </w:rPr>
      </w:pPr>
      <w:r w:rsidRPr="00633D2B">
        <w:rPr>
          <w:noProof/>
          <w:lang w:val="en-IE"/>
        </w:rPr>
        <w:t>The allocation of allowances under this Article may take into account possible support from other schemes at national, Union, or international level.</w:t>
      </w:r>
    </w:p>
    <w:p w14:paraId="4FD87364" w14:textId="77777777" w:rsidR="00633D2B" w:rsidRPr="00633D2B" w:rsidRDefault="00633D2B" w:rsidP="00F90D41">
      <w:pPr>
        <w:pStyle w:val="LegalNumPar"/>
        <w:spacing w:line="240" w:lineRule="auto"/>
        <w:ind w:left="0" w:firstLine="0"/>
        <w:rPr>
          <w:noProof/>
          <w:lang w:val="en-IE"/>
        </w:rPr>
      </w:pPr>
      <w:r w:rsidRPr="00633D2B">
        <w:rPr>
          <w:noProof/>
          <w:lang w:val="en-IE"/>
        </w:rPr>
        <w:t xml:space="preserve">The Commission shall publish in the Official Journal of the European Union the following information: </w:t>
      </w:r>
    </w:p>
    <w:p w14:paraId="3DCFAAF4" w14:textId="77777777" w:rsidR="00633D2B" w:rsidRPr="0048495A" w:rsidRDefault="00633D2B">
      <w:pPr>
        <w:pStyle w:val="Point1"/>
        <w:rPr>
          <w:noProof/>
          <w:lang w:val="en-IE"/>
        </w:rPr>
      </w:pPr>
      <w:r>
        <w:rPr>
          <w:noProof/>
        </w:rPr>
        <w:t>(a)</w:t>
      </w:r>
      <w:r>
        <w:rPr>
          <w:noProof/>
        </w:rPr>
        <w:tab/>
      </w:r>
      <w:r w:rsidRPr="0048495A">
        <w:rPr>
          <w:noProof/>
          <w:lang w:val="en-IE"/>
        </w:rPr>
        <w:t>the average price differential between maritime fossil fuels and sustainable maritime fuels on a yearly basis for the previous year;</w:t>
      </w:r>
    </w:p>
    <w:p w14:paraId="62DE347F" w14:textId="77777777" w:rsidR="00633D2B" w:rsidRPr="0048495A" w:rsidRDefault="00633D2B">
      <w:pPr>
        <w:pStyle w:val="Point1"/>
        <w:rPr>
          <w:noProof/>
          <w:lang w:val="en-IE"/>
        </w:rPr>
      </w:pPr>
      <w:r>
        <w:rPr>
          <w:noProof/>
        </w:rPr>
        <w:t>(b)</w:t>
      </w:r>
      <w:r>
        <w:rPr>
          <w:noProof/>
        </w:rPr>
        <w:tab/>
      </w:r>
      <w:r w:rsidRPr="0048495A">
        <w:rPr>
          <w:noProof/>
          <w:lang w:val="en-IE"/>
        </w:rPr>
        <w:t>average emissions reduction costs resulting from the deployment and operation of zero-emission propulsion technologies every three years for the previous three years.</w:t>
      </w:r>
    </w:p>
    <w:p w14:paraId="0190CE86" w14:textId="77777777" w:rsidR="00633D2B" w:rsidRPr="00633D2B" w:rsidRDefault="00633D2B" w:rsidP="00F90D41">
      <w:pPr>
        <w:pStyle w:val="LegalNumPar"/>
        <w:spacing w:line="240" w:lineRule="auto"/>
        <w:ind w:left="0" w:firstLine="0"/>
        <w:rPr>
          <w:noProof/>
          <w:lang w:val="en-IE"/>
        </w:rPr>
      </w:pPr>
      <w:r w:rsidRPr="00633D2B">
        <w:rPr>
          <w:noProof/>
          <w:lang w:val="en-IE"/>
        </w:rPr>
        <w:t>The Commission is empowered to adopt delegated acts in accordance with Article 23 to supplement this Directive by establishing detailed rules concerning:</w:t>
      </w:r>
    </w:p>
    <w:p w14:paraId="2B4F8AC0" w14:textId="77777777" w:rsidR="00660064" w:rsidRPr="0048495A" w:rsidRDefault="00660064">
      <w:pPr>
        <w:pStyle w:val="Point1"/>
        <w:rPr>
          <w:noProof/>
          <w:lang w:val="en-IE"/>
        </w:rPr>
      </w:pPr>
      <w:r>
        <w:rPr>
          <w:noProof/>
        </w:rPr>
        <w:t>(a)</w:t>
      </w:r>
      <w:r>
        <w:rPr>
          <w:noProof/>
        </w:rPr>
        <w:tab/>
      </w:r>
      <w:r w:rsidRPr="0048495A">
        <w:rPr>
          <w:noProof/>
          <w:lang w:val="en-IE"/>
        </w:rPr>
        <w:t>the calculation of price differentials, including the establishment of reference prices where representative market prices are not available;</w:t>
      </w:r>
    </w:p>
    <w:p w14:paraId="258AB7B4" w14:textId="77777777" w:rsidR="00633D2B" w:rsidRPr="004F6AF9" w:rsidRDefault="00633D2B" w:rsidP="00B97C25">
      <w:pPr>
        <w:pStyle w:val="Point1"/>
        <w:rPr>
          <w:noProof/>
          <w:lang w:val="en-IE"/>
        </w:rPr>
      </w:pPr>
      <w:r>
        <w:rPr>
          <w:noProof/>
        </w:rPr>
        <w:t>(b)</w:t>
      </w:r>
      <w:r>
        <w:rPr>
          <w:noProof/>
        </w:rPr>
        <w:tab/>
      </w:r>
      <w:r w:rsidRPr="004F6AF9">
        <w:rPr>
          <w:noProof/>
          <w:lang w:val="en-IE"/>
        </w:rPr>
        <w:t xml:space="preserve">the determination of </w:t>
      </w:r>
      <w:r w:rsidR="00024200" w:rsidRPr="004F6AF9">
        <w:rPr>
          <w:noProof/>
          <w:lang w:val="en-IE"/>
        </w:rPr>
        <w:t>objective criteria applicable to</w:t>
      </w:r>
      <w:r w:rsidRPr="004F6AF9">
        <w:rPr>
          <w:noProof/>
          <w:lang w:val="en-IE"/>
        </w:rPr>
        <w:t xml:space="preserve"> eligible zero-emission propulsion technologies </w:t>
      </w:r>
      <w:r w:rsidR="00024200" w:rsidRPr="004F6AF9">
        <w:rPr>
          <w:noProof/>
          <w:lang w:val="en-IE"/>
        </w:rPr>
        <w:t>when</w:t>
      </w:r>
      <w:r w:rsidRPr="004F6AF9">
        <w:rPr>
          <w:noProof/>
          <w:lang w:val="en-IE"/>
        </w:rPr>
        <w:t xml:space="preserve"> contributing to greenhouse gas emission reductions;</w:t>
      </w:r>
    </w:p>
    <w:p w14:paraId="55B62C19" w14:textId="77777777" w:rsidR="00633D2B" w:rsidRPr="005C1119" w:rsidRDefault="00633D2B" w:rsidP="009D5618">
      <w:pPr>
        <w:pStyle w:val="Point1"/>
        <w:rPr>
          <w:noProof/>
          <w:lang w:val="en-IE"/>
        </w:rPr>
      </w:pPr>
      <w:r>
        <w:rPr>
          <w:noProof/>
        </w:rPr>
        <w:t>(c)</w:t>
      </w:r>
      <w:r>
        <w:rPr>
          <w:noProof/>
        </w:rPr>
        <w:tab/>
      </w:r>
      <w:r w:rsidRPr="005C1119">
        <w:rPr>
          <w:noProof/>
          <w:lang w:val="en-IE"/>
        </w:rPr>
        <w:t>the determination of the emissions reductions coming from the deployment and operation of zero-emission propulsion technologies;</w:t>
      </w:r>
    </w:p>
    <w:p w14:paraId="48C6AA03" w14:textId="77777777" w:rsidR="00633D2B" w:rsidRPr="005C1119" w:rsidRDefault="00633D2B" w:rsidP="009D5618">
      <w:pPr>
        <w:pStyle w:val="Point1"/>
        <w:rPr>
          <w:noProof/>
          <w:lang w:val="en-IE"/>
        </w:rPr>
      </w:pPr>
      <w:r>
        <w:rPr>
          <w:noProof/>
        </w:rPr>
        <w:t>(d)</w:t>
      </w:r>
      <w:r>
        <w:rPr>
          <w:noProof/>
        </w:rPr>
        <w:tab/>
      </w:r>
      <w:r w:rsidRPr="005C1119">
        <w:rPr>
          <w:noProof/>
          <w:lang w:val="en-IE"/>
        </w:rPr>
        <w:t>application, allocation, monitoring, reporting and verification procedures</w:t>
      </w:r>
      <w:r w:rsidR="00DD1709" w:rsidRPr="005C1119">
        <w:rPr>
          <w:noProof/>
          <w:lang w:val="en-IE"/>
        </w:rPr>
        <w:t xml:space="preserve"> as regards the allocation of allowances </w:t>
      </w:r>
      <w:r w:rsidR="00256510" w:rsidRPr="005C1119">
        <w:rPr>
          <w:noProof/>
          <w:lang w:val="en-IE"/>
        </w:rPr>
        <w:t>in accordance with this Article</w:t>
      </w:r>
      <w:r w:rsidRPr="005C1119">
        <w:rPr>
          <w:noProof/>
          <w:lang w:val="en-IE"/>
        </w:rPr>
        <w:t>;</w:t>
      </w:r>
    </w:p>
    <w:p w14:paraId="08751F0B" w14:textId="77777777" w:rsidR="00633D2B" w:rsidRPr="005C1119" w:rsidRDefault="00633D2B" w:rsidP="009D5618">
      <w:pPr>
        <w:pStyle w:val="Point1"/>
        <w:rPr>
          <w:noProof/>
          <w:lang w:val="en-IE"/>
        </w:rPr>
      </w:pPr>
      <w:r>
        <w:rPr>
          <w:noProof/>
        </w:rPr>
        <w:t>(e)</w:t>
      </w:r>
      <w:r>
        <w:rPr>
          <w:noProof/>
        </w:rPr>
        <w:tab/>
      </w:r>
      <w:r w:rsidRPr="005C1119">
        <w:rPr>
          <w:noProof/>
          <w:lang w:val="en-IE"/>
        </w:rPr>
        <w:t>safeguards to prevent overcompensation, including in relation to national, Union, or international schemes;</w:t>
      </w:r>
    </w:p>
    <w:p w14:paraId="10349655" w14:textId="77777777" w:rsidR="00633D2B" w:rsidRPr="005C1119" w:rsidRDefault="00633D2B" w:rsidP="009D5618">
      <w:pPr>
        <w:pStyle w:val="Point1"/>
        <w:rPr>
          <w:noProof/>
          <w:lang w:val="en-IE"/>
        </w:rPr>
      </w:pPr>
      <w:r>
        <w:rPr>
          <w:noProof/>
        </w:rPr>
        <w:t>(f)</w:t>
      </w:r>
      <w:r>
        <w:rPr>
          <w:noProof/>
        </w:rPr>
        <w:tab/>
      </w:r>
      <w:r w:rsidRPr="005C1119">
        <w:rPr>
          <w:noProof/>
          <w:lang w:val="en-IE"/>
        </w:rPr>
        <w:t xml:space="preserve">establishing safeguards and procedures to ensure a fair and proportionate distribution of allowances among shipping companies, while taking into account the need to preserve effective competition and access for small and medium sized shipping companies. </w:t>
      </w:r>
    </w:p>
    <w:p w14:paraId="4C77EA3C" w14:textId="77777777" w:rsidR="00633D2B" w:rsidRPr="00633D2B" w:rsidRDefault="00633D2B" w:rsidP="00F90D41">
      <w:pPr>
        <w:pStyle w:val="LegalNumPar"/>
        <w:spacing w:line="240" w:lineRule="auto"/>
        <w:ind w:left="0" w:firstLine="0"/>
        <w:rPr>
          <w:noProof/>
          <w:lang w:val="en-IE"/>
        </w:rPr>
      </w:pPr>
      <w:r w:rsidRPr="00633D2B">
        <w:rPr>
          <w:noProof/>
          <w:lang w:val="en-IE"/>
        </w:rPr>
        <w:t>Member States shall ensure the visibility of funding under this Article in a manner corresponding to the requirements</w:t>
      </w:r>
      <w:r w:rsidR="00075288">
        <w:rPr>
          <w:noProof/>
          <w:lang w:val="en-IE"/>
        </w:rPr>
        <w:t xml:space="preserve"> set out</w:t>
      </w:r>
      <w:r w:rsidRPr="00633D2B">
        <w:rPr>
          <w:noProof/>
          <w:lang w:val="en-IE"/>
        </w:rPr>
        <w:t xml:space="preserve"> in Article 30m(1), points (a) and (b).</w:t>
      </w:r>
    </w:p>
    <w:p w14:paraId="2F61D1D8" w14:textId="77777777" w:rsidR="00633D2B" w:rsidRPr="00633D2B" w:rsidRDefault="00633D2B" w:rsidP="00F90D41">
      <w:pPr>
        <w:pStyle w:val="LegalNumPar"/>
        <w:spacing w:line="240" w:lineRule="auto"/>
        <w:ind w:left="0" w:firstLine="0"/>
        <w:rPr>
          <w:noProof/>
          <w:lang w:val="en-IE"/>
        </w:rPr>
      </w:pPr>
      <w:r w:rsidRPr="00633D2B">
        <w:rPr>
          <w:noProof/>
          <w:lang w:val="en-IE"/>
        </w:rPr>
        <w:t>From 1 January 2032, the Commission shall evaluate the application of this Article in the annual report it is required to submit pursuant to Article 10(5).</w:t>
      </w:r>
    </w:p>
    <w:p w14:paraId="56BC2156" w14:textId="77777777" w:rsidR="00633D2B" w:rsidRPr="00633D2B" w:rsidRDefault="00633D2B" w:rsidP="00C50597">
      <w:pPr>
        <w:pStyle w:val="Text1"/>
        <w:ind w:left="0"/>
        <w:rPr>
          <w:noProof/>
          <w:lang w:val="en-IE"/>
        </w:rPr>
      </w:pPr>
      <w:r w:rsidRPr="00633D2B">
        <w:rPr>
          <w:noProof/>
          <w:lang w:val="en-IE"/>
        </w:rPr>
        <w:t>___________</w:t>
      </w:r>
    </w:p>
    <w:p w14:paraId="0A57C03B" w14:textId="77777777" w:rsidR="00633D2B" w:rsidRPr="005E0E3B" w:rsidRDefault="00633D2B" w:rsidP="00C50597">
      <w:pPr>
        <w:pStyle w:val="Text1"/>
        <w:ind w:left="0"/>
        <w:rPr>
          <w:noProof/>
        </w:rPr>
      </w:pPr>
      <w:r w:rsidRPr="00633D2B">
        <w:rPr>
          <w:noProof/>
          <w:lang w:val="en-IE"/>
        </w:rPr>
        <w:t xml:space="preserve">* Communication from the Commission from the Commission to the European Parliament, the Council, the European Economic and Social Committee and the Committee of the Regions ‘EU Ports Strategy’ COM(2026) 112 final, Annex 1, ‘B)Guiding principles for </w:t>
      </w:r>
      <w:r w:rsidRPr="005E0E3B">
        <w:rPr>
          <w:noProof/>
        </w:rPr>
        <w:t xml:space="preserve">support to port projects in third countries.’; </w:t>
      </w:r>
    </w:p>
    <w:p w14:paraId="63763EB2" w14:textId="6F2DFE63" w:rsidR="00633D2B" w:rsidRPr="00B97C25" w:rsidRDefault="00633D2B" w:rsidP="005E0E3B">
      <w:pPr>
        <w:pStyle w:val="Point0"/>
        <w:rPr>
          <w:noProof/>
        </w:rPr>
      </w:pPr>
      <w:r>
        <w:rPr>
          <w:noProof/>
        </w:rPr>
        <w:t>(6)</w:t>
      </w:r>
      <w:r>
        <w:rPr>
          <w:noProof/>
        </w:rPr>
        <w:tab/>
      </w:r>
      <w:r w:rsidRPr="00B97C25">
        <w:rPr>
          <w:noProof/>
        </w:rPr>
        <w:t xml:space="preserve">after Article 3gaa, the following Article 3gab is inserted: </w:t>
      </w:r>
    </w:p>
    <w:p w14:paraId="4A501365" w14:textId="77777777" w:rsidR="00633D2B" w:rsidRDefault="00633D2B" w:rsidP="006109D5">
      <w:pPr>
        <w:pStyle w:val="Titrearticle"/>
        <w:rPr>
          <w:noProof/>
          <w:color w:val="000000" w:themeColor="text1"/>
          <w:lang w:val="en-IE"/>
        </w:rPr>
      </w:pPr>
      <w:r>
        <w:rPr>
          <w:noProof/>
          <w:color w:val="000000" w:themeColor="text1"/>
          <w:lang w:val="en-IE"/>
        </w:rPr>
        <w:t>‘Article 3gab</w:t>
      </w:r>
    </w:p>
    <w:p w14:paraId="7D04F6A2" w14:textId="45D75B57" w:rsidR="00633D2B" w:rsidRDefault="4E123DC2" w:rsidP="5176D132">
      <w:pPr>
        <w:jc w:val="center"/>
        <w:rPr>
          <w:noProof/>
          <w:color w:val="000000" w:themeColor="text1"/>
          <w:lang w:val="en-IE"/>
        </w:rPr>
      </w:pPr>
      <w:r>
        <w:rPr>
          <w:b/>
          <w:noProof/>
          <w:color w:val="000000" w:themeColor="text1"/>
          <w:sz w:val="22"/>
          <w:lang w:val="en-IE"/>
        </w:rPr>
        <w:t xml:space="preserve"> Reservation and allocation of allowances for the decarbonisation of the maritime sector in certain least developed countries and small island developing States</w:t>
      </w:r>
    </w:p>
    <w:p w14:paraId="7FFE4F0E" w14:textId="6587F327" w:rsidR="00A66AD8" w:rsidRPr="0086222D" w:rsidRDefault="31137372" w:rsidP="005E0E3B">
      <w:pPr>
        <w:pStyle w:val="LegalNumPar"/>
        <w:numPr>
          <w:ilvl w:val="0"/>
          <w:numId w:val="0"/>
        </w:numPr>
        <w:spacing w:line="240" w:lineRule="auto"/>
        <w:rPr>
          <w:noProof/>
          <w:lang w:val="en-IE"/>
        </w:rPr>
      </w:pPr>
      <w:r>
        <w:rPr>
          <w:noProof/>
          <w:lang w:val="en-IE"/>
        </w:rPr>
        <w:t>A</w:t>
      </w:r>
      <w:r w:rsidR="00633D2B">
        <w:rPr>
          <w:noProof/>
          <w:lang w:val="en-IE"/>
        </w:rPr>
        <w:t xml:space="preserve">n amount of </w:t>
      </w:r>
      <w:r w:rsidR="00B60ECE">
        <w:rPr>
          <w:noProof/>
          <w:lang w:val="en-IE"/>
        </w:rPr>
        <w:t>0.9</w:t>
      </w:r>
      <w:r w:rsidR="00633D2B">
        <w:rPr>
          <w:noProof/>
          <w:lang w:val="en-IE"/>
        </w:rPr>
        <w:t xml:space="preserve"> million of the Union-wide quantity of allowances referred to in Article 9 shall be reserved for the decarbonisation of the maritime sector in least developed </w:t>
      </w:r>
      <w:r w:rsidR="00633D2B" w:rsidRPr="0086222D">
        <w:rPr>
          <w:noProof/>
          <w:lang w:val="en-IE"/>
        </w:rPr>
        <w:t xml:space="preserve">countries and small island developing States as defined by the United Nations, excluding those States whose GDP per capita equals or exceeds the Union average. Such amount shall be reserved on an annual basis until 2035. </w:t>
      </w:r>
    </w:p>
    <w:p w14:paraId="054CCBDB" w14:textId="2B881B07" w:rsidR="009E17CA" w:rsidDel="009E17CA" w:rsidRDefault="37614409" w:rsidP="005E0E3B">
      <w:pPr>
        <w:pStyle w:val="LegalNumPar"/>
        <w:numPr>
          <w:ilvl w:val="0"/>
          <w:numId w:val="0"/>
        </w:numPr>
        <w:spacing w:line="240" w:lineRule="auto"/>
        <w:rPr>
          <w:noProof/>
        </w:rPr>
      </w:pPr>
      <w:r>
        <w:rPr>
          <w:noProof/>
        </w:rPr>
        <w:t>The</w:t>
      </w:r>
      <w:r w:rsidRPr="00B97C25">
        <w:rPr>
          <w:noProof/>
          <w:lang w:val="en-IE"/>
        </w:rPr>
        <w:t xml:space="preserve"> Commission is empowered to adopt delegated acts in accordance with Article 23 to supplement this Directive </w:t>
      </w:r>
      <w:r w:rsidR="3115FE96" w:rsidRPr="00B97C25">
        <w:rPr>
          <w:noProof/>
          <w:lang w:val="en-IE"/>
        </w:rPr>
        <w:t xml:space="preserve">by laying down </w:t>
      </w:r>
      <w:r w:rsidRPr="00B97C25">
        <w:rPr>
          <w:noProof/>
          <w:lang w:val="en-IE"/>
        </w:rPr>
        <w:t xml:space="preserve">rules on the use </w:t>
      </w:r>
      <w:r w:rsidRPr="2193DBD9">
        <w:rPr>
          <w:noProof/>
          <w:lang w:val="en-IE"/>
        </w:rPr>
        <w:t xml:space="preserve">of the reserved allowances </w:t>
      </w:r>
      <w:r w:rsidR="3115FE96" w:rsidRPr="2193DBD9">
        <w:rPr>
          <w:noProof/>
          <w:lang w:val="en-IE"/>
        </w:rPr>
        <w:t xml:space="preserve">referred to in </w:t>
      </w:r>
      <w:r w:rsidR="340CF855" w:rsidRPr="2193DBD9">
        <w:rPr>
          <w:noProof/>
          <w:lang w:val="en-IE"/>
        </w:rPr>
        <w:t>the first subparagraph of this paragraph</w:t>
      </w:r>
      <w:r w:rsidRPr="2193DBD9">
        <w:rPr>
          <w:noProof/>
          <w:lang w:val="en-IE"/>
        </w:rPr>
        <w:t xml:space="preserve"> and the procedure to make available </w:t>
      </w:r>
      <w:r w:rsidR="340CF855" w:rsidRPr="2193DBD9">
        <w:rPr>
          <w:noProof/>
          <w:lang w:val="en-IE"/>
        </w:rPr>
        <w:t xml:space="preserve">those </w:t>
      </w:r>
      <w:r w:rsidRPr="2193DBD9">
        <w:rPr>
          <w:noProof/>
          <w:lang w:val="en-IE"/>
        </w:rPr>
        <w:t>allowances.’;</w:t>
      </w:r>
    </w:p>
    <w:p w14:paraId="07C8E7C4" w14:textId="0DE7546A" w:rsidR="00DA5266" w:rsidRDefault="008F25D7" w:rsidP="005E0E3B">
      <w:pPr>
        <w:pStyle w:val="Point0"/>
        <w:rPr>
          <w:noProof/>
        </w:rPr>
      </w:pPr>
      <w:r>
        <w:rPr>
          <w:noProof/>
        </w:rPr>
        <w:t>(7)</w:t>
      </w:r>
      <w:r>
        <w:rPr>
          <w:noProof/>
        </w:rPr>
        <w:tab/>
        <w:t>Article 3gg is amended as follows:</w:t>
      </w:r>
    </w:p>
    <w:p w14:paraId="1DBA8B1D" w14:textId="7E9E1316" w:rsidR="008261E4" w:rsidRPr="00D819E1" w:rsidRDefault="002D1C7F" w:rsidP="00B97C25">
      <w:pPr>
        <w:pStyle w:val="Point0"/>
        <w:tabs>
          <w:tab w:val="num" w:pos="1560"/>
        </w:tabs>
        <w:ind w:left="1560"/>
        <w:rPr>
          <w:noProof/>
          <w:lang w:val="en-IE" w:eastAsia="en-IE"/>
        </w:rPr>
      </w:pPr>
      <w:r>
        <w:rPr>
          <w:noProof/>
        </w:rPr>
        <w:t>(a)</w:t>
      </w:r>
      <w:r>
        <w:rPr>
          <w:noProof/>
        </w:rPr>
        <w:tab/>
      </w:r>
      <w:r>
        <w:rPr>
          <w:rFonts w:eastAsia="Times New Roman"/>
          <w:noProof/>
          <w:szCs w:val="24"/>
        </w:rPr>
        <w:t xml:space="preserve">in paragraph 1, point </w:t>
      </w:r>
      <w:r>
        <w:rPr>
          <w:noProof/>
          <w:lang w:val="en-IE" w:eastAsia="en-IE"/>
        </w:rPr>
        <w:t xml:space="preserve">(c) </w:t>
      </w:r>
      <w:r w:rsidR="008261E4">
        <w:rPr>
          <w:noProof/>
          <w:lang w:val="en-IE"/>
        </w:rPr>
        <w:t xml:space="preserve">is replaced by </w:t>
      </w:r>
      <w:r w:rsidR="00D819E1">
        <w:rPr>
          <w:noProof/>
          <w:lang w:val="en-IE"/>
        </w:rPr>
        <w:t xml:space="preserve">the following: </w:t>
      </w:r>
    </w:p>
    <w:p w14:paraId="18779940" w14:textId="2BA9789F" w:rsidR="008261E4" w:rsidRPr="00595304" w:rsidRDefault="00D819E1" w:rsidP="00B97C25">
      <w:pPr>
        <w:pStyle w:val="Point0"/>
        <w:tabs>
          <w:tab w:val="num" w:pos="1560"/>
        </w:tabs>
        <w:ind w:left="1560" w:firstLine="0"/>
        <w:rPr>
          <w:noProof/>
          <w:color w:val="000000" w:themeColor="text1"/>
          <w:lang w:val="en-IE" w:eastAsia="en-IE"/>
        </w:rPr>
      </w:pPr>
      <w:r>
        <w:rPr>
          <w:noProof/>
          <w:color w:val="000000" w:themeColor="text1"/>
          <w:lang w:val="en-IE" w:eastAsia="en-IE"/>
        </w:rPr>
        <w:t>‘(c) any issue related to the coherence between the EU ETS and that measure, including double payment.’</w:t>
      </w:r>
    </w:p>
    <w:p w14:paraId="3F3EEB31" w14:textId="123A6175" w:rsidR="008261E4" w:rsidRPr="00595304" w:rsidRDefault="00D819E1" w:rsidP="00B97C25">
      <w:pPr>
        <w:pStyle w:val="Point0"/>
        <w:tabs>
          <w:tab w:val="num" w:pos="1560"/>
        </w:tabs>
        <w:ind w:left="1560"/>
        <w:rPr>
          <w:noProof/>
          <w:color w:val="000000" w:themeColor="text1"/>
          <w:lang w:val="en-IE" w:eastAsia="en-IE"/>
        </w:rPr>
      </w:pPr>
      <w:r>
        <w:rPr>
          <w:noProof/>
        </w:rPr>
        <w:t>(b)</w:t>
      </w:r>
      <w:r>
        <w:rPr>
          <w:noProof/>
        </w:rPr>
        <w:tab/>
      </w:r>
      <w:r>
        <w:rPr>
          <w:noProof/>
          <w:color w:val="000000" w:themeColor="text1"/>
          <w:lang w:val="en-IE" w:eastAsia="en-IE"/>
        </w:rPr>
        <w:t>in paragraph 1, the second subparagraph is replaced by the following:</w:t>
      </w:r>
    </w:p>
    <w:p w14:paraId="6BD18074" w14:textId="49CB53CE" w:rsidR="008261E4" w:rsidRDefault="00D819E1" w:rsidP="00B97C25">
      <w:pPr>
        <w:pStyle w:val="Point1"/>
        <w:tabs>
          <w:tab w:val="num" w:pos="1560"/>
        </w:tabs>
        <w:ind w:left="1560" w:firstLine="0"/>
        <w:rPr>
          <w:noProof/>
          <w:lang w:val="en-IE"/>
        </w:rPr>
      </w:pPr>
      <w:r>
        <w:rPr>
          <w:noProof/>
          <w:color w:val="000000" w:themeColor="text1"/>
          <w:lang w:val="en-IE" w:eastAsia="en-IE"/>
        </w:rPr>
        <w:t xml:space="preserve">‘Where appropriate, the Commission may accompany the report referred to in the second subparagraph of this paragraph with a legislative proposal to amend this Directive in a manner that is consistent with the Union </w:t>
      </w:r>
      <w:r>
        <w:rPr>
          <w:strike/>
          <w:noProof/>
          <w:color w:val="000000" w:themeColor="text1"/>
          <w:lang w:val="en-IE" w:eastAsia="en-IE"/>
        </w:rPr>
        <w:t>2030</w:t>
      </w:r>
      <w:r>
        <w:rPr>
          <w:noProof/>
          <w:color w:val="000000" w:themeColor="text1"/>
          <w:lang w:val="en-IE" w:eastAsia="en-IE"/>
        </w:rPr>
        <w:t xml:space="preserve"> climate target</w:t>
      </w:r>
      <w:r>
        <w:rPr>
          <w:noProof/>
          <w:color w:val="000000" w:themeColor="text1"/>
          <w:u w:val="single"/>
          <w:lang w:val="en-IE" w:eastAsia="en-IE"/>
        </w:rPr>
        <w:t>s</w:t>
      </w:r>
      <w:r>
        <w:rPr>
          <w:noProof/>
          <w:color w:val="000000" w:themeColor="text1"/>
          <w:lang w:val="en-IE" w:eastAsia="en-IE"/>
        </w:rPr>
        <w:t xml:space="preserve"> and the climate-neutrality objective set out in Regulation (EU) 2021/1119, and with the aim of preserving the environmental integrity and effectiveness of Union climate action, in order to ensure coherence between the implementation of the global market-based measure and the EU ETS, while avoiding double payment and any significant double burden.’;</w:t>
      </w:r>
    </w:p>
    <w:p w14:paraId="4525BF24" w14:textId="2487EE90" w:rsidR="004B7483" w:rsidRDefault="004B7483" w:rsidP="00B97C25">
      <w:pPr>
        <w:pStyle w:val="Point0"/>
        <w:tabs>
          <w:tab w:val="num" w:pos="1560"/>
        </w:tabs>
        <w:ind w:left="1560"/>
        <w:rPr>
          <w:noProof/>
        </w:rPr>
      </w:pPr>
      <w:r>
        <w:rPr>
          <w:noProof/>
        </w:rPr>
        <w:t>(c)</w:t>
      </w:r>
      <w:r>
        <w:rPr>
          <w:noProof/>
        </w:rPr>
        <w:tab/>
        <w:t xml:space="preserve">paragraph 4 is replaced by the following: </w:t>
      </w:r>
    </w:p>
    <w:p w14:paraId="093C555D" w14:textId="26DBF1F2" w:rsidR="008252FD" w:rsidRDefault="004B7483">
      <w:pPr>
        <w:pStyle w:val="Point0"/>
        <w:tabs>
          <w:tab w:val="num" w:pos="1560"/>
        </w:tabs>
        <w:ind w:left="1560" w:firstLine="0"/>
        <w:rPr>
          <w:noProof/>
        </w:rPr>
      </w:pPr>
      <w:r>
        <w:rPr>
          <w:noProof/>
        </w:rPr>
        <w:t>'No</w:t>
      </w:r>
      <w:r w:rsidR="008252FD">
        <w:rPr>
          <w:noProof/>
        </w:rPr>
        <w:t xml:space="preserve"> later than 30 September 2035, the Commission shall assess the implementation of Article 3ga(3), second subparagraph, including its contribution to the decarbonisation of maritime transport and the administrative costs incurred by the Member States concerned, and the appropriateness of extending its application beyond 31 December </w:t>
      </w:r>
      <w:r>
        <w:rPr>
          <w:noProof/>
        </w:rPr>
        <w:t>2038</w:t>
      </w:r>
      <w:r w:rsidR="008252FD">
        <w:rPr>
          <w:noProof/>
        </w:rPr>
        <w:t xml:space="preserve"> and, if appropriate, submit a legislative proposal to that </w:t>
      </w:r>
      <w:r>
        <w:rPr>
          <w:noProof/>
        </w:rPr>
        <w:t>effect’.</w:t>
      </w:r>
    </w:p>
    <w:p w14:paraId="7A10AED0" w14:textId="57EFA850" w:rsidR="004B7483" w:rsidRPr="00B97C25" w:rsidRDefault="00093712" w:rsidP="00B97C25">
      <w:pPr>
        <w:pStyle w:val="Point0"/>
        <w:tabs>
          <w:tab w:val="num" w:pos="1560"/>
        </w:tabs>
        <w:ind w:left="1560"/>
        <w:rPr>
          <w:noProof/>
          <w:lang w:val="en-IE"/>
        </w:rPr>
      </w:pPr>
      <w:r>
        <w:rPr>
          <w:noProof/>
        </w:rPr>
        <w:t>(d)</w:t>
      </w:r>
      <w:r>
        <w:rPr>
          <w:noProof/>
        </w:rPr>
        <w:tab/>
        <w:t xml:space="preserve">in paragraph </w:t>
      </w:r>
      <w:r w:rsidR="004B7483">
        <w:rPr>
          <w:noProof/>
        </w:rPr>
        <w:t>5</w:t>
      </w:r>
      <w:r>
        <w:rPr>
          <w:noProof/>
        </w:rPr>
        <w:t>,</w:t>
      </w:r>
      <w:r w:rsidR="00D819E1">
        <w:rPr>
          <w:noProof/>
        </w:rPr>
        <w:t xml:space="preserve"> </w:t>
      </w:r>
      <w:r w:rsidR="008252FD">
        <w:rPr>
          <w:noProof/>
        </w:rPr>
        <w:t>the first subparagraph is replaced by</w:t>
      </w:r>
      <w:r w:rsidR="002D1C7F">
        <w:rPr>
          <w:noProof/>
        </w:rPr>
        <w:t xml:space="preserve"> </w:t>
      </w:r>
      <w:r>
        <w:rPr>
          <w:noProof/>
        </w:rPr>
        <w:t>the following:</w:t>
      </w:r>
    </w:p>
    <w:p w14:paraId="13147DFF" w14:textId="2018F263" w:rsidR="00F64AB5" w:rsidRDefault="008252FD">
      <w:pPr>
        <w:pStyle w:val="Point0"/>
        <w:tabs>
          <w:tab w:val="num" w:pos="1560"/>
        </w:tabs>
        <w:ind w:left="1560" w:firstLine="0"/>
        <w:rPr>
          <w:noProof/>
          <w:lang w:val="en-IE"/>
        </w:rPr>
      </w:pPr>
      <w:r>
        <w:rPr>
          <w:noProof/>
        </w:rPr>
        <w:t> 'No later than 31 December 2031 the Commission shall present a report to the European Parliament and to the Council in which it shall examine the feasibility and economic, environmental and social impacts of the inclusion in this Directive of emissions from ships, below 5 000 gross tonnage but not below 400 gross tonnage, which are referred to in Article 2(1d) points (e) and  (f) of Regulation (EU) 2015/757’;</w:t>
      </w:r>
    </w:p>
    <w:p w14:paraId="781773F6" w14:textId="711106CB" w:rsidR="008A50D4" w:rsidRDefault="004F6AF9" w:rsidP="00A24A67">
      <w:pPr>
        <w:pStyle w:val="Point0"/>
        <w:tabs>
          <w:tab w:val="num" w:pos="1560"/>
        </w:tabs>
        <w:ind w:left="1560"/>
        <w:rPr>
          <w:noProof/>
          <w:lang w:val="en-IE"/>
        </w:rPr>
      </w:pPr>
      <w:r>
        <w:rPr>
          <w:noProof/>
        </w:rPr>
        <w:t>(e)</w:t>
      </w:r>
      <w:r>
        <w:rPr>
          <w:noProof/>
        </w:rPr>
        <w:tab/>
      </w:r>
      <w:r w:rsidRPr="00B97C25">
        <w:rPr>
          <w:noProof/>
        </w:rPr>
        <w:t>the following paragraph 6</w:t>
      </w:r>
      <w:r w:rsidR="001751BB">
        <w:rPr>
          <w:noProof/>
        </w:rPr>
        <w:t xml:space="preserve"> and 7 are</w:t>
      </w:r>
      <w:r w:rsidRPr="00B97C25">
        <w:rPr>
          <w:noProof/>
        </w:rPr>
        <w:t xml:space="preserve"> added: </w:t>
      </w:r>
    </w:p>
    <w:p w14:paraId="2BDFF78A" w14:textId="77777777" w:rsidR="008F25D7" w:rsidRDefault="473BED88">
      <w:pPr>
        <w:pStyle w:val="Text1"/>
        <w:tabs>
          <w:tab w:val="num" w:pos="1560"/>
        </w:tabs>
        <w:ind w:left="1560"/>
        <w:rPr>
          <w:noProof/>
          <w:color w:val="000000" w:themeColor="text1"/>
        </w:rPr>
      </w:pPr>
      <w:r w:rsidRPr="2193DBD9">
        <w:rPr>
          <w:noProof/>
          <w:lang w:val="en-IE"/>
        </w:rPr>
        <w:t xml:space="preserve">‘6. By 1 </w:t>
      </w:r>
      <w:r>
        <w:rPr>
          <w:noProof/>
          <w:color w:val="000000" w:themeColor="text1"/>
          <w:lang w:val="en-IE"/>
        </w:rPr>
        <w:t>January 2032, the Commission shall carry out an evaluation of the application of Article 3gaa and submit a report to the European Parliament and to the Council.’;</w:t>
      </w:r>
    </w:p>
    <w:p w14:paraId="4CCF6839" w14:textId="08B02985" w:rsidR="008A50D4" w:rsidRDefault="2193DBD9" w:rsidP="2193DBD9">
      <w:pPr>
        <w:pStyle w:val="Point1"/>
        <w:tabs>
          <w:tab w:val="num" w:pos="1560"/>
        </w:tabs>
        <w:ind w:left="1560" w:firstLine="0"/>
        <w:rPr>
          <w:noProof/>
          <w:color w:val="000000" w:themeColor="text1"/>
          <w:lang w:val="en-IE"/>
        </w:rPr>
      </w:pPr>
      <w:r>
        <w:rPr>
          <w:noProof/>
          <w:color w:val="000000" w:themeColor="text1"/>
          <w:lang w:val="en-IE"/>
        </w:rPr>
        <w:t xml:space="preserve">7. </w:t>
      </w:r>
      <w:r w:rsidR="00093712">
        <w:rPr>
          <w:noProof/>
          <w:color w:val="000000" w:themeColor="text1"/>
          <w:lang w:val="en-IE"/>
        </w:rPr>
        <w:t xml:space="preserve">No later than 30 September 2033, the Commission shall assess the implementation of the derogation provided for in Article </w:t>
      </w:r>
      <w:r>
        <w:rPr>
          <w:noProof/>
          <w:color w:val="000000" w:themeColor="text1"/>
          <w:lang w:val="en-IE" w:eastAsia="en-IE"/>
        </w:rPr>
        <w:t>12</w:t>
      </w:r>
      <w:r w:rsidR="00093712">
        <w:rPr>
          <w:noProof/>
          <w:color w:val="000000" w:themeColor="text1"/>
          <w:lang w:val="en-IE"/>
        </w:rPr>
        <w:t>(3-e</w:t>
      </w:r>
      <w:r>
        <w:rPr>
          <w:noProof/>
          <w:color w:val="000000" w:themeColor="text1"/>
          <w:lang w:val="en-IE" w:eastAsia="en-IE"/>
        </w:rPr>
        <w:t>),</w:t>
      </w:r>
      <w:r w:rsidR="00093712">
        <w:rPr>
          <w:noProof/>
          <w:color w:val="000000" w:themeColor="text1"/>
          <w:lang w:val="en-IE"/>
        </w:rPr>
        <w:t xml:space="preserve"> taking into account technological developments, the availability and deployment of low- and zero-emission propulsion technologies and sustainable fuels suitable for ice-class ships, the impact of the derogation on the decarbonisation of maritime transport, and the appropriateness of extending its application beyond 31 December 2035 and, where appropriate, submit a legislative proposal to that effect.</w:t>
      </w:r>
      <w:r w:rsidR="001751BB">
        <w:rPr>
          <w:noProof/>
          <w:color w:val="000000" w:themeColor="text1"/>
          <w:lang w:val="en-IE"/>
        </w:rPr>
        <w:t>’;</w:t>
      </w:r>
    </w:p>
    <w:p w14:paraId="38CD7683" w14:textId="77777777" w:rsidR="008A50D4" w:rsidRDefault="2193DBD9" w:rsidP="005E0E3B">
      <w:pPr>
        <w:pStyle w:val="Point0"/>
        <w:rPr>
          <w:noProof/>
        </w:rPr>
      </w:pPr>
      <w:r>
        <w:rPr>
          <w:noProof/>
        </w:rPr>
        <w:t>(8)</w:t>
      </w:r>
      <w:r>
        <w:rPr>
          <w:noProof/>
        </w:rPr>
        <w:tab/>
        <w:t xml:space="preserve">in </w:t>
      </w:r>
      <w:r w:rsidR="1192E858">
        <w:rPr>
          <w:noProof/>
        </w:rPr>
        <w:t>Article 4, ‘</w:t>
      </w:r>
      <w:r w:rsidR="61AAD930">
        <w:rPr>
          <w:noProof/>
        </w:rPr>
        <w:t>Article 27</w:t>
      </w:r>
      <w:r w:rsidR="1192E858">
        <w:rPr>
          <w:noProof/>
        </w:rPr>
        <w:t>’ is</w:t>
      </w:r>
      <w:r w:rsidR="79BFFAA8">
        <w:rPr>
          <w:noProof/>
        </w:rPr>
        <w:t xml:space="preserve"> replaced by ‘Articles 27 and 27a’</w:t>
      </w:r>
      <w:r w:rsidR="1192E858">
        <w:rPr>
          <w:noProof/>
        </w:rPr>
        <w:t>.</w:t>
      </w:r>
    </w:p>
    <w:p w14:paraId="018AAB14" w14:textId="58628B35" w:rsidR="008F25D7" w:rsidRPr="00665E9D" w:rsidRDefault="473BED88" w:rsidP="005E0E3B">
      <w:pPr>
        <w:pStyle w:val="Point0"/>
        <w:rPr>
          <w:noProof/>
        </w:rPr>
      </w:pPr>
      <w:r>
        <w:rPr>
          <w:noProof/>
        </w:rPr>
        <w:t>(9)</w:t>
      </w:r>
      <w:r>
        <w:rPr>
          <w:noProof/>
        </w:rPr>
        <w:tab/>
        <w:t>in Article 6, the following paragraph</w:t>
      </w:r>
      <w:r w:rsidR="07AF3ECE">
        <w:rPr>
          <w:noProof/>
        </w:rPr>
        <w:t>s</w:t>
      </w:r>
      <w:r>
        <w:rPr>
          <w:noProof/>
        </w:rPr>
        <w:t xml:space="preserve"> </w:t>
      </w:r>
      <w:r w:rsidR="07AF3ECE">
        <w:rPr>
          <w:noProof/>
        </w:rPr>
        <w:t>are</w:t>
      </w:r>
      <w:r>
        <w:rPr>
          <w:noProof/>
        </w:rPr>
        <w:t xml:space="preserve"> </w:t>
      </w:r>
      <w:r w:rsidR="00E10A94">
        <w:rPr>
          <w:noProof/>
        </w:rPr>
        <w:t>added</w:t>
      </w:r>
      <w:r>
        <w:rPr>
          <w:noProof/>
        </w:rPr>
        <w:t xml:space="preserve">: </w:t>
      </w:r>
    </w:p>
    <w:p w14:paraId="3FD1D111" w14:textId="77777777" w:rsidR="00BE6B7F" w:rsidRPr="00665E9D" w:rsidRDefault="473BED88" w:rsidP="2193DBD9">
      <w:pPr>
        <w:pStyle w:val="Text1"/>
        <w:rPr>
          <w:noProof/>
          <w:lang w:val="en-IE"/>
        </w:rPr>
      </w:pPr>
      <w:r>
        <w:rPr>
          <w:noProof/>
          <w:lang w:val="en-IE"/>
        </w:rPr>
        <w:t xml:space="preserve">‘3. The Commission is empowered to adopt implementing acts establishing rules </w:t>
      </w:r>
      <w:r w:rsidR="45EB9856">
        <w:rPr>
          <w:noProof/>
          <w:lang w:val="en-IE"/>
        </w:rPr>
        <w:t xml:space="preserve">for </w:t>
      </w:r>
      <w:r>
        <w:rPr>
          <w:noProof/>
          <w:lang w:val="en-IE"/>
        </w:rPr>
        <w:t xml:space="preserve">the granting, suspension and withdrawing of greenhouse gas emissions permit by the competent authority. </w:t>
      </w:r>
      <w:r w:rsidR="1BCE7B17">
        <w:rPr>
          <w:noProof/>
          <w:lang w:val="en-IE"/>
        </w:rPr>
        <w:t>Such</w:t>
      </w:r>
      <w:r>
        <w:rPr>
          <w:noProof/>
          <w:lang w:val="en-IE"/>
        </w:rPr>
        <w:t xml:space="preserve"> implementing acts shall be adopted in accordance with the examination procedure referred to in Article 22a(2).</w:t>
      </w:r>
    </w:p>
    <w:p w14:paraId="6F4E58DC" w14:textId="77777777" w:rsidR="008F25D7" w:rsidRPr="00665E9D" w:rsidRDefault="07AF3ECE" w:rsidP="008F25D7">
      <w:pPr>
        <w:pStyle w:val="Text1"/>
        <w:rPr>
          <w:noProof/>
          <w:lang w:val="en-IE"/>
        </w:rPr>
      </w:pPr>
      <w:r>
        <w:rPr>
          <w:noProof/>
          <w:lang w:val="en-IE"/>
        </w:rPr>
        <w:t xml:space="preserve">4. </w:t>
      </w:r>
      <w:r w:rsidR="44EDD3A9">
        <w:rPr>
          <w:noProof/>
          <w:lang w:val="en-IE"/>
        </w:rPr>
        <w:t xml:space="preserve">Where during the </w:t>
      </w:r>
      <w:r w:rsidR="6ECF34FA">
        <w:rPr>
          <w:noProof/>
          <w:lang w:val="en-IE"/>
        </w:rPr>
        <w:t>period</w:t>
      </w:r>
      <w:r w:rsidR="44EDD3A9">
        <w:rPr>
          <w:noProof/>
          <w:lang w:val="en-IE"/>
        </w:rPr>
        <w:t xml:space="preserve"> referred to in </w:t>
      </w:r>
      <w:r w:rsidR="6ECF34FA">
        <w:rPr>
          <w:noProof/>
          <w:lang w:val="en-IE"/>
        </w:rPr>
        <w:t xml:space="preserve">Article 3, point (h), </w:t>
      </w:r>
      <w:r w:rsidR="4A5E41E7">
        <w:rPr>
          <w:noProof/>
          <w:lang w:val="en-IE"/>
        </w:rPr>
        <w:t>the competent authority</w:t>
      </w:r>
      <w:r w:rsidR="56FD5670">
        <w:rPr>
          <w:noProof/>
          <w:lang w:val="en-IE"/>
        </w:rPr>
        <w:t xml:space="preserve"> successively grants for the first time </w:t>
      </w:r>
      <w:r w:rsidR="4A5E41E7">
        <w:rPr>
          <w:noProof/>
          <w:lang w:val="en-IE"/>
        </w:rPr>
        <w:t xml:space="preserve">a </w:t>
      </w:r>
      <w:r w:rsidR="2FF81BF4">
        <w:rPr>
          <w:noProof/>
          <w:lang w:val="en-IE"/>
        </w:rPr>
        <w:t>greenhouse gas emissions permit</w:t>
      </w:r>
      <w:r w:rsidR="147F0217">
        <w:rPr>
          <w:noProof/>
          <w:lang w:val="en-IE"/>
        </w:rPr>
        <w:t>, withdraw that p</w:t>
      </w:r>
      <w:r w:rsidR="147F0217" w:rsidRPr="00665E9D">
        <w:rPr>
          <w:noProof/>
          <w:lang w:val="en-IE"/>
        </w:rPr>
        <w:t>ermit and then grant a new one</w:t>
      </w:r>
      <w:r w:rsidR="3A7FC247" w:rsidRPr="00665E9D">
        <w:rPr>
          <w:noProof/>
          <w:lang w:val="en-IE"/>
        </w:rPr>
        <w:t xml:space="preserve">, the installation shall </w:t>
      </w:r>
      <w:r w:rsidR="66B7EECB" w:rsidRPr="00665E9D">
        <w:rPr>
          <w:noProof/>
          <w:lang w:val="en-IE"/>
        </w:rPr>
        <w:t>only be reintroduced in the EU ETS in the following five-year period for free allocation referred to in Article 11(</w:t>
      </w:r>
      <w:r w:rsidR="220A5A53" w:rsidRPr="00665E9D">
        <w:rPr>
          <w:noProof/>
          <w:lang w:val="en-IE"/>
        </w:rPr>
        <w:t>1</w:t>
      </w:r>
      <w:r w:rsidR="66B7EECB" w:rsidRPr="00665E9D">
        <w:rPr>
          <w:noProof/>
          <w:lang w:val="en-IE"/>
        </w:rPr>
        <w:t>)</w:t>
      </w:r>
      <w:r w:rsidR="73815B76" w:rsidRPr="00665E9D">
        <w:rPr>
          <w:noProof/>
          <w:lang w:val="en-IE"/>
        </w:rPr>
        <w:t xml:space="preserve">, under the relevant status as incumbent installation or new entrant, as </w:t>
      </w:r>
      <w:r w:rsidR="26145B48" w:rsidRPr="00665E9D">
        <w:rPr>
          <w:noProof/>
          <w:lang w:val="en-IE"/>
        </w:rPr>
        <w:t xml:space="preserve">applicable. </w:t>
      </w:r>
      <w:r w:rsidR="22553D03" w:rsidRPr="00665E9D">
        <w:rPr>
          <w:noProof/>
          <w:lang w:val="en-IE"/>
        </w:rPr>
        <w:t>That installation shall</w:t>
      </w:r>
      <w:r w:rsidR="66B7EECB" w:rsidRPr="00665E9D">
        <w:rPr>
          <w:noProof/>
          <w:lang w:val="en-IE"/>
        </w:rPr>
        <w:t xml:space="preserve"> </w:t>
      </w:r>
      <w:r w:rsidR="39227024" w:rsidRPr="00665E9D">
        <w:rPr>
          <w:noProof/>
          <w:lang w:val="en-IE"/>
        </w:rPr>
        <w:t xml:space="preserve">remain outside  the scope of the EU ETS </w:t>
      </w:r>
      <w:r w:rsidR="69A22A91" w:rsidRPr="00665E9D">
        <w:rPr>
          <w:noProof/>
          <w:lang w:val="en-IE"/>
        </w:rPr>
        <w:t xml:space="preserve">for the rest of the five-year period </w:t>
      </w:r>
      <w:r w:rsidR="2CD44179" w:rsidRPr="00665E9D">
        <w:rPr>
          <w:noProof/>
          <w:lang w:val="en-IE"/>
        </w:rPr>
        <w:t xml:space="preserve">for free allocation </w:t>
      </w:r>
      <w:r w:rsidR="69A22A91" w:rsidRPr="00665E9D">
        <w:rPr>
          <w:noProof/>
          <w:lang w:val="en-IE"/>
        </w:rPr>
        <w:t>referred to in Article 11(</w:t>
      </w:r>
      <w:r w:rsidR="220A5A53" w:rsidRPr="00665E9D">
        <w:rPr>
          <w:noProof/>
          <w:lang w:val="en-IE"/>
        </w:rPr>
        <w:t>1</w:t>
      </w:r>
      <w:r w:rsidR="69A22A91" w:rsidRPr="00665E9D">
        <w:rPr>
          <w:noProof/>
          <w:lang w:val="en-IE"/>
        </w:rPr>
        <w:t xml:space="preserve">) during which the permit </w:t>
      </w:r>
      <w:r w:rsidR="216D2128" w:rsidRPr="00665E9D">
        <w:rPr>
          <w:noProof/>
          <w:lang w:val="en-IE"/>
        </w:rPr>
        <w:t>was successively granted for the first time and withdrawn.</w:t>
      </w:r>
      <w:r w:rsidR="473BED88" w:rsidRPr="00665E9D">
        <w:rPr>
          <w:noProof/>
          <w:lang w:val="en-IE"/>
        </w:rPr>
        <w:t>’;</w:t>
      </w:r>
    </w:p>
    <w:p w14:paraId="1CEA44BE" w14:textId="6345664F" w:rsidR="00523CD2" w:rsidRDefault="00523CD2" w:rsidP="005E0E3B">
      <w:pPr>
        <w:pStyle w:val="Point0"/>
        <w:rPr>
          <w:noProof/>
        </w:rPr>
      </w:pPr>
      <w:r>
        <w:rPr>
          <w:noProof/>
        </w:rPr>
        <w:t>(10)</w:t>
      </w:r>
      <w:r>
        <w:rPr>
          <w:noProof/>
        </w:rPr>
        <w:tab/>
        <w:t>in the title of Chapter III the word ‘stationary’ is deleted;</w:t>
      </w:r>
    </w:p>
    <w:p w14:paraId="2BB3D381" w14:textId="0EA2F6FF" w:rsidR="008F25D7" w:rsidRPr="00B97C25" w:rsidRDefault="008F25D7" w:rsidP="005E0E3B">
      <w:pPr>
        <w:pStyle w:val="Point0"/>
        <w:rPr>
          <w:noProof/>
        </w:rPr>
      </w:pPr>
      <w:r>
        <w:rPr>
          <w:noProof/>
        </w:rPr>
        <w:t>(11)</w:t>
      </w:r>
      <w:r>
        <w:rPr>
          <w:noProof/>
        </w:rPr>
        <w:tab/>
      </w:r>
      <w:r w:rsidRPr="00B97C25">
        <w:rPr>
          <w:noProof/>
        </w:rPr>
        <w:t>the following Article is inserted:</w:t>
      </w:r>
    </w:p>
    <w:p w14:paraId="2CC5BEC7" w14:textId="77777777" w:rsidR="00FF67ED" w:rsidRPr="00FF67ED" w:rsidRDefault="00FF67ED" w:rsidP="006109D5">
      <w:pPr>
        <w:pStyle w:val="Titrearticle"/>
        <w:rPr>
          <w:noProof/>
          <w:lang w:val="en-IE"/>
        </w:rPr>
      </w:pPr>
      <w:r w:rsidRPr="00FF67ED">
        <w:rPr>
          <w:noProof/>
          <w:lang w:val="en-IE"/>
        </w:rPr>
        <w:t>‘Article 6a</w:t>
      </w:r>
    </w:p>
    <w:p w14:paraId="393493A3" w14:textId="77777777" w:rsidR="00FF67ED" w:rsidRPr="00EE0334" w:rsidRDefault="00FF67ED" w:rsidP="00EE0334">
      <w:pPr>
        <w:jc w:val="center"/>
        <w:rPr>
          <w:b/>
          <w:bCs/>
          <w:noProof/>
          <w:lang w:val="en-IE"/>
        </w:rPr>
      </w:pPr>
      <w:r w:rsidRPr="00EE0334">
        <w:rPr>
          <w:b/>
          <w:bCs/>
          <w:noProof/>
          <w:lang w:val="en-IE"/>
        </w:rPr>
        <w:t>Competent authority in respect of CO</w:t>
      </w:r>
      <w:r w:rsidRPr="00EE0334">
        <w:rPr>
          <w:b/>
          <w:bCs/>
          <w:noProof/>
          <w:vertAlign w:val="subscript"/>
          <w:lang w:val="en-IE"/>
        </w:rPr>
        <w:t>2</w:t>
      </w:r>
      <w:r w:rsidRPr="00EE0334">
        <w:rPr>
          <w:b/>
          <w:bCs/>
          <w:noProof/>
          <w:lang w:val="en-IE"/>
        </w:rPr>
        <w:t xml:space="preserve"> transport infrastructure</w:t>
      </w:r>
    </w:p>
    <w:p w14:paraId="3110A8A9" w14:textId="77777777" w:rsidR="00A66AD8" w:rsidRDefault="00FF67ED" w:rsidP="004830AF">
      <w:pPr>
        <w:pStyle w:val="LegalNumPar"/>
        <w:numPr>
          <w:ilvl w:val="0"/>
          <w:numId w:val="23"/>
        </w:numPr>
        <w:spacing w:line="240" w:lineRule="auto"/>
        <w:ind w:left="0" w:firstLine="0"/>
        <w:rPr>
          <w:noProof/>
          <w:lang w:val="en-IE"/>
        </w:rPr>
      </w:pPr>
      <w:r w:rsidRPr="00A66AD8">
        <w:rPr>
          <w:noProof/>
          <w:lang w:val="en-IE"/>
        </w:rPr>
        <w:t>The competent authority in respect of CO</w:t>
      </w:r>
      <w:r w:rsidRPr="00A66AD8">
        <w:rPr>
          <w:noProof/>
          <w:vertAlign w:val="subscript"/>
          <w:lang w:val="en-IE"/>
        </w:rPr>
        <w:t>2</w:t>
      </w:r>
      <w:r w:rsidRPr="00A66AD8">
        <w:rPr>
          <w:noProof/>
          <w:lang w:val="en-IE"/>
        </w:rPr>
        <w:t xml:space="preserve"> transport infrastructure shall be the competent authority of the Member State where the CO</w:t>
      </w:r>
      <w:r w:rsidRPr="00A66AD8">
        <w:rPr>
          <w:noProof/>
          <w:vertAlign w:val="subscript"/>
          <w:lang w:val="en-IE"/>
        </w:rPr>
        <w:t>2</w:t>
      </w:r>
      <w:r w:rsidRPr="00A66AD8">
        <w:rPr>
          <w:noProof/>
          <w:lang w:val="en-IE"/>
        </w:rPr>
        <w:t xml:space="preserve"> </w:t>
      </w:r>
      <w:r w:rsidR="00096D73" w:rsidRPr="00A66AD8">
        <w:rPr>
          <w:noProof/>
          <w:lang w:val="en-IE"/>
        </w:rPr>
        <w:t xml:space="preserve">that is being transported </w:t>
      </w:r>
      <w:r w:rsidRPr="00A66AD8">
        <w:rPr>
          <w:noProof/>
          <w:lang w:val="en-IE"/>
        </w:rPr>
        <w:t>is captured. Where CO</w:t>
      </w:r>
      <w:r w:rsidRPr="00A66AD8">
        <w:rPr>
          <w:noProof/>
          <w:vertAlign w:val="subscript"/>
          <w:lang w:val="en-IE"/>
        </w:rPr>
        <w:t>2</w:t>
      </w:r>
      <w:r w:rsidRPr="00A66AD8">
        <w:rPr>
          <w:noProof/>
          <w:lang w:val="en-IE"/>
        </w:rPr>
        <w:t xml:space="preserve"> is captured outside the EEA, the competent authority shall be the competent authority of the first Member State of transit of the CO</w:t>
      </w:r>
      <w:r w:rsidRPr="00A66AD8">
        <w:rPr>
          <w:noProof/>
          <w:vertAlign w:val="subscript"/>
          <w:lang w:val="en-IE"/>
        </w:rPr>
        <w:t>2</w:t>
      </w:r>
      <w:r w:rsidRPr="00A66AD8">
        <w:rPr>
          <w:noProof/>
          <w:lang w:val="en-IE"/>
        </w:rPr>
        <w:t xml:space="preserve">. </w:t>
      </w:r>
    </w:p>
    <w:p w14:paraId="67232A11" w14:textId="77777777" w:rsidR="004F6AF9" w:rsidRDefault="00FF67ED" w:rsidP="004830AF">
      <w:pPr>
        <w:pStyle w:val="LegalNumPar"/>
        <w:numPr>
          <w:ilvl w:val="0"/>
          <w:numId w:val="23"/>
        </w:numPr>
        <w:spacing w:line="240" w:lineRule="auto"/>
        <w:ind w:left="0" w:firstLine="0"/>
        <w:rPr>
          <w:noProof/>
          <w:lang w:val="en-IE"/>
        </w:rPr>
      </w:pPr>
      <w:r w:rsidRPr="00A66AD8">
        <w:rPr>
          <w:noProof/>
          <w:lang w:val="en-IE"/>
        </w:rPr>
        <w:t xml:space="preserve">The competent authorities pursuant to paragraph 1 and the competent authorities of transit or reception Member States shall exchange all relevant information necessary for the approval of monitoring plans and </w:t>
      </w:r>
      <w:r w:rsidR="007F1531" w:rsidRPr="00A66AD8">
        <w:rPr>
          <w:noProof/>
          <w:lang w:val="en-IE"/>
        </w:rPr>
        <w:t xml:space="preserve">verification of </w:t>
      </w:r>
      <w:r w:rsidRPr="00A66AD8">
        <w:rPr>
          <w:noProof/>
          <w:lang w:val="en-IE"/>
        </w:rPr>
        <w:t>emission reports of the CO</w:t>
      </w:r>
      <w:r w:rsidRPr="00A66AD8">
        <w:rPr>
          <w:noProof/>
          <w:vertAlign w:val="subscript"/>
          <w:lang w:val="en-IE"/>
        </w:rPr>
        <w:t>2</w:t>
      </w:r>
      <w:r w:rsidRPr="00A66AD8">
        <w:rPr>
          <w:noProof/>
          <w:lang w:val="en-IE"/>
        </w:rPr>
        <w:t xml:space="preserve"> transport infrastructures.’</w:t>
      </w:r>
    </w:p>
    <w:p w14:paraId="3D484280" w14:textId="77777777" w:rsidR="008A50D4" w:rsidRDefault="004F6AF9" w:rsidP="005E0E3B">
      <w:pPr>
        <w:pStyle w:val="Point0"/>
        <w:rPr>
          <w:noProof/>
        </w:rPr>
      </w:pPr>
      <w:r>
        <w:rPr>
          <w:noProof/>
        </w:rPr>
        <w:t>(12)</w:t>
      </w:r>
      <w:r>
        <w:rPr>
          <w:noProof/>
        </w:rPr>
        <w:tab/>
      </w:r>
      <w:r w:rsidRPr="00B97C25">
        <w:rPr>
          <w:noProof/>
        </w:rPr>
        <w:t>Article 9 is amended as follows:</w:t>
      </w:r>
    </w:p>
    <w:p w14:paraId="207D7790" w14:textId="7872E293" w:rsidR="00FF67ED" w:rsidRPr="0066613A" w:rsidRDefault="00FF67ED">
      <w:pPr>
        <w:pStyle w:val="Point1"/>
        <w:rPr>
          <w:noProof/>
          <w:lang w:val="en-IE"/>
        </w:rPr>
      </w:pPr>
      <w:r>
        <w:rPr>
          <w:noProof/>
        </w:rPr>
        <w:t>(a)</w:t>
      </w:r>
      <w:r>
        <w:rPr>
          <w:noProof/>
        </w:rPr>
        <w:tab/>
      </w:r>
      <w:r w:rsidRPr="0066613A">
        <w:rPr>
          <w:noProof/>
          <w:lang w:val="en-IE"/>
        </w:rPr>
        <w:t xml:space="preserve">the fourth </w:t>
      </w:r>
      <w:r w:rsidRPr="0066613A" w:rsidDel="00F26398">
        <w:rPr>
          <w:noProof/>
          <w:lang w:val="en-IE"/>
        </w:rPr>
        <w:t>sub</w:t>
      </w:r>
      <w:r w:rsidRPr="0066613A">
        <w:rPr>
          <w:noProof/>
          <w:lang w:val="en-IE"/>
        </w:rPr>
        <w:t>paragraph is replaced by the following:</w:t>
      </w:r>
    </w:p>
    <w:p w14:paraId="08608EB5" w14:textId="77777777" w:rsidR="00FF67ED" w:rsidRPr="00FF67ED" w:rsidRDefault="00FF67ED" w:rsidP="00FF67ED">
      <w:pPr>
        <w:pStyle w:val="Text2"/>
        <w:rPr>
          <w:noProof/>
          <w:lang w:val="en-IE"/>
        </w:rPr>
      </w:pPr>
      <w:r w:rsidRPr="00FF67ED">
        <w:rPr>
          <w:noProof/>
          <w:lang w:val="en-IE"/>
        </w:rPr>
        <w:t>‘</w:t>
      </w:r>
      <w:r w:rsidR="00696392" w:rsidRPr="00696392">
        <w:rPr>
          <w:noProof/>
          <w:lang w:val="en-IE"/>
        </w:rPr>
        <w:t xml:space="preserve">From 1 January 2026 and 1 January 2027 respectively, the quantity of allowances shall be increased to take into account the coverage of greenhouse gas emissions other than CO2 emissions from maritime transport activities and the coverage of emissions of offshore ships, based on their emissions for the most recent year </w:t>
      </w:r>
      <w:r w:rsidR="00696392" w:rsidRPr="00533901">
        <w:rPr>
          <w:noProof/>
          <w:lang w:val="en-IE"/>
        </w:rPr>
        <w:t xml:space="preserve">for which data are available. </w:t>
      </w:r>
      <w:r w:rsidRPr="00533901">
        <w:rPr>
          <w:noProof/>
          <w:lang w:val="en-IE"/>
        </w:rPr>
        <w:t>Notwithstanding Article 10(1), the allowances resulting from that increase shall be made available to support innovation in accordance with</w:t>
      </w:r>
      <w:r w:rsidR="00533901">
        <w:rPr>
          <w:noProof/>
          <w:lang w:val="en-IE"/>
        </w:rPr>
        <w:t xml:space="preserve"> </w:t>
      </w:r>
      <w:r w:rsidR="00110453">
        <w:rPr>
          <w:noProof/>
          <w:lang w:val="en-IE"/>
        </w:rPr>
        <w:t>Article 3gaa</w:t>
      </w:r>
      <w:r w:rsidR="00380B61">
        <w:rPr>
          <w:noProof/>
          <w:lang w:val="en-IE"/>
        </w:rPr>
        <w:t xml:space="preserve"> from 2030</w:t>
      </w:r>
      <w:r w:rsidR="00722BDA" w:rsidRPr="00533901">
        <w:rPr>
          <w:noProof/>
          <w:lang w:val="en-IE"/>
        </w:rPr>
        <w:t>.</w:t>
      </w:r>
      <w:r w:rsidR="00C6534E">
        <w:rPr>
          <w:noProof/>
          <w:lang w:val="en-IE"/>
        </w:rPr>
        <w:t>’</w:t>
      </w:r>
    </w:p>
    <w:p w14:paraId="7B4F5C7D" w14:textId="6A6B2799" w:rsidR="00FF67ED" w:rsidRPr="00FF67ED" w:rsidRDefault="00FF67ED" w:rsidP="00B97C25">
      <w:pPr>
        <w:pStyle w:val="Point1"/>
        <w:rPr>
          <w:noProof/>
          <w:lang w:val="en-IE"/>
        </w:rPr>
      </w:pPr>
      <w:r>
        <w:rPr>
          <w:noProof/>
        </w:rPr>
        <w:t>(b)</w:t>
      </w:r>
      <w:r>
        <w:rPr>
          <w:noProof/>
        </w:rPr>
        <w:tab/>
      </w:r>
      <w:r w:rsidRPr="00FF67ED" w:rsidDel="00531999">
        <w:rPr>
          <w:noProof/>
          <w:lang w:val="en-IE"/>
        </w:rPr>
        <w:t xml:space="preserve">in Article 9, </w:t>
      </w:r>
      <w:r w:rsidRPr="00FF67ED">
        <w:rPr>
          <w:noProof/>
          <w:lang w:val="en-IE"/>
        </w:rPr>
        <w:t xml:space="preserve">the following paragraphs are added: </w:t>
      </w:r>
    </w:p>
    <w:p w14:paraId="2E9C2418" w14:textId="77777777" w:rsidR="00FF67ED" w:rsidRPr="00FF67ED" w:rsidRDefault="00FF67ED" w:rsidP="00533901">
      <w:pPr>
        <w:pStyle w:val="Text2"/>
        <w:rPr>
          <w:noProof/>
          <w:lang w:val="en-IE"/>
        </w:rPr>
      </w:pPr>
      <w:r w:rsidRPr="00FF67ED">
        <w:rPr>
          <w:noProof/>
          <w:lang w:val="en-IE"/>
        </w:rPr>
        <w:t xml:space="preserve">‘In [2031/two years after inclusion of additional small ships in MRV], the </w:t>
      </w:r>
      <w:r w:rsidR="004B3C46">
        <w:rPr>
          <w:noProof/>
          <w:lang w:val="en-IE"/>
        </w:rPr>
        <w:t xml:space="preserve">Union-wide </w:t>
      </w:r>
      <w:r w:rsidRPr="00FF67ED">
        <w:rPr>
          <w:noProof/>
          <w:lang w:val="en-IE"/>
        </w:rPr>
        <w:t xml:space="preserve">quantity of allowances shall be increased to take into account the coverage of emissions of the categories of ships below 5 000 gross tonnage but not below 400 gross tonnage referred to in Annex I, based on their emissions for the most recent year for which data are available. The allowances resulting from that increase shall contribute to the quantity referred to </w:t>
      </w:r>
      <w:r w:rsidRPr="00D62460">
        <w:rPr>
          <w:noProof/>
          <w:lang w:val="en-IE"/>
        </w:rPr>
        <w:t>in Article 3gaa.</w:t>
      </w:r>
    </w:p>
    <w:p w14:paraId="372169C9" w14:textId="77777777" w:rsidR="00FF67ED" w:rsidRPr="00FF67ED" w:rsidRDefault="00FF67ED" w:rsidP="00533901">
      <w:pPr>
        <w:pStyle w:val="Text2"/>
        <w:rPr>
          <w:noProof/>
          <w:lang w:val="en-IE"/>
        </w:rPr>
      </w:pPr>
      <w:r w:rsidRPr="00FF67ED">
        <w:rPr>
          <w:noProof/>
          <w:lang w:val="en-IE"/>
        </w:rPr>
        <w:t>The Union-wide quantity of allowances shall be increased in respect of municipal waste incineration by</w:t>
      </w:r>
      <w:r w:rsidR="00E37F78">
        <w:rPr>
          <w:noProof/>
          <w:lang w:val="en-IE"/>
        </w:rPr>
        <w:t xml:space="preserve"> the following amounts, in consideration of the phase-in requirements established in Article 12a</w:t>
      </w:r>
      <w:r w:rsidRPr="00FF67ED">
        <w:rPr>
          <w:noProof/>
          <w:lang w:val="en-IE"/>
        </w:rPr>
        <w:t xml:space="preserve">: </w:t>
      </w:r>
    </w:p>
    <w:p w14:paraId="2590F023" w14:textId="5869D160" w:rsidR="001514A0" w:rsidRPr="001514A0" w:rsidRDefault="6DD11B8B" w:rsidP="000B709E">
      <w:pPr>
        <w:pStyle w:val="Tiret2"/>
        <w:numPr>
          <w:ilvl w:val="0"/>
          <w:numId w:val="41"/>
        </w:numPr>
        <w:rPr>
          <w:noProof/>
          <w:lang w:val="en-IE"/>
        </w:rPr>
      </w:pPr>
      <w:r w:rsidRPr="68AA3861">
        <w:rPr>
          <w:noProof/>
          <w:lang w:val="en-IE"/>
        </w:rPr>
        <w:t>10</w:t>
      </w:r>
      <w:r w:rsidRPr="706AA216">
        <w:rPr>
          <w:noProof/>
          <w:lang w:val="en-IE"/>
        </w:rPr>
        <w:t>.2</w:t>
      </w:r>
      <w:r w:rsidR="4978F5FA" w:rsidRPr="3F087547">
        <w:rPr>
          <w:noProof/>
          <w:lang w:val="en-IE"/>
        </w:rPr>
        <w:t> million</w:t>
      </w:r>
      <w:r w:rsidR="00FF67ED" w:rsidRPr="00FF67ED">
        <w:rPr>
          <w:noProof/>
          <w:lang w:val="en-IE"/>
        </w:rPr>
        <w:t xml:space="preserve"> allowances in 2031;</w:t>
      </w:r>
      <w:r w:rsidR="001514A0" w:rsidRPr="001514A0">
        <w:rPr>
          <w:noProof/>
          <w:lang w:val="en-IE"/>
        </w:rPr>
        <w:t xml:space="preserve"> </w:t>
      </w:r>
    </w:p>
    <w:p w14:paraId="44594688" w14:textId="437B6484" w:rsidR="00FF67ED" w:rsidRPr="00FF67ED" w:rsidRDefault="2F68AEDB" w:rsidP="00B97C25">
      <w:pPr>
        <w:pStyle w:val="Tiret2"/>
        <w:rPr>
          <w:noProof/>
        </w:rPr>
      </w:pPr>
      <w:r w:rsidRPr="16031C1D">
        <w:rPr>
          <w:noProof/>
          <w:lang w:val="en-IE"/>
        </w:rPr>
        <w:t>19.</w:t>
      </w:r>
      <w:r w:rsidR="008036B8">
        <w:rPr>
          <w:noProof/>
          <w:lang w:val="en-IE"/>
        </w:rPr>
        <w:t>5</w:t>
      </w:r>
      <w:r w:rsidR="00AC0FA0">
        <w:rPr>
          <w:noProof/>
          <w:lang w:val="en-IE"/>
        </w:rPr>
        <w:t xml:space="preserve"> </w:t>
      </w:r>
      <w:r w:rsidR="4978F5FA" w:rsidRPr="16031C1D">
        <w:rPr>
          <w:noProof/>
          <w:lang w:val="en-IE"/>
        </w:rPr>
        <w:t>million</w:t>
      </w:r>
      <w:r w:rsidR="00FF67ED" w:rsidRPr="16031C1D">
        <w:rPr>
          <w:noProof/>
          <w:lang w:val="en-IE"/>
        </w:rPr>
        <w:t xml:space="preserve"> allowances in 2032; </w:t>
      </w:r>
    </w:p>
    <w:p w14:paraId="2FF3A4C0" w14:textId="6B5E2159" w:rsidR="00FF67ED" w:rsidRPr="00FF67ED" w:rsidRDefault="008036B8" w:rsidP="00B97C25">
      <w:pPr>
        <w:pStyle w:val="Tiret2"/>
        <w:rPr>
          <w:noProof/>
        </w:rPr>
      </w:pPr>
      <w:r>
        <w:rPr>
          <w:noProof/>
          <w:lang w:val="en-IE"/>
        </w:rPr>
        <w:t>28</w:t>
      </w:r>
      <w:r w:rsidR="00AC0FA0">
        <w:rPr>
          <w:noProof/>
          <w:lang w:val="en-IE"/>
        </w:rPr>
        <w:t xml:space="preserve">.1 </w:t>
      </w:r>
      <w:r w:rsidR="4B770360" w:rsidRPr="16031C1D">
        <w:rPr>
          <w:noProof/>
          <w:lang w:val="en-IE"/>
        </w:rPr>
        <w:t xml:space="preserve">million allowances in 2033; </w:t>
      </w:r>
      <w:r w:rsidR="501CE89D" w:rsidRPr="16031C1D">
        <w:rPr>
          <w:noProof/>
          <w:lang w:val="en-IE"/>
        </w:rPr>
        <w:t>and</w:t>
      </w:r>
      <w:r w:rsidR="4B770360" w:rsidRPr="16031C1D">
        <w:rPr>
          <w:noProof/>
          <w:lang w:val="en-IE"/>
        </w:rPr>
        <w:t xml:space="preserve"> </w:t>
      </w:r>
    </w:p>
    <w:p w14:paraId="31042F52" w14:textId="1FDBF355" w:rsidR="00FF67ED" w:rsidRPr="00FF67ED" w:rsidRDefault="00AC0FA0" w:rsidP="00B97C25">
      <w:pPr>
        <w:pStyle w:val="Tiret2"/>
        <w:rPr>
          <w:noProof/>
          <w:lang w:val="en-IE"/>
        </w:rPr>
      </w:pPr>
      <w:r>
        <w:rPr>
          <w:noProof/>
          <w:lang w:val="en-IE"/>
        </w:rPr>
        <w:t>36 million allowances</w:t>
      </w:r>
      <w:r w:rsidR="4978F5FA" w:rsidRPr="16031C1D">
        <w:rPr>
          <w:noProof/>
          <w:lang w:val="en-IE"/>
        </w:rPr>
        <w:t> in</w:t>
      </w:r>
      <w:r w:rsidR="00FF67ED" w:rsidRPr="16031C1D">
        <w:rPr>
          <w:noProof/>
          <w:lang w:val="en-IE"/>
        </w:rPr>
        <w:t xml:space="preserve"> </w:t>
      </w:r>
      <w:r w:rsidR="4978F5FA" w:rsidRPr="16031C1D">
        <w:rPr>
          <w:noProof/>
          <w:lang w:val="en-IE"/>
        </w:rPr>
        <w:t>203</w:t>
      </w:r>
      <w:r w:rsidR="39230C7E" w:rsidRPr="16031C1D">
        <w:rPr>
          <w:noProof/>
          <w:lang w:val="en-IE"/>
        </w:rPr>
        <w:t>4</w:t>
      </w:r>
      <w:r w:rsidR="00FF67ED" w:rsidRPr="16031C1D">
        <w:rPr>
          <w:noProof/>
          <w:lang w:val="en-IE"/>
        </w:rPr>
        <w:t>, subject</w:t>
      </w:r>
      <w:r w:rsidR="00344682">
        <w:rPr>
          <w:noProof/>
          <w:lang w:val="en-IE"/>
        </w:rPr>
        <w:t xml:space="preserve"> thereafter</w:t>
      </w:r>
      <w:r w:rsidR="00FF67ED" w:rsidRPr="16031C1D">
        <w:rPr>
          <w:noProof/>
          <w:lang w:val="en-IE"/>
        </w:rPr>
        <w:t xml:space="preserve"> to the application of the linear reduction factor</w:t>
      </w:r>
      <w:r w:rsidR="003B5CF7">
        <w:rPr>
          <w:noProof/>
          <w:lang w:val="en-IE"/>
        </w:rPr>
        <w:t>.</w:t>
      </w:r>
      <w:r w:rsidR="00FF67ED" w:rsidRPr="16031C1D">
        <w:rPr>
          <w:noProof/>
          <w:lang w:val="en-IE"/>
        </w:rPr>
        <w:t xml:space="preserve"> </w:t>
      </w:r>
    </w:p>
    <w:p w14:paraId="089820E7" w14:textId="4FD5106A" w:rsidR="00A65191" w:rsidRDefault="00FF67ED" w:rsidP="00A65191">
      <w:pPr>
        <w:pStyle w:val="Text2"/>
        <w:rPr>
          <w:noProof/>
          <w:lang w:val="en-IE"/>
        </w:rPr>
      </w:pPr>
      <w:r w:rsidRPr="00FF67ED">
        <w:rPr>
          <w:noProof/>
          <w:lang w:val="en-IE"/>
        </w:rPr>
        <w:t xml:space="preserve">The linear factor shall be </w:t>
      </w:r>
      <w:r w:rsidR="00B0256F" w:rsidRPr="00B0256F">
        <w:rPr>
          <w:noProof/>
          <w:lang w:val="en-IE"/>
        </w:rPr>
        <w:t>3.</w:t>
      </w:r>
      <w:r w:rsidR="00A83C94">
        <w:rPr>
          <w:noProof/>
          <w:lang w:val="en-IE"/>
        </w:rPr>
        <w:t>7</w:t>
      </w:r>
      <w:r w:rsidR="00B0256F" w:rsidRPr="00B0256F">
        <w:rPr>
          <w:noProof/>
          <w:lang w:val="en-IE"/>
        </w:rPr>
        <w:t xml:space="preserve">% </w:t>
      </w:r>
      <w:r w:rsidRPr="00FF67ED">
        <w:rPr>
          <w:noProof/>
          <w:lang w:val="en-IE"/>
        </w:rPr>
        <w:t xml:space="preserve">from 2031 to 2035 and </w:t>
      </w:r>
      <w:r w:rsidR="00A83C94">
        <w:rPr>
          <w:noProof/>
          <w:lang w:val="en-IE"/>
        </w:rPr>
        <w:t>1.7</w:t>
      </w:r>
      <w:r w:rsidR="00B0256F" w:rsidRPr="00B0256F">
        <w:rPr>
          <w:noProof/>
          <w:lang w:val="en-IE"/>
        </w:rPr>
        <w:t>%</w:t>
      </w:r>
      <w:r w:rsidR="00ED0700" w:rsidRPr="00ED0700">
        <w:rPr>
          <w:noProof/>
          <w:lang w:val="en-IE"/>
        </w:rPr>
        <w:t xml:space="preserve"> </w:t>
      </w:r>
      <w:r w:rsidRPr="00FF67ED">
        <w:rPr>
          <w:noProof/>
          <w:lang w:val="en-IE"/>
        </w:rPr>
        <w:t xml:space="preserve">from 2036. </w:t>
      </w:r>
    </w:p>
    <w:p w14:paraId="4F32F5AA" w14:textId="77777777" w:rsidR="00FF67ED" w:rsidRDefault="00FF67ED" w:rsidP="00533901">
      <w:pPr>
        <w:pStyle w:val="Text2"/>
        <w:rPr>
          <w:noProof/>
          <w:lang w:val="en-IE"/>
        </w:rPr>
      </w:pPr>
      <w:r w:rsidRPr="00FF67ED">
        <w:rPr>
          <w:noProof/>
          <w:lang w:val="en-IE"/>
        </w:rPr>
        <w:t xml:space="preserve">The Commission shall publish the Union-wide quantity of allowances by September </w:t>
      </w:r>
      <w:r w:rsidRPr="00D62460">
        <w:rPr>
          <w:noProof/>
          <w:lang w:val="en-IE"/>
        </w:rPr>
        <w:t>2028.’</w:t>
      </w:r>
      <w:r w:rsidR="00D62460" w:rsidRPr="00D62460">
        <w:rPr>
          <w:noProof/>
          <w:lang w:val="en-IE"/>
        </w:rPr>
        <w:t>;</w:t>
      </w:r>
    </w:p>
    <w:p w14:paraId="710759FD" w14:textId="3BE39FD4" w:rsidR="00FF67ED" w:rsidRPr="00B97C25" w:rsidRDefault="00FF67ED" w:rsidP="005E0E3B">
      <w:pPr>
        <w:pStyle w:val="Point0"/>
        <w:rPr>
          <w:noProof/>
        </w:rPr>
      </w:pPr>
      <w:r>
        <w:rPr>
          <w:noProof/>
        </w:rPr>
        <w:t>(13)</w:t>
      </w:r>
      <w:r>
        <w:rPr>
          <w:noProof/>
        </w:rPr>
        <w:tab/>
      </w:r>
      <w:r w:rsidRPr="00B97C25">
        <w:rPr>
          <w:noProof/>
        </w:rPr>
        <w:t>the following Article</w:t>
      </w:r>
      <w:r w:rsidR="00097050" w:rsidRPr="00B97C25">
        <w:rPr>
          <w:noProof/>
        </w:rPr>
        <w:t>s are</w:t>
      </w:r>
      <w:r w:rsidRPr="00B97C25">
        <w:rPr>
          <w:noProof/>
        </w:rPr>
        <w:t xml:space="preserve"> inserted:</w:t>
      </w:r>
    </w:p>
    <w:p w14:paraId="421439F1" w14:textId="77777777" w:rsidR="00097050" w:rsidRPr="00620F3F" w:rsidRDefault="000030FC" w:rsidP="006109D5">
      <w:pPr>
        <w:pStyle w:val="Titrearticle"/>
        <w:rPr>
          <w:noProof/>
          <w:lang w:val="en-IE"/>
        </w:rPr>
      </w:pPr>
      <w:r w:rsidRPr="00620F3F">
        <w:rPr>
          <w:noProof/>
          <w:lang w:val="en-IE"/>
        </w:rPr>
        <w:t>‘</w:t>
      </w:r>
      <w:r w:rsidR="00FF67ED" w:rsidRPr="00620F3F">
        <w:rPr>
          <w:noProof/>
          <w:lang w:val="en-IE"/>
        </w:rPr>
        <w:t xml:space="preserve">Article </w:t>
      </w:r>
      <w:r w:rsidR="00097050" w:rsidRPr="00620F3F">
        <w:rPr>
          <w:noProof/>
          <w:lang w:val="en-IE"/>
        </w:rPr>
        <w:t>9b</w:t>
      </w:r>
    </w:p>
    <w:p w14:paraId="1CFFB648" w14:textId="77777777" w:rsidR="00097050" w:rsidRPr="00EE0334" w:rsidRDefault="00097050" w:rsidP="00EE0334">
      <w:pPr>
        <w:jc w:val="center"/>
        <w:rPr>
          <w:b/>
          <w:bCs/>
          <w:noProof/>
          <w:lang w:val="en-IE"/>
        </w:rPr>
      </w:pPr>
      <w:r w:rsidRPr="00EE0334">
        <w:rPr>
          <w:b/>
          <w:bCs/>
          <w:noProof/>
          <w:lang w:val="en-IE"/>
        </w:rPr>
        <w:t>Funding for international credits</w:t>
      </w:r>
    </w:p>
    <w:p w14:paraId="1900B8EF" w14:textId="139C31C2" w:rsidR="0066613A" w:rsidRDefault="00D31760" w:rsidP="004830AF">
      <w:pPr>
        <w:pStyle w:val="LegalNumPar"/>
        <w:numPr>
          <w:ilvl w:val="0"/>
          <w:numId w:val="25"/>
        </w:numPr>
        <w:spacing w:line="240" w:lineRule="auto"/>
        <w:ind w:left="0" w:firstLine="0"/>
        <w:rPr>
          <w:noProof/>
        </w:rPr>
      </w:pPr>
      <w:r>
        <w:rPr>
          <w:noProof/>
        </w:rPr>
        <w:t xml:space="preserve">Up to </w:t>
      </w:r>
      <w:r w:rsidR="00927BE4">
        <w:rPr>
          <w:noProof/>
        </w:rPr>
        <w:t>260</w:t>
      </w:r>
      <w:r w:rsidR="00927BE4" w:rsidRPr="4A04FF72">
        <w:rPr>
          <w:noProof/>
        </w:rPr>
        <w:t xml:space="preserve"> </w:t>
      </w:r>
      <w:r w:rsidR="007A7A19" w:rsidRPr="4A04FF72">
        <w:rPr>
          <w:noProof/>
        </w:rPr>
        <w:t xml:space="preserve">million allowances from the Union-wide quantity of allowances referred to in Article 9 shall be made available to the facility for the purchase of </w:t>
      </w:r>
      <w:r>
        <w:rPr>
          <w:noProof/>
        </w:rPr>
        <w:t xml:space="preserve">up to </w:t>
      </w:r>
      <w:r w:rsidR="00927BE4">
        <w:rPr>
          <w:noProof/>
        </w:rPr>
        <w:t>260</w:t>
      </w:r>
      <w:r w:rsidR="00927BE4" w:rsidRPr="4A04FF72">
        <w:rPr>
          <w:noProof/>
        </w:rPr>
        <w:t xml:space="preserve"> </w:t>
      </w:r>
      <w:r w:rsidR="007A7A19" w:rsidRPr="4A04FF72">
        <w:rPr>
          <w:noProof/>
        </w:rPr>
        <w:t xml:space="preserve">Mt of </w:t>
      </w:r>
      <w:r w:rsidRPr="00D31760">
        <w:rPr>
          <w:noProof/>
        </w:rPr>
        <w:t xml:space="preserve">high quality and </w:t>
      </w:r>
      <w:r w:rsidR="007A7A19" w:rsidRPr="4A04FF72">
        <w:rPr>
          <w:noProof/>
        </w:rPr>
        <w:t>high integrity international credits, out of the international credits provided in Regulation 2021/1119/EU</w:t>
      </w:r>
      <w:r w:rsidRPr="00D31760">
        <w:rPr>
          <w:noProof/>
        </w:rPr>
        <w:t>, to contribute to the climate ambition of the activities listed in Annex I from 2036 to 2040</w:t>
      </w:r>
      <w:r w:rsidR="007A7A19" w:rsidRPr="4A04FF72">
        <w:rPr>
          <w:noProof/>
        </w:rPr>
        <w:t xml:space="preserve">. </w:t>
      </w:r>
      <w:r w:rsidRPr="00D31760">
        <w:rPr>
          <w:noProof/>
        </w:rPr>
        <w:t>All purchases shall be subject to the criteria of Regulation 2021/1119/EU being fulfilled</w:t>
      </w:r>
      <w:r w:rsidR="007A7A19" w:rsidRPr="4A04FF72">
        <w:rPr>
          <w:noProof/>
        </w:rPr>
        <w:t xml:space="preserve">. </w:t>
      </w:r>
    </w:p>
    <w:p w14:paraId="4BC354F5" w14:textId="77777777" w:rsidR="0066613A" w:rsidRDefault="007A7A19" w:rsidP="004830AF">
      <w:pPr>
        <w:pStyle w:val="LegalNumPar"/>
        <w:numPr>
          <w:ilvl w:val="0"/>
          <w:numId w:val="25"/>
        </w:numPr>
        <w:spacing w:line="240" w:lineRule="auto"/>
        <w:ind w:left="0" w:firstLine="0"/>
        <w:rPr>
          <w:noProof/>
        </w:rPr>
      </w:pPr>
      <w:r w:rsidRPr="007408C4">
        <w:rPr>
          <w:noProof/>
        </w:rPr>
        <w:t xml:space="preserve">Proceeds from the auctioning of allowances under paragraph 1 shall constitute external assigned revenue in accordance with Article 21(5) of Regulation (EU, Euratom) 2018/1046 of the European Parliament and of the Council. The Commission shall ensure that the auctioning of allowances for the facility is in accordance with the principles and modalities referred to in Article 10(4), in due time for the start of the purchases. </w:t>
      </w:r>
    </w:p>
    <w:p w14:paraId="1F9F1452" w14:textId="77777777" w:rsidR="007A7A19" w:rsidRPr="007408C4" w:rsidRDefault="007A7A19" w:rsidP="004830AF">
      <w:pPr>
        <w:pStyle w:val="LegalNumPar"/>
        <w:numPr>
          <w:ilvl w:val="0"/>
          <w:numId w:val="25"/>
        </w:numPr>
        <w:spacing w:line="240" w:lineRule="auto"/>
        <w:ind w:left="0" w:firstLine="0"/>
        <w:rPr>
          <w:noProof/>
        </w:rPr>
      </w:pPr>
      <w:r w:rsidRPr="007408C4">
        <w:rPr>
          <w:noProof/>
        </w:rPr>
        <w:t xml:space="preserve">By 31 </w:t>
      </w:r>
      <w:r w:rsidR="00916853" w:rsidRPr="007408C4">
        <w:rPr>
          <w:noProof/>
        </w:rPr>
        <w:t>January</w:t>
      </w:r>
      <w:r w:rsidRPr="007408C4">
        <w:rPr>
          <w:noProof/>
        </w:rPr>
        <w:t xml:space="preserve"> 203</w:t>
      </w:r>
      <w:r w:rsidR="00D31760" w:rsidRPr="007408C4">
        <w:rPr>
          <w:noProof/>
        </w:rPr>
        <w:t>3</w:t>
      </w:r>
      <w:r w:rsidRPr="007408C4">
        <w:rPr>
          <w:noProof/>
        </w:rPr>
        <w:t xml:space="preserve">, the Commission shall present to the European Parliament and to the Council a report assessing </w:t>
      </w:r>
      <w:r w:rsidR="00D31760" w:rsidRPr="007408C4">
        <w:rPr>
          <w:noProof/>
        </w:rPr>
        <w:t>the development of a high-quality and high-integrity international credits market, taking into account all the criteria set out in Regulation 2021/1119/EU, and their availability to contribute to the climate ambition of the activities listed in Annex I, including the following</w:t>
      </w:r>
      <w:r w:rsidRPr="007408C4">
        <w:rPr>
          <w:noProof/>
        </w:rPr>
        <w:t>:</w:t>
      </w:r>
    </w:p>
    <w:p w14:paraId="34DB550C" w14:textId="77777777" w:rsidR="007A7A19" w:rsidRPr="00C50597" w:rsidRDefault="007A7A19">
      <w:pPr>
        <w:pStyle w:val="Point1"/>
        <w:rPr>
          <w:noProof/>
        </w:rPr>
      </w:pPr>
      <w:r>
        <w:rPr>
          <w:noProof/>
        </w:rPr>
        <w:t>(a)</w:t>
      </w:r>
      <w:r>
        <w:rPr>
          <w:noProof/>
        </w:rPr>
        <w:tab/>
      </w:r>
      <w:r w:rsidRPr="00C50597">
        <w:rPr>
          <w:noProof/>
        </w:rPr>
        <w:t>the environmental integrity, accounting robustness and verification requirements that would need to be fulfilled for any such credits to contribute to the ambition of these sectors, taking into account developments under the Paris Agreement and EU legislation;</w:t>
      </w:r>
    </w:p>
    <w:p w14:paraId="5D5A7D3B" w14:textId="77777777" w:rsidR="007A7A19" w:rsidRPr="00C50597" w:rsidRDefault="007A7A19">
      <w:pPr>
        <w:pStyle w:val="Point1"/>
        <w:rPr>
          <w:noProof/>
        </w:rPr>
      </w:pPr>
      <w:r>
        <w:rPr>
          <w:noProof/>
        </w:rPr>
        <w:t>(b)</w:t>
      </w:r>
      <w:r>
        <w:rPr>
          <w:noProof/>
        </w:rPr>
        <w:tab/>
      </w:r>
      <w:r w:rsidRPr="00C50597">
        <w:rPr>
          <w:noProof/>
        </w:rPr>
        <w:t>the development of the market for international credits, in terms of supply and demand;</w:t>
      </w:r>
    </w:p>
    <w:p w14:paraId="73833266" w14:textId="77777777" w:rsidR="007A7A19" w:rsidRPr="00C50597" w:rsidRDefault="007A7A19">
      <w:pPr>
        <w:pStyle w:val="Point1"/>
        <w:rPr>
          <w:noProof/>
        </w:rPr>
      </w:pPr>
      <w:r>
        <w:rPr>
          <w:noProof/>
        </w:rPr>
        <w:t>(c)</w:t>
      </w:r>
      <w:r>
        <w:rPr>
          <w:noProof/>
        </w:rPr>
        <w:tab/>
      </w:r>
      <w:r w:rsidRPr="00C50597">
        <w:rPr>
          <w:noProof/>
        </w:rPr>
        <w:t>the potential implications of such use for the functioning and integrity of the EU ETS;</w:t>
      </w:r>
    </w:p>
    <w:p w14:paraId="0B315776" w14:textId="77777777" w:rsidR="007A7A19" w:rsidRPr="00C50597" w:rsidRDefault="007A7A19">
      <w:pPr>
        <w:pStyle w:val="Point1"/>
        <w:rPr>
          <w:noProof/>
        </w:rPr>
      </w:pPr>
      <w:r>
        <w:rPr>
          <w:noProof/>
        </w:rPr>
        <w:t>(d)</w:t>
      </w:r>
      <w:r>
        <w:rPr>
          <w:noProof/>
        </w:rPr>
        <w:tab/>
      </w:r>
      <w:r w:rsidRPr="00C50597">
        <w:rPr>
          <w:noProof/>
        </w:rPr>
        <w:t>the specific implications for sectors covered by the EU ETS, including the risk of carbon leakage, the impacts on competitiveness, the risk of mitigation deterrence, and the consistency with the Union’s economy-wide climate neutrality objective.</w:t>
      </w:r>
    </w:p>
    <w:p w14:paraId="7EF50CA0" w14:textId="37432C99" w:rsidR="007A7A19" w:rsidRDefault="00D31760" w:rsidP="00F90D41">
      <w:pPr>
        <w:pStyle w:val="LegalNumPar"/>
        <w:spacing w:line="240" w:lineRule="auto"/>
        <w:ind w:left="0" w:firstLine="0"/>
        <w:rPr>
          <w:noProof/>
        </w:rPr>
      </w:pPr>
      <w:r w:rsidRPr="2803B68A">
        <w:rPr>
          <w:noProof/>
        </w:rPr>
        <w:t xml:space="preserve">Subject to the report in paragraph 3, by way of derogation from Article 9, in the event that high-quality and high-integrity, cost-effective international credits referred to in paragraph 1, are not available, the linear factor shall revert to </w:t>
      </w:r>
      <w:r w:rsidR="00961682">
        <w:rPr>
          <w:noProof/>
        </w:rPr>
        <w:t>2.7</w:t>
      </w:r>
      <w:r w:rsidRPr="2803B68A">
        <w:rPr>
          <w:noProof/>
        </w:rPr>
        <w:t>% from 2036.</w:t>
      </w:r>
    </w:p>
    <w:p w14:paraId="19F25043" w14:textId="77777777" w:rsidR="00010E8D" w:rsidRPr="006109D5" w:rsidRDefault="00010E8D" w:rsidP="00F90D41">
      <w:pPr>
        <w:pStyle w:val="LegalNumPar"/>
        <w:spacing w:line="240" w:lineRule="auto"/>
        <w:ind w:left="0" w:firstLine="0"/>
        <w:rPr>
          <w:noProof/>
        </w:rPr>
      </w:pPr>
      <w:r w:rsidRPr="00DE2C42">
        <w:rPr>
          <w:noProof/>
        </w:rPr>
        <w:t xml:space="preserve">Allowances set aside under paragraph 1 shall be </w:t>
      </w:r>
      <w:r w:rsidR="006B6EE7" w:rsidRPr="00DE2C42">
        <w:rPr>
          <w:noProof/>
        </w:rPr>
        <w:t xml:space="preserve">allocated </w:t>
      </w:r>
      <w:r w:rsidRPr="00DE2C42">
        <w:rPr>
          <w:noProof/>
        </w:rPr>
        <w:t xml:space="preserve">to the </w:t>
      </w:r>
      <w:r w:rsidR="006B6EE7" w:rsidRPr="00DE2C42">
        <w:rPr>
          <w:noProof/>
        </w:rPr>
        <w:t>Industrial Decarbonisation Bank for industrial decarbonisation projects</w:t>
      </w:r>
      <w:r w:rsidRPr="00DE2C42">
        <w:rPr>
          <w:noProof/>
        </w:rPr>
        <w:t xml:space="preserve"> in </w:t>
      </w:r>
      <w:r w:rsidR="006B6EE7" w:rsidRPr="00DE2C42">
        <w:rPr>
          <w:noProof/>
        </w:rPr>
        <w:t>accordance with Article 10ce</w:t>
      </w:r>
      <w:r w:rsidRPr="00DE2C42">
        <w:rPr>
          <w:noProof/>
        </w:rPr>
        <w:t xml:space="preserve"> in the event they are not allocated for the purposes established in paragraph 1.</w:t>
      </w:r>
    </w:p>
    <w:p w14:paraId="7FFDD0CF" w14:textId="77777777" w:rsidR="00FF67ED" w:rsidRPr="006E367A" w:rsidRDefault="00FF67ED" w:rsidP="006109D5">
      <w:pPr>
        <w:pStyle w:val="Titrearticle"/>
        <w:rPr>
          <w:noProof/>
          <w:lang w:val="fr-BE"/>
        </w:rPr>
      </w:pPr>
      <w:r w:rsidRPr="00B02819">
        <w:rPr>
          <w:noProof/>
          <w:lang w:val="fr-BE"/>
        </w:rPr>
        <w:t>Article 9c</w:t>
      </w:r>
    </w:p>
    <w:p w14:paraId="4740976D" w14:textId="77777777" w:rsidR="00FF67ED" w:rsidRPr="00EE0334" w:rsidRDefault="00FF67ED" w:rsidP="00EE0334">
      <w:pPr>
        <w:jc w:val="center"/>
        <w:rPr>
          <w:b/>
          <w:bCs/>
          <w:noProof/>
          <w:lang w:val="fr-BE"/>
        </w:rPr>
      </w:pPr>
      <w:r w:rsidRPr="00EE0334">
        <w:rPr>
          <w:b/>
          <w:bCs/>
          <w:noProof/>
          <w:lang w:val="fr-BE"/>
        </w:rPr>
        <w:t>Domestic permanent carbon removals</w:t>
      </w:r>
    </w:p>
    <w:p w14:paraId="13FDFEC0" w14:textId="51D66D2D" w:rsidR="0066613A" w:rsidRDefault="00CD0140" w:rsidP="004830AF">
      <w:pPr>
        <w:pStyle w:val="LegalNumPar"/>
        <w:numPr>
          <w:ilvl w:val="0"/>
          <w:numId w:val="26"/>
        </w:numPr>
        <w:spacing w:line="240" w:lineRule="auto"/>
        <w:ind w:left="0" w:firstLine="0"/>
        <w:rPr>
          <w:noProof/>
          <w:lang w:val="en-US"/>
        </w:rPr>
      </w:pPr>
      <w:r w:rsidRPr="00CD0140">
        <w:rPr>
          <w:noProof/>
        </w:rPr>
        <w:t xml:space="preserve">The Union-wide quantity of allowances referred to in Article 9 shall be increased by </w:t>
      </w:r>
      <w:r w:rsidR="00F13BFA">
        <w:rPr>
          <w:noProof/>
        </w:rPr>
        <w:t>2</w:t>
      </w:r>
      <w:r w:rsidR="000A512B">
        <w:rPr>
          <w:noProof/>
        </w:rPr>
        <w:t>5</w:t>
      </w:r>
      <w:r w:rsidR="00F13BFA">
        <w:rPr>
          <w:noProof/>
        </w:rPr>
        <w:t>0</w:t>
      </w:r>
      <w:r w:rsidRPr="00CD0140">
        <w:rPr>
          <w:noProof/>
        </w:rPr>
        <w:t xml:space="preserve"> million allowances. Th</w:t>
      </w:r>
      <w:r w:rsidR="00F74E90">
        <w:rPr>
          <w:noProof/>
        </w:rPr>
        <w:t>o</w:t>
      </w:r>
      <w:r w:rsidRPr="00CD0140">
        <w:rPr>
          <w:noProof/>
        </w:rPr>
        <w:t xml:space="preserve">se allowances </w:t>
      </w:r>
      <w:r w:rsidR="00FA5142" w:rsidRPr="00CD0140">
        <w:rPr>
          <w:noProof/>
        </w:rPr>
        <w:t>shall be made available</w:t>
      </w:r>
      <w:r w:rsidR="00FA5142">
        <w:rPr>
          <w:noProof/>
        </w:rPr>
        <w:t xml:space="preserve"> to the Commission to</w:t>
      </w:r>
      <w:r w:rsidRPr="00CD0140">
        <w:rPr>
          <w:noProof/>
        </w:rPr>
        <w:t xml:space="preserve"> auction</w:t>
      </w:r>
      <w:r w:rsidR="00B573DE">
        <w:rPr>
          <w:noProof/>
        </w:rPr>
        <w:t xml:space="preserve"> them</w:t>
      </w:r>
      <w:r w:rsidRPr="00CD0140">
        <w:rPr>
          <w:noProof/>
        </w:rPr>
        <w:t xml:space="preserve"> from 2031 to 2040 </w:t>
      </w:r>
      <w:r w:rsidR="006C57BC">
        <w:rPr>
          <w:noProof/>
        </w:rPr>
        <w:t>to generate</w:t>
      </w:r>
      <w:r w:rsidRPr="00CD0140">
        <w:rPr>
          <w:noProof/>
        </w:rPr>
        <w:t xml:space="preserve"> revenues for the purchase of an equivalent amount of domestic permanent carbon removal units generated by BioCCS and DACCS activities under Regulation (EU) 2024/3012 of the European Parliament and of the Council</w:t>
      </w:r>
      <w:r w:rsidR="000541BD">
        <w:rPr>
          <w:noProof/>
        </w:rPr>
        <w:t>*</w:t>
      </w:r>
      <w:r w:rsidRPr="00CD0140">
        <w:rPr>
          <w:noProof/>
        </w:rPr>
        <w:t>. The Commission shall purchase th</w:t>
      </w:r>
      <w:r w:rsidR="00403D81">
        <w:rPr>
          <w:noProof/>
        </w:rPr>
        <w:t>o</w:t>
      </w:r>
      <w:r w:rsidRPr="00CD0140">
        <w:rPr>
          <w:noProof/>
        </w:rPr>
        <w:t xml:space="preserve">se removals units prioritising </w:t>
      </w:r>
      <w:r w:rsidR="001920BE">
        <w:rPr>
          <w:noProof/>
        </w:rPr>
        <w:t xml:space="preserve">a portfolio of </w:t>
      </w:r>
      <w:r w:rsidRPr="00CD0140">
        <w:rPr>
          <w:noProof/>
        </w:rPr>
        <w:t>cost-effective, high-integrity projects with payment upon delivery of the certified units.</w:t>
      </w:r>
    </w:p>
    <w:p w14:paraId="1222D08A" w14:textId="77777777" w:rsidR="0066613A" w:rsidRPr="00B97C25" w:rsidRDefault="00CD0140" w:rsidP="004830AF">
      <w:pPr>
        <w:pStyle w:val="LegalNumPar"/>
        <w:numPr>
          <w:ilvl w:val="0"/>
          <w:numId w:val="26"/>
        </w:numPr>
        <w:spacing w:line="240" w:lineRule="auto"/>
        <w:ind w:left="0" w:firstLine="0"/>
        <w:rPr>
          <w:noProof/>
          <w:lang w:val="en-US"/>
        </w:rPr>
      </w:pPr>
      <w:r w:rsidRPr="00CD0140">
        <w:rPr>
          <w:noProof/>
        </w:rPr>
        <w:t xml:space="preserve">An additional </w:t>
      </w:r>
      <w:r w:rsidR="008C1DE9">
        <w:rPr>
          <w:noProof/>
        </w:rPr>
        <w:t>10</w:t>
      </w:r>
      <w:r w:rsidRPr="00CD0140">
        <w:rPr>
          <w:noProof/>
        </w:rPr>
        <w:t xml:space="preserve"> million allowances </w:t>
      </w:r>
      <w:r w:rsidR="00C35D98">
        <w:rPr>
          <w:noProof/>
        </w:rPr>
        <w:t xml:space="preserve">from the </w:t>
      </w:r>
      <w:r w:rsidRPr="00CD0140">
        <w:rPr>
          <w:noProof/>
        </w:rPr>
        <w:t xml:space="preserve">Union-wide quantity of allowances referred to in Article 9 between 2031 and 2040 </w:t>
      </w:r>
      <w:r w:rsidR="00BA4029" w:rsidRPr="00CD0140">
        <w:rPr>
          <w:noProof/>
        </w:rPr>
        <w:t>shall be made available</w:t>
      </w:r>
      <w:r w:rsidR="00BA4029">
        <w:rPr>
          <w:noProof/>
        </w:rPr>
        <w:t xml:space="preserve"> to the Commission to auction them to generate revenues</w:t>
      </w:r>
      <w:r w:rsidR="00BA4029" w:rsidRPr="00CD0140">
        <w:rPr>
          <w:noProof/>
        </w:rPr>
        <w:t xml:space="preserve"> </w:t>
      </w:r>
      <w:r w:rsidRPr="00CD0140">
        <w:rPr>
          <w:noProof/>
        </w:rPr>
        <w:t xml:space="preserve">for the purchase of those permanent carbon removals units, in the event the revenues generated from the allowances under paragraph 1 would be insufficient for the purchase of the total amount of </w:t>
      </w:r>
      <w:r w:rsidR="00F351F2" w:rsidRPr="00CD0140">
        <w:rPr>
          <w:noProof/>
        </w:rPr>
        <w:t xml:space="preserve">domestic </w:t>
      </w:r>
      <w:r w:rsidRPr="00CD0140">
        <w:rPr>
          <w:noProof/>
        </w:rPr>
        <w:t>permanent carbon removals</w:t>
      </w:r>
      <w:r w:rsidR="005E2DBC">
        <w:rPr>
          <w:noProof/>
        </w:rPr>
        <w:t xml:space="preserve"> units</w:t>
      </w:r>
      <w:r w:rsidR="00FF67ED" w:rsidRPr="00B97C25">
        <w:rPr>
          <w:noProof/>
        </w:rPr>
        <w:t xml:space="preserve">. </w:t>
      </w:r>
    </w:p>
    <w:p w14:paraId="5CA6E7DE" w14:textId="2A2740C6" w:rsidR="0066613A" w:rsidRPr="00B97C25" w:rsidRDefault="00FF67ED" w:rsidP="004830AF">
      <w:pPr>
        <w:pStyle w:val="LegalNumPar"/>
        <w:numPr>
          <w:ilvl w:val="0"/>
          <w:numId w:val="26"/>
        </w:numPr>
        <w:spacing w:line="240" w:lineRule="auto"/>
        <w:ind w:left="0" w:firstLine="0"/>
        <w:rPr>
          <w:noProof/>
          <w:lang w:val="en-US"/>
        </w:rPr>
      </w:pPr>
      <w:r w:rsidRPr="0066613A">
        <w:rPr>
          <w:noProof/>
          <w:lang w:val="en-IE"/>
        </w:rPr>
        <w:t>Proceeds from the auctioning of allowances under paragraphs 1 and 2</w:t>
      </w:r>
      <w:r w:rsidR="00E77690" w:rsidRPr="0066613A">
        <w:rPr>
          <w:noProof/>
          <w:lang w:val="en-IE"/>
        </w:rPr>
        <w:t xml:space="preserve"> of this Article</w:t>
      </w:r>
      <w:r w:rsidRPr="0066613A">
        <w:rPr>
          <w:noProof/>
          <w:lang w:val="en-IE"/>
        </w:rPr>
        <w:t xml:space="preserve"> shall constitute external assigned revenue in accordance with Article 21(5) of Regulation (EU, Euratom) </w:t>
      </w:r>
      <w:r w:rsidR="00E57DFA" w:rsidRPr="0066613A">
        <w:rPr>
          <w:noProof/>
          <w:lang w:val="en-IE"/>
        </w:rPr>
        <w:t>2024/2509</w:t>
      </w:r>
      <w:r w:rsidRPr="0066613A">
        <w:rPr>
          <w:noProof/>
          <w:lang w:val="en-IE"/>
        </w:rPr>
        <w:t xml:space="preserve"> of the European Parliament and of the Council</w:t>
      </w:r>
      <w:r w:rsidR="001E62CE" w:rsidRPr="0066613A">
        <w:rPr>
          <w:noProof/>
          <w:lang w:val="en-IE"/>
        </w:rPr>
        <w:t>*</w:t>
      </w:r>
      <w:r w:rsidR="000541BD">
        <w:rPr>
          <w:noProof/>
          <w:lang w:val="en-IE"/>
        </w:rPr>
        <w:t>*</w:t>
      </w:r>
      <w:r w:rsidRPr="0066613A">
        <w:rPr>
          <w:noProof/>
          <w:lang w:val="en-IE"/>
        </w:rPr>
        <w:t>. The auctioning of allowances for the purchase of domestic permanent carbon removal units referred to in paragraph 1</w:t>
      </w:r>
      <w:r w:rsidR="00C56DA2" w:rsidRPr="0066613A">
        <w:rPr>
          <w:noProof/>
          <w:lang w:val="en-IE"/>
        </w:rPr>
        <w:t xml:space="preserve"> of this Article</w:t>
      </w:r>
      <w:r w:rsidRPr="0066613A">
        <w:rPr>
          <w:noProof/>
          <w:lang w:val="en-IE"/>
        </w:rPr>
        <w:t xml:space="preserve"> shall be</w:t>
      </w:r>
      <w:r w:rsidR="004C2DF8" w:rsidRPr="0066613A">
        <w:rPr>
          <w:noProof/>
          <w:lang w:val="en-IE"/>
        </w:rPr>
        <w:t xml:space="preserve"> carried out</w:t>
      </w:r>
      <w:r w:rsidRPr="0066613A">
        <w:rPr>
          <w:noProof/>
          <w:lang w:val="en-IE"/>
        </w:rPr>
        <w:t xml:space="preserve"> in accordance with the principles and modalities referred to in Article 10(4)</w:t>
      </w:r>
      <w:r w:rsidR="00C56DA2" w:rsidRPr="0066613A">
        <w:rPr>
          <w:noProof/>
          <w:lang w:val="en-IE"/>
        </w:rPr>
        <w:t xml:space="preserve"> of this Directive</w:t>
      </w:r>
      <w:r w:rsidRPr="0066613A">
        <w:rPr>
          <w:noProof/>
          <w:lang w:val="en-IE"/>
        </w:rPr>
        <w:t xml:space="preserve">. The allowances set aside under paragraphs 1 and 2 </w:t>
      </w:r>
      <w:r w:rsidR="00C56DA2" w:rsidRPr="0066613A">
        <w:rPr>
          <w:noProof/>
          <w:lang w:val="en-IE"/>
        </w:rPr>
        <w:t xml:space="preserve">of this Article </w:t>
      </w:r>
      <w:r w:rsidRPr="0066613A">
        <w:rPr>
          <w:noProof/>
          <w:lang w:val="en-IE"/>
        </w:rPr>
        <w:t xml:space="preserve">shall be </w:t>
      </w:r>
      <w:r w:rsidR="00631AEB" w:rsidRPr="0066613A">
        <w:rPr>
          <w:noProof/>
          <w:lang w:val="en-IE"/>
        </w:rPr>
        <w:t>returned to</w:t>
      </w:r>
      <w:r w:rsidRPr="0066613A">
        <w:rPr>
          <w:noProof/>
          <w:lang w:val="en-IE"/>
        </w:rPr>
        <w:t xml:space="preserve"> the Union-wide quantity of allowances referred to in Article 9 </w:t>
      </w:r>
      <w:r w:rsidR="00C56DA2" w:rsidRPr="0066613A">
        <w:rPr>
          <w:noProof/>
          <w:lang w:val="en-IE"/>
        </w:rPr>
        <w:t xml:space="preserve">of this Directive </w:t>
      </w:r>
      <w:r w:rsidRPr="0066613A">
        <w:rPr>
          <w:noProof/>
          <w:lang w:val="en-IE"/>
        </w:rPr>
        <w:t xml:space="preserve">in the event they are not auctioned for the purposes in paragraph 1 </w:t>
      </w:r>
      <w:r w:rsidR="00C56DA2" w:rsidRPr="0066613A">
        <w:rPr>
          <w:noProof/>
          <w:lang w:val="en-IE"/>
        </w:rPr>
        <w:t xml:space="preserve">of this Article </w:t>
      </w:r>
      <w:r w:rsidRPr="0066613A">
        <w:rPr>
          <w:noProof/>
          <w:lang w:val="en-IE"/>
        </w:rPr>
        <w:t xml:space="preserve">before 2041. </w:t>
      </w:r>
    </w:p>
    <w:p w14:paraId="0A1A1029" w14:textId="77777777" w:rsidR="0066613A" w:rsidRPr="00B97C25" w:rsidRDefault="00FF67ED" w:rsidP="004830AF">
      <w:pPr>
        <w:pStyle w:val="LegalNumPar"/>
        <w:numPr>
          <w:ilvl w:val="0"/>
          <w:numId w:val="26"/>
        </w:numPr>
        <w:spacing w:line="240" w:lineRule="auto"/>
        <w:ind w:left="0" w:firstLine="0"/>
        <w:rPr>
          <w:noProof/>
          <w:lang w:val="en-US"/>
        </w:rPr>
      </w:pPr>
      <w:r w:rsidRPr="0066613A">
        <w:rPr>
          <w:noProof/>
          <w:lang w:val="en-IE"/>
        </w:rPr>
        <w:t xml:space="preserve">The Commission is empowered to adopt delegated acts in accordance with Article 23 to supplement this Directive concerning </w:t>
      </w:r>
      <w:r w:rsidR="00436BF6" w:rsidRPr="0066613A">
        <w:rPr>
          <w:noProof/>
          <w:lang w:val="en-IE"/>
        </w:rPr>
        <w:t xml:space="preserve">the </w:t>
      </w:r>
      <w:r w:rsidRPr="0066613A">
        <w:rPr>
          <w:noProof/>
          <w:lang w:val="en-IE"/>
        </w:rPr>
        <w:t>detailed modalities for the purchase of the domestic permanent carbon removal</w:t>
      </w:r>
      <w:r w:rsidR="005E2DBC" w:rsidRPr="0066613A">
        <w:rPr>
          <w:noProof/>
          <w:lang w:val="en-IE"/>
        </w:rPr>
        <w:t xml:space="preserve"> units</w:t>
      </w:r>
      <w:r w:rsidRPr="0066613A">
        <w:rPr>
          <w:noProof/>
          <w:lang w:val="en-IE"/>
        </w:rPr>
        <w:t xml:space="preserve"> indicated under paragraph 1, including the timing of the auctioning of the allowances referred to in paragraphs 1 and 2</w:t>
      </w:r>
      <w:r w:rsidR="00436BF6" w:rsidRPr="0066613A">
        <w:rPr>
          <w:noProof/>
          <w:lang w:val="en-IE"/>
        </w:rPr>
        <w:t xml:space="preserve">; the </w:t>
      </w:r>
      <w:r w:rsidRPr="0066613A">
        <w:rPr>
          <w:noProof/>
          <w:lang w:val="en-IE"/>
        </w:rPr>
        <w:t>forms of support, selection procedure and criteria, eligibility criteria and technological requirements for the different types of support and payment mechanisms</w:t>
      </w:r>
      <w:r w:rsidR="000A1FB9" w:rsidRPr="00FA3ADA">
        <w:rPr>
          <w:noProof/>
        </w:rPr>
        <w:t xml:space="preserve">, </w:t>
      </w:r>
      <w:r w:rsidR="000A1FB9">
        <w:rPr>
          <w:noProof/>
        </w:rPr>
        <w:t xml:space="preserve">using </w:t>
      </w:r>
      <w:r w:rsidR="000A1FB9" w:rsidRPr="00FA3ADA">
        <w:rPr>
          <w:noProof/>
        </w:rPr>
        <w:t>competitive allocation where feasible</w:t>
      </w:r>
      <w:r w:rsidR="00DA05A1">
        <w:rPr>
          <w:noProof/>
        </w:rPr>
        <w:t xml:space="preserve"> </w:t>
      </w:r>
      <w:r w:rsidR="003A767F">
        <w:rPr>
          <w:noProof/>
        </w:rPr>
        <w:t xml:space="preserve">and reporting transparently on the </w:t>
      </w:r>
      <w:r w:rsidR="0005479F">
        <w:rPr>
          <w:noProof/>
        </w:rPr>
        <w:t xml:space="preserve">outcome of the </w:t>
      </w:r>
      <w:r w:rsidR="003A767F">
        <w:rPr>
          <w:noProof/>
        </w:rPr>
        <w:t>proc</w:t>
      </w:r>
      <w:r w:rsidR="0005479F">
        <w:rPr>
          <w:noProof/>
        </w:rPr>
        <w:t>edures</w:t>
      </w:r>
      <w:r w:rsidR="00436BF6" w:rsidRPr="0066613A">
        <w:rPr>
          <w:noProof/>
          <w:lang w:val="en-IE"/>
        </w:rPr>
        <w:t xml:space="preserve">; </w:t>
      </w:r>
      <w:r w:rsidRPr="0066613A">
        <w:rPr>
          <w:noProof/>
          <w:lang w:val="en-IE"/>
        </w:rPr>
        <w:t xml:space="preserve">as well as </w:t>
      </w:r>
      <w:r w:rsidR="00DA05A1" w:rsidRPr="0066613A">
        <w:rPr>
          <w:noProof/>
          <w:lang w:val="en-IE"/>
        </w:rPr>
        <w:t xml:space="preserve">the </w:t>
      </w:r>
      <w:r w:rsidRPr="0066613A">
        <w:rPr>
          <w:noProof/>
          <w:lang w:val="en-IE"/>
        </w:rPr>
        <w:t xml:space="preserve">financial rules to ensure an appropriate implementation of the purchase. </w:t>
      </w:r>
      <w:r w:rsidRPr="0066613A" w:rsidDel="009C2BB7">
        <w:rPr>
          <w:noProof/>
          <w:lang w:val="en-IE"/>
        </w:rPr>
        <w:t>Those</w:t>
      </w:r>
      <w:r w:rsidR="009C2BB7" w:rsidRPr="0066613A">
        <w:rPr>
          <w:noProof/>
          <w:lang w:val="en-IE"/>
        </w:rPr>
        <w:t xml:space="preserve"> </w:t>
      </w:r>
      <w:r w:rsidRPr="0066613A">
        <w:rPr>
          <w:noProof/>
          <w:lang w:val="en-IE"/>
        </w:rPr>
        <w:t xml:space="preserve">delegated acts shall ensure that </w:t>
      </w:r>
      <w:r w:rsidR="00140436" w:rsidRPr="0066613A">
        <w:rPr>
          <w:noProof/>
          <w:lang w:val="en-IE"/>
        </w:rPr>
        <w:t>any</w:t>
      </w:r>
      <w:r w:rsidRPr="0066613A">
        <w:rPr>
          <w:noProof/>
          <w:lang w:val="en-IE"/>
        </w:rPr>
        <w:t xml:space="preserve"> early auctioning of the allowances referred to in paragraphs 1 and 2 is balanced out through the auctioning of the allowances under Article 10, to achieve the equivalent effect </w:t>
      </w:r>
      <w:r w:rsidR="00100EB8" w:rsidRPr="0066613A">
        <w:rPr>
          <w:noProof/>
          <w:lang w:val="en-IE"/>
        </w:rPr>
        <w:t xml:space="preserve">of </w:t>
      </w:r>
      <w:r w:rsidR="00173546" w:rsidRPr="0066613A">
        <w:rPr>
          <w:noProof/>
          <w:lang w:val="en-IE"/>
        </w:rPr>
        <w:t xml:space="preserve">a gradual integration of carbon removals towards </w:t>
      </w:r>
      <w:r w:rsidRPr="0066613A">
        <w:rPr>
          <w:noProof/>
          <w:lang w:val="en-IE"/>
        </w:rPr>
        <w:t>t</w:t>
      </w:r>
      <w:r w:rsidR="00173546" w:rsidRPr="0066613A">
        <w:rPr>
          <w:noProof/>
          <w:lang w:val="en-IE"/>
        </w:rPr>
        <w:t>he</w:t>
      </w:r>
      <w:r w:rsidRPr="0066613A">
        <w:rPr>
          <w:noProof/>
          <w:lang w:val="en-IE"/>
        </w:rPr>
        <w:t xml:space="preserve"> auctioning </w:t>
      </w:r>
      <w:r w:rsidR="00173546" w:rsidRPr="0066613A">
        <w:rPr>
          <w:noProof/>
          <w:lang w:val="en-IE"/>
        </w:rPr>
        <w:t xml:space="preserve">of </w:t>
      </w:r>
      <w:r w:rsidR="00FA6A73" w:rsidRPr="0066613A">
        <w:rPr>
          <w:noProof/>
          <w:lang w:val="en-IE"/>
        </w:rPr>
        <w:t>48</w:t>
      </w:r>
      <w:r w:rsidR="00161459" w:rsidRPr="0066613A">
        <w:rPr>
          <w:noProof/>
          <w:lang w:val="en-IE"/>
        </w:rPr>
        <w:t xml:space="preserve"> </w:t>
      </w:r>
      <w:r w:rsidRPr="0066613A">
        <w:rPr>
          <w:noProof/>
          <w:lang w:val="en-IE"/>
        </w:rPr>
        <w:t>million of the allowances referred to in paragraphs 1 and 2</w:t>
      </w:r>
      <w:r w:rsidR="009C2BB7" w:rsidRPr="0066613A">
        <w:rPr>
          <w:noProof/>
          <w:lang w:val="en-IE"/>
        </w:rPr>
        <w:t xml:space="preserve"> </w:t>
      </w:r>
      <w:r w:rsidRPr="0066613A">
        <w:rPr>
          <w:noProof/>
          <w:lang w:val="en-IE"/>
        </w:rPr>
        <w:t xml:space="preserve">in 2040. </w:t>
      </w:r>
      <w:r w:rsidR="00511E2B" w:rsidRPr="0066613A" w:rsidDel="009C2BB7">
        <w:rPr>
          <w:noProof/>
          <w:lang w:val="en-IE"/>
        </w:rPr>
        <w:t>Those</w:t>
      </w:r>
      <w:r w:rsidR="00511E2B" w:rsidRPr="0066613A">
        <w:rPr>
          <w:noProof/>
          <w:lang w:val="en-IE"/>
        </w:rPr>
        <w:t xml:space="preserve"> delegated acts shall provide </w:t>
      </w:r>
      <w:r w:rsidR="00FA3ADA" w:rsidRPr="0066613A">
        <w:rPr>
          <w:noProof/>
          <w:lang w:val="en-IE"/>
        </w:rPr>
        <w:t xml:space="preserve">detailed modalities for the purchase of the domestic permanent carbon removals </w:t>
      </w:r>
      <w:r w:rsidR="00FA3ADA" w:rsidRPr="00CD0140">
        <w:rPr>
          <w:noProof/>
        </w:rPr>
        <w:t xml:space="preserve">prioritising </w:t>
      </w:r>
      <w:r w:rsidR="00FA3ADA">
        <w:rPr>
          <w:noProof/>
        </w:rPr>
        <w:t xml:space="preserve">a portfolio of </w:t>
      </w:r>
      <w:r w:rsidR="00FA3ADA" w:rsidRPr="00CD0140">
        <w:rPr>
          <w:noProof/>
        </w:rPr>
        <w:t xml:space="preserve">cost-effective, high-integrity projects with payment upon delivery of the certified </w:t>
      </w:r>
      <w:r w:rsidR="00757E34" w:rsidRPr="00CD0140">
        <w:rPr>
          <w:noProof/>
        </w:rPr>
        <w:t>units</w:t>
      </w:r>
      <w:r w:rsidR="00757E34">
        <w:rPr>
          <w:noProof/>
        </w:rPr>
        <w:t xml:space="preserve"> and</w:t>
      </w:r>
      <w:r w:rsidR="00DA05A1">
        <w:rPr>
          <w:noProof/>
        </w:rPr>
        <w:t xml:space="preserve"> aiming to </w:t>
      </w:r>
      <w:r w:rsidR="00FA3ADA" w:rsidRPr="00FA3ADA">
        <w:rPr>
          <w:noProof/>
        </w:rPr>
        <w:t>limit fiscal exposure</w:t>
      </w:r>
      <w:r w:rsidR="00DA05A1">
        <w:rPr>
          <w:noProof/>
        </w:rPr>
        <w:t>.</w:t>
      </w:r>
    </w:p>
    <w:p w14:paraId="24EAA693" w14:textId="77777777" w:rsidR="0066613A" w:rsidRPr="00B97C25" w:rsidRDefault="00CD0140" w:rsidP="004830AF">
      <w:pPr>
        <w:pStyle w:val="LegalNumPar"/>
        <w:numPr>
          <w:ilvl w:val="0"/>
          <w:numId w:val="26"/>
        </w:numPr>
        <w:spacing w:line="240" w:lineRule="auto"/>
        <w:ind w:left="0" w:firstLine="0"/>
        <w:rPr>
          <w:noProof/>
          <w:lang w:val="en-US"/>
        </w:rPr>
      </w:pPr>
      <w:r w:rsidRPr="0066613A">
        <w:rPr>
          <w:noProof/>
          <w:lang w:val="en-IE"/>
        </w:rPr>
        <w:t xml:space="preserve">The quantity of </w:t>
      </w:r>
      <w:r w:rsidR="00F351F2" w:rsidRPr="0066613A">
        <w:rPr>
          <w:noProof/>
          <w:lang w:val="en-IE"/>
        </w:rPr>
        <w:t>domestic</w:t>
      </w:r>
      <w:r w:rsidRPr="0066613A">
        <w:rPr>
          <w:noProof/>
          <w:lang w:val="en-IE"/>
        </w:rPr>
        <w:t xml:space="preserve"> permanent carbon removals to be purchased shall be reduced by the amount of BioCCS domestic carbon removals that operators, aircraft operators and shipping companies use in accordance with Article 14(1a)</w:t>
      </w:r>
      <w:r w:rsidR="00082862" w:rsidRPr="0066613A">
        <w:rPr>
          <w:noProof/>
          <w:lang w:val="en-IE"/>
        </w:rPr>
        <w:t xml:space="preserve">, and a corresponding amount of allowances shall be cancelled from the </w:t>
      </w:r>
      <w:r w:rsidR="001B6C3D" w:rsidRPr="0066613A">
        <w:rPr>
          <w:noProof/>
          <w:lang w:val="en-IE"/>
        </w:rPr>
        <w:t>250</w:t>
      </w:r>
      <w:r w:rsidR="00162251" w:rsidRPr="0066613A">
        <w:rPr>
          <w:noProof/>
          <w:lang w:val="en-IE"/>
        </w:rPr>
        <w:t xml:space="preserve"> </w:t>
      </w:r>
      <w:r w:rsidR="00082862" w:rsidRPr="0066613A">
        <w:rPr>
          <w:noProof/>
          <w:lang w:val="en-IE"/>
        </w:rPr>
        <w:t>million allowances referred to in paragraph 1.</w:t>
      </w:r>
    </w:p>
    <w:p w14:paraId="59051949" w14:textId="77777777" w:rsidR="0066613A" w:rsidRPr="00B97C25" w:rsidRDefault="00FF67ED" w:rsidP="004830AF">
      <w:pPr>
        <w:pStyle w:val="LegalNumPar"/>
        <w:numPr>
          <w:ilvl w:val="0"/>
          <w:numId w:val="26"/>
        </w:numPr>
        <w:spacing w:line="240" w:lineRule="auto"/>
        <w:ind w:left="0" w:firstLine="0"/>
        <w:rPr>
          <w:noProof/>
          <w:lang w:val="en-US"/>
        </w:rPr>
      </w:pPr>
      <w:r w:rsidRPr="0066613A">
        <w:rPr>
          <w:noProof/>
          <w:lang w:val="en-IE"/>
        </w:rPr>
        <w:t xml:space="preserve">Any permanent carbon removal certified units generated by BioCCS and DACCS activities under Regulation (EU) 2024/3012 and purchased by the Commission in </w:t>
      </w:r>
      <w:r w:rsidR="00C257AE" w:rsidRPr="0066613A">
        <w:rPr>
          <w:noProof/>
          <w:lang w:val="en-IE"/>
        </w:rPr>
        <w:t xml:space="preserve">accordance </w:t>
      </w:r>
      <w:r w:rsidRPr="0066613A">
        <w:rPr>
          <w:noProof/>
          <w:lang w:val="en-IE"/>
        </w:rPr>
        <w:t xml:space="preserve">with this Article shall </w:t>
      </w:r>
      <w:r w:rsidR="00025FAA" w:rsidRPr="0066613A">
        <w:rPr>
          <w:noProof/>
          <w:lang w:val="en-IE"/>
        </w:rPr>
        <w:t xml:space="preserve">be cancelled and </w:t>
      </w:r>
      <w:r w:rsidRPr="0066613A">
        <w:rPr>
          <w:noProof/>
          <w:lang w:val="en-IE"/>
        </w:rPr>
        <w:t>no longer be allowed to account as negative emissions under Article 14(1a)</w:t>
      </w:r>
      <w:r w:rsidR="00C257AE" w:rsidRPr="0066613A">
        <w:rPr>
          <w:noProof/>
          <w:lang w:val="en-IE"/>
        </w:rPr>
        <w:t xml:space="preserve"> of this Directive</w:t>
      </w:r>
      <w:r w:rsidRPr="0066613A">
        <w:rPr>
          <w:noProof/>
          <w:lang w:val="en-IE"/>
        </w:rPr>
        <w:t>.</w:t>
      </w:r>
    </w:p>
    <w:p w14:paraId="33A7F517" w14:textId="77777777" w:rsidR="0066613A" w:rsidRPr="00B97C25" w:rsidRDefault="00FF67ED" w:rsidP="004830AF">
      <w:pPr>
        <w:pStyle w:val="LegalNumPar"/>
        <w:numPr>
          <w:ilvl w:val="0"/>
          <w:numId w:val="26"/>
        </w:numPr>
        <w:spacing w:line="240" w:lineRule="auto"/>
        <w:ind w:left="0" w:firstLine="0"/>
        <w:rPr>
          <w:noProof/>
          <w:lang w:val="en-US"/>
        </w:rPr>
      </w:pPr>
      <w:r w:rsidRPr="0066613A">
        <w:rPr>
          <w:noProof/>
          <w:lang w:val="en-IE"/>
        </w:rPr>
        <w:t xml:space="preserve">The linear reduction factor established in Article 9 shall not apply to the increase of allowances established in paragraph 1. </w:t>
      </w:r>
    </w:p>
    <w:p w14:paraId="4D723897" w14:textId="60F13D6B" w:rsidR="00FF67ED" w:rsidRPr="00B97C25" w:rsidRDefault="00CD0140" w:rsidP="004830AF">
      <w:pPr>
        <w:pStyle w:val="LegalNumPar"/>
        <w:numPr>
          <w:ilvl w:val="0"/>
          <w:numId w:val="26"/>
        </w:numPr>
        <w:spacing w:line="240" w:lineRule="auto"/>
        <w:ind w:left="0" w:firstLine="0"/>
        <w:rPr>
          <w:noProof/>
          <w:lang w:val="en-US"/>
        </w:rPr>
      </w:pPr>
      <w:r w:rsidRPr="0066613A" w:rsidDel="002A60CB">
        <w:rPr>
          <w:noProof/>
          <w:lang w:val="en-IE"/>
        </w:rPr>
        <w:t>Before</w:t>
      </w:r>
      <w:r w:rsidR="002A60CB" w:rsidRPr="0066613A">
        <w:rPr>
          <w:noProof/>
          <w:lang w:val="en-IE"/>
        </w:rPr>
        <w:t xml:space="preserve"> </w:t>
      </w:r>
      <w:r w:rsidRPr="0066613A">
        <w:rPr>
          <w:noProof/>
          <w:lang w:val="en-IE"/>
        </w:rPr>
        <w:t xml:space="preserve">31 December 2034, the Commission shall present a report to the European Parliament and to the Council in which it assesses the progress regarding the purchase of </w:t>
      </w:r>
      <w:r w:rsidR="00F351F2" w:rsidRPr="0066613A">
        <w:rPr>
          <w:noProof/>
          <w:lang w:val="en-IE"/>
        </w:rPr>
        <w:t xml:space="preserve">domestic </w:t>
      </w:r>
      <w:r w:rsidRPr="0066613A">
        <w:rPr>
          <w:noProof/>
          <w:lang w:val="en-IE"/>
        </w:rPr>
        <w:t>permanent carbon removal</w:t>
      </w:r>
      <w:r w:rsidR="005E2DBC" w:rsidRPr="0066613A">
        <w:rPr>
          <w:noProof/>
          <w:lang w:val="en-IE"/>
        </w:rPr>
        <w:t xml:space="preserve"> unit</w:t>
      </w:r>
      <w:r w:rsidRPr="0066613A">
        <w:rPr>
          <w:noProof/>
          <w:lang w:val="en-IE"/>
        </w:rPr>
        <w:t xml:space="preserve">s provided </w:t>
      </w:r>
      <w:r w:rsidR="002E25A1" w:rsidRPr="0066613A">
        <w:rPr>
          <w:noProof/>
          <w:lang w:val="en-IE"/>
        </w:rPr>
        <w:t xml:space="preserve">for </w:t>
      </w:r>
      <w:r w:rsidRPr="0066613A">
        <w:rPr>
          <w:noProof/>
          <w:lang w:val="en-IE"/>
        </w:rPr>
        <w:t>under paragraph 1</w:t>
      </w:r>
      <w:r w:rsidR="00246CF8" w:rsidRPr="0066613A">
        <w:rPr>
          <w:noProof/>
          <w:lang w:val="en-IE"/>
        </w:rPr>
        <w:t xml:space="preserve">, considering the available supply, </w:t>
      </w:r>
      <w:r w:rsidR="006E44FD" w:rsidRPr="0066613A">
        <w:rPr>
          <w:noProof/>
          <w:lang w:val="en-IE"/>
        </w:rPr>
        <w:t xml:space="preserve">and the </w:t>
      </w:r>
      <w:r w:rsidR="00246CF8" w:rsidRPr="0066613A">
        <w:rPr>
          <w:noProof/>
          <w:lang w:val="en-IE"/>
        </w:rPr>
        <w:t xml:space="preserve">price of </w:t>
      </w:r>
      <w:r w:rsidR="006E44FD" w:rsidRPr="0066613A">
        <w:rPr>
          <w:noProof/>
          <w:lang w:val="en-IE"/>
        </w:rPr>
        <w:t>domestic permanent carbon removal</w:t>
      </w:r>
      <w:r w:rsidR="005E2DBC" w:rsidRPr="0066613A">
        <w:rPr>
          <w:noProof/>
          <w:lang w:val="en-IE"/>
        </w:rPr>
        <w:t xml:space="preserve"> unit</w:t>
      </w:r>
      <w:r w:rsidR="006E44FD" w:rsidRPr="0066613A">
        <w:rPr>
          <w:noProof/>
          <w:lang w:val="en-IE"/>
        </w:rPr>
        <w:t>s</w:t>
      </w:r>
      <w:r w:rsidR="00C2761A" w:rsidRPr="0066613A">
        <w:rPr>
          <w:noProof/>
          <w:lang w:val="en-IE"/>
        </w:rPr>
        <w:t xml:space="preserve"> </w:t>
      </w:r>
      <w:r w:rsidR="006E44FD" w:rsidRPr="0066613A">
        <w:rPr>
          <w:noProof/>
          <w:lang w:val="en-IE"/>
        </w:rPr>
        <w:t xml:space="preserve">in comparison </w:t>
      </w:r>
      <w:r w:rsidR="00C2761A" w:rsidRPr="0066613A">
        <w:rPr>
          <w:noProof/>
          <w:lang w:val="en-IE"/>
        </w:rPr>
        <w:t>with the assigned budget</w:t>
      </w:r>
      <w:r w:rsidR="006E44FD" w:rsidRPr="0066613A">
        <w:rPr>
          <w:noProof/>
          <w:lang w:val="en-IE"/>
        </w:rPr>
        <w:t xml:space="preserve">. The report shall also </w:t>
      </w:r>
      <w:r w:rsidR="00136807" w:rsidRPr="00136807">
        <w:rPr>
          <w:noProof/>
          <w:lang w:val="en-IE"/>
        </w:rPr>
        <w:t>examine the possible contribution of nature based removals</w:t>
      </w:r>
      <w:r w:rsidR="005B0EDA">
        <w:rPr>
          <w:noProof/>
          <w:lang w:val="en-IE"/>
        </w:rPr>
        <w:t xml:space="preserve"> and carbon farming </w:t>
      </w:r>
      <w:r w:rsidR="005B0EDA" w:rsidRPr="005B0EDA">
        <w:rPr>
          <w:noProof/>
          <w:lang w:val="en-IE"/>
        </w:rPr>
        <w:t>sequestration units certified under Regulation (EU) 2024/3012</w:t>
      </w:r>
      <w:r w:rsidR="005B0EDA">
        <w:rPr>
          <w:noProof/>
          <w:lang w:val="en-IE"/>
        </w:rPr>
        <w:t xml:space="preserve"> </w:t>
      </w:r>
      <w:r w:rsidR="00136807" w:rsidRPr="00136807">
        <w:rPr>
          <w:noProof/>
          <w:lang w:val="en-IE"/>
        </w:rPr>
        <w:t>to permanent carbon removals</w:t>
      </w:r>
      <w:r w:rsidR="005B0EDA">
        <w:rPr>
          <w:noProof/>
          <w:lang w:val="en-IE"/>
        </w:rPr>
        <w:t>,</w:t>
      </w:r>
      <w:r w:rsidR="00136807" w:rsidRPr="00136807">
        <w:rPr>
          <w:noProof/>
          <w:lang w:val="en-IE"/>
        </w:rPr>
        <w:t xml:space="preserve"> and </w:t>
      </w:r>
      <w:r w:rsidR="006E44FD" w:rsidRPr="0066613A">
        <w:rPr>
          <w:noProof/>
          <w:lang w:val="en-IE"/>
        </w:rPr>
        <w:t xml:space="preserve">assess </w:t>
      </w:r>
      <w:r w:rsidR="007B714D" w:rsidRPr="0066613A">
        <w:rPr>
          <w:noProof/>
          <w:lang w:val="en-IE"/>
        </w:rPr>
        <w:t>the feasibility to gradually transition</w:t>
      </w:r>
      <w:r w:rsidR="0070686C" w:rsidRPr="0066613A">
        <w:rPr>
          <w:noProof/>
          <w:lang w:val="en-IE"/>
        </w:rPr>
        <w:t>,</w:t>
      </w:r>
      <w:r w:rsidR="00111A74" w:rsidRPr="0066613A">
        <w:rPr>
          <w:noProof/>
          <w:lang w:val="en-IE"/>
        </w:rPr>
        <w:t xml:space="preserve"> from a</w:t>
      </w:r>
      <w:r w:rsidR="0070686C" w:rsidRPr="0066613A">
        <w:rPr>
          <w:noProof/>
          <w:lang w:val="en-IE"/>
        </w:rPr>
        <w:t>n</w:t>
      </w:r>
      <w:r w:rsidR="00111A74" w:rsidRPr="0066613A">
        <w:rPr>
          <w:noProof/>
          <w:lang w:val="en-IE"/>
        </w:rPr>
        <w:t xml:space="preserve"> integration</w:t>
      </w:r>
      <w:r w:rsidR="007B714D" w:rsidRPr="0066613A">
        <w:rPr>
          <w:noProof/>
          <w:lang w:val="en-IE"/>
        </w:rPr>
        <w:t xml:space="preserve"> </w:t>
      </w:r>
      <w:r w:rsidR="0070686C" w:rsidRPr="0066613A">
        <w:rPr>
          <w:noProof/>
          <w:lang w:val="en-IE"/>
        </w:rPr>
        <w:t>managed by the Commission,</w:t>
      </w:r>
      <w:r w:rsidR="007B714D" w:rsidRPr="0066613A">
        <w:rPr>
          <w:noProof/>
          <w:lang w:val="en-IE"/>
        </w:rPr>
        <w:t xml:space="preserve"> towards </w:t>
      </w:r>
      <w:r w:rsidR="0070686C" w:rsidRPr="0066613A">
        <w:rPr>
          <w:noProof/>
          <w:lang w:val="en-IE"/>
        </w:rPr>
        <w:t xml:space="preserve">a </w:t>
      </w:r>
      <w:r w:rsidR="007B714D" w:rsidRPr="0066613A">
        <w:rPr>
          <w:noProof/>
          <w:lang w:val="en-IE"/>
        </w:rPr>
        <w:t xml:space="preserve">direct </w:t>
      </w:r>
      <w:r w:rsidR="00111A74" w:rsidRPr="0066613A">
        <w:rPr>
          <w:noProof/>
          <w:lang w:val="en-IE"/>
        </w:rPr>
        <w:t>integration</w:t>
      </w:r>
      <w:r w:rsidR="007B714D" w:rsidRPr="0066613A">
        <w:rPr>
          <w:noProof/>
          <w:lang w:val="en-IE"/>
        </w:rPr>
        <w:t xml:space="preserve"> by operators</w:t>
      </w:r>
      <w:r w:rsidR="00111A74" w:rsidRPr="0066613A">
        <w:rPr>
          <w:noProof/>
          <w:lang w:val="en-IE"/>
        </w:rPr>
        <w:t>, beyond own use,</w:t>
      </w:r>
      <w:r w:rsidR="007B714D" w:rsidRPr="0066613A">
        <w:rPr>
          <w:noProof/>
          <w:lang w:val="en-IE"/>
        </w:rPr>
        <w:t xml:space="preserve"> of domestic permanent carbon removal</w:t>
      </w:r>
      <w:r w:rsidR="005E2DBC" w:rsidRPr="0066613A">
        <w:rPr>
          <w:noProof/>
          <w:lang w:val="en-IE"/>
        </w:rPr>
        <w:t xml:space="preserve"> unit</w:t>
      </w:r>
      <w:r w:rsidR="007B714D" w:rsidRPr="0066613A">
        <w:rPr>
          <w:noProof/>
          <w:lang w:val="en-IE"/>
        </w:rPr>
        <w:t xml:space="preserve">s in the EU ETS. </w:t>
      </w:r>
    </w:p>
    <w:p w14:paraId="31F1CC67" w14:textId="77777777" w:rsidR="006C0734" w:rsidRPr="006C0734" w:rsidRDefault="006C0734" w:rsidP="00C50597">
      <w:pPr>
        <w:pStyle w:val="Text1"/>
        <w:ind w:left="0"/>
        <w:rPr>
          <w:noProof/>
          <w:lang w:val="en-IE"/>
        </w:rPr>
      </w:pPr>
      <w:r w:rsidRPr="006C0734">
        <w:rPr>
          <w:noProof/>
          <w:lang w:val="en-IE"/>
        </w:rPr>
        <w:t>_________</w:t>
      </w:r>
    </w:p>
    <w:p w14:paraId="05182B94" w14:textId="77777777" w:rsidR="000541BD" w:rsidRDefault="000541BD" w:rsidP="00C50597">
      <w:pPr>
        <w:pStyle w:val="Text1"/>
        <w:ind w:left="0"/>
        <w:rPr>
          <w:noProof/>
          <w:lang w:val="en-IE"/>
        </w:rPr>
      </w:pPr>
      <w:r w:rsidRPr="000541BD">
        <w:rPr>
          <w:noProof/>
        </w:rPr>
        <w:t xml:space="preserve">* Regulation (EU) 2024/3012 of the European Parliament and of the Council of 27 November 2024 establishing a Union certification framework for permanent carbon removals, carbon farming and carbon storage in products (OJ L, 2024/3012, 6.12.2024, ELI: </w:t>
      </w:r>
      <w:hyperlink r:id="rId30" w:tgtFrame="_blank" w:tooltip="http://data.europa.eu/eli/reg/2024/3012/oj)." w:history="1">
        <w:r w:rsidRPr="000541BD">
          <w:rPr>
            <w:rStyle w:val="Hyperlink"/>
            <w:noProof/>
          </w:rPr>
          <w:t>http://data.europa.eu/eli/reg/2024/3012/oj).</w:t>
        </w:r>
      </w:hyperlink>
    </w:p>
    <w:p w14:paraId="243B5334" w14:textId="0B4C887D" w:rsidR="006C0734" w:rsidRPr="00FF67ED" w:rsidRDefault="000541BD" w:rsidP="00C50597">
      <w:pPr>
        <w:pStyle w:val="Text1"/>
        <w:ind w:left="0"/>
        <w:rPr>
          <w:noProof/>
          <w:lang w:val="en-IE"/>
        </w:rPr>
      </w:pPr>
      <w:r>
        <w:rPr>
          <w:noProof/>
          <w:lang w:val="en-IE"/>
        </w:rPr>
        <w:t>*</w:t>
      </w:r>
      <w:r w:rsidR="006C0734" w:rsidRPr="006C0734">
        <w:rPr>
          <w:noProof/>
          <w:lang w:val="en-IE"/>
        </w:rPr>
        <w:t xml:space="preserve">* Regulation (EU, Euratom) 2024/2509 of the European Parliament and of the Council of 23 September 2024 on the financial rules applicable to the general budget of the Union (OJ L, 2024/2509, 26.9.2024, ELI: </w:t>
      </w:r>
      <w:hyperlink r:id="rId31" w:history="1">
        <w:r w:rsidR="006933C1" w:rsidRPr="00E51713">
          <w:rPr>
            <w:rStyle w:val="Hyperlink"/>
            <w:noProof/>
            <w:lang w:val="en-IE"/>
          </w:rPr>
          <w:t>http://data.europa.eu/eli/reg/2024/2509/oj</w:t>
        </w:r>
      </w:hyperlink>
      <w:r w:rsidR="006C0734" w:rsidRPr="006C0734">
        <w:rPr>
          <w:noProof/>
          <w:lang w:val="en-IE"/>
        </w:rPr>
        <w:t>).’;</w:t>
      </w:r>
    </w:p>
    <w:p w14:paraId="12F3A5D2" w14:textId="13B7F0BD" w:rsidR="00131AEB" w:rsidRPr="00B97C25" w:rsidRDefault="00FF67ED" w:rsidP="005E0E3B">
      <w:pPr>
        <w:pStyle w:val="Point0"/>
        <w:rPr>
          <w:noProof/>
        </w:rPr>
      </w:pPr>
      <w:r>
        <w:rPr>
          <w:noProof/>
        </w:rPr>
        <w:t>(14)</w:t>
      </w:r>
      <w:r>
        <w:rPr>
          <w:noProof/>
        </w:rPr>
        <w:tab/>
      </w:r>
      <w:r w:rsidRPr="00B97C25">
        <w:rPr>
          <w:noProof/>
        </w:rPr>
        <w:t>Article 10</w:t>
      </w:r>
      <w:r w:rsidR="00131AEB" w:rsidRPr="00B97C25">
        <w:rPr>
          <w:noProof/>
        </w:rPr>
        <w:t xml:space="preserve"> is amended as follows:</w:t>
      </w:r>
    </w:p>
    <w:p w14:paraId="282D180C" w14:textId="129B4DAB" w:rsidR="00FF67ED" w:rsidRPr="00EF6559" w:rsidRDefault="00131AEB">
      <w:pPr>
        <w:pStyle w:val="Point1"/>
        <w:rPr>
          <w:noProof/>
          <w:lang w:val="en-IE"/>
        </w:rPr>
      </w:pPr>
      <w:r>
        <w:rPr>
          <w:noProof/>
        </w:rPr>
        <w:t>(a)</w:t>
      </w:r>
      <w:r>
        <w:rPr>
          <w:noProof/>
        </w:rPr>
        <w:tab/>
      </w:r>
      <w:r w:rsidRPr="00EF6559">
        <w:rPr>
          <w:noProof/>
          <w:lang w:val="en-IE"/>
        </w:rPr>
        <w:t xml:space="preserve">in paragraph 1, </w:t>
      </w:r>
      <w:r w:rsidR="00FF67ED" w:rsidRPr="00EF6559">
        <w:rPr>
          <w:noProof/>
          <w:lang w:val="en-IE"/>
        </w:rPr>
        <w:t xml:space="preserve">the first and second </w:t>
      </w:r>
      <w:r w:rsidRPr="00EF6559">
        <w:rPr>
          <w:noProof/>
          <w:lang w:val="en-IE"/>
        </w:rPr>
        <w:t>sub</w:t>
      </w:r>
      <w:r w:rsidR="00FF67ED" w:rsidRPr="00EF6559">
        <w:rPr>
          <w:noProof/>
          <w:lang w:val="en-IE"/>
        </w:rPr>
        <w:t>paragraphs are replaced by the following:</w:t>
      </w:r>
    </w:p>
    <w:p w14:paraId="65004505" w14:textId="77777777" w:rsidR="00FF67ED" w:rsidRDefault="00FF67ED" w:rsidP="007D2B8E">
      <w:pPr>
        <w:pStyle w:val="Text2"/>
        <w:rPr>
          <w:noProof/>
          <w:lang w:val="en-IE"/>
        </w:rPr>
      </w:pPr>
      <w:r w:rsidRPr="00FF67ED">
        <w:rPr>
          <w:noProof/>
          <w:lang w:val="en-IE"/>
        </w:rPr>
        <w:t xml:space="preserve">‘1. </w:t>
      </w:r>
      <w:r w:rsidR="006C5EFB" w:rsidRPr="006C5EFB">
        <w:rPr>
          <w:noProof/>
          <w:lang w:val="en-IE"/>
        </w:rPr>
        <w:t xml:space="preserve">At least 57 % of the allowances available </w:t>
      </w:r>
      <w:r w:rsidR="005F78FF" w:rsidRPr="00FF67ED">
        <w:rPr>
          <w:noProof/>
          <w:lang w:val="en-IE"/>
        </w:rPr>
        <w:t>the Union-wide quantity of allowances referred to in Article 9</w:t>
      </w:r>
      <w:r w:rsidR="005F78FF">
        <w:rPr>
          <w:noProof/>
          <w:lang w:val="en-IE"/>
        </w:rPr>
        <w:t xml:space="preserve"> of t</w:t>
      </w:r>
      <w:r w:rsidR="006C5EFB" w:rsidRPr="006C5EFB">
        <w:rPr>
          <w:noProof/>
          <w:lang w:val="en-IE"/>
        </w:rPr>
        <w:t xml:space="preserve">his Directive that </w:t>
      </w:r>
      <w:r w:rsidR="004752D2">
        <w:rPr>
          <w:noProof/>
          <w:lang w:val="en-IE"/>
        </w:rPr>
        <w:t>a</w:t>
      </w:r>
      <w:r w:rsidR="006C5EFB" w:rsidRPr="006C5EFB">
        <w:rPr>
          <w:noProof/>
          <w:lang w:val="en-IE"/>
        </w:rPr>
        <w:t xml:space="preserve">re not allocated in accordance with Articles 9, 3gaa, 3gab, 9c, </w:t>
      </w:r>
      <w:r w:rsidR="00565443">
        <w:rPr>
          <w:noProof/>
          <w:lang w:val="en-IE"/>
        </w:rPr>
        <w:t>10cc</w:t>
      </w:r>
      <w:r w:rsidR="006C5EFB" w:rsidRPr="006C5EFB">
        <w:rPr>
          <w:noProof/>
          <w:lang w:val="en-IE"/>
        </w:rPr>
        <w:t xml:space="preserve"> and 19 of this Directive</w:t>
      </w:r>
      <w:r w:rsidR="00BA0226">
        <w:rPr>
          <w:noProof/>
          <w:lang w:val="en-IE"/>
        </w:rPr>
        <w:t>,</w:t>
      </w:r>
      <w:r w:rsidR="006C5EFB" w:rsidRPr="006C5EFB">
        <w:rPr>
          <w:noProof/>
          <w:lang w:val="en-IE"/>
        </w:rPr>
        <w:t xml:space="preserve"> shall be auctioned</w:t>
      </w:r>
      <w:r w:rsidR="00BA0226">
        <w:rPr>
          <w:noProof/>
          <w:lang w:val="en-IE"/>
        </w:rPr>
        <w:t xml:space="preserve"> </w:t>
      </w:r>
      <w:r w:rsidRPr="00FF67ED">
        <w:rPr>
          <w:noProof/>
          <w:lang w:val="en-IE"/>
        </w:rPr>
        <w:t>by the Member States, without prejudice to a possible reduction pursuant to Article 10a(5a)</w:t>
      </w:r>
      <w:r w:rsidR="00A36D85">
        <w:rPr>
          <w:noProof/>
          <w:lang w:val="en-IE"/>
        </w:rPr>
        <w:t xml:space="preserve"> of this Directive</w:t>
      </w:r>
      <w:r w:rsidRPr="00FF67ED">
        <w:rPr>
          <w:noProof/>
          <w:lang w:val="en-IE"/>
        </w:rPr>
        <w:t>, to the placing of allowances in the market stability reserve</w:t>
      </w:r>
      <w:r w:rsidR="00A36D85">
        <w:rPr>
          <w:noProof/>
          <w:lang w:val="en-IE"/>
        </w:rPr>
        <w:t xml:space="preserve"> (MSR)</w:t>
      </w:r>
      <w:r w:rsidRPr="00FF67ED">
        <w:rPr>
          <w:noProof/>
          <w:lang w:val="en-IE"/>
        </w:rPr>
        <w:t xml:space="preserve"> established by Decision (EU) 2015/1814</w:t>
      </w:r>
      <w:r w:rsidR="00D62460">
        <w:rPr>
          <w:noProof/>
          <w:lang w:val="en-IE"/>
        </w:rPr>
        <w:t>*</w:t>
      </w:r>
      <w:r w:rsidRPr="00FF67ED">
        <w:rPr>
          <w:noProof/>
          <w:lang w:val="en-IE"/>
        </w:rPr>
        <w:t xml:space="preserve">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w:t>
      </w:r>
      <w:r w:rsidR="008A181B">
        <w:rPr>
          <w:noProof/>
          <w:lang w:val="en-IE"/>
        </w:rPr>
        <w:t xml:space="preserve"> of this Directive</w:t>
      </w:r>
      <w:r w:rsidRPr="00FF67ED">
        <w:rPr>
          <w:noProof/>
          <w:lang w:val="en-IE"/>
        </w:rPr>
        <w:t xml:space="preserve">. The quantity of allowances to be auctioned by </w:t>
      </w:r>
      <w:r w:rsidR="009E0E21">
        <w:rPr>
          <w:noProof/>
          <w:lang w:val="en-IE"/>
        </w:rPr>
        <w:t>the</w:t>
      </w:r>
      <w:r w:rsidRPr="00FF67ED">
        <w:rPr>
          <w:noProof/>
          <w:lang w:val="en-IE"/>
        </w:rPr>
        <w:t xml:space="preserve"> Member States shall be distributed in accordance with paragraph 2</w:t>
      </w:r>
      <w:r w:rsidR="00EF1EBE">
        <w:rPr>
          <w:noProof/>
          <w:lang w:val="en-IE"/>
        </w:rPr>
        <w:t xml:space="preserve"> of this Article</w:t>
      </w:r>
      <w:r w:rsidRPr="00FF67ED">
        <w:rPr>
          <w:noProof/>
          <w:lang w:val="en-IE"/>
        </w:rPr>
        <w:t>.;</w:t>
      </w:r>
    </w:p>
    <w:p w14:paraId="5664C7A7" w14:textId="77777777" w:rsidR="005F5C87" w:rsidRDefault="000477F2" w:rsidP="007D2B8E">
      <w:pPr>
        <w:pStyle w:val="Text2"/>
        <w:rPr>
          <w:noProof/>
          <w:lang w:val="en-IE"/>
        </w:rPr>
      </w:pPr>
      <w:r w:rsidRPr="000477F2">
        <w:rPr>
          <w:noProof/>
          <w:lang w:val="en-IE"/>
        </w:rPr>
        <w:t>_____</w:t>
      </w:r>
    </w:p>
    <w:p w14:paraId="734C2EA7" w14:textId="77777777" w:rsidR="000477F2" w:rsidRPr="00FF67ED" w:rsidRDefault="00514A04" w:rsidP="007D2B8E">
      <w:pPr>
        <w:pStyle w:val="Text2"/>
        <w:rPr>
          <w:noProof/>
          <w:lang w:val="en-IE"/>
        </w:rPr>
      </w:pPr>
      <w:r w:rsidRPr="00D62460">
        <w:rPr>
          <w:noProof/>
          <w:lang w:val="en-IE"/>
        </w:rPr>
        <w:t xml:space="preserve">* </w:t>
      </w:r>
      <w:r w:rsidR="007645B6" w:rsidRPr="00D62460">
        <w:rPr>
          <w:noProof/>
          <w:lang w:val="en-IE"/>
        </w:rPr>
        <w:t>Decision</w:t>
      </w:r>
      <w:r w:rsidR="007645B6" w:rsidRPr="007645B6">
        <w:rPr>
          <w:noProof/>
          <w:lang w:val="en-IE"/>
        </w:rPr>
        <w:t xml:space="preserve"> (EU) 2015/1814 of the European Parliament and of the Council of 6 October 2015 concerning the establishment and operation of a market stability reserve for the Union greenhouse gas emission trading scheme and amending Directive 2003/87/EC (OJ L 264, 9.10.2015, pp. 1</w:t>
      </w:r>
      <w:r w:rsidR="007645B6">
        <w:rPr>
          <w:noProof/>
          <w:lang w:val="en-IE"/>
        </w:rPr>
        <w:t>).</w:t>
      </w:r>
      <w:r w:rsidR="00C6534E" w:rsidRPr="00FF67ED">
        <w:rPr>
          <w:noProof/>
          <w:lang w:val="en-IE"/>
        </w:rPr>
        <w:t>’</w:t>
      </w:r>
    </w:p>
    <w:p w14:paraId="37EC9A26" w14:textId="77777777" w:rsidR="000A7643" w:rsidRPr="00B97C25" w:rsidRDefault="000A7643" w:rsidP="000A7643">
      <w:pPr>
        <w:pStyle w:val="Point1"/>
        <w:rPr>
          <w:noProof/>
          <w:lang w:val="en-IE"/>
        </w:rPr>
      </w:pPr>
      <w:r>
        <w:rPr>
          <w:noProof/>
        </w:rPr>
        <w:t>(b)</w:t>
      </w:r>
      <w:r>
        <w:rPr>
          <w:noProof/>
        </w:rPr>
        <w:tab/>
        <w:t>in paragraph 2, the following sentence is added to point (b):</w:t>
      </w:r>
    </w:p>
    <w:p w14:paraId="44DC11BD" w14:textId="6AFF45C7" w:rsidR="000A7643" w:rsidRPr="00B97C25" w:rsidRDefault="000A7643" w:rsidP="00B97C25">
      <w:pPr>
        <w:pStyle w:val="Point1"/>
        <w:ind w:firstLine="0"/>
        <w:rPr>
          <w:noProof/>
          <w:lang w:val="en-IE"/>
        </w:rPr>
      </w:pPr>
      <w:r>
        <w:rPr>
          <w:noProof/>
        </w:rPr>
        <w:t xml:space="preserve">‘Spain, Cyprus, Malta and Slovenia shall use their additional allowances for the </w:t>
      </w:r>
      <w:r w:rsidR="00E203CE">
        <w:rPr>
          <w:noProof/>
        </w:rPr>
        <w:t xml:space="preserve">priority </w:t>
      </w:r>
      <w:r>
        <w:rPr>
          <w:noProof/>
        </w:rPr>
        <w:t xml:space="preserve">purposes listed in Article 10(3) first subparagraph.’; </w:t>
      </w:r>
    </w:p>
    <w:p w14:paraId="4CA6A677" w14:textId="7817D1E4" w:rsidR="00FF67ED" w:rsidRPr="004F6AF9" w:rsidRDefault="00FF67ED" w:rsidP="00B97C25">
      <w:pPr>
        <w:pStyle w:val="Point1"/>
        <w:rPr>
          <w:noProof/>
          <w:lang w:val="en-IE"/>
        </w:rPr>
      </w:pPr>
      <w:r>
        <w:rPr>
          <w:noProof/>
        </w:rPr>
        <w:t>(c)</w:t>
      </w:r>
      <w:r>
        <w:rPr>
          <w:noProof/>
        </w:rPr>
        <w:tab/>
      </w:r>
      <w:r w:rsidRPr="004F6AF9">
        <w:rPr>
          <w:noProof/>
          <w:lang w:val="en-IE"/>
        </w:rPr>
        <w:t>paragraph 3 is replaced by the following:</w:t>
      </w:r>
    </w:p>
    <w:p w14:paraId="304D0F5A" w14:textId="7192ED81" w:rsidR="00FF67ED" w:rsidRPr="00FF67ED" w:rsidRDefault="00FF67ED" w:rsidP="007D2B8E">
      <w:pPr>
        <w:pStyle w:val="Text2"/>
        <w:rPr>
          <w:noProof/>
          <w:lang w:val="en-IE"/>
        </w:rPr>
      </w:pPr>
      <w:r w:rsidRPr="00FF67ED">
        <w:rPr>
          <w:noProof/>
          <w:lang w:val="en-IE"/>
        </w:rPr>
        <w:t xml:space="preserve">‘3. 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00342C2C">
        <w:rPr>
          <w:noProof/>
          <w:lang w:val="en-IE"/>
        </w:rPr>
        <w:t>50</w:t>
      </w:r>
      <w:r w:rsidRPr="00FF67ED">
        <w:rPr>
          <w:noProof/>
          <w:lang w:val="en-IE"/>
        </w:rPr>
        <w:t xml:space="preserve">% of those revenues, with the exception of the revenues used for the compensation of indirect carbon costs referred to in Article 10a(6) of this Directive, </w:t>
      </w:r>
      <w:r w:rsidR="00995DDE" w:rsidRPr="00995DDE">
        <w:rPr>
          <w:noProof/>
          <w:lang w:val="en-IE"/>
        </w:rPr>
        <w:t xml:space="preserve">or the equivalent in financial value of those revenues, </w:t>
      </w:r>
      <w:r w:rsidRPr="00FF67ED">
        <w:rPr>
          <w:noProof/>
          <w:lang w:val="en-IE"/>
        </w:rPr>
        <w:t xml:space="preserve">to support the decarbonisation of ETS sectors, </w:t>
      </w:r>
      <w:r w:rsidR="00BA1350">
        <w:rPr>
          <w:noProof/>
          <w:lang w:val="en-IE"/>
        </w:rPr>
        <w:t>for</w:t>
      </w:r>
      <w:r w:rsidR="00BA1350" w:rsidRPr="00FF67ED">
        <w:rPr>
          <w:noProof/>
          <w:lang w:val="en-IE"/>
        </w:rPr>
        <w:t xml:space="preserve"> </w:t>
      </w:r>
      <w:r w:rsidRPr="00FF67ED">
        <w:rPr>
          <w:noProof/>
          <w:lang w:val="en-IE"/>
        </w:rPr>
        <w:t xml:space="preserve">one or more of the following priority </w:t>
      </w:r>
      <w:r w:rsidR="003C6AD8">
        <w:rPr>
          <w:noProof/>
          <w:lang w:val="en-IE"/>
        </w:rPr>
        <w:t>purposes</w:t>
      </w:r>
      <w:r w:rsidRPr="00FF67ED">
        <w:rPr>
          <w:noProof/>
          <w:lang w:val="en-IE"/>
        </w:rPr>
        <w:t xml:space="preserve">: </w:t>
      </w:r>
    </w:p>
    <w:p w14:paraId="1752CDA8" w14:textId="77777777" w:rsidR="00C50597" w:rsidRPr="00286DF9" w:rsidRDefault="00FF67ED">
      <w:pPr>
        <w:pStyle w:val="Point2"/>
        <w:rPr>
          <w:noProof/>
          <w:lang w:val="en-IE"/>
        </w:rPr>
      </w:pPr>
      <w:r>
        <w:rPr>
          <w:noProof/>
        </w:rPr>
        <w:t>(a)</w:t>
      </w:r>
      <w:r>
        <w:rPr>
          <w:noProof/>
        </w:rPr>
        <w:tab/>
      </w:r>
      <w:r w:rsidRPr="00C50597" w:rsidDel="003C6AD8">
        <w:rPr>
          <w:noProof/>
        </w:rPr>
        <w:t>to top-up the support mechanisms in th</w:t>
      </w:r>
      <w:r w:rsidR="00A35385" w:rsidRPr="00C50597" w:rsidDel="003C6AD8">
        <w:rPr>
          <w:noProof/>
        </w:rPr>
        <w:t>is</w:t>
      </w:r>
      <w:r w:rsidRPr="00C50597" w:rsidDel="003C6AD8">
        <w:rPr>
          <w:noProof/>
        </w:rPr>
        <w:t xml:space="preserve"> Directive for reducing climate impacts from ETS sectors;</w:t>
      </w:r>
    </w:p>
    <w:p w14:paraId="5EA87754" w14:textId="028BCF93" w:rsidR="00C50597" w:rsidRPr="00286DF9" w:rsidRDefault="00FF67ED">
      <w:pPr>
        <w:pStyle w:val="Point2"/>
        <w:rPr>
          <w:noProof/>
          <w:lang w:val="en-IE"/>
        </w:rPr>
      </w:pPr>
      <w:r>
        <w:rPr>
          <w:noProof/>
        </w:rPr>
        <w:t>(b)</w:t>
      </w:r>
      <w:r>
        <w:rPr>
          <w:noProof/>
        </w:rPr>
        <w:tab/>
      </w:r>
      <w:r w:rsidRPr="00286DF9">
        <w:rPr>
          <w:noProof/>
          <w:lang w:val="en-IE"/>
        </w:rPr>
        <w:t xml:space="preserve">to develop </w:t>
      </w:r>
      <w:r>
        <w:rPr>
          <w:noProof/>
          <w:lang w:val="en-IE"/>
        </w:rPr>
        <w:t>clean</w:t>
      </w:r>
      <w:r w:rsidR="00C43E97" w:rsidRPr="00286DF9">
        <w:rPr>
          <w:noProof/>
          <w:lang w:val="en-IE"/>
        </w:rPr>
        <w:t xml:space="preserve"> </w:t>
      </w:r>
      <w:r w:rsidRPr="00286DF9">
        <w:rPr>
          <w:noProof/>
          <w:lang w:val="en-IE"/>
        </w:rPr>
        <w:t>energies</w:t>
      </w:r>
      <w:r w:rsidR="001A2BA9" w:rsidRPr="00286DF9">
        <w:rPr>
          <w:noProof/>
          <w:lang w:val="en-IE"/>
        </w:rPr>
        <w:t>,</w:t>
      </w:r>
      <w:r w:rsidRPr="00286DF9">
        <w:rPr>
          <w:noProof/>
          <w:lang w:val="en-IE"/>
        </w:rPr>
        <w:t xml:space="preserve"> electricity storage and grids for electricity transmission </w:t>
      </w:r>
      <w:r w:rsidR="0025375E" w:rsidRPr="00286DF9">
        <w:rPr>
          <w:noProof/>
          <w:lang w:val="en-IE"/>
        </w:rPr>
        <w:t>and distribution particularly around industrial clusters in view of the increased electricity demand from industrial decarbonisation projects</w:t>
      </w:r>
      <w:r w:rsidR="0012488F" w:rsidRPr="00286DF9">
        <w:rPr>
          <w:noProof/>
          <w:lang w:val="en-IE"/>
        </w:rPr>
        <w:t>, as well as to meet the commitments on renewable energies, on energy efficiency and inter-connection set out in National Energy and Climate Plans</w:t>
      </w:r>
      <w:r w:rsidRPr="00286DF9">
        <w:rPr>
          <w:noProof/>
          <w:lang w:val="en-IE"/>
        </w:rPr>
        <w:t>;</w:t>
      </w:r>
    </w:p>
    <w:p w14:paraId="7FF6AE6C" w14:textId="77777777" w:rsidR="00C50597" w:rsidRPr="00286DF9" w:rsidRDefault="003807B9">
      <w:pPr>
        <w:pStyle w:val="Point2"/>
        <w:rPr>
          <w:noProof/>
          <w:lang w:val="en-IE"/>
        </w:rPr>
      </w:pPr>
      <w:r>
        <w:rPr>
          <w:noProof/>
        </w:rPr>
        <w:t>(c)</w:t>
      </w:r>
      <w:r>
        <w:rPr>
          <w:noProof/>
        </w:rPr>
        <w:tab/>
      </w:r>
      <w:r w:rsidRPr="00286DF9">
        <w:rPr>
          <w:noProof/>
          <w:lang w:val="en-IE"/>
        </w:rPr>
        <w:t xml:space="preserve">to finance investments in industrial decarbonisation and enabling measures for such decarbonisation, including investments in </w:t>
      </w:r>
      <w:r w:rsidR="000C62A8" w:rsidRPr="00286DF9">
        <w:rPr>
          <w:noProof/>
          <w:lang w:val="en-IE"/>
        </w:rPr>
        <w:t xml:space="preserve">industrial electrification, </w:t>
      </w:r>
      <w:r w:rsidRPr="00286DF9">
        <w:rPr>
          <w:noProof/>
          <w:lang w:val="en-IE"/>
        </w:rPr>
        <w:t>clean industrial production technologies, the capture, use and storage of CO</w:t>
      </w:r>
      <w:r w:rsidRPr="00286DF9">
        <w:rPr>
          <w:noProof/>
          <w:vertAlign w:val="subscript"/>
          <w:lang w:val="en-IE"/>
        </w:rPr>
        <w:t>2</w:t>
      </w:r>
      <w:r w:rsidRPr="00286DF9">
        <w:rPr>
          <w:noProof/>
          <w:lang w:val="en-IE"/>
        </w:rPr>
        <w:t xml:space="preserve"> and the development of the CO</w:t>
      </w:r>
      <w:r w:rsidRPr="00286DF9">
        <w:rPr>
          <w:noProof/>
          <w:vertAlign w:val="subscript"/>
          <w:lang w:val="en-IE"/>
        </w:rPr>
        <w:t>2</w:t>
      </w:r>
      <w:r w:rsidRPr="00286DF9">
        <w:rPr>
          <w:noProof/>
          <w:lang w:val="en-IE"/>
        </w:rPr>
        <w:t xml:space="preserve"> transport network;</w:t>
      </w:r>
    </w:p>
    <w:p w14:paraId="358E6E6E" w14:textId="77777777" w:rsidR="00C50597" w:rsidRPr="00286DF9" w:rsidRDefault="00FF67ED">
      <w:pPr>
        <w:pStyle w:val="Point2"/>
        <w:rPr>
          <w:noProof/>
          <w:lang w:val="en-IE"/>
        </w:rPr>
      </w:pPr>
      <w:r>
        <w:rPr>
          <w:noProof/>
        </w:rPr>
        <w:t>(d)</w:t>
      </w:r>
      <w:r>
        <w:rPr>
          <w:noProof/>
        </w:rPr>
        <w:tab/>
      </w:r>
      <w:r w:rsidRPr="00286DF9">
        <w:rPr>
          <w:noProof/>
          <w:lang w:val="en-IE"/>
        </w:rPr>
        <w:t xml:space="preserve">measures to decarbonise the maritime sector, including the improvement of the energy efficiency of ships, ports, innovative technologies and infrastructure, electrification and sustainable alternative fuels, such as hydrogen and ammonia that are produced from renewables, and zero-emission propulsion technologies; </w:t>
      </w:r>
    </w:p>
    <w:p w14:paraId="342F3BEB" w14:textId="77777777" w:rsidR="00C50597" w:rsidRPr="00286DF9" w:rsidRDefault="00FF67ED">
      <w:pPr>
        <w:pStyle w:val="Point2"/>
        <w:rPr>
          <w:noProof/>
          <w:lang w:val="en-IE"/>
        </w:rPr>
      </w:pPr>
      <w:r>
        <w:rPr>
          <w:noProof/>
        </w:rPr>
        <w:t>(e)</w:t>
      </w:r>
      <w:r>
        <w:rPr>
          <w:noProof/>
        </w:rPr>
        <w:tab/>
      </w:r>
      <w:r w:rsidRPr="00286DF9">
        <w:rPr>
          <w:noProof/>
          <w:lang w:val="en-IE"/>
        </w:rPr>
        <w:t xml:space="preserve">measures to invest in innovative technologies to decarbonise aviation, including support to electrification, actions to reduce the overall climate impacts of aviation and increase production of low-and zero-carbon fuels, and measures to support the decarbonisation of airports; </w:t>
      </w:r>
    </w:p>
    <w:p w14:paraId="131A6491" w14:textId="77777777" w:rsidR="00C50597" w:rsidRPr="00286DF9" w:rsidRDefault="00FF67ED">
      <w:pPr>
        <w:pStyle w:val="Point2"/>
        <w:rPr>
          <w:noProof/>
          <w:lang w:val="en-IE"/>
        </w:rPr>
      </w:pPr>
      <w:r>
        <w:rPr>
          <w:noProof/>
        </w:rPr>
        <w:t>(f)</w:t>
      </w:r>
      <w:r>
        <w:rPr>
          <w:noProof/>
        </w:rPr>
        <w:tab/>
      </w:r>
      <w:r w:rsidRPr="00286DF9">
        <w:rPr>
          <w:noProof/>
          <w:lang w:val="en-IE"/>
        </w:rPr>
        <w:t xml:space="preserve">measures to support modal shift towards decarbonised forms of transport; </w:t>
      </w:r>
    </w:p>
    <w:p w14:paraId="7690B902" w14:textId="77777777" w:rsidR="00C50597" w:rsidRPr="00286DF9" w:rsidRDefault="00FF67ED">
      <w:pPr>
        <w:pStyle w:val="Point2"/>
        <w:rPr>
          <w:noProof/>
          <w:lang w:val="en-IE"/>
        </w:rPr>
      </w:pPr>
      <w:r>
        <w:rPr>
          <w:noProof/>
        </w:rPr>
        <w:t>(g)</w:t>
      </w:r>
      <w:r>
        <w:rPr>
          <w:noProof/>
        </w:rPr>
        <w:tab/>
      </w:r>
      <w:r w:rsidRPr="00286DF9">
        <w:rPr>
          <w:noProof/>
          <w:lang w:val="en-IE"/>
        </w:rPr>
        <w:t>to support competent authorities involved in the collection and disposal of municipal waste in the implementation of measures in line with the higher steps of the waste hierarchy as defined in Article 4 of the Directive 2008/98/EC, namely waste prevention, preparing for reuse, separate collection, sorting and recycling</w:t>
      </w:r>
      <w:r w:rsidR="000B1E95" w:rsidRPr="00286DF9">
        <w:rPr>
          <w:noProof/>
          <w:lang w:val="en-IE"/>
        </w:rPr>
        <w:t>;</w:t>
      </w:r>
    </w:p>
    <w:p w14:paraId="2916739F" w14:textId="77777777" w:rsidR="00C50597" w:rsidRPr="00286DF9" w:rsidRDefault="000B1E95">
      <w:pPr>
        <w:pStyle w:val="Point2"/>
        <w:rPr>
          <w:noProof/>
          <w:lang w:val="en-IE"/>
        </w:rPr>
      </w:pPr>
      <w:r>
        <w:rPr>
          <w:noProof/>
        </w:rPr>
        <w:t>(h)</w:t>
      </w:r>
      <w:r>
        <w:rPr>
          <w:noProof/>
        </w:rPr>
        <w:tab/>
      </w:r>
      <w:r w:rsidRPr="00286DF9">
        <w:rPr>
          <w:noProof/>
          <w:lang w:val="en-IE"/>
        </w:rPr>
        <w:t>circularity measures to reduce emissions from ETS sectors;</w:t>
      </w:r>
    </w:p>
    <w:p w14:paraId="22C4B509" w14:textId="77777777" w:rsidR="00DB163B" w:rsidRPr="00286DF9" w:rsidRDefault="00DB163B">
      <w:pPr>
        <w:pStyle w:val="Point2"/>
        <w:rPr>
          <w:noProof/>
          <w:lang w:val="en-IE"/>
        </w:rPr>
      </w:pPr>
      <w:r>
        <w:rPr>
          <w:noProof/>
        </w:rPr>
        <w:t>(i)</w:t>
      </w:r>
      <w:r>
        <w:rPr>
          <w:noProof/>
        </w:rPr>
        <w:tab/>
      </w:r>
      <w:r w:rsidRPr="00286DF9">
        <w:rPr>
          <w:noProof/>
          <w:lang w:val="en-IE"/>
        </w:rPr>
        <w:t>to support the development of lead markets for low-carbon and circular products such as bio-based fertilisers, bio-based chemicals or green steel;</w:t>
      </w:r>
    </w:p>
    <w:p w14:paraId="5D5E51D5" w14:textId="25344163" w:rsidR="00FF67ED" w:rsidRPr="00286DF9" w:rsidRDefault="00FF67ED">
      <w:pPr>
        <w:pStyle w:val="Point2"/>
        <w:rPr>
          <w:noProof/>
          <w:lang w:val="en-IE"/>
        </w:rPr>
      </w:pPr>
      <w:r>
        <w:rPr>
          <w:noProof/>
        </w:rPr>
        <w:t>(j)</w:t>
      </w:r>
      <w:r>
        <w:rPr>
          <w:noProof/>
        </w:rPr>
        <w:tab/>
      </w:r>
      <w:r w:rsidRPr="00286DF9">
        <w:rPr>
          <w:noProof/>
          <w:lang w:val="en-IE"/>
        </w:rPr>
        <w:t>to finance research and development necessary for any of the purposes in points (a) to (</w:t>
      </w:r>
      <w:r w:rsidR="000B1E95" w:rsidRPr="00286DF9">
        <w:rPr>
          <w:noProof/>
          <w:lang w:val="en-IE"/>
        </w:rPr>
        <w:t>h</w:t>
      </w:r>
      <w:r w:rsidRPr="00286DF9">
        <w:rPr>
          <w:noProof/>
          <w:lang w:val="en-IE"/>
        </w:rPr>
        <w:t>)</w:t>
      </w:r>
      <w:r w:rsidR="00D62460" w:rsidRPr="00286DF9">
        <w:rPr>
          <w:noProof/>
          <w:lang w:val="en-IE"/>
        </w:rPr>
        <w:t>.</w:t>
      </w:r>
      <w:r w:rsidR="00A66AD8" w:rsidRPr="00286DF9">
        <w:rPr>
          <w:noProof/>
          <w:lang w:val="en-IE"/>
        </w:rPr>
        <w:t>’</w:t>
      </w:r>
      <w:r w:rsidRPr="00286DF9">
        <w:rPr>
          <w:noProof/>
          <w:lang w:val="en-IE"/>
        </w:rPr>
        <w:t>;</w:t>
      </w:r>
    </w:p>
    <w:p w14:paraId="067645A1" w14:textId="6DE74C03" w:rsidR="00FF67ED" w:rsidRPr="00FF67ED" w:rsidRDefault="00FF67ED" w:rsidP="00B97C25">
      <w:pPr>
        <w:pStyle w:val="Text2"/>
        <w:rPr>
          <w:noProof/>
          <w:lang w:val="en-IE"/>
        </w:rPr>
      </w:pPr>
      <w:r w:rsidRPr="00FF67ED">
        <w:rPr>
          <w:noProof/>
          <w:lang w:val="en-IE"/>
        </w:rPr>
        <w:t xml:space="preserve">Notwithstanding </w:t>
      </w:r>
      <w:r w:rsidR="00C029C4">
        <w:rPr>
          <w:noProof/>
          <w:lang w:val="en-IE"/>
        </w:rPr>
        <w:t xml:space="preserve">the </w:t>
      </w:r>
      <w:r w:rsidR="000541BD">
        <w:rPr>
          <w:noProof/>
          <w:lang w:val="en-IE"/>
        </w:rPr>
        <w:t>first</w:t>
      </w:r>
      <w:r w:rsidR="00C029C4">
        <w:rPr>
          <w:noProof/>
          <w:lang w:val="en-IE"/>
        </w:rPr>
        <w:t xml:space="preserve"> sub</w:t>
      </w:r>
      <w:r w:rsidRPr="00FF67ED">
        <w:rPr>
          <w:noProof/>
          <w:lang w:val="en-IE"/>
        </w:rPr>
        <w:t>paragraph, Member States may use the remainder of those revenues for which they determine the use for the following</w:t>
      </w:r>
      <w:r w:rsidR="003C6AD8">
        <w:rPr>
          <w:noProof/>
          <w:lang w:val="en-IE"/>
        </w:rPr>
        <w:t xml:space="preserve"> purposes</w:t>
      </w:r>
      <w:r w:rsidRPr="00FF67ED">
        <w:rPr>
          <w:noProof/>
          <w:lang w:val="en-IE"/>
        </w:rPr>
        <w:t xml:space="preserve">: </w:t>
      </w:r>
    </w:p>
    <w:p w14:paraId="0259DE86" w14:textId="4E1A62E3" w:rsidR="00C50597" w:rsidRPr="0095436C" w:rsidRDefault="00FF67ED">
      <w:pPr>
        <w:pStyle w:val="Point2"/>
        <w:rPr>
          <w:noProof/>
          <w:lang w:val="en-IE"/>
        </w:rPr>
      </w:pPr>
      <w:r>
        <w:rPr>
          <w:noProof/>
        </w:rPr>
        <w:t>(a)</w:t>
      </w:r>
      <w:r>
        <w:rPr>
          <w:noProof/>
        </w:rPr>
        <w:tab/>
      </w:r>
      <w:r w:rsidRPr="0095436C">
        <w:rPr>
          <w:noProof/>
          <w:lang w:val="en-IE"/>
        </w:rPr>
        <w:t xml:space="preserve">permanent carbon removal methods, such as direct air capture and storage; </w:t>
      </w:r>
    </w:p>
    <w:p w14:paraId="4CBA7486" w14:textId="77777777" w:rsidR="00C50597" w:rsidRPr="0095436C" w:rsidRDefault="00FF67ED">
      <w:pPr>
        <w:pStyle w:val="Point2"/>
        <w:rPr>
          <w:noProof/>
          <w:lang w:val="en-IE"/>
        </w:rPr>
      </w:pPr>
      <w:r>
        <w:rPr>
          <w:noProof/>
        </w:rPr>
        <w:t>(b)</w:t>
      </w:r>
      <w:r>
        <w:rPr>
          <w:noProof/>
        </w:rPr>
        <w:tab/>
      </w:r>
      <w:r w:rsidRPr="0095436C">
        <w:rPr>
          <w:noProof/>
          <w:lang w:val="en-IE"/>
        </w:rPr>
        <w:t>measures to avoid deforestation and support the protection and restoration of peatland, forests and other land-based ecosystems or marine-based ecosystems, including measures that contribute to the protection, restoration and better management thereof, in particular as regards marine-protected areas, and increase biodiversity-friendly afforestation and reforestation, including in developing countries that have ratified the Paris Agreement</w:t>
      </w:r>
      <w:r w:rsidR="004B4B02" w:rsidRPr="0095436C">
        <w:rPr>
          <w:noProof/>
          <w:lang w:val="en-IE"/>
        </w:rPr>
        <w:t>;</w:t>
      </w:r>
    </w:p>
    <w:p w14:paraId="28151B37" w14:textId="77777777" w:rsidR="00C50597" w:rsidRPr="0095436C" w:rsidRDefault="00FF67ED">
      <w:pPr>
        <w:pStyle w:val="Point2"/>
        <w:rPr>
          <w:noProof/>
          <w:lang w:val="en-IE"/>
        </w:rPr>
      </w:pPr>
      <w:r>
        <w:rPr>
          <w:noProof/>
        </w:rPr>
        <w:t>(c)</w:t>
      </w:r>
      <w:r>
        <w:rPr>
          <w:noProof/>
        </w:rPr>
        <w:tab/>
      </w:r>
      <w:r w:rsidRPr="0095436C">
        <w:rPr>
          <w:noProof/>
          <w:lang w:val="en-IE"/>
        </w:rPr>
        <w:t>forestry</w:t>
      </w:r>
      <w:r w:rsidR="001431D0" w:rsidRPr="0095436C">
        <w:rPr>
          <w:noProof/>
          <w:lang w:val="en-IE"/>
        </w:rPr>
        <w:t xml:space="preserve"> and</w:t>
      </w:r>
      <w:r w:rsidRPr="0095436C">
        <w:rPr>
          <w:noProof/>
          <w:lang w:val="en-IE"/>
        </w:rPr>
        <w:t xml:space="preserve"> soil sequestration</w:t>
      </w:r>
      <w:r w:rsidR="00C50597" w:rsidRPr="0095436C">
        <w:rPr>
          <w:noProof/>
          <w:lang w:val="en-IE"/>
        </w:rPr>
        <w:t>;</w:t>
      </w:r>
      <w:r w:rsidRPr="0095436C">
        <w:rPr>
          <w:noProof/>
          <w:lang w:val="en-IE"/>
        </w:rPr>
        <w:t xml:space="preserve"> </w:t>
      </w:r>
    </w:p>
    <w:p w14:paraId="4CC1D1FD" w14:textId="77777777" w:rsidR="00C50597" w:rsidRPr="0095436C" w:rsidRDefault="00155D87">
      <w:pPr>
        <w:pStyle w:val="Point2"/>
        <w:rPr>
          <w:noProof/>
          <w:lang w:val="en-IE"/>
        </w:rPr>
      </w:pPr>
      <w:r>
        <w:rPr>
          <w:noProof/>
        </w:rPr>
        <w:t>(d)</w:t>
      </w:r>
      <w:r>
        <w:rPr>
          <w:noProof/>
        </w:rPr>
        <w:tab/>
      </w:r>
      <w:r w:rsidRPr="0095436C">
        <w:rPr>
          <w:noProof/>
          <w:lang w:val="en-IE"/>
        </w:rPr>
        <w:t>investment</w:t>
      </w:r>
      <w:r w:rsidR="002040FA" w:rsidRPr="0095436C">
        <w:rPr>
          <w:noProof/>
          <w:lang w:val="en-IE"/>
        </w:rPr>
        <w:t>s</w:t>
      </w:r>
      <w:r w:rsidRPr="0095436C">
        <w:rPr>
          <w:noProof/>
          <w:lang w:val="en-IE"/>
        </w:rPr>
        <w:t xml:space="preserve"> to reduce agricultural emissions linked to more efficient use of fertilisers in the Union or to greenhouse gases other than CO2, and to support end-users in the uptake of bio-based, organic and circular </w:t>
      </w:r>
      <w:r w:rsidR="00BC533D" w:rsidRPr="0095436C">
        <w:rPr>
          <w:noProof/>
          <w:lang w:val="en-IE"/>
        </w:rPr>
        <w:t>fertilisers</w:t>
      </w:r>
      <w:r w:rsidRPr="0095436C">
        <w:rPr>
          <w:noProof/>
          <w:lang w:val="en-IE"/>
        </w:rPr>
        <w:t>, in line with the Fertilizer Action Plan</w:t>
      </w:r>
      <w:r w:rsidR="001431D0" w:rsidRPr="0095436C">
        <w:rPr>
          <w:noProof/>
          <w:lang w:val="en-IE"/>
        </w:rPr>
        <w:t>;</w:t>
      </w:r>
    </w:p>
    <w:p w14:paraId="51B2D427" w14:textId="77777777" w:rsidR="00C50597" w:rsidRPr="0095436C" w:rsidRDefault="00FF67ED">
      <w:pPr>
        <w:pStyle w:val="Point2"/>
        <w:rPr>
          <w:noProof/>
          <w:lang w:val="en-IE"/>
        </w:rPr>
      </w:pPr>
      <w:r>
        <w:rPr>
          <w:noProof/>
        </w:rPr>
        <w:t>(e)</w:t>
      </w:r>
      <w:r>
        <w:rPr>
          <w:noProof/>
        </w:rPr>
        <w:tab/>
      </w:r>
      <w:r w:rsidRPr="0095436C">
        <w:rPr>
          <w:noProof/>
          <w:lang w:val="en-IE"/>
        </w:rPr>
        <w:t xml:space="preserve">measures intended to reduce emissions in buildings, by improving energy efficiency, district heating systems and insulation, to support efficient and renewable heating and cooling systems, or to support the deep and staged deep renovation of buildings in accordance with Directive </w:t>
      </w:r>
      <w:r w:rsidR="00291D71" w:rsidRPr="0095436C">
        <w:rPr>
          <w:noProof/>
          <w:lang w:val="en-IE"/>
        </w:rPr>
        <w:t>2024/1275</w:t>
      </w:r>
      <w:r w:rsidRPr="0095436C">
        <w:rPr>
          <w:noProof/>
          <w:lang w:val="en-IE"/>
        </w:rPr>
        <w:t xml:space="preserve"> of the European Parliament and of the Council</w:t>
      </w:r>
      <w:r w:rsidR="00EA18EA" w:rsidRPr="0095436C">
        <w:rPr>
          <w:noProof/>
          <w:lang w:val="en-IE"/>
        </w:rPr>
        <w:t>*</w:t>
      </w:r>
      <w:r w:rsidRPr="0095436C">
        <w:rPr>
          <w:noProof/>
          <w:lang w:val="en-IE"/>
        </w:rPr>
        <w:t xml:space="preserve">, starting with the renovation of the worst-performing buildings; </w:t>
      </w:r>
    </w:p>
    <w:p w14:paraId="5481B555" w14:textId="77777777" w:rsidR="00C50597" w:rsidRPr="0095436C" w:rsidRDefault="00FF67ED">
      <w:pPr>
        <w:pStyle w:val="Point2"/>
        <w:rPr>
          <w:noProof/>
          <w:lang w:val="en-IE"/>
        </w:rPr>
      </w:pPr>
      <w:r>
        <w:rPr>
          <w:noProof/>
        </w:rPr>
        <w:t>(f)</w:t>
      </w:r>
      <w:r>
        <w:rPr>
          <w:noProof/>
        </w:rPr>
        <w:tab/>
      </w:r>
      <w:r w:rsidRPr="0095436C">
        <w:rPr>
          <w:noProof/>
          <w:lang w:val="en-IE"/>
        </w:rPr>
        <w:t xml:space="preserve">to provide financial support to address social aspects </w:t>
      </w:r>
      <w:r w:rsidR="00ED1580" w:rsidRPr="0095436C">
        <w:rPr>
          <w:noProof/>
          <w:lang w:val="en-IE"/>
        </w:rPr>
        <w:t xml:space="preserve">related to climate change </w:t>
      </w:r>
      <w:r w:rsidRPr="0095436C">
        <w:rPr>
          <w:noProof/>
          <w:lang w:val="en-IE"/>
        </w:rPr>
        <w:t>in lower- and middle-income households</w:t>
      </w:r>
      <w:r w:rsidR="007B5976" w:rsidRPr="0095436C">
        <w:rPr>
          <w:noProof/>
          <w:lang w:val="en-IE"/>
        </w:rPr>
        <w:t>;</w:t>
      </w:r>
    </w:p>
    <w:p w14:paraId="0F165D91" w14:textId="77777777" w:rsidR="00C50597" w:rsidRPr="0095436C" w:rsidRDefault="00FF67ED">
      <w:pPr>
        <w:pStyle w:val="Point2"/>
        <w:rPr>
          <w:noProof/>
          <w:lang w:val="en-IE"/>
        </w:rPr>
      </w:pPr>
      <w:r>
        <w:rPr>
          <w:noProof/>
        </w:rPr>
        <w:t>(g)</w:t>
      </w:r>
      <w:r>
        <w:rPr>
          <w:noProof/>
        </w:rPr>
        <w:tab/>
      </w:r>
      <w:r w:rsidRPr="0095436C">
        <w:rPr>
          <w:noProof/>
          <w:lang w:val="en-IE"/>
        </w:rPr>
        <w:t xml:space="preserve">to cover administrative expenses of the management of the EU ETS; </w:t>
      </w:r>
    </w:p>
    <w:p w14:paraId="6810356D" w14:textId="77777777" w:rsidR="00C50597" w:rsidRPr="0095436C" w:rsidRDefault="00FF67ED">
      <w:pPr>
        <w:pStyle w:val="Point2"/>
        <w:rPr>
          <w:noProof/>
          <w:lang w:val="en-IE"/>
        </w:rPr>
      </w:pPr>
      <w:r>
        <w:rPr>
          <w:noProof/>
        </w:rPr>
        <w:t>(h)</w:t>
      </w:r>
      <w:r>
        <w:rPr>
          <w:noProof/>
        </w:rPr>
        <w:tab/>
      </w:r>
      <w:r w:rsidRPr="0095436C">
        <w:rPr>
          <w:noProof/>
          <w:lang w:val="en-IE"/>
        </w:rPr>
        <w:t>to adapt to the impacts of climate change;</w:t>
      </w:r>
    </w:p>
    <w:p w14:paraId="50DE87D0" w14:textId="77777777" w:rsidR="00C50597" w:rsidRPr="0095436C" w:rsidRDefault="00FF67ED">
      <w:pPr>
        <w:pStyle w:val="Point2"/>
        <w:rPr>
          <w:noProof/>
          <w:lang w:val="en-IE"/>
        </w:rPr>
      </w:pPr>
      <w:r>
        <w:rPr>
          <w:noProof/>
        </w:rPr>
        <w:t>(i)</w:t>
      </w:r>
      <w:r>
        <w:rPr>
          <w:noProof/>
        </w:rPr>
        <w:tab/>
      </w:r>
      <w:r w:rsidRPr="0095436C">
        <w:rPr>
          <w:noProof/>
          <w:lang w:val="en-IE"/>
        </w:rPr>
        <w:t>to finance climate actions in vulnerable third countries, including the adaptation to the impacts of climate change</w:t>
      </w:r>
      <w:r w:rsidR="00B03227" w:rsidRPr="0095436C">
        <w:rPr>
          <w:noProof/>
          <w:lang w:val="en-IE"/>
        </w:rPr>
        <w:t xml:space="preserve"> and measures to transfer technologies;</w:t>
      </w:r>
    </w:p>
    <w:p w14:paraId="040D2203" w14:textId="77777777" w:rsidR="00C50597" w:rsidRPr="0095436C" w:rsidRDefault="00FF67ED">
      <w:pPr>
        <w:pStyle w:val="Point2"/>
        <w:rPr>
          <w:noProof/>
          <w:lang w:val="en-IE"/>
        </w:rPr>
      </w:pPr>
      <w:r>
        <w:rPr>
          <w:noProof/>
        </w:rPr>
        <w:t>(j)</w:t>
      </w:r>
      <w:r>
        <w:rPr>
          <w:noProof/>
        </w:rPr>
        <w:tab/>
      </w:r>
      <w:r w:rsidRPr="0095436C">
        <w:rPr>
          <w:noProof/>
          <w:lang w:val="en-IE"/>
        </w:rPr>
        <w:t xml:space="preserve">to promote skill formation and reallocation of labour in order to contribute to a just transition to a climate-neutral economy, in particular in regions most affected by the transition of jobs, in close coordination with the social partners, and to invest in upskilling and reskilling of workers potentially affected by the transition, including workers in maritime transport; </w:t>
      </w:r>
    </w:p>
    <w:p w14:paraId="06DE92B4" w14:textId="77777777" w:rsidR="00FF67ED" w:rsidRPr="0095436C" w:rsidRDefault="00FF67ED">
      <w:pPr>
        <w:pStyle w:val="Point2"/>
        <w:rPr>
          <w:noProof/>
          <w:lang w:val="en-IE"/>
        </w:rPr>
      </w:pPr>
      <w:r>
        <w:rPr>
          <w:noProof/>
        </w:rPr>
        <w:t>(k)</w:t>
      </w:r>
      <w:r>
        <w:rPr>
          <w:noProof/>
        </w:rPr>
        <w:tab/>
      </w:r>
      <w:r w:rsidRPr="0095436C">
        <w:rPr>
          <w:noProof/>
          <w:lang w:val="en-IE"/>
        </w:rPr>
        <w:t>to address any residual risk of carbon leakage in the sectors covered by Annex I to Regulation (EU) 2023/956 of the European Parliament and of the Council</w:t>
      </w:r>
      <w:r w:rsidR="007D29D7" w:rsidRPr="0095436C">
        <w:rPr>
          <w:noProof/>
          <w:lang w:val="en-IE"/>
        </w:rPr>
        <w:t>*</w:t>
      </w:r>
      <w:r w:rsidR="00EA18EA" w:rsidRPr="0095436C">
        <w:rPr>
          <w:noProof/>
          <w:lang w:val="en-IE"/>
        </w:rPr>
        <w:t>*</w:t>
      </w:r>
      <w:r w:rsidRPr="0095436C">
        <w:rPr>
          <w:noProof/>
          <w:lang w:val="en-IE"/>
        </w:rPr>
        <w:t xml:space="preserve">, supporting the transition and promoting their decarbonisation in accordance with State aid rules. </w:t>
      </w:r>
    </w:p>
    <w:p w14:paraId="23AEAD0E" w14:textId="5C6E3386" w:rsidR="00FF67ED" w:rsidRPr="00FF67ED" w:rsidRDefault="447FB28F" w:rsidP="00FF67ED">
      <w:pPr>
        <w:pStyle w:val="Text2"/>
        <w:rPr>
          <w:noProof/>
          <w:lang w:val="en-IE"/>
        </w:rPr>
      </w:pPr>
      <w:r w:rsidRPr="6D69DDCE">
        <w:rPr>
          <w:noProof/>
          <w:lang w:val="en-IE"/>
        </w:rPr>
        <w:t xml:space="preserve">The use of revenues under </w:t>
      </w:r>
      <w:r w:rsidR="00C029C4">
        <w:rPr>
          <w:noProof/>
          <w:lang w:val="en-IE"/>
        </w:rPr>
        <w:t xml:space="preserve">the </w:t>
      </w:r>
      <w:r w:rsidR="000541BD">
        <w:rPr>
          <w:noProof/>
          <w:lang w:val="en-IE"/>
        </w:rPr>
        <w:t>first and second</w:t>
      </w:r>
      <w:r w:rsidR="00C029C4">
        <w:rPr>
          <w:noProof/>
          <w:lang w:val="en-IE"/>
        </w:rPr>
        <w:t xml:space="preserve"> subparagraph</w:t>
      </w:r>
      <w:r w:rsidRPr="6D69DDCE">
        <w:rPr>
          <w:noProof/>
          <w:lang w:val="en-IE"/>
        </w:rPr>
        <w:t xml:space="preserve"> shall not prolong reliance on fossil fuels </w:t>
      </w:r>
      <w:r w:rsidR="001A25D4">
        <w:rPr>
          <w:noProof/>
          <w:lang w:val="en-IE"/>
        </w:rPr>
        <w:t xml:space="preserve">in power generation </w:t>
      </w:r>
      <w:r w:rsidRPr="6D69DDCE">
        <w:rPr>
          <w:noProof/>
          <w:lang w:val="en-IE"/>
        </w:rPr>
        <w:t>and shall be consistent with the transition to a safe and sustainable low-carbon economy, the objectives of the Union's 2040 climate and energy policy framework, and the climate-neutrality objective set out in Regulation (EU) 2021/1119</w:t>
      </w:r>
      <w:r w:rsidR="00FF67ED" w:rsidRPr="003C3700">
        <w:rPr>
          <w:noProof/>
          <w:lang w:val="en-IE"/>
        </w:rPr>
        <w:t>.</w:t>
      </w:r>
    </w:p>
    <w:p w14:paraId="7F31A542" w14:textId="77777777" w:rsidR="00FF67ED" w:rsidRPr="00FF67ED" w:rsidRDefault="00FF67ED" w:rsidP="00FF67ED">
      <w:pPr>
        <w:pStyle w:val="Text2"/>
        <w:rPr>
          <w:noProof/>
          <w:lang w:val="en-IE"/>
        </w:rPr>
      </w:pPr>
      <w:r w:rsidRPr="00FF67ED">
        <w:rPr>
          <w:noProof/>
          <w:lang w:val="en-IE"/>
        </w:rPr>
        <w:t xml:space="preserve">Member States shall inform the Commission as to the use of revenues and the actions taken pursuant to paragraphs 3 </w:t>
      </w:r>
      <w:r w:rsidR="00292F53">
        <w:rPr>
          <w:noProof/>
          <w:lang w:val="en-IE"/>
        </w:rPr>
        <w:t xml:space="preserve">of this Article </w:t>
      </w:r>
      <w:r w:rsidRPr="00FF67ED">
        <w:rPr>
          <w:noProof/>
          <w:lang w:val="en-IE"/>
        </w:rPr>
        <w:t>in their reports submitted under Article 19(2) of Regulation (EU) 2018/1999</w:t>
      </w:r>
      <w:r w:rsidR="00B85DC6">
        <w:rPr>
          <w:noProof/>
          <w:lang w:val="en-IE"/>
        </w:rPr>
        <w:t xml:space="preserve"> </w:t>
      </w:r>
      <w:r w:rsidR="00B85DC6" w:rsidRPr="00B85DC6">
        <w:rPr>
          <w:noProof/>
          <w:lang w:val="en-IE"/>
        </w:rPr>
        <w:t>of the European Parliament and of the Council</w:t>
      </w:r>
      <w:r w:rsidR="0068128E">
        <w:rPr>
          <w:noProof/>
          <w:lang w:val="en-IE"/>
        </w:rPr>
        <w:t>***</w:t>
      </w:r>
      <w:r w:rsidRPr="00FF67ED">
        <w:rPr>
          <w:noProof/>
          <w:lang w:val="en-IE"/>
        </w:rPr>
        <w:t>, specifying, where relevant and as appropriate, which revenues are used and the actions that are taken to implement their integrated national energy and climate plans submitted in accordance with that Regulation, and their territorial just transition plans prepared in accordance with Article 11 of Regulation (EU) 2021/1056 of the European Parliament and of the Council</w:t>
      </w:r>
      <w:r w:rsidR="007B3F31">
        <w:rPr>
          <w:noProof/>
          <w:lang w:val="en-IE"/>
        </w:rPr>
        <w:t>**</w:t>
      </w:r>
      <w:r w:rsidR="0068128E">
        <w:rPr>
          <w:noProof/>
          <w:lang w:val="en-IE"/>
        </w:rPr>
        <w:t>*</w:t>
      </w:r>
      <w:r w:rsidR="007B3F31">
        <w:rPr>
          <w:noProof/>
          <w:lang w:val="en-IE"/>
        </w:rPr>
        <w:t>*</w:t>
      </w:r>
      <w:r w:rsidRPr="00FF67ED">
        <w:rPr>
          <w:noProof/>
          <w:lang w:val="en-IE"/>
        </w:rPr>
        <w:t xml:space="preserve">. Member States shall disburse their revenues by the third year after the year of generation. </w:t>
      </w:r>
    </w:p>
    <w:p w14:paraId="2E9DD781" w14:textId="77777777" w:rsidR="00FF67ED" w:rsidRDefault="00FF67ED" w:rsidP="00FF67ED">
      <w:pPr>
        <w:pStyle w:val="Text2"/>
        <w:rPr>
          <w:noProof/>
          <w:lang w:val="en-IE"/>
        </w:rPr>
      </w:pPr>
      <w:r w:rsidRPr="00FF67ED">
        <w:rPr>
          <w:noProof/>
          <w:lang w:val="en-IE"/>
        </w:rPr>
        <w:t>The reporting shall be sufficiently detailed to enable the Commission to assess the Member States’ compliance with paragraphs 3</w:t>
      </w:r>
      <w:r w:rsidR="00292F53">
        <w:rPr>
          <w:noProof/>
          <w:lang w:val="en-IE"/>
        </w:rPr>
        <w:t xml:space="preserve"> of this Article</w:t>
      </w:r>
      <w:r w:rsidR="00B97957">
        <w:rPr>
          <w:noProof/>
          <w:lang w:val="en-IE"/>
        </w:rPr>
        <w:t>, and Article 30m</w:t>
      </w:r>
      <w:r w:rsidRPr="00FF67ED">
        <w:rPr>
          <w:noProof/>
          <w:lang w:val="en-IE"/>
        </w:rPr>
        <w:t>.;</w:t>
      </w:r>
    </w:p>
    <w:p w14:paraId="78613385" w14:textId="77777777" w:rsidR="007D29D7" w:rsidRDefault="007D29D7" w:rsidP="007D29D7">
      <w:pPr>
        <w:pStyle w:val="Text2"/>
        <w:rPr>
          <w:noProof/>
        </w:rPr>
      </w:pPr>
      <w:r>
        <w:rPr>
          <w:noProof/>
        </w:rPr>
        <w:t>___________</w:t>
      </w:r>
    </w:p>
    <w:p w14:paraId="44027658" w14:textId="77777777" w:rsidR="007B3F31" w:rsidRDefault="00163B20" w:rsidP="003B02B8">
      <w:pPr>
        <w:pStyle w:val="Text2"/>
        <w:rPr>
          <w:noProof/>
          <w:lang w:val="en-IE"/>
        </w:rPr>
      </w:pPr>
      <w:r>
        <w:rPr>
          <w:noProof/>
          <w:lang w:val="en-IE"/>
        </w:rPr>
        <w:t xml:space="preserve">* </w:t>
      </w:r>
      <w:r w:rsidR="0068128E" w:rsidRPr="00FF67ED">
        <w:rPr>
          <w:noProof/>
          <w:lang w:val="en-IE"/>
        </w:rPr>
        <w:t xml:space="preserve">Directive </w:t>
      </w:r>
      <w:r w:rsidR="00291D71" w:rsidRPr="00291D71">
        <w:rPr>
          <w:noProof/>
          <w:lang w:val="en-IE"/>
        </w:rPr>
        <w:t xml:space="preserve">2024/1275 </w:t>
      </w:r>
      <w:r w:rsidR="0068128E" w:rsidRPr="00FF67ED">
        <w:rPr>
          <w:noProof/>
          <w:lang w:val="en-IE"/>
        </w:rPr>
        <w:t>of the European Parliament and of the Council</w:t>
      </w:r>
      <w:r w:rsidR="003B02B8">
        <w:rPr>
          <w:noProof/>
          <w:lang w:val="en-IE"/>
        </w:rPr>
        <w:t xml:space="preserve"> </w:t>
      </w:r>
      <w:r w:rsidR="003B02B8" w:rsidRPr="003B02B8">
        <w:rPr>
          <w:noProof/>
          <w:lang w:val="en-IE"/>
        </w:rPr>
        <w:t>of 24 April 2024</w:t>
      </w:r>
      <w:r w:rsidR="00291D71">
        <w:rPr>
          <w:noProof/>
          <w:lang w:val="en-IE"/>
        </w:rPr>
        <w:t xml:space="preserve"> </w:t>
      </w:r>
      <w:r w:rsidR="003B02B8" w:rsidRPr="003B02B8">
        <w:rPr>
          <w:noProof/>
          <w:lang w:val="en-IE"/>
        </w:rPr>
        <w:t>on the energy performance of buildings</w:t>
      </w:r>
      <w:r w:rsidR="00291D71">
        <w:rPr>
          <w:noProof/>
          <w:lang w:val="en-IE"/>
        </w:rPr>
        <w:t xml:space="preserve"> </w:t>
      </w:r>
      <w:r w:rsidR="003B02B8" w:rsidRPr="003B02B8">
        <w:rPr>
          <w:noProof/>
          <w:lang w:val="en-IE"/>
        </w:rPr>
        <w:t>(recast)</w:t>
      </w:r>
      <w:r w:rsidR="00291D71">
        <w:rPr>
          <w:noProof/>
          <w:lang w:val="en-IE"/>
        </w:rPr>
        <w:t xml:space="preserve"> </w:t>
      </w:r>
      <w:r w:rsidR="003B02B8" w:rsidRPr="003B02B8">
        <w:rPr>
          <w:noProof/>
          <w:lang w:val="en-IE"/>
        </w:rPr>
        <w:t>(OJ L 1275 8.5.2024, p. 1)</w:t>
      </w:r>
      <w:r w:rsidR="00291D71">
        <w:rPr>
          <w:noProof/>
          <w:lang w:val="en-IE"/>
        </w:rPr>
        <w:t>.</w:t>
      </w:r>
    </w:p>
    <w:p w14:paraId="2D82DFB8" w14:textId="77777777" w:rsidR="00163B20" w:rsidRDefault="007B3F31" w:rsidP="007D29D7">
      <w:pPr>
        <w:pStyle w:val="Text2"/>
        <w:rPr>
          <w:noProof/>
        </w:rPr>
      </w:pPr>
      <w:r>
        <w:rPr>
          <w:noProof/>
          <w:lang w:val="en-IE"/>
        </w:rPr>
        <w:t xml:space="preserve">** </w:t>
      </w:r>
      <w:r w:rsidR="00163B20" w:rsidRPr="00163B20">
        <w:rPr>
          <w:noProof/>
        </w:rPr>
        <w:t>Regulation (EU) 2023/956 of the European Parliament and of the Council of 10 May 2023 establishing a carbon border adjustment mechanism (OJ L 130, 16.5.2023, p. 52).</w:t>
      </w:r>
    </w:p>
    <w:p w14:paraId="10CD4FD7" w14:textId="77777777" w:rsidR="00B85DC6" w:rsidRDefault="00616633" w:rsidP="00B85DC6">
      <w:pPr>
        <w:pStyle w:val="Text2"/>
        <w:rPr>
          <w:noProof/>
          <w:lang w:val="en-IE"/>
        </w:rPr>
      </w:pPr>
      <w:r>
        <w:rPr>
          <w:noProof/>
          <w:lang w:val="en-IE"/>
        </w:rPr>
        <w:t>***</w:t>
      </w:r>
      <w:r w:rsidR="0068128E">
        <w:rPr>
          <w:noProof/>
          <w:lang w:val="en-IE"/>
        </w:rPr>
        <w:t xml:space="preserve"> </w:t>
      </w:r>
      <w:r w:rsidR="00B85DC6" w:rsidRPr="00B85DC6">
        <w:rPr>
          <w:noProof/>
          <w:lang w:val="en-IE"/>
        </w:rPr>
        <w:t>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(OJ L 328, 21.12.2018, p. 1</w:t>
      </w:r>
      <w:r w:rsidR="00B85DC6">
        <w:rPr>
          <w:noProof/>
          <w:lang w:val="en-IE"/>
        </w:rPr>
        <w:t>)</w:t>
      </w:r>
    </w:p>
    <w:p w14:paraId="2F7CB536" w14:textId="77777777" w:rsidR="007D29D7" w:rsidRPr="007D2B8E" w:rsidRDefault="007B3F31" w:rsidP="007D2B8E">
      <w:pPr>
        <w:pStyle w:val="Text2"/>
        <w:rPr>
          <w:noProof/>
        </w:rPr>
      </w:pPr>
      <w:r>
        <w:rPr>
          <w:noProof/>
          <w:lang w:val="en-IE"/>
        </w:rPr>
        <w:t>***</w:t>
      </w:r>
      <w:r w:rsidR="0068128E">
        <w:rPr>
          <w:noProof/>
          <w:lang w:val="en-IE"/>
        </w:rPr>
        <w:t xml:space="preserve">* </w:t>
      </w:r>
      <w:r w:rsidR="00D64FD5" w:rsidRPr="00D64FD5">
        <w:rPr>
          <w:noProof/>
          <w:lang w:val="en-IE"/>
        </w:rPr>
        <w:t>Regulation (EU) 2021/1056 of the European Parliament and of the Council of 24 June 2021 establishing the Just Transition Fund</w:t>
      </w:r>
      <w:r w:rsidR="00D64FD5">
        <w:rPr>
          <w:noProof/>
          <w:lang w:val="en-IE"/>
        </w:rPr>
        <w:t xml:space="preserve"> (</w:t>
      </w:r>
      <w:r w:rsidR="00D64FD5" w:rsidRPr="00D64FD5">
        <w:rPr>
          <w:noProof/>
          <w:lang w:val="en-IE"/>
        </w:rPr>
        <w:t>OJ L 231, 30.6.2021, p. 1</w:t>
      </w:r>
      <w:r w:rsidR="00D64FD5">
        <w:rPr>
          <w:noProof/>
          <w:lang w:val="en-IE"/>
        </w:rPr>
        <w:t>).</w:t>
      </w:r>
      <w:r w:rsidR="00C6534E" w:rsidRPr="00FF67ED">
        <w:rPr>
          <w:noProof/>
          <w:lang w:val="en-IE"/>
        </w:rPr>
        <w:t>’</w:t>
      </w:r>
    </w:p>
    <w:p w14:paraId="5E40A4BE" w14:textId="544DD007" w:rsidR="00FF67ED" w:rsidRPr="00FF67ED" w:rsidRDefault="00FF67ED">
      <w:pPr>
        <w:pStyle w:val="Point1"/>
        <w:rPr>
          <w:noProof/>
          <w:lang w:val="en-IE"/>
        </w:rPr>
      </w:pPr>
      <w:r>
        <w:rPr>
          <w:noProof/>
        </w:rPr>
        <w:t>(a)</w:t>
      </w:r>
      <w:r>
        <w:rPr>
          <w:noProof/>
        </w:rPr>
        <w:tab/>
      </w:r>
      <w:r w:rsidRPr="00FF67ED">
        <w:rPr>
          <w:noProof/>
          <w:lang w:val="en-IE"/>
        </w:rPr>
        <w:t xml:space="preserve">paragraph 5 is replaced by the following: </w:t>
      </w:r>
    </w:p>
    <w:p w14:paraId="70FCFBD7" w14:textId="77777777" w:rsidR="00FF67ED" w:rsidRPr="00FF67ED" w:rsidRDefault="00FF67ED" w:rsidP="00FF67ED">
      <w:pPr>
        <w:pStyle w:val="Text2"/>
        <w:rPr>
          <w:noProof/>
          <w:lang w:val="en-IE"/>
        </w:rPr>
      </w:pPr>
      <w:r w:rsidRPr="00FF67ED">
        <w:rPr>
          <w:noProof/>
          <w:lang w:val="en-IE"/>
        </w:rPr>
        <w:t>‘5. The Commission shall monitor the functioning of the European carbon market. Each year, it shall submit a report to the European Parliament and to the Council on the functioning of the carbon market, including the operation of the auctions, liquidity and the volumes traded, and summarising the information provided by the European Securities and Markets Authority (ESMA) in accordance with paragraph 6 and the information provided by Member States on the financial measures referred to in Article 10a(6). Member States shall submit any relevant information and report yearly by 30 June on the basis of a questionnaire or outline adopted by the Commission in the form of implementing acts pursuant to Article 21(1). The Commission shall publish the report on the functioning of the European carbon market within six months of receiving the relevant information and reports from the Member States.’;</w:t>
      </w:r>
    </w:p>
    <w:p w14:paraId="345659BF" w14:textId="48327F86" w:rsidR="00FF67ED" w:rsidRPr="00FF67ED" w:rsidRDefault="00FF67ED">
      <w:pPr>
        <w:pStyle w:val="Point1"/>
        <w:rPr>
          <w:noProof/>
          <w:lang w:val="en-IE"/>
        </w:rPr>
      </w:pPr>
      <w:r>
        <w:rPr>
          <w:noProof/>
        </w:rPr>
        <w:t>(b)</w:t>
      </w:r>
      <w:r>
        <w:rPr>
          <w:noProof/>
        </w:rPr>
        <w:tab/>
      </w:r>
      <w:r w:rsidRPr="00FF67ED">
        <w:rPr>
          <w:noProof/>
          <w:lang w:val="en-IE"/>
        </w:rPr>
        <w:t>the following paragraph is added:</w:t>
      </w:r>
    </w:p>
    <w:p w14:paraId="6FBDCAED" w14:textId="77777777" w:rsidR="00FF67ED" w:rsidRPr="00FF67ED" w:rsidRDefault="00FF67ED" w:rsidP="00FF67ED">
      <w:pPr>
        <w:pStyle w:val="Text2"/>
        <w:rPr>
          <w:noProof/>
          <w:lang w:val="en-IE"/>
        </w:rPr>
      </w:pPr>
      <w:r w:rsidRPr="00FF67ED">
        <w:rPr>
          <w:noProof/>
          <w:lang w:val="en-IE"/>
        </w:rPr>
        <w:t xml:space="preserve">‘7. Where a Member State decides to top up ETS mechanisms that use allowances, the Member State may maintain this approach by refraining from auctioning so as to give its support in the same manner.’; </w:t>
      </w:r>
    </w:p>
    <w:p w14:paraId="5F1EDE6E" w14:textId="54530F7F" w:rsidR="00FF67ED" w:rsidRPr="00B97C25" w:rsidRDefault="00FF67ED" w:rsidP="005E0E3B">
      <w:pPr>
        <w:pStyle w:val="Point0"/>
        <w:rPr>
          <w:noProof/>
        </w:rPr>
      </w:pPr>
      <w:r>
        <w:rPr>
          <w:noProof/>
        </w:rPr>
        <w:t>(15)</w:t>
      </w:r>
      <w:r>
        <w:rPr>
          <w:noProof/>
        </w:rPr>
        <w:tab/>
      </w:r>
      <w:r w:rsidRPr="00B97C25">
        <w:rPr>
          <w:noProof/>
        </w:rPr>
        <w:t>Article 10a is amended as follows:</w:t>
      </w:r>
    </w:p>
    <w:p w14:paraId="3E481760" w14:textId="1186507C" w:rsidR="00496FB5" w:rsidRPr="0066613A" w:rsidRDefault="00496FB5">
      <w:pPr>
        <w:pStyle w:val="Point1"/>
        <w:rPr>
          <w:noProof/>
          <w:lang w:val="en-IE"/>
        </w:rPr>
      </w:pPr>
      <w:r>
        <w:rPr>
          <w:noProof/>
        </w:rPr>
        <w:t>(a)</w:t>
      </w:r>
      <w:r>
        <w:rPr>
          <w:noProof/>
        </w:rPr>
        <w:tab/>
      </w:r>
      <w:r w:rsidRPr="0066613A">
        <w:rPr>
          <w:noProof/>
          <w:lang w:val="en-IE"/>
        </w:rPr>
        <w:t xml:space="preserve">in paragraph 1, the first subparagraph is replaced by the following: </w:t>
      </w:r>
    </w:p>
    <w:p w14:paraId="6EB5898D" w14:textId="77777777" w:rsidR="00496FB5" w:rsidRDefault="00496FB5" w:rsidP="00620F3F">
      <w:pPr>
        <w:pStyle w:val="Point1letter0"/>
        <w:tabs>
          <w:tab w:val="clear" w:pos="1417"/>
        </w:tabs>
        <w:ind w:firstLine="0"/>
        <w:rPr>
          <w:noProof/>
          <w:lang w:val="en-IE"/>
        </w:rPr>
      </w:pPr>
      <w:r>
        <w:rPr>
          <w:noProof/>
          <w:lang w:val="en-IE"/>
        </w:rPr>
        <w:t>‘</w:t>
      </w:r>
      <w:r w:rsidR="00D87D5B" w:rsidRPr="00D87D5B">
        <w:rPr>
          <w:noProof/>
          <w:lang w:val="en-IE"/>
        </w:rPr>
        <w:t>1. The Commission is empowered to adopt delegated acts in accordance with Article 23 to supplement this Directive concerning the Union-wide and fully harmonised rules for the allocation of allowances referred to in paragraph</w:t>
      </w:r>
      <w:r w:rsidR="00670F8A">
        <w:rPr>
          <w:noProof/>
          <w:lang w:val="en-IE"/>
        </w:rPr>
        <w:t>s</w:t>
      </w:r>
      <w:r w:rsidR="00D87D5B" w:rsidRPr="00D87D5B">
        <w:rPr>
          <w:noProof/>
          <w:lang w:val="en-IE"/>
        </w:rPr>
        <w:t xml:space="preserve"> </w:t>
      </w:r>
      <w:r w:rsidR="624791B9" w:rsidRPr="14B19FB2">
        <w:rPr>
          <w:noProof/>
          <w:lang w:val="en-IE"/>
        </w:rPr>
        <w:t>3b</w:t>
      </w:r>
      <w:r w:rsidR="005B4F66">
        <w:rPr>
          <w:noProof/>
          <w:lang w:val="en-IE"/>
        </w:rPr>
        <w:t xml:space="preserve"> to</w:t>
      </w:r>
      <w:r w:rsidR="00D87D5B" w:rsidRPr="00D87D5B">
        <w:rPr>
          <w:noProof/>
          <w:lang w:val="en-IE"/>
        </w:rPr>
        <w:t xml:space="preserve"> </w:t>
      </w:r>
      <w:r w:rsidR="5B31D53E" w:rsidRPr="14B19FB2">
        <w:rPr>
          <w:noProof/>
          <w:lang w:val="en-IE"/>
        </w:rPr>
        <w:t>3d</w:t>
      </w:r>
      <w:r w:rsidR="00B82FD5">
        <w:rPr>
          <w:noProof/>
          <w:lang w:val="en-IE"/>
        </w:rPr>
        <w:t>,</w:t>
      </w:r>
      <w:r w:rsidR="00D87D5B" w:rsidRPr="00D87D5B">
        <w:rPr>
          <w:noProof/>
          <w:lang w:val="en-IE"/>
        </w:rPr>
        <w:t xml:space="preserve"> 5, 7 and 19 of this Article.</w:t>
      </w:r>
      <w:r>
        <w:rPr>
          <w:noProof/>
          <w:lang w:val="en-IE"/>
        </w:rPr>
        <w:t>’</w:t>
      </w:r>
      <w:r w:rsidR="00B82FD5">
        <w:rPr>
          <w:noProof/>
          <w:lang w:val="en-IE"/>
        </w:rPr>
        <w:t xml:space="preserve">; </w:t>
      </w:r>
    </w:p>
    <w:p w14:paraId="456AD198" w14:textId="48A6EC01" w:rsidR="008B38ED" w:rsidRPr="00B97C25" w:rsidRDefault="00B86AA2">
      <w:pPr>
        <w:pStyle w:val="Point1"/>
        <w:rPr>
          <w:noProof/>
          <w:lang w:val="en-IE"/>
        </w:rPr>
      </w:pPr>
      <w:r>
        <w:rPr>
          <w:noProof/>
        </w:rPr>
        <w:t>(b)</w:t>
      </w:r>
      <w:r>
        <w:rPr>
          <w:noProof/>
        </w:rPr>
        <w:tab/>
      </w:r>
      <w:r w:rsidR="008B38ED" w:rsidRPr="00B97C25">
        <w:rPr>
          <w:noProof/>
          <w:lang w:val="en-IE"/>
        </w:rPr>
        <w:t xml:space="preserve">paragraph 1a is amended as follows: </w:t>
      </w:r>
    </w:p>
    <w:p w14:paraId="2DF7994C" w14:textId="77777777" w:rsidR="00FF67ED" w:rsidRPr="00B97C25" w:rsidRDefault="00B86AA2" w:rsidP="005E0E3B">
      <w:pPr>
        <w:pStyle w:val="Point2"/>
        <w:rPr>
          <w:noProof/>
          <w:lang w:val="en-IE"/>
        </w:rPr>
      </w:pPr>
      <w:r>
        <w:rPr>
          <w:noProof/>
        </w:rPr>
        <w:t>(i)</w:t>
      </w:r>
      <w:r>
        <w:rPr>
          <w:noProof/>
        </w:rPr>
        <w:tab/>
      </w:r>
      <w:r>
        <w:rPr>
          <w:noProof/>
          <w:lang w:val="en-IE"/>
        </w:rPr>
        <w:t xml:space="preserve">the </w:t>
      </w:r>
      <w:r w:rsidR="00FF67ED" w:rsidRPr="00FF67ED">
        <w:rPr>
          <w:noProof/>
          <w:lang w:val="en-IE"/>
        </w:rPr>
        <w:t>second subparagraph is replaced by the following:</w:t>
      </w:r>
    </w:p>
    <w:p w14:paraId="0EC0D3BA" w14:textId="77777777" w:rsidR="00FF67ED" w:rsidRDefault="00B60D3F" w:rsidP="005E0E3B">
      <w:pPr>
        <w:pStyle w:val="Text3"/>
        <w:rPr>
          <w:noProof/>
        </w:rPr>
      </w:pPr>
      <w:r>
        <w:rPr>
          <w:noProof/>
        </w:rPr>
        <w:t>‘</w:t>
      </w:r>
      <w:r w:rsidRPr="00B60D3F">
        <w:rPr>
          <w:noProof/>
        </w:rPr>
        <w:t xml:space="preserve">By way of derogation from the first subparagraph of this paragraph, for the first years of application of Regulation (EU) 2023/956, the production of goods listed in Annex I to that Regulation shall benefit from free allocation, in accordance with paragraphs </w:t>
      </w:r>
      <w:r w:rsidR="418BE7C5" w:rsidRPr="266925F4">
        <w:rPr>
          <w:noProof/>
        </w:rPr>
        <w:t xml:space="preserve"> 3a</w:t>
      </w:r>
      <w:r w:rsidRPr="00B60D3F">
        <w:rPr>
          <w:noProof/>
        </w:rPr>
        <w:t xml:space="preserve"> to </w:t>
      </w:r>
      <w:r w:rsidR="1FB07C29" w:rsidRPr="266925F4">
        <w:rPr>
          <w:noProof/>
        </w:rPr>
        <w:t>3d</w:t>
      </w:r>
      <w:r w:rsidRPr="00B60D3F">
        <w:rPr>
          <w:noProof/>
        </w:rPr>
        <w:t>, in reduced amounts. A factor reducing the free allocation for the production of those goods shall be applied (CBAM factor). The CBAM factor shall be equal to 100</w:t>
      </w:r>
      <w:r w:rsidRPr="14B19FB2">
        <w:rPr>
          <w:noProof/>
        </w:rPr>
        <w:t xml:space="preserve"> %</w:t>
      </w:r>
      <w:r w:rsidRPr="00B60D3F">
        <w:rPr>
          <w:noProof/>
        </w:rPr>
        <w:t xml:space="preserve"> for the period between the entry into force of that Regulation and the end of 2025 and, subject to the application of provisions referred to in Article 36(2), point (b), of that Regulation, </w:t>
      </w:r>
      <w:r w:rsidR="004954F9" w:rsidRPr="004954F9">
        <w:rPr>
          <w:noProof/>
        </w:rPr>
        <w:t>shall be equal to 97,5 % in 2026, 95 % in 2027, 91.5 % in 2028, 81 % in 2029, 59% in 2030, 48% in 2031, 37</w:t>
      </w:r>
      <w:r w:rsidR="009A01BE">
        <w:rPr>
          <w:noProof/>
        </w:rPr>
        <w:t>,</w:t>
      </w:r>
      <w:r w:rsidR="004954F9" w:rsidRPr="004954F9">
        <w:rPr>
          <w:noProof/>
        </w:rPr>
        <w:t xml:space="preserve">5% in 2032 and 27% in 2033, 15% from 2034 to 2037. From 2038, </w:t>
      </w:r>
      <w:r w:rsidR="1207BDBD" w:rsidRPr="14B19FB2">
        <w:rPr>
          <w:noProof/>
        </w:rPr>
        <w:t>a</w:t>
      </w:r>
      <w:r w:rsidR="004954F9" w:rsidRPr="004954F9">
        <w:rPr>
          <w:noProof/>
        </w:rPr>
        <w:t xml:space="preserve"> CBAM factor </w:t>
      </w:r>
      <w:r w:rsidR="4EE4CBA2" w:rsidRPr="14B19FB2">
        <w:rPr>
          <w:noProof/>
        </w:rPr>
        <w:t>of 0 %</w:t>
      </w:r>
      <w:r w:rsidR="004954F9" w:rsidRPr="14B19FB2">
        <w:rPr>
          <w:noProof/>
        </w:rPr>
        <w:t xml:space="preserve"> </w:t>
      </w:r>
      <w:r w:rsidR="004954F9" w:rsidRPr="004954F9">
        <w:rPr>
          <w:noProof/>
        </w:rPr>
        <w:t>shall apply</w:t>
      </w:r>
      <w:r w:rsidR="00A54694">
        <w:rPr>
          <w:noProof/>
        </w:rPr>
        <w:t>.</w:t>
      </w:r>
      <w:r w:rsidR="00FF67ED" w:rsidRPr="4FACE999">
        <w:rPr>
          <w:noProof/>
        </w:rPr>
        <w:t>’;</w:t>
      </w:r>
    </w:p>
    <w:p w14:paraId="16873541" w14:textId="68CA5440" w:rsidR="00583CFE" w:rsidRPr="005E0E3B" w:rsidRDefault="00214416" w:rsidP="005E0E3B">
      <w:pPr>
        <w:pStyle w:val="Point2"/>
        <w:rPr>
          <w:noProof/>
        </w:rPr>
      </w:pPr>
      <w:r>
        <w:rPr>
          <w:noProof/>
        </w:rPr>
        <w:t>(ii)</w:t>
      </w:r>
      <w:r>
        <w:rPr>
          <w:noProof/>
        </w:rPr>
        <w:tab/>
      </w:r>
      <w:r w:rsidRPr="005E0E3B">
        <w:rPr>
          <w:noProof/>
        </w:rPr>
        <w:t xml:space="preserve">the following subparagraph is added after the second subparagraph: </w:t>
      </w:r>
    </w:p>
    <w:p w14:paraId="5C12B84F" w14:textId="77777777" w:rsidR="00214416" w:rsidRPr="00FF67ED" w:rsidRDefault="00214416" w:rsidP="005E0E3B">
      <w:pPr>
        <w:pStyle w:val="Text3"/>
        <w:rPr>
          <w:noProof/>
        </w:rPr>
      </w:pPr>
      <w:r>
        <w:rPr>
          <w:noProof/>
        </w:rPr>
        <w:t>‘</w:t>
      </w:r>
      <w:r w:rsidR="00D44DE3" w:rsidRPr="00D44DE3">
        <w:rPr>
          <w:noProof/>
        </w:rPr>
        <w:t xml:space="preserve">Notwithstanding the second subparagraph, when additional goods are added to the list in Annex I to Regulation (EU) 2023/956 whose production benefits from free allocation, for these additional goods the CBAM factor shall be equal to </w:t>
      </w:r>
      <w:r w:rsidR="004954F9">
        <w:rPr>
          <w:noProof/>
        </w:rPr>
        <w:t>97</w:t>
      </w:r>
      <w:r w:rsidR="009A01BE">
        <w:rPr>
          <w:noProof/>
        </w:rPr>
        <w:t>,</w:t>
      </w:r>
      <w:r w:rsidR="004954F9">
        <w:rPr>
          <w:noProof/>
        </w:rPr>
        <w:t>9</w:t>
      </w:r>
      <w:r w:rsidR="00D44DE3" w:rsidRPr="00D44DE3">
        <w:rPr>
          <w:noProof/>
        </w:rPr>
        <w:t xml:space="preserve"> % in the first year and </w:t>
      </w:r>
      <w:r w:rsidR="004954F9">
        <w:rPr>
          <w:noProof/>
        </w:rPr>
        <w:t>95</w:t>
      </w:r>
      <w:r w:rsidR="009A01BE">
        <w:rPr>
          <w:noProof/>
        </w:rPr>
        <w:t>,</w:t>
      </w:r>
      <w:r w:rsidR="004954F9">
        <w:rPr>
          <w:noProof/>
        </w:rPr>
        <w:t>8</w:t>
      </w:r>
      <w:r w:rsidR="00D44DE3" w:rsidRPr="00D44DE3">
        <w:rPr>
          <w:noProof/>
        </w:rPr>
        <w:t xml:space="preserve"> % in the second year of the next five-year period referred to in Article 11 of this Directive following their inclusion in that Annex and shall decrease with the same CBAM factor set out in the second subparagraph in each subsequent year starting with the CBAM factor of the year 2028. The CBAM factor shall be equal to 100 % in the period between the start of their inclusion in the Annex and the first year of the next five-year period referred to in Article 11 of this Directive.</w:t>
      </w:r>
      <w:r w:rsidR="00D44DE3">
        <w:rPr>
          <w:noProof/>
        </w:rPr>
        <w:t>’;</w:t>
      </w:r>
    </w:p>
    <w:p w14:paraId="5535834B" w14:textId="412D6B95" w:rsidR="00FF67ED" w:rsidRPr="005E0E3B" w:rsidRDefault="00B86AA2" w:rsidP="005E0E3B">
      <w:pPr>
        <w:pStyle w:val="Point2"/>
        <w:rPr>
          <w:noProof/>
        </w:rPr>
      </w:pPr>
      <w:r>
        <w:rPr>
          <w:noProof/>
        </w:rPr>
        <w:t>(iii)</w:t>
      </w:r>
      <w:r>
        <w:rPr>
          <w:noProof/>
        </w:rPr>
        <w:tab/>
      </w:r>
      <w:r w:rsidRPr="005E0E3B">
        <w:rPr>
          <w:noProof/>
        </w:rPr>
        <w:t xml:space="preserve">the </w:t>
      </w:r>
      <w:r w:rsidR="00FF67ED" w:rsidRPr="005E0E3B">
        <w:rPr>
          <w:noProof/>
        </w:rPr>
        <w:t xml:space="preserve">fourth subparagraph is replaced by the following: </w:t>
      </w:r>
    </w:p>
    <w:p w14:paraId="00FAB0DD" w14:textId="77777777" w:rsidR="00FF67ED" w:rsidRPr="005E0E3B" w:rsidRDefault="00FF67ED" w:rsidP="005E0E3B">
      <w:pPr>
        <w:pStyle w:val="Text3"/>
        <w:rPr>
          <w:noProof/>
        </w:rPr>
      </w:pPr>
      <w:r w:rsidRPr="005E0E3B">
        <w:rPr>
          <w:noProof/>
        </w:rPr>
        <w:t>‘With the exception of the allowances reserved for Article</w:t>
      </w:r>
      <w:r w:rsidR="002F1077" w:rsidRPr="005E0E3B">
        <w:rPr>
          <w:noProof/>
        </w:rPr>
        <w:t xml:space="preserve">s </w:t>
      </w:r>
      <w:r w:rsidR="00565443" w:rsidRPr="005E0E3B">
        <w:rPr>
          <w:noProof/>
        </w:rPr>
        <w:t xml:space="preserve">10cb </w:t>
      </w:r>
      <w:r w:rsidR="002F1077" w:rsidRPr="005E0E3B">
        <w:rPr>
          <w:noProof/>
        </w:rPr>
        <w:t>and</w:t>
      </w:r>
      <w:r w:rsidRPr="005E0E3B">
        <w:rPr>
          <w:noProof/>
        </w:rPr>
        <w:t xml:space="preserve"> </w:t>
      </w:r>
      <w:r w:rsidR="00565443" w:rsidRPr="005E0E3B">
        <w:rPr>
          <w:noProof/>
        </w:rPr>
        <w:t>10ce</w:t>
      </w:r>
      <w:r w:rsidRPr="005E0E3B">
        <w:rPr>
          <w:noProof/>
        </w:rPr>
        <w:t xml:space="preserve"> pursuant to Article </w:t>
      </w:r>
      <w:r w:rsidR="00565443" w:rsidRPr="005E0E3B">
        <w:rPr>
          <w:noProof/>
        </w:rPr>
        <w:t>10cc</w:t>
      </w:r>
      <w:r w:rsidRPr="005E0E3B">
        <w:rPr>
          <w:noProof/>
        </w:rPr>
        <w:t xml:space="preserve">, and of allowances set aside for new entrants pursuant to </w:t>
      </w:r>
      <w:r w:rsidR="00A15AC9" w:rsidRPr="005E0E3B">
        <w:rPr>
          <w:noProof/>
        </w:rPr>
        <w:t xml:space="preserve">paragraph 7, </w:t>
      </w:r>
      <w:r w:rsidRPr="005E0E3B">
        <w:rPr>
          <w:noProof/>
        </w:rPr>
        <w:t xml:space="preserve">first subparagraph, </w:t>
      </w:r>
      <w:r w:rsidR="00A36E64" w:rsidRPr="005E0E3B">
        <w:rPr>
          <w:noProof/>
        </w:rPr>
        <w:t xml:space="preserve">of this Article, </w:t>
      </w:r>
      <w:r w:rsidRPr="005E0E3B">
        <w:rPr>
          <w:noProof/>
        </w:rPr>
        <w:t>allowances resulting from the reduction of free allocation shall be auctioned in accordance with Article 10(1).’</w:t>
      </w:r>
    </w:p>
    <w:p w14:paraId="2C5FAEE1" w14:textId="2EBA7457" w:rsidR="002D12B0" w:rsidRDefault="00FF67ED">
      <w:pPr>
        <w:pStyle w:val="Point1"/>
        <w:rPr>
          <w:noProof/>
          <w:lang w:val="en-IE"/>
        </w:rPr>
      </w:pPr>
      <w:r>
        <w:rPr>
          <w:noProof/>
        </w:rPr>
        <w:t>(c)</w:t>
      </w:r>
      <w:r>
        <w:rPr>
          <w:noProof/>
        </w:rPr>
        <w:tab/>
      </w:r>
      <w:r w:rsidRPr="00FF67ED">
        <w:rPr>
          <w:noProof/>
          <w:lang w:val="en-IE"/>
        </w:rPr>
        <w:t>in paragraph 2</w:t>
      </w:r>
      <w:r w:rsidR="002D12B0">
        <w:rPr>
          <w:noProof/>
          <w:lang w:val="en-IE"/>
        </w:rPr>
        <w:t xml:space="preserve"> is amended as follows:</w:t>
      </w:r>
    </w:p>
    <w:p w14:paraId="6DC4C81A" w14:textId="4CE1CC54" w:rsidR="002D12B0" w:rsidRPr="00B97C25" w:rsidRDefault="002D12B0" w:rsidP="005E0E3B">
      <w:pPr>
        <w:pStyle w:val="Point2"/>
        <w:rPr>
          <w:noProof/>
          <w:lang w:val="en-IE"/>
        </w:rPr>
      </w:pPr>
      <w:r>
        <w:rPr>
          <w:noProof/>
        </w:rPr>
        <w:t>(i)</w:t>
      </w:r>
      <w:r>
        <w:rPr>
          <w:noProof/>
        </w:rPr>
        <w:tab/>
      </w:r>
      <w:r w:rsidRPr="00B97C25">
        <w:rPr>
          <w:noProof/>
          <w:lang w:val="en-IE"/>
        </w:rPr>
        <w:t xml:space="preserve">the following subparagraph is inserted after the second subparagraph: </w:t>
      </w:r>
    </w:p>
    <w:p w14:paraId="313D7509" w14:textId="77777777" w:rsidR="002D12B0" w:rsidRDefault="002D12B0" w:rsidP="005E0E3B">
      <w:pPr>
        <w:pStyle w:val="Text3"/>
        <w:rPr>
          <w:noProof/>
          <w:lang w:val="en-IE"/>
        </w:rPr>
      </w:pPr>
      <w:r>
        <w:rPr>
          <w:noProof/>
        </w:rPr>
        <w:tab/>
        <w:t>‘</w:t>
      </w:r>
      <w:r w:rsidRPr="00D844E9">
        <w:rPr>
          <w:noProof/>
        </w:rPr>
        <w:t xml:space="preserve">The Commission shall supplement this Directive by providing, in the delegated acts adopted pursuant to </w:t>
      </w:r>
      <w:r>
        <w:rPr>
          <w:noProof/>
        </w:rPr>
        <w:t xml:space="preserve">paragraph 1, first subparagraph, sector-specific </w:t>
      </w:r>
      <w:r w:rsidRPr="00D844E9">
        <w:rPr>
          <w:noProof/>
        </w:rPr>
        <w:t>definitions of sector-specific heat and fuel benchmarks, together with the corresponding system boundaries, and the starting point values for determining the annual reduction rate for the update of the benchmark values in the implementing acts referred to in the third subparagraph.</w:t>
      </w:r>
      <w:r>
        <w:rPr>
          <w:noProof/>
        </w:rPr>
        <w:t>’;</w:t>
      </w:r>
    </w:p>
    <w:p w14:paraId="1DBFA593" w14:textId="2FF5D2D7" w:rsidR="00FF67ED" w:rsidRPr="00FF67ED" w:rsidRDefault="002D12B0" w:rsidP="005E0E3B">
      <w:pPr>
        <w:pStyle w:val="Point2"/>
        <w:rPr>
          <w:noProof/>
          <w:lang w:val="en-IE"/>
        </w:rPr>
      </w:pPr>
      <w:r>
        <w:rPr>
          <w:noProof/>
        </w:rPr>
        <w:t>(ii)</w:t>
      </w:r>
      <w:r>
        <w:rPr>
          <w:noProof/>
        </w:rPr>
        <w:tab/>
      </w:r>
      <w:r>
        <w:rPr>
          <w:noProof/>
          <w:lang w:val="en-IE"/>
        </w:rPr>
        <w:t xml:space="preserve">in the </w:t>
      </w:r>
      <w:r w:rsidR="005D4AD3">
        <w:rPr>
          <w:noProof/>
          <w:lang w:val="en-IE"/>
        </w:rPr>
        <w:t xml:space="preserve">third subparagraph, </w:t>
      </w:r>
      <w:r w:rsidR="00FF67ED" w:rsidRPr="00FF67ED">
        <w:rPr>
          <w:noProof/>
          <w:lang w:val="en-IE"/>
        </w:rPr>
        <w:t xml:space="preserve">the following points are </w:t>
      </w:r>
      <w:r w:rsidR="00895C44">
        <w:rPr>
          <w:noProof/>
          <w:lang w:val="en-IE"/>
        </w:rPr>
        <w:t>added</w:t>
      </w:r>
      <w:r w:rsidR="00895C44" w:rsidRPr="00FF67ED">
        <w:rPr>
          <w:noProof/>
          <w:lang w:val="en-IE"/>
        </w:rPr>
        <w:t xml:space="preserve"> </w:t>
      </w:r>
      <w:r w:rsidR="00FF67ED" w:rsidRPr="00FF67ED">
        <w:rPr>
          <w:noProof/>
          <w:lang w:val="en-IE"/>
        </w:rPr>
        <w:t>after point (e):</w:t>
      </w:r>
    </w:p>
    <w:p w14:paraId="5C3FC0EE" w14:textId="77777777" w:rsidR="00FF67ED" w:rsidRPr="00FF67ED" w:rsidRDefault="00FF67ED" w:rsidP="005E0E3B">
      <w:pPr>
        <w:pStyle w:val="Text3"/>
        <w:rPr>
          <w:noProof/>
          <w:lang w:val="en-IE"/>
        </w:rPr>
      </w:pPr>
      <w:r w:rsidRPr="00FF67ED">
        <w:rPr>
          <w:noProof/>
          <w:lang w:val="en-IE"/>
        </w:rPr>
        <w:t>‘(f)</w:t>
      </w:r>
      <w:r w:rsidRPr="00FF67ED">
        <w:rPr>
          <w:noProof/>
          <w:lang w:val="en-IE"/>
        </w:rPr>
        <w:tab/>
        <w:t>For the period from 2031 to 2035, the benchmark values shall be determined in the same manner as set out in points (a) and (g) of this subparagraph, on the basis of information submitted pursuant to Article 11 for the years 2026 and 2027, and on the basis of applying the annual reduction rate in respect of each year between 2008 and 2033. Information submitted by a third country for installations in its territory in accordance with an agreement concluded pursuant to Article 25 may also be taken into account.</w:t>
      </w:r>
    </w:p>
    <w:p w14:paraId="14D96413" w14:textId="350F05B9" w:rsidR="00FF67ED" w:rsidRPr="00FF67ED" w:rsidRDefault="00FF67ED" w:rsidP="005E0E3B">
      <w:pPr>
        <w:pStyle w:val="Text3"/>
        <w:rPr>
          <w:noProof/>
          <w:lang w:val="en-IE"/>
        </w:rPr>
      </w:pPr>
      <w:r w:rsidRPr="00FF67ED">
        <w:rPr>
          <w:noProof/>
          <w:lang w:val="en-IE"/>
        </w:rPr>
        <w:t>(g)</w:t>
      </w:r>
      <w:r w:rsidRPr="00FF67ED">
        <w:rPr>
          <w:noProof/>
          <w:lang w:val="en-IE"/>
        </w:rPr>
        <w:tab/>
        <w:t xml:space="preserve">Where the annual reduction rate exceeds </w:t>
      </w:r>
      <w:r w:rsidR="009A01BE">
        <w:rPr>
          <w:noProof/>
          <w:lang w:val="en-IE"/>
        </w:rPr>
        <w:t xml:space="preserve">2 </w:t>
      </w:r>
      <w:r w:rsidRPr="00FF67ED">
        <w:rPr>
          <w:noProof/>
          <w:lang w:val="en-IE"/>
        </w:rPr>
        <w:t xml:space="preserve">% or is below </w:t>
      </w:r>
      <w:r w:rsidR="009A01BE">
        <w:rPr>
          <w:noProof/>
          <w:lang w:val="en-IE"/>
        </w:rPr>
        <w:t xml:space="preserve">0,3 </w:t>
      </w:r>
      <w:r w:rsidR="00F626C9" w:rsidRPr="00FF67ED">
        <w:rPr>
          <w:noProof/>
          <w:lang w:val="en-IE"/>
        </w:rPr>
        <w:t>%</w:t>
      </w:r>
      <w:r w:rsidRPr="00FF67ED">
        <w:rPr>
          <w:noProof/>
          <w:lang w:val="en-IE"/>
        </w:rPr>
        <w:t>, the benchmark values for the period from 2031 to 2035 shall be the benchmark values applicable in the period from 2013 to 2020 reduced by whichever of those two percentage rates is relevant, in respect of each year between 2008 and 2033.</w:t>
      </w:r>
    </w:p>
    <w:p w14:paraId="72E0D8CF" w14:textId="77777777" w:rsidR="00FF67ED" w:rsidRPr="00FF67ED" w:rsidRDefault="00FF67ED" w:rsidP="005E0E3B">
      <w:pPr>
        <w:pStyle w:val="Text3"/>
        <w:rPr>
          <w:noProof/>
          <w:lang w:val="en-IE"/>
        </w:rPr>
      </w:pPr>
      <w:r w:rsidRPr="00FF67ED">
        <w:rPr>
          <w:noProof/>
          <w:lang w:val="en-IE"/>
        </w:rPr>
        <w:t>(h)</w:t>
      </w:r>
      <w:r w:rsidRPr="00FF67ED">
        <w:rPr>
          <w:noProof/>
          <w:lang w:val="en-IE"/>
        </w:rPr>
        <w:tab/>
        <w:t>For the period from 2036 to 2040, the benchmark values shall be determined in the same manner as set out in points (a) and (g) of this subparagraph, on the basis of information submitted pursuant to Article 11 for the years 2031 and 2032 and on the basis of applying the annual reduction rate in respect of each year between 2008 and 2038. Information submitted by a third country for installations in its territory in accordance with an agreement concluded pursuant to Article 25 may also be taken into account.</w:t>
      </w:r>
    </w:p>
    <w:p w14:paraId="36EA67F9" w14:textId="79BDCAA8" w:rsidR="00FF67ED" w:rsidRPr="00FF67ED" w:rsidRDefault="00FF67ED" w:rsidP="005E0E3B">
      <w:pPr>
        <w:pStyle w:val="Text3"/>
        <w:rPr>
          <w:noProof/>
          <w:lang w:val="en-IE"/>
        </w:rPr>
      </w:pPr>
      <w:r w:rsidRPr="00FF67ED">
        <w:rPr>
          <w:noProof/>
          <w:lang w:val="en-IE"/>
        </w:rPr>
        <w:t>(i)</w:t>
      </w:r>
      <w:r w:rsidRPr="00FF67ED">
        <w:rPr>
          <w:noProof/>
          <w:lang w:val="en-IE"/>
        </w:rPr>
        <w:tab/>
        <w:t xml:space="preserve">Where the annual reduction rate exceeds </w:t>
      </w:r>
      <w:r w:rsidR="009A01BE">
        <w:rPr>
          <w:noProof/>
          <w:lang w:val="en-IE"/>
        </w:rPr>
        <w:t>2</w:t>
      </w:r>
      <w:r w:rsidR="00F626C9" w:rsidRPr="00FF67ED">
        <w:rPr>
          <w:noProof/>
          <w:lang w:val="en-IE"/>
        </w:rPr>
        <w:t>%</w:t>
      </w:r>
      <w:r w:rsidRPr="00FF67ED">
        <w:rPr>
          <w:noProof/>
          <w:lang w:val="en-IE"/>
        </w:rPr>
        <w:t xml:space="preserve"> or is below </w:t>
      </w:r>
      <w:r w:rsidR="009A01BE">
        <w:rPr>
          <w:noProof/>
          <w:lang w:val="en-IE"/>
        </w:rPr>
        <w:t>0,3</w:t>
      </w:r>
      <w:r w:rsidR="00F626C9" w:rsidRPr="00FF67ED">
        <w:rPr>
          <w:noProof/>
          <w:lang w:val="en-IE"/>
        </w:rPr>
        <w:t>%</w:t>
      </w:r>
      <w:r w:rsidRPr="00FF67ED">
        <w:rPr>
          <w:noProof/>
          <w:lang w:val="en-IE"/>
        </w:rPr>
        <w:t>, the benchmark values for the period from 2036 to 2040 shall be the benchmark values applicable in the period from 2013 to 2020 reduced by whichever of those two percentage rates is relevant, in respect of each year between 2008 and 2038.’;</w:t>
      </w:r>
    </w:p>
    <w:p w14:paraId="59A38F27" w14:textId="01148A11" w:rsidR="00FF67ED" w:rsidRPr="00FF67ED" w:rsidRDefault="00FF67ED">
      <w:pPr>
        <w:pStyle w:val="Point1"/>
        <w:rPr>
          <w:noProof/>
          <w:lang w:val="en-IE"/>
        </w:rPr>
      </w:pPr>
      <w:r>
        <w:rPr>
          <w:noProof/>
        </w:rPr>
        <w:t>(d)</w:t>
      </w:r>
      <w:r>
        <w:rPr>
          <w:noProof/>
        </w:rPr>
        <w:tab/>
      </w:r>
      <w:r w:rsidRPr="00FF67ED">
        <w:rPr>
          <w:noProof/>
          <w:lang w:val="en-IE"/>
        </w:rPr>
        <w:t xml:space="preserve">the following paragraphs are </w:t>
      </w:r>
      <w:r w:rsidR="00601C07">
        <w:rPr>
          <w:noProof/>
          <w:lang w:val="en-IE"/>
        </w:rPr>
        <w:t>inserted</w:t>
      </w:r>
      <w:r w:rsidR="00601C07" w:rsidRPr="00FF67ED">
        <w:rPr>
          <w:noProof/>
          <w:lang w:val="en-IE"/>
        </w:rPr>
        <w:t xml:space="preserve"> </w:t>
      </w:r>
      <w:r w:rsidRPr="00FF67ED">
        <w:rPr>
          <w:noProof/>
          <w:lang w:val="en-IE"/>
        </w:rPr>
        <w:t>after paragraph 2:</w:t>
      </w:r>
    </w:p>
    <w:p w14:paraId="72B7A0E2" w14:textId="77777777" w:rsidR="00FF67ED" w:rsidRPr="00FF67ED" w:rsidRDefault="00FF67ED" w:rsidP="00FF67ED">
      <w:pPr>
        <w:pStyle w:val="Text2"/>
        <w:rPr>
          <w:noProof/>
          <w:lang w:val="en-IE"/>
        </w:rPr>
      </w:pPr>
      <w:r w:rsidRPr="00FF67ED">
        <w:rPr>
          <w:noProof/>
          <w:lang w:val="en-IE"/>
        </w:rPr>
        <w:t>‘3</w:t>
      </w:r>
      <w:r w:rsidR="00C817D4">
        <w:rPr>
          <w:noProof/>
          <w:lang w:val="en-IE"/>
        </w:rPr>
        <w:t>a</w:t>
      </w:r>
      <w:r w:rsidRPr="00FF67ED">
        <w:rPr>
          <w:noProof/>
          <w:lang w:val="en-IE"/>
        </w:rPr>
        <w:t xml:space="preserve">. Starting in 2031, the third to sixth subparagraphs of paragraph 1 </w:t>
      </w:r>
      <w:r w:rsidR="00E31C8D">
        <w:rPr>
          <w:noProof/>
          <w:lang w:val="en-IE"/>
        </w:rPr>
        <w:t xml:space="preserve">of this Article </w:t>
      </w:r>
      <w:r w:rsidRPr="00FF67ED">
        <w:rPr>
          <w:noProof/>
          <w:lang w:val="en-IE"/>
        </w:rPr>
        <w:t xml:space="preserve">and the second to fifth subparagraphs of Article 10b(4) shall not apply. </w:t>
      </w:r>
    </w:p>
    <w:p w14:paraId="09A3F684" w14:textId="77777777" w:rsidR="00FF67ED" w:rsidRDefault="00C817D4" w:rsidP="00FF67ED">
      <w:pPr>
        <w:pStyle w:val="Text2"/>
        <w:rPr>
          <w:noProof/>
          <w:lang w:val="en-IE"/>
        </w:rPr>
      </w:pPr>
      <w:r>
        <w:rPr>
          <w:noProof/>
          <w:lang w:val="en-IE"/>
        </w:rPr>
        <w:t>3b</w:t>
      </w:r>
      <w:r w:rsidR="00FF67ED" w:rsidRPr="00FF67ED">
        <w:rPr>
          <w:noProof/>
          <w:lang w:val="en-IE"/>
        </w:rPr>
        <w:t xml:space="preserve">. </w:t>
      </w:r>
      <w:r w:rsidR="003323D5">
        <w:rPr>
          <w:noProof/>
          <w:lang w:val="en-IE"/>
        </w:rPr>
        <w:t>O</w:t>
      </w:r>
      <w:r w:rsidR="00FF67ED" w:rsidRPr="00FF67ED">
        <w:rPr>
          <w:noProof/>
          <w:lang w:val="en-IE"/>
        </w:rPr>
        <w:t xml:space="preserve">perators of installations carrying out activities listed in Annex I shall establish, make publicly available and submit </w:t>
      </w:r>
      <w:r w:rsidR="00D2656F" w:rsidRPr="00D2656F">
        <w:rPr>
          <w:noProof/>
          <w:lang w:val="en-IE"/>
        </w:rPr>
        <w:t xml:space="preserve">a plan to invest in decarbonisation in the EU (‘Invest in EU decarbonisation plan’) </w:t>
      </w:r>
      <w:r w:rsidR="00FF67ED" w:rsidRPr="00FF67ED">
        <w:rPr>
          <w:noProof/>
          <w:lang w:val="en-IE"/>
        </w:rPr>
        <w:t xml:space="preserve">for the installations for which they apply for free allocation. </w:t>
      </w:r>
    </w:p>
    <w:p w14:paraId="7234D588" w14:textId="77777777" w:rsidR="00FC298B" w:rsidRDefault="00BB1589" w:rsidP="00FF67ED">
      <w:pPr>
        <w:pStyle w:val="Text2"/>
        <w:rPr>
          <w:noProof/>
          <w:lang w:val="en-IE"/>
        </w:rPr>
      </w:pPr>
      <w:r>
        <w:rPr>
          <w:noProof/>
          <w:lang w:val="en-IE"/>
        </w:rPr>
        <w:t xml:space="preserve">Operators of </w:t>
      </w:r>
      <w:r w:rsidR="009D45AA">
        <w:rPr>
          <w:noProof/>
          <w:lang w:val="en-IE"/>
        </w:rPr>
        <w:t>incumbent installations shall submit the Invest in EU decarbonisation plan</w:t>
      </w:r>
      <w:r w:rsidR="00C92D22">
        <w:rPr>
          <w:noProof/>
          <w:lang w:val="en-IE"/>
        </w:rPr>
        <w:t xml:space="preserve"> </w:t>
      </w:r>
      <w:r w:rsidR="009D45AA">
        <w:rPr>
          <w:noProof/>
          <w:lang w:val="en-IE"/>
        </w:rPr>
        <w:t xml:space="preserve">to the competent authority </w:t>
      </w:r>
      <w:r w:rsidR="00C92D22">
        <w:rPr>
          <w:noProof/>
          <w:lang w:val="en-IE"/>
        </w:rPr>
        <w:t>t</w:t>
      </w:r>
      <w:r w:rsidR="00C92D22" w:rsidRPr="00C92D22">
        <w:rPr>
          <w:noProof/>
          <w:lang w:val="en-IE"/>
        </w:rPr>
        <w:t xml:space="preserve">ogether with information submitted </w:t>
      </w:r>
      <w:r w:rsidR="006B0065">
        <w:rPr>
          <w:noProof/>
          <w:lang w:val="en-IE"/>
        </w:rPr>
        <w:t>by 30 September 2029 and every five years thereafter</w:t>
      </w:r>
      <w:r w:rsidR="006B0065" w:rsidRPr="00C92D22">
        <w:rPr>
          <w:noProof/>
          <w:lang w:val="en-IE"/>
        </w:rPr>
        <w:t xml:space="preserve"> </w:t>
      </w:r>
      <w:r w:rsidR="00C92D22" w:rsidRPr="00C92D22">
        <w:rPr>
          <w:noProof/>
          <w:lang w:val="en-IE"/>
        </w:rPr>
        <w:t xml:space="preserve">pursuant to </w:t>
      </w:r>
      <w:r w:rsidR="006B0065">
        <w:rPr>
          <w:noProof/>
          <w:lang w:val="en-IE"/>
        </w:rPr>
        <w:t xml:space="preserve"> </w:t>
      </w:r>
      <w:r w:rsidR="00C92D22" w:rsidRPr="00C92D22">
        <w:rPr>
          <w:noProof/>
          <w:lang w:val="en-IE"/>
        </w:rPr>
        <w:t>Article 11(</w:t>
      </w:r>
      <w:r w:rsidR="006B0065">
        <w:rPr>
          <w:noProof/>
          <w:lang w:val="en-IE"/>
        </w:rPr>
        <w:t>1</w:t>
      </w:r>
      <w:r w:rsidR="00C92D22" w:rsidRPr="00C92D22">
        <w:rPr>
          <w:noProof/>
          <w:lang w:val="en-IE"/>
        </w:rPr>
        <w:t>)</w:t>
      </w:r>
      <w:r w:rsidR="00C022DF">
        <w:rPr>
          <w:noProof/>
          <w:lang w:val="en-IE"/>
        </w:rPr>
        <w:t>, second subparagraph</w:t>
      </w:r>
      <w:r w:rsidR="009D45AA">
        <w:rPr>
          <w:noProof/>
          <w:lang w:val="en-IE"/>
        </w:rPr>
        <w:t xml:space="preserve">. Operators of </w:t>
      </w:r>
      <w:r w:rsidR="006261CA">
        <w:rPr>
          <w:noProof/>
          <w:lang w:val="en-IE"/>
        </w:rPr>
        <w:t>new entrants</w:t>
      </w:r>
      <w:r w:rsidR="009D45AA">
        <w:rPr>
          <w:noProof/>
          <w:lang w:val="en-IE"/>
        </w:rPr>
        <w:t xml:space="preserve"> shall submit the Invest in EU</w:t>
      </w:r>
      <w:r w:rsidR="006261CA">
        <w:rPr>
          <w:noProof/>
          <w:lang w:val="en-IE"/>
        </w:rPr>
        <w:t xml:space="preserve"> </w:t>
      </w:r>
      <w:r w:rsidR="009D45AA">
        <w:rPr>
          <w:noProof/>
          <w:lang w:val="en-IE"/>
        </w:rPr>
        <w:t xml:space="preserve">decarbonisation plan to the competent authority </w:t>
      </w:r>
      <w:r w:rsidR="00C92D22">
        <w:rPr>
          <w:noProof/>
          <w:lang w:val="en-IE"/>
        </w:rPr>
        <w:t>together with</w:t>
      </w:r>
      <w:r w:rsidR="00C92D22" w:rsidRPr="00C92D22">
        <w:rPr>
          <w:noProof/>
          <w:lang w:val="en-IE"/>
        </w:rPr>
        <w:t xml:space="preserve"> the</w:t>
      </w:r>
      <w:r w:rsidR="009D45AA">
        <w:rPr>
          <w:noProof/>
          <w:lang w:val="en-IE"/>
        </w:rPr>
        <w:t>ir</w:t>
      </w:r>
      <w:r w:rsidR="00C92D22" w:rsidRPr="00C92D22">
        <w:rPr>
          <w:noProof/>
          <w:lang w:val="en-IE"/>
        </w:rPr>
        <w:t xml:space="preserve"> application for free allocation in accordance with the procedures established in delegated acts adopted pursuant to the first subparagraph of paragraph 1</w:t>
      </w:r>
      <w:r w:rsidR="00661C15">
        <w:rPr>
          <w:noProof/>
          <w:lang w:val="en-IE"/>
        </w:rPr>
        <w:t xml:space="preserve"> of this Article</w:t>
      </w:r>
      <w:r w:rsidR="0037739C">
        <w:rPr>
          <w:noProof/>
          <w:lang w:val="en-IE"/>
        </w:rPr>
        <w:t xml:space="preserve">. </w:t>
      </w:r>
    </w:p>
    <w:p w14:paraId="6FF0A95B" w14:textId="77777777" w:rsidR="00C92D22" w:rsidRPr="00FF67ED" w:rsidRDefault="0037739C" w:rsidP="00FF67ED">
      <w:pPr>
        <w:pStyle w:val="Text2"/>
        <w:rPr>
          <w:noProof/>
          <w:lang w:val="en-IE"/>
        </w:rPr>
      </w:pPr>
      <w:r>
        <w:rPr>
          <w:noProof/>
          <w:lang w:val="en-IE"/>
        </w:rPr>
        <w:t>By way of derogation</w:t>
      </w:r>
      <w:r w:rsidR="00FC298B">
        <w:rPr>
          <w:noProof/>
          <w:lang w:val="en-IE"/>
        </w:rPr>
        <w:t xml:space="preserve"> from the second subparagraph</w:t>
      </w:r>
      <w:r w:rsidR="00CA23A1">
        <w:rPr>
          <w:noProof/>
          <w:lang w:val="en-IE"/>
        </w:rPr>
        <w:t xml:space="preserve"> of this paragraph</w:t>
      </w:r>
      <w:r>
        <w:rPr>
          <w:noProof/>
          <w:lang w:val="en-IE"/>
        </w:rPr>
        <w:t xml:space="preserve">, </w:t>
      </w:r>
      <w:r w:rsidR="00822B57">
        <w:rPr>
          <w:noProof/>
          <w:lang w:val="en-IE"/>
        </w:rPr>
        <w:t xml:space="preserve">the Invest in EU decarbonisation plan may be submitted </w:t>
      </w:r>
      <w:r w:rsidR="0095169A">
        <w:rPr>
          <w:noProof/>
          <w:lang w:val="en-IE"/>
        </w:rPr>
        <w:t>at a later date, together with</w:t>
      </w:r>
      <w:r w:rsidR="00C92D22" w:rsidRPr="00C92D22">
        <w:rPr>
          <w:noProof/>
          <w:lang w:val="en-IE"/>
        </w:rPr>
        <w:t xml:space="preserve"> activity-level change reports submitted in accordance with the implementing acts adopted pursuant to paragraph 21</w:t>
      </w:r>
      <w:r w:rsidR="0095169A">
        <w:rPr>
          <w:noProof/>
          <w:lang w:val="en-IE"/>
        </w:rPr>
        <w:t xml:space="preserve">. </w:t>
      </w:r>
    </w:p>
    <w:p w14:paraId="7E9DF813" w14:textId="77777777" w:rsidR="00FF67ED" w:rsidRPr="00FF67ED" w:rsidRDefault="00FF67ED" w:rsidP="00FF67ED">
      <w:pPr>
        <w:pStyle w:val="Text2"/>
        <w:rPr>
          <w:noProof/>
          <w:lang w:val="en-IE"/>
        </w:rPr>
      </w:pPr>
      <w:r w:rsidRPr="00FF67ED">
        <w:rPr>
          <w:noProof/>
          <w:lang w:val="en-IE"/>
        </w:rPr>
        <w:t xml:space="preserve">The plan referred to in the first subparagraph </w:t>
      </w:r>
      <w:r w:rsidR="00ED02C2">
        <w:rPr>
          <w:noProof/>
          <w:lang w:val="en-IE"/>
        </w:rPr>
        <w:t xml:space="preserve">of this Article </w:t>
      </w:r>
      <w:r w:rsidRPr="00FF67ED">
        <w:rPr>
          <w:noProof/>
          <w:lang w:val="en-IE"/>
        </w:rPr>
        <w:t>shall be consistent with the climate-neutrality objective set out in Article 2(1) of Regulation (EU) 2021/1119 and shall include all the following elements:</w:t>
      </w:r>
    </w:p>
    <w:p w14:paraId="0D42E006" w14:textId="77777777" w:rsidR="00FF67ED" w:rsidRPr="003D7B82" w:rsidRDefault="00FF67ED">
      <w:pPr>
        <w:pStyle w:val="Point2"/>
        <w:rPr>
          <w:noProof/>
        </w:rPr>
      </w:pPr>
      <w:r>
        <w:rPr>
          <w:noProof/>
        </w:rPr>
        <w:t>(a)</w:t>
      </w:r>
      <w:r>
        <w:rPr>
          <w:noProof/>
        </w:rPr>
        <w:tab/>
      </w:r>
      <w:r w:rsidRPr="003D7B82">
        <w:rPr>
          <w:noProof/>
        </w:rPr>
        <w:t xml:space="preserve">measures and investments </w:t>
      </w:r>
      <w:r w:rsidR="00431810">
        <w:rPr>
          <w:noProof/>
        </w:rPr>
        <w:t>in line with</w:t>
      </w:r>
      <w:r w:rsidRPr="003D7B82">
        <w:rPr>
          <w:noProof/>
        </w:rPr>
        <w:t xml:space="preserve"> climate neutrality by 2050 at the level of the installation, </w:t>
      </w:r>
      <w:r w:rsidR="5CA203B6">
        <w:rPr>
          <w:noProof/>
        </w:rPr>
        <w:t xml:space="preserve">considering the role of circularity measures, </w:t>
      </w:r>
      <w:r w:rsidRPr="003D7B82">
        <w:rPr>
          <w:noProof/>
        </w:rPr>
        <w:t>excluding the use of carbon offset credits (‘decarbonisation measures and investments’);</w:t>
      </w:r>
    </w:p>
    <w:p w14:paraId="5999080A" w14:textId="77777777" w:rsidR="00FF67ED" w:rsidRPr="003D7B82" w:rsidRDefault="00FF67ED">
      <w:pPr>
        <w:pStyle w:val="Point2"/>
        <w:rPr>
          <w:noProof/>
        </w:rPr>
      </w:pPr>
      <w:r>
        <w:rPr>
          <w:noProof/>
        </w:rPr>
        <w:t>(b)</w:t>
      </w:r>
      <w:r>
        <w:rPr>
          <w:noProof/>
        </w:rPr>
        <w:tab/>
      </w:r>
      <w:r w:rsidRPr="003D7B82">
        <w:rPr>
          <w:noProof/>
        </w:rPr>
        <w:t>intermediate targets to measure, by 31 December 2035 and by 31 December of each fifth year thereafter, progress made towards reaching climate neutrality through the measures and investments as set out in point (a)</w:t>
      </w:r>
      <w:r w:rsidR="00CA5CB3">
        <w:rPr>
          <w:noProof/>
        </w:rPr>
        <w:t>.</w:t>
      </w:r>
    </w:p>
    <w:p w14:paraId="5ED65ADF" w14:textId="2D878445" w:rsidR="00FF67ED" w:rsidRPr="00FF67ED" w:rsidRDefault="00FF67ED" w:rsidP="00FF67ED">
      <w:pPr>
        <w:pStyle w:val="Text2"/>
        <w:rPr>
          <w:noProof/>
          <w:lang w:val="en-IE"/>
        </w:rPr>
      </w:pPr>
      <w:r w:rsidRPr="00FF67ED">
        <w:rPr>
          <w:noProof/>
          <w:lang w:val="en-IE"/>
        </w:rPr>
        <w:t xml:space="preserve">For each five-year period for free allocation referred to Article 11, the decarbonisation investments referred to in point (a) shall correspond to a volume at least equivalent to the economic value of </w:t>
      </w:r>
      <w:r w:rsidR="70436494" w:rsidRPr="3D7CBD71">
        <w:rPr>
          <w:noProof/>
          <w:lang w:val="en-IE"/>
        </w:rPr>
        <w:t>10</w:t>
      </w:r>
      <w:r w:rsidR="7154FFE3" w:rsidRPr="3D7CBD71">
        <w:rPr>
          <w:noProof/>
          <w:lang w:val="en-IE"/>
        </w:rPr>
        <w:t>0</w:t>
      </w:r>
      <w:r w:rsidR="00540C83">
        <w:rPr>
          <w:noProof/>
          <w:lang w:val="en-IE"/>
        </w:rPr>
        <w:t>%</w:t>
      </w:r>
      <w:r w:rsidRPr="00FF67ED">
        <w:rPr>
          <w:noProof/>
          <w:lang w:val="en-IE"/>
        </w:rPr>
        <w:t xml:space="preserve"> of the amount of free allocation under the relevant five-year period. These decarbonisation investments shall qualify as eligible costs</w:t>
      </w:r>
      <w:r w:rsidR="00D2656F">
        <w:rPr>
          <w:noProof/>
          <w:lang w:val="en-IE"/>
        </w:rPr>
        <w:t xml:space="preserve">, </w:t>
      </w:r>
      <w:r w:rsidR="00D2656F" w:rsidRPr="00D2656F">
        <w:rPr>
          <w:noProof/>
          <w:lang w:val="en-IE"/>
        </w:rPr>
        <w:t>be implemented in the EU</w:t>
      </w:r>
      <w:r w:rsidRPr="00FF67ED">
        <w:rPr>
          <w:noProof/>
          <w:lang w:val="en-IE"/>
        </w:rPr>
        <w:t xml:space="preserve"> and lead to significant </w:t>
      </w:r>
      <w:r w:rsidR="50C26D09" w:rsidRPr="75DA339E">
        <w:rPr>
          <w:noProof/>
          <w:lang w:val="en-IE"/>
        </w:rPr>
        <w:t>emissions</w:t>
      </w:r>
      <w:r w:rsidRPr="00FF67ED">
        <w:rPr>
          <w:noProof/>
          <w:lang w:val="en-IE"/>
        </w:rPr>
        <w:t xml:space="preserve"> reduction at the level of the installation within the relevant five-year period for which that installation is applying for free allocation, in accordance with the list and criteria established pursuant to paragraph </w:t>
      </w:r>
      <w:r w:rsidR="003957EB">
        <w:rPr>
          <w:noProof/>
          <w:lang w:val="en-IE"/>
        </w:rPr>
        <w:t>3e</w:t>
      </w:r>
      <w:r w:rsidR="00427958">
        <w:rPr>
          <w:noProof/>
          <w:lang w:val="en-IE"/>
        </w:rPr>
        <w:t xml:space="preserve"> of this Article</w:t>
      </w:r>
      <w:r w:rsidRPr="00FF67ED">
        <w:rPr>
          <w:noProof/>
          <w:lang w:val="en-IE"/>
        </w:rPr>
        <w:t xml:space="preserve">. </w:t>
      </w:r>
    </w:p>
    <w:p w14:paraId="3858DE71" w14:textId="77777777" w:rsidR="0024396C" w:rsidRDefault="00C817D4" w:rsidP="00FF67ED">
      <w:pPr>
        <w:pStyle w:val="Text2"/>
        <w:rPr>
          <w:noProof/>
          <w:lang w:val="en-IE"/>
        </w:rPr>
      </w:pPr>
      <w:bookmarkStart w:id="9" w:name="_Hlk232716064"/>
      <w:r>
        <w:rPr>
          <w:noProof/>
          <w:lang w:val="en-IE"/>
        </w:rPr>
        <w:t>3c</w:t>
      </w:r>
      <w:r w:rsidR="00FF67ED" w:rsidRPr="00FF67ED">
        <w:rPr>
          <w:noProof/>
          <w:lang w:val="en-IE"/>
        </w:rPr>
        <w:t xml:space="preserve">. </w:t>
      </w:r>
      <w:r w:rsidR="003C115F">
        <w:rPr>
          <w:noProof/>
          <w:lang w:val="en-IE"/>
        </w:rPr>
        <w:t xml:space="preserve">Upon submission of an Invest in EU decarbonisation plan that has been verified </w:t>
      </w:r>
      <w:r w:rsidR="004D30F7">
        <w:rPr>
          <w:noProof/>
          <w:lang w:val="en-IE"/>
        </w:rPr>
        <w:t>in acco</w:t>
      </w:r>
      <w:r w:rsidR="000E06CF">
        <w:rPr>
          <w:noProof/>
          <w:lang w:val="en-IE"/>
        </w:rPr>
        <w:t>r</w:t>
      </w:r>
      <w:r w:rsidR="004D30F7">
        <w:rPr>
          <w:noProof/>
          <w:lang w:val="en-IE"/>
        </w:rPr>
        <w:t>dance with Article 15 and approved by the competent authority</w:t>
      </w:r>
      <w:r w:rsidR="00FF67ED" w:rsidRPr="00FF67ED">
        <w:rPr>
          <w:noProof/>
          <w:lang w:val="en-IE"/>
        </w:rPr>
        <w:t xml:space="preserve">, </w:t>
      </w:r>
      <w:r w:rsidR="006C4751">
        <w:rPr>
          <w:noProof/>
          <w:lang w:val="en-IE"/>
        </w:rPr>
        <w:t>80 %</w:t>
      </w:r>
      <w:r w:rsidR="00540C83">
        <w:rPr>
          <w:noProof/>
          <w:lang w:val="en-IE"/>
        </w:rPr>
        <w:t xml:space="preserve"> </w:t>
      </w:r>
      <w:r w:rsidR="00FF67ED" w:rsidRPr="00FF67ED">
        <w:rPr>
          <w:noProof/>
          <w:lang w:val="en-IE"/>
        </w:rPr>
        <w:t>of the amount of free allocation to be received under the relevant five-year period shall be allocated annually to the installation.</w:t>
      </w:r>
    </w:p>
    <w:p w14:paraId="606904C9" w14:textId="77ADFE98" w:rsidR="00FF67ED" w:rsidRPr="00FF67ED" w:rsidRDefault="00763A10" w:rsidP="0024396C">
      <w:pPr>
        <w:pStyle w:val="Text2"/>
        <w:rPr>
          <w:noProof/>
          <w:lang w:val="en-IE"/>
        </w:rPr>
      </w:pPr>
      <w:r>
        <w:rPr>
          <w:noProof/>
          <w:lang w:val="en-IE"/>
        </w:rPr>
        <w:t>Where an installation has received allowances in accordance with the first subparagraph during each five-year period starting in 2031</w:t>
      </w:r>
      <w:r w:rsidR="00C849A8">
        <w:rPr>
          <w:noProof/>
          <w:lang w:val="en-IE"/>
        </w:rPr>
        <w:t xml:space="preserve">, but </w:t>
      </w:r>
      <w:r>
        <w:rPr>
          <w:noProof/>
          <w:lang w:val="en-IE"/>
        </w:rPr>
        <w:t xml:space="preserve">has then relocated or otherwise, directly or indirectly, transferred, in whole or in part, its relevant production capacity or </w:t>
      </w:r>
      <w:r w:rsidR="0024396C" w:rsidRPr="00B97C25">
        <w:rPr>
          <w:noProof/>
          <w:lang w:val="en-IE"/>
        </w:rPr>
        <w:t xml:space="preserve">the </w:t>
      </w:r>
      <w:r>
        <w:rPr>
          <w:noProof/>
          <w:lang w:val="en-IE"/>
        </w:rPr>
        <w:t>associated economic activity outside</w:t>
      </w:r>
      <w:r w:rsidR="0024396C" w:rsidRPr="00B97C25">
        <w:rPr>
          <w:noProof/>
          <w:lang w:val="en-IE"/>
        </w:rPr>
        <w:t xml:space="preserve"> the </w:t>
      </w:r>
      <w:r>
        <w:rPr>
          <w:noProof/>
          <w:lang w:val="en-IE"/>
        </w:rPr>
        <w:t>Union,  the Member State</w:t>
      </w:r>
      <w:r w:rsidR="0024396C" w:rsidRPr="00B97C25">
        <w:rPr>
          <w:noProof/>
          <w:lang w:val="en-IE"/>
        </w:rPr>
        <w:t xml:space="preserve"> shall require the </w:t>
      </w:r>
      <w:r>
        <w:rPr>
          <w:noProof/>
          <w:lang w:val="en-IE"/>
        </w:rPr>
        <w:t>operator</w:t>
      </w:r>
      <w:r w:rsidR="0024396C" w:rsidRPr="00B97C25">
        <w:rPr>
          <w:noProof/>
          <w:lang w:val="en-IE"/>
        </w:rPr>
        <w:t xml:space="preserve"> to reimburse the received allowances</w:t>
      </w:r>
      <w:r>
        <w:rPr>
          <w:noProof/>
          <w:lang w:val="en-IE"/>
        </w:rPr>
        <w:t xml:space="preserve"> for the relevant allocation period</w:t>
      </w:r>
      <w:r w:rsidR="0024396C" w:rsidRPr="00B97C25">
        <w:rPr>
          <w:noProof/>
          <w:lang w:val="en-IE"/>
        </w:rPr>
        <w:t>.</w:t>
      </w:r>
      <w:r w:rsidR="00421651">
        <w:rPr>
          <w:noProof/>
          <w:lang w:val="en-IE"/>
        </w:rPr>
        <w:t xml:space="preserve"> In the absence of reimbursement, the Member State shall deduct free allowances in the following years.</w:t>
      </w:r>
      <w:r w:rsidR="00FF67ED" w:rsidRPr="00FF67ED">
        <w:rPr>
          <w:noProof/>
          <w:lang w:val="en-IE"/>
        </w:rPr>
        <w:t xml:space="preserve"> </w:t>
      </w:r>
    </w:p>
    <w:p w14:paraId="690D0FF7" w14:textId="77777777" w:rsidR="008A50D4" w:rsidRDefault="0024396C" w:rsidP="0024396C">
      <w:pPr>
        <w:pStyle w:val="Text2"/>
        <w:rPr>
          <w:noProof/>
          <w:lang w:val="en-IE"/>
        </w:rPr>
      </w:pPr>
      <w:r w:rsidRPr="00FF67ED">
        <w:rPr>
          <w:noProof/>
          <w:lang w:val="en-IE"/>
        </w:rPr>
        <w:t xml:space="preserve">The remaining </w:t>
      </w:r>
      <w:r w:rsidR="006C4751">
        <w:rPr>
          <w:noProof/>
          <w:lang w:val="en-IE"/>
        </w:rPr>
        <w:t xml:space="preserve">20 % </w:t>
      </w:r>
      <w:r w:rsidRPr="00FF67ED">
        <w:rPr>
          <w:noProof/>
          <w:lang w:val="en-IE"/>
        </w:rPr>
        <w:t xml:space="preserve"> of the amount of free allocation for that five-years period shall only be allocated to the installation after the </w:t>
      </w:r>
      <w:r w:rsidR="00A606A9">
        <w:rPr>
          <w:noProof/>
          <w:lang w:val="en-IE"/>
        </w:rPr>
        <w:t>confirmation</w:t>
      </w:r>
      <w:r w:rsidRPr="00FF67ED">
        <w:rPr>
          <w:noProof/>
          <w:lang w:val="en-IE"/>
        </w:rPr>
        <w:t>, no later than two years after the end of the relevant five-year period,</w:t>
      </w:r>
      <w:r w:rsidR="00A606A9" w:rsidRPr="00A606A9">
        <w:rPr>
          <w:noProof/>
          <w:lang w:val="en-IE"/>
        </w:rPr>
        <w:t xml:space="preserve"> by the competent authority where the decarbonisation investments are implemented</w:t>
      </w:r>
      <w:r w:rsidRPr="00FF67ED">
        <w:rPr>
          <w:noProof/>
          <w:lang w:val="en-IE"/>
        </w:rPr>
        <w:t xml:space="preserve"> that the following conditions are met: </w:t>
      </w:r>
    </w:p>
    <w:p w14:paraId="144C3FB4" w14:textId="77777777" w:rsidR="00FF67ED" w:rsidRPr="003D7B82" w:rsidRDefault="00FF67ED">
      <w:pPr>
        <w:pStyle w:val="Point2"/>
        <w:rPr>
          <w:noProof/>
        </w:rPr>
      </w:pPr>
      <w:r>
        <w:rPr>
          <w:noProof/>
        </w:rPr>
        <w:t>(a)</w:t>
      </w:r>
      <w:r>
        <w:rPr>
          <w:noProof/>
        </w:rPr>
        <w:tab/>
      </w:r>
      <w:r w:rsidRPr="003D7B82">
        <w:rPr>
          <w:noProof/>
        </w:rPr>
        <w:t>the decarbonisation investments were implemented</w:t>
      </w:r>
      <w:r w:rsidR="009C78D1" w:rsidRPr="003D7B82">
        <w:rPr>
          <w:noProof/>
        </w:rPr>
        <w:t xml:space="preserve"> by that time</w:t>
      </w:r>
      <w:r w:rsidR="00F94B5B" w:rsidRPr="003D7B82">
        <w:rPr>
          <w:noProof/>
        </w:rPr>
        <w:t xml:space="preserve"> and they were implemented in the EU</w:t>
      </w:r>
      <w:r w:rsidRPr="003D7B82">
        <w:rPr>
          <w:noProof/>
        </w:rPr>
        <w:t>;</w:t>
      </w:r>
    </w:p>
    <w:p w14:paraId="4C34A392" w14:textId="77777777" w:rsidR="00FF67ED" w:rsidRPr="003D7B82" w:rsidRDefault="00FF67ED">
      <w:pPr>
        <w:pStyle w:val="Point2"/>
        <w:rPr>
          <w:noProof/>
        </w:rPr>
      </w:pPr>
      <w:r>
        <w:rPr>
          <w:noProof/>
        </w:rPr>
        <w:t>(b)</w:t>
      </w:r>
      <w:r>
        <w:rPr>
          <w:noProof/>
        </w:rPr>
        <w:tab/>
      </w:r>
      <w:r w:rsidRPr="003D7B82">
        <w:rPr>
          <w:noProof/>
        </w:rPr>
        <w:t xml:space="preserve">eligible costs corresponding to a volume at least equivalent to the economic value of </w:t>
      </w:r>
      <w:r w:rsidR="3BEF94FA" w:rsidRPr="003D7B82">
        <w:rPr>
          <w:noProof/>
        </w:rPr>
        <w:t>10</w:t>
      </w:r>
      <w:r w:rsidR="00E5205F" w:rsidRPr="003D7B82">
        <w:rPr>
          <w:noProof/>
        </w:rPr>
        <w:t>0</w:t>
      </w:r>
      <w:r w:rsidR="00540C83" w:rsidRPr="003D7B82">
        <w:rPr>
          <w:noProof/>
        </w:rPr>
        <w:t>%</w:t>
      </w:r>
      <w:r w:rsidRPr="003D7B82">
        <w:rPr>
          <w:noProof/>
        </w:rPr>
        <w:t xml:space="preserve"> of the amount of free allocation under the relevant five-year period were invested; </w:t>
      </w:r>
    </w:p>
    <w:p w14:paraId="1A74074F" w14:textId="075A2BA8" w:rsidR="00FF67ED" w:rsidRPr="003D7B82" w:rsidRDefault="00FF67ED">
      <w:pPr>
        <w:pStyle w:val="Point2"/>
        <w:rPr>
          <w:noProof/>
        </w:rPr>
      </w:pPr>
      <w:r>
        <w:rPr>
          <w:noProof/>
        </w:rPr>
        <w:t>(c)</w:t>
      </w:r>
      <w:r>
        <w:rPr>
          <w:noProof/>
        </w:rPr>
        <w:tab/>
      </w:r>
      <w:r w:rsidRPr="003D7B82">
        <w:rPr>
          <w:noProof/>
        </w:rPr>
        <w:t>the</w:t>
      </w:r>
      <w:r>
        <w:rPr>
          <w:noProof/>
        </w:rPr>
        <w:t xml:space="preserve"> existing</w:t>
      </w:r>
      <w:r w:rsidR="00B6315E">
        <w:rPr>
          <w:noProof/>
        </w:rPr>
        <w:t xml:space="preserve"> </w:t>
      </w:r>
      <w:r w:rsidRPr="003D7B82">
        <w:rPr>
          <w:noProof/>
        </w:rPr>
        <w:t>annual reports referred to in Article 15</w:t>
      </w:r>
      <w:r w:rsidR="00391CF3" w:rsidRPr="003D7B82">
        <w:rPr>
          <w:noProof/>
        </w:rPr>
        <w:t xml:space="preserve"> show that </w:t>
      </w:r>
      <w:r w:rsidRPr="003D7B82">
        <w:rPr>
          <w:noProof/>
        </w:rPr>
        <w:t xml:space="preserve">significant emissions reductions were achieved at the level of the installation in the relevant five-year period. </w:t>
      </w:r>
    </w:p>
    <w:p w14:paraId="7049316C" w14:textId="352A7596" w:rsidR="00FF67ED" w:rsidRPr="00FF67ED" w:rsidRDefault="00FF67ED" w:rsidP="00FF67ED">
      <w:pPr>
        <w:pStyle w:val="Text2"/>
        <w:rPr>
          <w:noProof/>
          <w:lang w:val="en-IE"/>
        </w:rPr>
      </w:pPr>
      <w:r w:rsidRPr="00FF67ED">
        <w:rPr>
          <w:noProof/>
          <w:lang w:val="en-IE"/>
        </w:rPr>
        <w:t xml:space="preserve">Allowances that are not allocated in accordance with the first and </w:t>
      </w:r>
      <w:r>
        <w:rPr>
          <w:noProof/>
          <w:lang w:val="en-IE"/>
        </w:rPr>
        <w:t>third</w:t>
      </w:r>
      <w:r w:rsidR="00B77FB4" w:rsidRPr="00FF67ED">
        <w:rPr>
          <w:noProof/>
          <w:lang w:val="en-IE"/>
        </w:rPr>
        <w:t xml:space="preserve"> </w:t>
      </w:r>
      <w:r w:rsidRPr="00FF67ED">
        <w:rPr>
          <w:noProof/>
          <w:lang w:val="en-IE"/>
        </w:rPr>
        <w:t>subparagraphs</w:t>
      </w:r>
      <w:r>
        <w:rPr>
          <w:noProof/>
          <w:lang w:val="en-IE"/>
        </w:rPr>
        <w:t xml:space="preserve"> or that are returned in accordance with the second subparagraph</w:t>
      </w:r>
      <w:r w:rsidRPr="00FF67ED">
        <w:rPr>
          <w:noProof/>
          <w:lang w:val="en-IE"/>
        </w:rPr>
        <w:t xml:space="preserve"> shall be made available for free allocation in the subsequent five-year period. </w:t>
      </w:r>
    </w:p>
    <w:bookmarkEnd w:id="9"/>
    <w:p w14:paraId="42F9E044" w14:textId="1457EF7F" w:rsidR="00FF67ED" w:rsidRPr="00FF67ED" w:rsidRDefault="00FF67ED" w:rsidP="00FF67ED">
      <w:pPr>
        <w:pStyle w:val="Text2"/>
        <w:rPr>
          <w:noProof/>
          <w:lang w:val="en-IE"/>
        </w:rPr>
      </w:pPr>
      <w:r w:rsidRPr="00FF67ED">
        <w:rPr>
          <w:noProof/>
          <w:lang w:val="en-IE"/>
        </w:rPr>
        <w:t xml:space="preserve">By way of derogation from the first subparagraph, where a project that was selected for the award of support under the Industrial Decarbonisation Bank and Investment Booster established under Articles </w:t>
      </w:r>
      <w:r w:rsidR="00565443">
        <w:rPr>
          <w:noProof/>
          <w:lang w:val="en-IE"/>
        </w:rPr>
        <w:t>10cc</w:t>
      </w:r>
      <w:r w:rsidRPr="00FF67ED">
        <w:rPr>
          <w:noProof/>
          <w:lang w:val="en-IE"/>
        </w:rPr>
        <w:t xml:space="preserve">, </w:t>
      </w:r>
      <w:r w:rsidR="00565443">
        <w:rPr>
          <w:noProof/>
          <w:lang w:val="en-IE"/>
        </w:rPr>
        <w:t>10cd</w:t>
      </w:r>
      <w:r w:rsidRPr="00FF67ED">
        <w:rPr>
          <w:noProof/>
          <w:lang w:val="en-IE"/>
        </w:rPr>
        <w:t xml:space="preserve"> and </w:t>
      </w:r>
      <w:r w:rsidR="00565443">
        <w:rPr>
          <w:noProof/>
          <w:lang w:val="en-IE"/>
        </w:rPr>
        <w:t>10ce</w:t>
      </w:r>
      <w:r w:rsidRPr="00FF67ED">
        <w:rPr>
          <w:noProof/>
          <w:lang w:val="en-IE"/>
        </w:rPr>
        <w:t xml:space="preserve"> or the Innovation Fund referred to in Article </w:t>
      </w:r>
      <w:r w:rsidR="00565443">
        <w:rPr>
          <w:noProof/>
          <w:lang w:val="en-IE"/>
        </w:rPr>
        <w:t xml:space="preserve">10cb </w:t>
      </w:r>
      <w:r w:rsidRPr="00FF67ED">
        <w:rPr>
          <w:noProof/>
          <w:lang w:val="en-IE"/>
        </w:rPr>
        <w:t xml:space="preserve">is being implemented in the installation during the </w:t>
      </w:r>
      <w:r w:rsidR="00981CB8">
        <w:rPr>
          <w:noProof/>
          <w:lang w:val="en-IE"/>
        </w:rPr>
        <w:t xml:space="preserve">five-year </w:t>
      </w:r>
      <w:r w:rsidRPr="00FF67ED">
        <w:rPr>
          <w:noProof/>
          <w:lang w:val="en-IE"/>
        </w:rPr>
        <w:t xml:space="preserve">period under which it applies for free allocation, the operator of that installation shall be exempted from the obligation to establish a plan in accordance with paragraph </w:t>
      </w:r>
      <w:r w:rsidR="001B18E8">
        <w:rPr>
          <w:noProof/>
          <w:lang w:val="en-IE"/>
        </w:rPr>
        <w:t>3b</w:t>
      </w:r>
      <w:r w:rsidRPr="00FF67ED">
        <w:rPr>
          <w:noProof/>
          <w:lang w:val="en-IE"/>
        </w:rPr>
        <w:t xml:space="preserve"> and shall receive  </w:t>
      </w:r>
      <w:r w:rsidR="00C92FB3">
        <w:rPr>
          <w:noProof/>
          <w:lang w:val="en-IE"/>
        </w:rPr>
        <w:t xml:space="preserve">80 % of the </w:t>
      </w:r>
      <w:r w:rsidRPr="00FF67ED">
        <w:rPr>
          <w:noProof/>
          <w:lang w:val="en-IE"/>
        </w:rPr>
        <w:t xml:space="preserve">amount of free allocation </w:t>
      </w:r>
      <w:r w:rsidR="00C92FB3">
        <w:rPr>
          <w:noProof/>
          <w:lang w:val="en-IE"/>
        </w:rPr>
        <w:t xml:space="preserve">as </w:t>
      </w:r>
      <w:r w:rsidRPr="00FF67ED">
        <w:rPr>
          <w:noProof/>
          <w:lang w:val="en-IE"/>
        </w:rPr>
        <w:t xml:space="preserve">referred to in the first subparagraph without additional verification. By way of derogation from the </w:t>
      </w:r>
      <w:r>
        <w:rPr>
          <w:noProof/>
          <w:lang w:val="en-IE"/>
        </w:rPr>
        <w:t>third</w:t>
      </w:r>
      <w:r w:rsidR="00100FD5" w:rsidRPr="00FF67ED">
        <w:rPr>
          <w:noProof/>
          <w:lang w:val="en-IE"/>
        </w:rPr>
        <w:t xml:space="preserve"> </w:t>
      </w:r>
      <w:r w:rsidRPr="00FF67ED">
        <w:rPr>
          <w:noProof/>
          <w:lang w:val="en-IE"/>
        </w:rPr>
        <w:t xml:space="preserve">subparagraph, the remaining </w:t>
      </w:r>
      <w:r w:rsidR="00C92FB3">
        <w:rPr>
          <w:noProof/>
          <w:lang w:val="en-IE"/>
        </w:rPr>
        <w:t xml:space="preserve">20 % </w:t>
      </w:r>
      <w:r w:rsidRPr="00FF67ED">
        <w:rPr>
          <w:noProof/>
          <w:lang w:val="en-IE"/>
        </w:rPr>
        <w:t xml:space="preserve"> of the amount of free allocation for the relevant five-year period shall only be allocated to that same installation, after the launch of the disbursement of support to the project under the Innovation Fund or upon the start of construction regarding projects awarded support under the Industrial Decarbonisation Bank or Investment Booster, and after </w:t>
      </w:r>
      <w:r w:rsidR="003D5EA0">
        <w:rPr>
          <w:noProof/>
          <w:lang w:val="en-IE"/>
        </w:rPr>
        <w:t xml:space="preserve">where the competent authority confirms in accordance with </w:t>
      </w:r>
      <w:r w:rsidR="005F468E">
        <w:rPr>
          <w:noProof/>
          <w:lang w:val="en-IE"/>
        </w:rPr>
        <w:t xml:space="preserve">the </w:t>
      </w:r>
      <w:r>
        <w:rPr>
          <w:noProof/>
          <w:lang w:val="en-IE"/>
        </w:rPr>
        <w:t>third</w:t>
      </w:r>
      <w:r w:rsidR="00100FD5">
        <w:rPr>
          <w:noProof/>
          <w:lang w:val="en-IE"/>
        </w:rPr>
        <w:t xml:space="preserve"> </w:t>
      </w:r>
      <w:r w:rsidR="005F468E">
        <w:rPr>
          <w:noProof/>
          <w:lang w:val="en-IE"/>
        </w:rPr>
        <w:t>subparagraph</w:t>
      </w:r>
      <w:r w:rsidR="00543280" w:rsidRPr="00FF67ED">
        <w:rPr>
          <w:noProof/>
          <w:lang w:val="en-IE"/>
        </w:rPr>
        <w:t xml:space="preserve"> </w:t>
      </w:r>
      <w:r w:rsidRPr="00FF67ED">
        <w:rPr>
          <w:noProof/>
          <w:lang w:val="en-IE"/>
        </w:rPr>
        <w:t xml:space="preserve">that eligible costs corresponding to a volume at least equivalent to the economic value of </w:t>
      </w:r>
      <w:r w:rsidR="4EF821A8" w:rsidRPr="75DA339E">
        <w:rPr>
          <w:noProof/>
          <w:lang w:val="en-IE"/>
        </w:rPr>
        <w:t>10</w:t>
      </w:r>
      <w:r w:rsidR="00226F31" w:rsidRPr="75DA339E">
        <w:rPr>
          <w:noProof/>
          <w:lang w:val="en-IE"/>
        </w:rPr>
        <w:t>0</w:t>
      </w:r>
      <w:r w:rsidR="00540C83">
        <w:rPr>
          <w:noProof/>
          <w:lang w:val="en-IE"/>
        </w:rPr>
        <w:t>%</w:t>
      </w:r>
      <w:r w:rsidRPr="00FF67ED">
        <w:rPr>
          <w:noProof/>
          <w:lang w:val="en-IE"/>
        </w:rPr>
        <w:t xml:space="preserve"> of the amount of free allocation under the relevant five-year period were invested</w:t>
      </w:r>
      <w:r w:rsidR="00B22B24">
        <w:rPr>
          <w:noProof/>
          <w:lang w:val="en-IE"/>
        </w:rPr>
        <w:t xml:space="preserve"> in the EU</w:t>
      </w:r>
      <w:r w:rsidRPr="00FF67ED">
        <w:rPr>
          <w:noProof/>
          <w:lang w:val="en-IE"/>
        </w:rPr>
        <w:t>.</w:t>
      </w:r>
    </w:p>
    <w:p w14:paraId="071D5711" w14:textId="0C8BA29F" w:rsidR="00FF67ED" w:rsidRDefault="004E0456" w:rsidP="00FF67ED">
      <w:pPr>
        <w:pStyle w:val="Text2"/>
        <w:rPr>
          <w:noProof/>
          <w:lang w:val="en-IE"/>
        </w:rPr>
      </w:pPr>
      <w:r>
        <w:rPr>
          <w:noProof/>
          <w:lang w:val="en-IE"/>
        </w:rPr>
        <w:t>The</w:t>
      </w:r>
      <w:r w:rsidR="00FF67ED" w:rsidRPr="00FF67ED">
        <w:rPr>
          <w:noProof/>
          <w:lang w:val="en-IE"/>
        </w:rPr>
        <w:t xml:space="preserve"> requirements set out </w:t>
      </w:r>
      <w:r w:rsidR="000F34A2">
        <w:rPr>
          <w:noProof/>
          <w:lang w:val="en-IE"/>
        </w:rPr>
        <w:t>in</w:t>
      </w:r>
      <w:r w:rsidR="000F34A2" w:rsidRPr="00FF67ED">
        <w:rPr>
          <w:noProof/>
          <w:lang w:val="en-IE"/>
        </w:rPr>
        <w:t xml:space="preserve"> </w:t>
      </w:r>
      <w:r w:rsidR="00FF67ED" w:rsidRPr="00FF67ED">
        <w:rPr>
          <w:noProof/>
          <w:lang w:val="en-IE"/>
        </w:rPr>
        <w:t xml:space="preserve">paragraph </w:t>
      </w:r>
      <w:r w:rsidR="00C25626">
        <w:rPr>
          <w:noProof/>
          <w:lang w:val="en-IE"/>
        </w:rPr>
        <w:t>3b</w:t>
      </w:r>
      <w:r w:rsidR="00FF67ED" w:rsidRPr="00FF67ED">
        <w:rPr>
          <w:noProof/>
          <w:lang w:val="en-IE"/>
        </w:rPr>
        <w:t xml:space="preserve"> and </w:t>
      </w:r>
      <w:r w:rsidR="000F34A2">
        <w:rPr>
          <w:noProof/>
          <w:lang w:val="en-IE"/>
        </w:rPr>
        <w:t xml:space="preserve">in </w:t>
      </w:r>
      <w:r w:rsidR="00FF67ED" w:rsidRPr="00FF67ED">
        <w:rPr>
          <w:noProof/>
          <w:lang w:val="en-IE"/>
        </w:rPr>
        <w:t xml:space="preserve">the first and </w:t>
      </w:r>
      <w:r>
        <w:rPr>
          <w:noProof/>
          <w:lang w:val="en-IE"/>
        </w:rPr>
        <w:t>third</w:t>
      </w:r>
      <w:r w:rsidR="0022656D" w:rsidRPr="00FF67ED">
        <w:rPr>
          <w:noProof/>
          <w:lang w:val="en-IE"/>
        </w:rPr>
        <w:t xml:space="preserve"> </w:t>
      </w:r>
      <w:r w:rsidR="00FF67ED" w:rsidRPr="00FF67ED">
        <w:rPr>
          <w:noProof/>
          <w:lang w:val="en-IE"/>
        </w:rPr>
        <w:t xml:space="preserve">subparagraphs of this paragraph </w:t>
      </w:r>
      <w:r w:rsidR="000F34A2">
        <w:rPr>
          <w:noProof/>
          <w:lang w:val="en-IE"/>
        </w:rPr>
        <w:t>shall</w:t>
      </w:r>
      <w:r w:rsidR="000F34A2" w:rsidRPr="00FF67ED">
        <w:rPr>
          <w:noProof/>
          <w:lang w:val="en-IE"/>
        </w:rPr>
        <w:t xml:space="preserve"> </w:t>
      </w:r>
      <w:r w:rsidR="00FF67ED" w:rsidRPr="00FF67ED">
        <w:rPr>
          <w:noProof/>
          <w:lang w:val="en-IE"/>
        </w:rPr>
        <w:t xml:space="preserve">not apply to </w:t>
      </w:r>
      <w:r w:rsidR="0053136E" w:rsidRPr="0053136E">
        <w:rPr>
          <w:noProof/>
          <w:lang w:val="en-IE"/>
        </w:rPr>
        <w:t xml:space="preserve">the 10 % most efficient installations in a sector or subsector in the Union referred to in the first subparagraph of Article 10a(2) and in respect of the years used to determine the revised benchmark values pursuant to the third subparagraph of that Article for the relevant five-year free allocation period, to </w:t>
      </w:r>
      <w:r w:rsidR="00EC2C75" w:rsidRPr="00EC2C75">
        <w:rPr>
          <w:noProof/>
          <w:lang w:val="en-IE"/>
        </w:rPr>
        <w:t xml:space="preserve">zero emissions or low-carbon </w:t>
      </w:r>
      <w:r w:rsidR="00FF67ED" w:rsidRPr="00FF67ED">
        <w:rPr>
          <w:noProof/>
          <w:lang w:val="en-IE"/>
        </w:rPr>
        <w:t xml:space="preserve">installations, </w:t>
      </w:r>
      <w:r w:rsidR="00A85E7C">
        <w:rPr>
          <w:noProof/>
          <w:lang w:val="en-IE"/>
        </w:rPr>
        <w:t xml:space="preserve">to </w:t>
      </w:r>
      <w:r w:rsidR="00FF67ED" w:rsidRPr="00FF67ED">
        <w:rPr>
          <w:noProof/>
          <w:lang w:val="en-IE"/>
        </w:rPr>
        <w:t>installation</w:t>
      </w:r>
      <w:r w:rsidR="00A10A4C">
        <w:rPr>
          <w:noProof/>
          <w:lang w:val="en-IE"/>
        </w:rPr>
        <w:t xml:space="preserve">s </w:t>
      </w:r>
      <w:r w:rsidR="00A10A4C" w:rsidRPr="00A10A4C">
        <w:rPr>
          <w:noProof/>
          <w:lang w:val="en-IE"/>
        </w:rPr>
        <w:t>for which the operators, following a change in their production processes in accordance with Article 2(1), decide that they are</w:t>
      </w:r>
      <w:r w:rsidR="00FF67ED" w:rsidRPr="00FF67ED">
        <w:rPr>
          <w:noProof/>
          <w:lang w:val="en-IE"/>
        </w:rPr>
        <w:t xml:space="preserve"> is to remain within the scope of the EU ETS. </w:t>
      </w:r>
    </w:p>
    <w:p w14:paraId="0BA1C9CC" w14:textId="77777777" w:rsidR="00FF67ED" w:rsidRPr="00FF67ED" w:rsidRDefault="00C817D4" w:rsidP="00FF67ED">
      <w:pPr>
        <w:pStyle w:val="Text2"/>
        <w:rPr>
          <w:noProof/>
          <w:lang w:val="en-IE"/>
        </w:rPr>
      </w:pPr>
      <w:bookmarkStart w:id="10" w:name="_Hlk232715988"/>
      <w:r>
        <w:rPr>
          <w:noProof/>
          <w:lang w:val="en-IE"/>
        </w:rPr>
        <w:t>3d</w:t>
      </w:r>
      <w:r w:rsidR="00FF67ED" w:rsidRPr="00FF67ED">
        <w:rPr>
          <w:noProof/>
          <w:lang w:val="en-IE"/>
        </w:rPr>
        <w:t xml:space="preserve">. Operators of installations applying for free allocation in accordance with this Article may request to form a pool of installations for the purposes of fulfilling jointly the investment requirements under </w:t>
      </w:r>
      <w:r w:rsidR="00B22BCA">
        <w:rPr>
          <w:noProof/>
          <w:lang w:val="en-IE"/>
        </w:rPr>
        <w:t xml:space="preserve">paragraph 3b, </w:t>
      </w:r>
      <w:r w:rsidR="00FF67ED" w:rsidRPr="00FF67ED">
        <w:rPr>
          <w:noProof/>
          <w:lang w:val="en-IE"/>
        </w:rPr>
        <w:t xml:space="preserve"> </w:t>
      </w:r>
      <w:r w:rsidR="00FD2FA8">
        <w:rPr>
          <w:noProof/>
          <w:lang w:val="en-IE"/>
        </w:rPr>
        <w:t>fifth</w:t>
      </w:r>
      <w:r w:rsidR="00FD2FA8" w:rsidRPr="00FF67ED">
        <w:rPr>
          <w:noProof/>
          <w:lang w:val="en-IE"/>
        </w:rPr>
        <w:t xml:space="preserve"> </w:t>
      </w:r>
      <w:r w:rsidR="00FF67ED" w:rsidRPr="00FF67ED">
        <w:rPr>
          <w:noProof/>
          <w:lang w:val="en-IE"/>
        </w:rPr>
        <w:t xml:space="preserve">subparagraph. </w:t>
      </w:r>
    </w:p>
    <w:p w14:paraId="58C74770" w14:textId="77777777" w:rsidR="00FF67ED" w:rsidRPr="00FF67ED" w:rsidRDefault="00FF67ED" w:rsidP="00FF67ED">
      <w:pPr>
        <w:pStyle w:val="Text2"/>
        <w:rPr>
          <w:noProof/>
          <w:lang w:val="en-IE"/>
        </w:rPr>
      </w:pPr>
      <w:r w:rsidRPr="00FF67ED">
        <w:rPr>
          <w:noProof/>
          <w:lang w:val="en-IE"/>
        </w:rPr>
        <w:t xml:space="preserve">Operators who wish to form a pool shall apply to the competent authority by submitting an agreement they concluded for the purpose of fulfilling jointly the investment requirements (‘joint decarbonisation investment agreement’) specifying the installations and the period for which they want to form the pool. The joint decarbonisation investment agreement may relate to five or more calendar years, provided that the minimum duration of each agreement fully covers the five-year period referred to in Article 11 for which the installations are applying for free allocation. </w:t>
      </w:r>
    </w:p>
    <w:p w14:paraId="700C7398" w14:textId="77777777" w:rsidR="00FF67ED" w:rsidRPr="00FF67ED" w:rsidRDefault="00FF67ED" w:rsidP="00FF67ED">
      <w:pPr>
        <w:pStyle w:val="Text2"/>
        <w:rPr>
          <w:noProof/>
          <w:lang w:val="en-IE"/>
        </w:rPr>
      </w:pPr>
      <w:r w:rsidRPr="00FF67ED">
        <w:rPr>
          <w:noProof/>
          <w:lang w:val="en-IE"/>
        </w:rPr>
        <w:t>The joint decarbonisation investment agreement shall be concluded before submitting an application for free allocation</w:t>
      </w:r>
      <w:r w:rsidR="00343F97">
        <w:rPr>
          <w:noProof/>
          <w:lang w:val="en-IE"/>
        </w:rPr>
        <w:t xml:space="preserve"> and shall be submitted to the competent authority </w:t>
      </w:r>
      <w:r w:rsidR="00433E84">
        <w:rPr>
          <w:noProof/>
          <w:lang w:val="en-IE"/>
        </w:rPr>
        <w:t>t</w:t>
      </w:r>
      <w:r w:rsidR="00433E84" w:rsidRPr="00C92D22">
        <w:rPr>
          <w:noProof/>
          <w:lang w:val="en-IE"/>
        </w:rPr>
        <w:t xml:space="preserve">ogether with information submitted pursuant to </w:t>
      </w:r>
      <w:r w:rsidR="007458B5">
        <w:rPr>
          <w:noProof/>
          <w:lang w:val="en-IE"/>
        </w:rPr>
        <w:t xml:space="preserve">the second subparagraph of </w:t>
      </w:r>
      <w:r w:rsidR="00433E84" w:rsidRPr="00C92D22">
        <w:rPr>
          <w:noProof/>
          <w:lang w:val="en-IE"/>
        </w:rPr>
        <w:t>Article 11(</w:t>
      </w:r>
      <w:r w:rsidR="007458B5">
        <w:rPr>
          <w:noProof/>
          <w:lang w:val="en-IE"/>
        </w:rPr>
        <w:t>1</w:t>
      </w:r>
      <w:r w:rsidR="00433E84" w:rsidRPr="00C92D22">
        <w:rPr>
          <w:noProof/>
          <w:lang w:val="en-IE"/>
        </w:rPr>
        <w:t>)</w:t>
      </w:r>
      <w:r w:rsidRPr="00FF67ED">
        <w:rPr>
          <w:noProof/>
          <w:lang w:val="en-IE"/>
        </w:rPr>
        <w:t xml:space="preserve">. </w:t>
      </w:r>
      <w:r w:rsidR="00B469E2">
        <w:rPr>
          <w:noProof/>
          <w:lang w:val="en-IE"/>
        </w:rPr>
        <w:t xml:space="preserve">After the </w:t>
      </w:r>
      <w:r w:rsidR="00AD1F9D">
        <w:rPr>
          <w:noProof/>
          <w:lang w:val="en-IE"/>
        </w:rPr>
        <w:t>joint decarbonisation agreement has been submitted to the competent authority, o</w:t>
      </w:r>
      <w:r w:rsidRPr="00FF67ED">
        <w:rPr>
          <w:noProof/>
          <w:lang w:val="en-IE"/>
        </w:rPr>
        <w:t>ther operators may only be added to th</w:t>
      </w:r>
      <w:r w:rsidR="00E90FDA">
        <w:rPr>
          <w:noProof/>
          <w:lang w:val="en-IE"/>
        </w:rPr>
        <w:t xml:space="preserve">at </w:t>
      </w:r>
      <w:r w:rsidRPr="00FF67ED">
        <w:rPr>
          <w:noProof/>
          <w:lang w:val="en-IE"/>
        </w:rPr>
        <w:t>agreement under the next five-year period for free allocation referred to in Article 11.</w:t>
      </w:r>
    </w:p>
    <w:p w14:paraId="28BB7B3E" w14:textId="77777777" w:rsidR="00FF67ED" w:rsidRPr="00FF67ED" w:rsidRDefault="00FF67ED" w:rsidP="00FF67ED">
      <w:pPr>
        <w:pStyle w:val="Text2"/>
        <w:rPr>
          <w:noProof/>
          <w:lang w:val="en-IE"/>
        </w:rPr>
      </w:pPr>
      <w:r w:rsidRPr="00FF67ED">
        <w:rPr>
          <w:noProof/>
          <w:lang w:val="en-IE"/>
        </w:rPr>
        <w:t xml:space="preserve">Where a joint decarbonisation investment agreement is concluded, the decarbonisation investments referred to in the </w:t>
      </w:r>
      <w:r w:rsidR="00A775D3">
        <w:rPr>
          <w:noProof/>
          <w:lang w:val="en-IE"/>
        </w:rPr>
        <w:t>fifth</w:t>
      </w:r>
      <w:r w:rsidR="00A775D3" w:rsidRPr="00FF67ED">
        <w:rPr>
          <w:noProof/>
          <w:lang w:val="en-IE"/>
        </w:rPr>
        <w:t xml:space="preserve"> </w:t>
      </w:r>
      <w:r w:rsidRPr="00FF67ED">
        <w:rPr>
          <w:noProof/>
          <w:lang w:val="en-IE"/>
        </w:rPr>
        <w:t xml:space="preserve">subparagraph of paragraph </w:t>
      </w:r>
      <w:r w:rsidR="00472789">
        <w:rPr>
          <w:noProof/>
          <w:lang w:val="en-IE"/>
        </w:rPr>
        <w:t>3b</w:t>
      </w:r>
      <w:r w:rsidRPr="00FF67ED">
        <w:rPr>
          <w:noProof/>
          <w:lang w:val="en-IE"/>
        </w:rPr>
        <w:t xml:space="preserve"> shall correspond to a volume at least equivalent to the economic value of </w:t>
      </w:r>
      <w:r w:rsidR="470B5F7E" w:rsidRPr="15FE29F2">
        <w:rPr>
          <w:noProof/>
          <w:lang w:val="en-IE"/>
        </w:rPr>
        <w:t>10</w:t>
      </w:r>
      <w:r w:rsidR="003C1470" w:rsidRPr="15FE29F2">
        <w:rPr>
          <w:noProof/>
          <w:lang w:val="en-IE"/>
        </w:rPr>
        <w:t>0</w:t>
      </w:r>
      <w:r w:rsidR="003C1470">
        <w:rPr>
          <w:noProof/>
          <w:lang w:val="en-IE"/>
        </w:rPr>
        <w:t>%</w:t>
      </w:r>
      <w:r w:rsidRPr="00FF67ED">
        <w:rPr>
          <w:noProof/>
          <w:lang w:val="en-IE"/>
        </w:rPr>
        <w:t xml:space="preserve"> of the amount of free allocation allocated to all installations that are part of the pool under the relevant five-year period. </w:t>
      </w:r>
    </w:p>
    <w:p w14:paraId="3B73B817" w14:textId="54FFA54E" w:rsidR="007E3D42" w:rsidRDefault="00C817D4" w:rsidP="00FF67ED">
      <w:pPr>
        <w:pStyle w:val="Text2"/>
        <w:rPr>
          <w:noProof/>
          <w:lang w:val="en-IE"/>
        </w:rPr>
      </w:pPr>
      <w:bookmarkStart w:id="11" w:name="_Hlk232715943"/>
      <w:bookmarkEnd w:id="10"/>
      <w:r>
        <w:rPr>
          <w:noProof/>
          <w:lang w:val="en-IE"/>
        </w:rPr>
        <w:t>3e</w:t>
      </w:r>
      <w:r w:rsidR="00FF67ED" w:rsidRPr="00FF67ED">
        <w:rPr>
          <w:noProof/>
          <w:lang w:val="en-IE"/>
        </w:rPr>
        <w:t>. The Commission shall supplement this Directive by providing,</w:t>
      </w:r>
      <w:r w:rsidR="00100FD5">
        <w:rPr>
          <w:noProof/>
          <w:lang w:val="en-IE"/>
        </w:rPr>
        <w:t xml:space="preserve"> </w:t>
      </w:r>
      <w:r w:rsidR="00100FD5" w:rsidRPr="00100FD5">
        <w:rPr>
          <w:noProof/>
          <w:lang w:val="en-IE"/>
        </w:rPr>
        <w:t>in close consultation with the relevant stakeholders,</w:t>
      </w:r>
      <w:r w:rsidR="00FF67ED" w:rsidRPr="00FF67ED">
        <w:rPr>
          <w:noProof/>
          <w:lang w:val="en-IE"/>
        </w:rPr>
        <w:t xml:space="preserve"> in the delegated act adopted pursuant to the first subparagraph of paragraph 1, </w:t>
      </w:r>
      <w:r w:rsidR="00D80EE5">
        <w:rPr>
          <w:noProof/>
          <w:lang w:val="en-IE"/>
        </w:rPr>
        <w:t xml:space="preserve">complementary </w:t>
      </w:r>
      <w:r w:rsidR="004F2593">
        <w:rPr>
          <w:noProof/>
          <w:lang w:val="en-IE"/>
        </w:rPr>
        <w:t xml:space="preserve">implementation </w:t>
      </w:r>
      <w:r w:rsidR="00493737">
        <w:rPr>
          <w:noProof/>
          <w:lang w:val="en-IE"/>
        </w:rPr>
        <w:t xml:space="preserve">details </w:t>
      </w:r>
      <w:r w:rsidR="00F819F3">
        <w:rPr>
          <w:noProof/>
          <w:lang w:val="en-IE"/>
        </w:rPr>
        <w:t xml:space="preserve">as regards the free allocation provisions set out in </w:t>
      </w:r>
      <w:r w:rsidR="00F819F3" w:rsidRPr="00C0767B">
        <w:rPr>
          <w:noProof/>
          <w:lang w:val="en-IE"/>
        </w:rPr>
        <w:t>paragraph</w:t>
      </w:r>
      <w:r w:rsidR="003957EB" w:rsidRPr="00C0767B">
        <w:rPr>
          <w:noProof/>
          <w:lang w:val="en-IE"/>
        </w:rPr>
        <w:t>s</w:t>
      </w:r>
      <w:r w:rsidR="00F819F3">
        <w:rPr>
          <w:noProof/>
          <w:lang w:val="en-IE"/>
        </w:rPr>
        <w:t xml:space="preserve"> </w:t>
      </w:r>
      <w:r w:rsidR="007B16E2" w:rsidRPr="00C0767B">
        <w:rPr>
          <w:noProof/>
          <w:lang w:val="en-IE"/>
        </w:rPr>
        <w:t xml:space="preserve">3b to </w:t>
      </w:r>
      <w:r w:rsidR="00434517" w:rsidRPr="00C0767B">
        <w:rPr>
          <w:noProof/>
          <w:lang w:val="en-IE"/>
        </w:rPr>
        <w:t>3d</w:t>
      </w:r>
      <w:r w:rsidR="007E3D42">
        <w:rPr>
          <w:noProof/>
          <w:lang w:val="en-IE"/>
        </w:rPr>
        <w:t xml:space="preserve"> of this Article, including: </w:t>
      </w:r>
    </w:p>
    <w:p w14:paraId="616A1788" w14:textId="77777777" w:rsidR="00C14AF2" w:rsidRPr="000B21D3" w:rsidRDefault="00FF67ED">
      <w:pPr>
        <w:pStyle w:val="Point2"/>
        <w:rPr>
          <w:noProof/>
          <w:lang w:val="en-IE"/>
        </w:rPr>
      </w:pPr>
      <w:r>
        <w:rPr>
          <w:noProof/>
        </w:rPr>
        <w:t>(a)</w:t>
      </w:r>
      <w:r>
        <w:rPr>
          <w:noProof/>
        </w:rPr>
        <w:tab/>
      </w:r>
      <w:r w:rsidRPr="000B21D3">
        <w:rPr>
          <w:noProof/>
          <w:lang w:val="en-IE"/>
        </w:rPr>
        <w:t xml:space="preserve">a list of requirements and eligible costs to qualify as </w:t>
      </w:r>
      <w:r w:rsidR="00540C83" w:rsidRPr="000B21D3">
        <w:rPr>
          <w:noProof/>
          <w:lang w:val="en-IE"/>
        </w:rPr>
        <w:t>decarbonisation investments</w:t>
      </w:r>
      <w:r w:rsidR="00C14AF2" w:rsidRPr="000B21D3">
        <w:rPr>
          <w:noProof/>
          <w:lang w:val="en-IE"/>
        </w:rPr>
        <w:t xml:space="preserve">; </w:t>
      </w:r>
    </w:p>
    <w:p w14:paraId="3E1599B1" w14:textId="77777777" w:rsidR="00C202CE" w:rsidRPr="003D7B82" w:rsidRDefault="00540C83" w:rsidP="004823A1">
      <w:pPr>
        <w:pStyle w:val="Point2"/>
        <w:rPr>
          <w:noProof/>
          <w:lang w:val="en-IE"/>
        </w:rPr>
      </w:pPr>
      <w:r>
        <w:rPr>
          <w:noProof/>
        </w:rPr>
        <w:t>(b)</w:t>
      </w:r>
      <w:r>
        <w:rPr>
          <w:noProof/>
        </w:rPr>
        <w:tab/>
      </w:r>
      <w:r w:rsidRPr="003D7B82">
        <w:rPr>
          <w:noProof/>
          <w:lang w:val="en-IE"/>
        </w:rPr>
        <w:t>rules concerning the qualification as significant emissions reduction</w:t>
      </w:r>
      <w:r w:rsidR="0023034C" w:rsidRPr="003D7B82">
        <w:rPr>
          <w:noProof/>
          <w:lang w:val="en-IE"/>
        </w:rPr>
        <w:t>;</w:t>
      </w:r>
      <w:r w:rsidR="00FF67ED" w:rsidRPr="003D7B82">
        <w:rPr>
          <w:noProof/>
          <w:lang w:val="en-IE"/>
        </w:rPr>
        <w:t xml:space="preserve"> </w:t>
      </w:r>
    </w:p>
    <w:p w14:paraId="5DB5FA9C" w14:textId="77777777" w:rsidR="00C92FB3" w:rsidRPr="003D7B82" w:rsidRDefault="00C92FB3" w:rsidP="004823A1">
      <w:pPr>
        <w:pStyle w:val="Point2"/>
        <w:rPr>
          <w:noProof/>
          <w:lang w:val="en-IE"/>
        </w:rPr>
      </w:pPr>
      <w:r>
        <w:rPr>
          <w:noProof/>
        </w:rPr>
        <w:t>(c)</w:t>
      </w:r>
      <w:r>
        <w:rPr>
          <w:noProof/>
        </w:rPr>
        <w:tab/>
      </w:r>
      <w:r>
        <w:rPr>
          <w:noProof/>
          <w:lang w:val="en-IE"/>
        </w:rPr>
        <w:t xml:space="preserve">a methodology for determining </w:t>
      </w:r>
      <w:r w:rsidR="00DB28EA">
        <w:rPr>
          <w:noProof/>
          <w:lang w:val="en-IE"/>
        </w:rPr>
        <w:t>whether the measures and investments listed in the Invest in EU decarbonisation plan lead to significant emissions reduction;</w:t>
      </w:r>
    </w:p>
    <w:p w14:paraId="295C0E50" w14:textId="77777777" w:rsidR="00FD2FA8" w:rsidRPr="003D7B82" w:rsidRDefault="00FD2FA8" w:rsidP="004823A1">
      <w:pPr>
        <w:pStyle w:val="Point2"/>
        <w:rPr>
          <w:noProof/>
          <w:lang w:val="en-IE"/>
        </w:rPr>
      </w:pPr>
      <w:r>
        <w:rPr>
          <w:noProof/>
        </w:rPr>
        <w:t>(d)</w:t>
      </w:r>
      <w:r>
        <w:rPr>
          <w:noProof/>
        </w:rPr>
        <w:tab/>
      </w:r>
      <w:r w:rsidRPr="003D7B82">
        <w:rPr>
          <w:noProof/>
          <w:lang w:val="en-IE"/>
        </w:rPr>
        <w:t>the detailed timeline for the submission of the Invest in EU decarbonisation plans</w:t>
      </w:r>
      <w:r w:rsidR="00C3535A" w:rsidRPr="003D7B82">
        <w:rPr>
          <w:noProof/>
          <w:lang w:val="en-IE"/>
        </w:rPr>
        <w:t>;</w:t>
      </w:r>
    </w:p>
    <w:p w14:paraId="4B9DCC28" w14:textId="77777777" w:rsidR="00F72D52" w:rsidRPr="003D7B82" w:rsidRDefault="003E5224" w:rsidP="004823A1">
      <w:pPr>
        <w:pStyle w:val="Point2"/>
        <w:rPr>
          <w:noProof/>
          <w:lang w:val="en-IE"/>
        </w:rPr>
      </w:pPr>
      <w:r>
        <w:rPr>
          <w:noProof/>
        </w:rPr>
        <w:t>(e)</w:t>
      </w:r>
      <w:r>
        <w:rPr>
          <w:noProof/>
        </w:rPr>
        <w:tab/>
      </w:r>
      <w:r w:rsidRPr="003D7B82">
        <w:rPr>
          <w:noProof/>
          <w:lang w:val="en-IE"/>
        </w:rPr>
        <w:t>the methodology for determining the economic value of the quantity of free allowances received;</w:t>
      </w:r>
    </w:p>
    <w:p w14:paraId="11D6C677" w14:textId="6586E532" w:rsidR="00216158" w:rsidRPr="003D7B82" w:rsidRDefault="00216158" w:rsidP="004823A1">
      <w:pPr>
        <w:pStyle w:val="Point2"/>
        <w:rPr>
          <w:noProof/>
          <w:lang w:val="en-IE"/>
        </w:rPr>
      </w:pPr>
      <w:r>
        <w:rPr>
          <w:noProof/>
        </w:rPr>
        <w:t>(f)</w:t>
      </w:r>
      <w:r>
        <w:rPr>
          <w:noProof/>
        </w:rPr>
        <w:tab/>
      </w:r>
      <w:r>
        <w:rPr>
          <w:noProof/>
          <w:lang w:val="en-IE"/>
        </w:rPr>
        <w:t>rules regarding the reimbursement of allowances under paragraph 3c, second subparagraph;</w:t>
      </w:r>
    </w:p>
    <w:p w14:paraId="7FAE041A" w14:textId="63EA6C2D" w:rsidR="00C202CE" w:rsidRPr="003D7B82" w:rsidRDefault="00FF67ED" w:rsidP="004823A1">
      <w:pPr>
        <w:pStyle w:val="Point2"/>
        <w:rPr>
          <w:noProof/>
          <w:lang w:val="en-IE"/>
        </w:rPr>
      </w:pPr>
      <w:r>
        <w:rPr>
          <w:noProof/>
        </w:rPr>
        <w:t>(g)</w:t>
      </w:r>
      <w:r>
        <w:rPr>
          <w:noProof/>
        </w:rPr>
        <w:tab/>
      </w:r>
      <w:r w:rsidRPr="003D7B82">
        <w:rPr>
          <w:noProof/>
          <w:lang w:val="en-IE"/>
        </w:rPr>
        <w:t xml:space="preserve">the </w:t>
      </w:r>
      <w:r w:rsidR="00A64583" w:rsidRPr="003D7B82">
        <w:rPr>
          <w:noProof/>
          <w:lang w:val="en-IE"/>
        </w:rPr>
        <w:t xml:space="preserve">requirements </w:t>
      </w:r>
      <w:r w:rsidR="00211621" w:rsidRPr="003D7B82">
        <w:rPr>
          <w:noProof/>
          <w:lang w:val="en-IE"/>
        </w:rPr>
        <w:t>for</w:t>
      </w:r>
      <w:r w:rsidR="00A64583" w:rsidRPr="003D7B82">
        <w:rPr>
          <w:noProof/>
          <w:lang w:val="en-IE"/>
        </w:rPr>
        <w:t xml:space="preserve"> installations </w:t>
      </w:r>
      <w:r w:rsidR="00211621" w:rsidRPr="003D7B82">
        <w:rPr>
          <w:noProof/>
          <w:lang w:val="en-IE"/>
        </w:rPr>
        <w:t>to qualify</w:t>
      </w:r>
      <w:r w:rsidR="00A64583" w:rsidRPr="003D7B82">
        <w:rPr>
          <w:noProof/>
          <w:lang w:val="en-IE"/>
        </w:rPr>
        <w:t xml:space="preserve"> as zero-emissions or low carbon</w:t>
      </w:r>
      <w:r w:rsidR="00922BC1" w:rsidRPr="003D7B82">
        <w:rPr>
          <w:noProof/>
          <w:lang w:val="en-IE"/>
        </w:rPr>
        <w:t xml:space="preserve"> </w:t>
      </w:r>
      <w:r w:rsidR="00FD596A" w:rsidRPr="003D7B82">
        <w:rPr>
          <w:noProof/>
          <w:lang w:val="en-IE"/>
        </w:rPr>
        <w:t xml:space="preserve">under </w:t>
      </w:r>
      <w:r w:rsidR="0033132C">
        <w:rPr>
          <w:noProof/>
          <w:lang w:val="en-IE"/>
        </w:rPr>
        <w:t>paragraph 3c,</w:t>
      </w:r>
      <w:r w:rsidR="0033132C" w:rsidRPr="003D7B82">
        <w:rPr>
          <w:noProof/>
          <w:lang w:val="en-IE"/>
        </w:rPr>
        <w:t xml:space="preserve"> </w:t>
      </w:r>
      <w:r>
        <w:rPr>
          <w:noProof/>
          <w:lang w:val="en-IE"/>
        </w:rPr>
        <w:t>sixth</w:t>
      </w:r>
      <w:r w:rsidR="006A5E79" w:rsidRPr="003D7B82">
        <w:rPr>
          <w:noProof/>
          <w:lang w:val="en-IE"/>
        </w:rPr>
        <w:t xml:space="preserve"> </w:t>
      </w:r>
      <w:r w:rsidR="00414C7D" w:rsidRPr="003D7B82">
        <w:rPr>
          <w:noProof/>
          <w:lang w:val="en-IE"/>
        </w:rPr>
        <w:t>subparagraph</w:t>
      </w:r>
      <w:r w:rsidR="00B243EC" w:rsidRPr="003D7B82">
        <w:rPr>
          <w:noProof/>
          <w:lang w:val="en-IE"/>
        </w:rPr>
        <w:t>;</w:t>
      </w:r>
      <w:r w:rsidRPr="003D7B82">
        <w:rPr>
          <w:noProof/>
          <w:lang w:val="en-IE"/>
        </w:rPr>
        <w:t xml:space="preserve"> </w:t>
      </w:r>
    </w:p>
    <w:p w14:paraId="51E05706" w14:textId="745052CD" w:rsidR="008335E7" w:rsidRPr="003D7B82" w:rsidRDefault="008335E7" w:rsidP="004823A1">
      <w:pPr>
        <w:pStyle w:val="Point2"/>
        <w:rPr>
          <w:noProof/>
          <w:lang w:val="en-IE"/>
        </w:rPr>
      </w:pPr>
      <w:r>
        <w:rPr>
          <w:noProof/>
        </w:rPr>
        <w:t>(h)</w:t>
      </w:r>
      <w:r>
        <w:rPr>
          <w:noProof/>
        </w:rPr>
        <w:tab/>
      </w:r>
      <w:r w:rsidRPr="003D7B82">
        <w:rPr>
          <w:noProof/>
          <w:lang w:val="en-IE"/>
        </w:rPr>
        <w:t xml:space="preserve">the detailed conditions that shall apply to the derogations under </w:t>
      </w:r>
      <w:r w:rsidR="00B439AA">
        <w:rPr>
          <w:noProof/>
          <w:lang w:val="en-IE"/>
        </w:rPr>
        <w:t>paragraph 3c</w:t>
      </w:r>
      <w:r w:rsidR="00C66C00">
        <w:rPr>
          <w:noProof/>
          <w:lang w:val="en-IE"/>
        </w:rPr>
        <w:t xml:space="preserve">, </w:t>
      </w:r>
      <w:r>
        <w:rPr>
          <w:noProof/>
          <w:lang w:val="en-IE"/>
        </w:rPr>
        <w:t>fifth</w:t>
      </w:r>
      <w:r w:rsidR="00275310">
        <w:rPr>
          <w:noProof/>
          <w:lang w:val="en-IE"/>
        </w:rPr>
        <w:t xml:space="preserve"> </w:t>
      </w:r>
      <w:r w:rsidR="006238CB" w:rsidRPr="003D7B82">
        <w:rPr>
          <w:noProof/>
          <w:lang w:val="en-IE"/>
        </w:rPr>
        <w:t xml:space="preserve">and </w:t>
      </w:r>
      <w:r>
        <w:rPr>
          <w:noProof/>
          <w:lang w:val="en-IE"/>
        </w:rPr>
        <w:t>sixth</w:t>
      </w:r>
      <w:r w:rsidR="00771588">
        <w:rPr>
          <w:noProof/>
          <w:lang w:val="en-IE"/>
        </w:rPr>
        <w:t xml:space="preserve"> </w:t>
      </w:r>
      <w:r w:rsidRPr="003D7B82">
        <w:rPr>
          <w:noProof/>
          <w:lang w:val="en-IE"/>
        </w:rPr>
        <w:t>subparagraphs</w:t>
      </w:r>
      <w:r w:rsidR="00F55710">
        <w:rPr>
          <w:noProof/>
          <w:lang w:val="en-IE"/>
        </w:rPr>
        <w:t>;</w:t>
      </w:r>
    </w:p>
    <w:p w14:paraId="26776B81" w14:textId="77777777" w:rsidR="00C202CE" w:rsidRPr="003D7B82" w:rsidRDefault="00FF67ED" w:rsidP="004823A1">
      <w:pPr>
        <w:pStyle w:val="Point2"/>
        <w:rPr>
          <w:noProof/>
          <w:lang w:val="en-IE"/>
        </w:rPr>
      </w:pPr>
      <w:r>
        <w:rPr>
          <w:noProof/>
        </w:rPr>
        <w:t>(i)</w:t>
      </w:r>
      <w:r>
        <w:rPr>
          <w:noProof/>
        </w:rPr>
        <w:tab/>
      </w:r>
      <w:r w:rsidRPr="003D7B82">
        <w:rPr>
          <w:noProof/>
          <w:lang w:val="en-IE"/>
        </w:rPr>
        <w:t xml:space="preserve">the details of the application procedure to form a pool, including the minimum content and detailed conditions for the application to form a pool pursuant to paragraph </w:t>
      </w:r>
      <w:r w:rsidR="00DB5F67">
        <w:rPr>
          <w:noProof/>
          <w:lang w:val="en-IE"/>
        </w:rPr>
        <w:t>3d</w:t>
      </w:r>
      <w:r w:rsidRPr="003D7B82">
        <w:rPr>
          <w:noProof/>
          <w:lang w:val="en-IE"/>
        </w:rPr>
        <w:t xml:space="preserve"> (including for installations in multiple Member States)</w:t>
      </w:r>
      <w:r w:rsidR="00FD2FA8" w:rsidRPr="003D7B82">
        <w:rPr>
          <w:noProof/>
          <w:lang w:val="en-IE"/>
        </w:rPr>
        <w:t xml:space="preserve"> and detailed timeline for its submission to the competent authority</w:t>
      </w:r>
      <w:r w:rsidR="0023034C" w:rsidRPr="003D7B82">
        <w:rPr>
          <w:noProof/>
          <w:lang w:val="en-IE"/>
        </w:rPr>
        <w:t>;</w:t>
      </w:r>
    </w:p>
    <w:p w14:paraId="4E640409" w14:textId="77777777" w:rsidR="00B243EC" w:rsidRPr="003D7B82" w:rsidRDefault="003E5224" w:rsidP="004823A1">
      <w:pPr>
        <w:pStyle w:val="Point2"/>
        <w:rPr>
          <w:noProof/>
          <w:lang w:val="en-IE"/>
        </w:rPr>
      </w:pPr>
      <w:r>
        <w:rPr>
          <w:noProof/>
        </w:rPr>
        <w:t>(j)</w:t>
      </w:r>
      <w:r>
        <w:rPr>
          <w:noProof/>
        </w:rPr>
        <w:tab/>
      </w:r>
      <w:r w:rsidRPr="003D7B82">
        <w:rPr>
          <w:noProof/>
          <w:lang w:val="en-IE"/>
        </w:rPr>
        <w:t>the</w:t>
      </w:r>
      <w:r w:rsidR="00FB487A" w:rsidRPr="003D7B82">
        <w:rPr>
          <w:noProof/>
          <w:lang w:val="en-IE"/>
        </w:rPr>
        <w:t xml:space="preserve"> </w:t>
      </w:r>
      <w:r w:rsidRPr="003D7B82">
        <w:rPr>
          <w:noProof/>
          <w:lang w:val="en-IE"/>
        </w:rPr>
        <w:t xml:space="preserve">liability distribution for the fulfilment of investment requirements referred to in </w:t>
      </w:r>
      <w:r w:rsidR="00C226ED">
        <w:rPr>
          <w:noProof/>
          <w:lang w:val="en-IE"/>
        </w:rPr>
        <w:t>paragprah 3b,</w:t>
      </w:r>
      <w:r w:rsidR="00C226ED" w:rsidRPr="003D7B82">
        <w:rPr>
          <w:noProof/>
          <w:lang w:val="en-IE"/>
        </w:rPr>
        <w:t xml:space="preserve"> </w:t>
      </w:r>
      <w:r w:rsidRPr="003D7B82">
        <w:rPr>
          <w:noProof/>
          <w:lang w:val="en-IE"/>
        </w:rPr>
        <w:t>fifth subparagraph</w:t>
      </w:r>
      <w:r w:rsidR="00C226ED">
        <w:rPr>
          <w:noProof/>
          <w:lang w:val="en-IE"/>
        </w:rPr>
        <w:t xml:space="preserve">, </w:t>
      </w:r>
      <w:r w:rsidRPr="003D7B82">
        <w:rPr>
          <w:noProof/>
          <w:lang w:val="en-IE"/>
        </w:rPr>
        <w:t>when operators choose to form a pool</w:t>
      </w:r>
      <w:r w:rsidR="008335E7" w:rsidRPr="003D7B82">
        <w:rPr>
          <w:noProof/>
          <w:lang w:val="en-IE"/>
        </w:rPr>
        <w:t>.</w:t>
      </w:r>
      <w:r w:rsidR="00273134" w:rsidRPr="003D7B82">
        <w:rPr>
          <w:noProof/>
          <w:lang w:val="en-IE"/>
        </w:rPr>
        <w:tab/>
      </w:r>
    </w:p>
    <w:p w14:paraId="6DFBB4BE" w14:textId="77777777" w:rsidR="00426947" w:rsidRPr="00273134" w:rsidRDefault="00273134" w:rsidP="00B243EC">
      <w:pPr>
        <w:pStyle w:val="Text2"/>
        <w:rPr>
          <w:noProof/>
          <w:lang w:val="en-IE"/>
        </w:rPr>
      </w:pPr>
      <w:r>
        <w:rPr>
          <w:noProof/>
          <w:lang w:val="en-IE"/>
        </w:rPr>
        <w:t xml:space="preserve">When determining the </w:t>
      </w:r>
      <w:r w:rsidRPr="00A64583">
        <w:rPr>
          <w:noProof/>
          <w:lang w:val="en-IE"/>
        </w:rPr>
        <w:t xml:space="preserve">requirements </w:t>
      </w:r>
      <w:r>
        <w:rPr>
          <w:noProof/>
          <w:lang w:val="en-IE"/>
        </w:rPr>
        <w:t>for</w:t>
      </w:r>
      <w:r w:rsidRPr="00A64583">
        <w:rPr>
          <w:noProof/>
          <w:lang w:val="en-IE"/>
        </w:rPr>
        <w:t xml:space="preserve"> installations </w:t>
      </w:r>
      <w:r>
        <w:rPr>
          <w:noProof/>
          <w:lang w:val="en-IE"/>
        </w:rPr>
        <w:t>to qualify</w:t>
      </w:r>
      <w:r w:rsidRPr="00A64583">
        <w:rPr>
          <w:noProof/>
          <w:lang w:val="en-IE"/>
        </w:rPr>
        <w:t xml:space="preserve"> as zero</w:t>
      </w:r>
      <w:r w:rsidR="00080559">
        <w:rPr>
          <w:noProof/>
          <w:lang w:val="en-IE"/>
        </w:rPr>
        <w:t xml:space="preserve"> </w:t>
      </w:r>
      <w:r w:rsidRPr="00A64583">
        <w:rPr>
          <w:noProof/>
          <w:lang w:val="en-IE"/>
        </w:rPr>
        <w:t>emissions or low carbon</w:t>
      </w:r>
      <w:r>
        <w:rPr>
          <w:noProof/>
          <w:lang w:val="en-IE"/>
        </w:rPr>
        <w:t xml:space="preserve">, the Commission shall take into account </w:t>
      </w:r>
      <w:r w:rsidRPr="00A64583">
        <w:rPr>
          <w:noProof/>
          <w:lang w:val="en-IE"/>
        </w:rPr>
        <w:t xml:space="preserve">the estimated sector specific emissions reductions </w:t>
      </w:r>
      <w:r>
        <w:rPr>
          <w:noProof/>
          <w:lang w:val="en-IE"/>
        </w:rPr>
        <w:t xml:space="preserve">that are </w:t>
      </w:r>
      <w:r w:rsidRPr="00A64583">
        <w:rPr>
          <w:noProof/>
          <w:lang w:val="en-IE"/>
        </w:rPr>
        <w:t>necessary by 2040 and 2050</w:t>
      </w:r>
      <w:r>
        <w:rPr>
          <w:noProof/>
          <w:lang w:val="en-IE"/>
        </w:rPr>
        <w:t xml:space="preserve"> to be in line with </w:t>
      </w:r>
      <w:r w:rsidRPr="0068075C">
        <w:rPr>
          <w:noProof/>
          <w:lang w:val="en-IE"/>
        </w:rPr>
        <w:t>the climate-neutrality objective set out in Article 2(1) of Regulation (EU) 2021/1119</w:t>
      </w:r>
      <w:r w:rsidRPr="00A64583">
        <w:rPr>
          <w:noProof/>
          <w:lang w:val="en-IE"/>
        </w:rPr>
        <w:t>, as well as the available low carbon technologies and other abatement options available for each sector</w:t>
      </w:r>
      <w:r>
        <w:rPr>
          <w:noProof/>
          <w:lang w:val="en-IE"/>
        </w:rPr>
        <w:t xml:space="preserve">, taking into account the net-zero </w:t>
      </w:r>
      <w:r w:rsidRPr="001753BD">
        <w:rPr>
          <w:noProof/>
          <w:lang w:val="en-IE"/>
        </w:rPr>
        <w:t xml:space="preserve">technologies listed in Article 4 of </w:t>
      </w:r>
      <w:r w:rsidRPr="00572EE2">
        <w:rPr>
          <w:noProof/>
          <w:lang w:val="en-IE"/>
        </w:rPr>
        <w:t>Regulation (EU) 2024/1735</w:t>
      </w:r>
      <w:r>
        <w:rPr>
          <w:noProof/>
          <w:lang w:val="en-IE"/>
        </w:rPr>
        <w:t>.</w:t>
      </w:r>
    </w:p>
    <w:bookmarkEnd w:id="11"/>
    <w:p w14:paraId="6C51D74E" w14:textId="77777777" w:rsidR="001C6E1A" w:rsidRDefault="00FF67ED" w:rsidP="00FF67ED">
      <w:pPr>
        <w:pStyle w:val="Text2"/>
        <w:rPr>
          <w:noProof/>
          <w:lang w:val="en-IE"/>
        </w:rPr>
      </w:pPr>
      <w:r w:rsidRPr="00FF67ED">
        <w:rPr>
          <w:noProof/>
          <w:lang w:val="en-IE"/>
        </w:rPr>
        <w:t xml:space="preserve">The Commission </w:t>
      </w:r>
      <w:r w:rsidR="00395FA3">
        <w:rPr>
          <w:noProof/>
          <w:lang w:val="en-IE"/>
        </w:rPr>
        <w:t>is empowered to adopt</w:t>
      </w:r>
      <w:r w:rsidRPr="00FF67ED">
        <w:rPr>
          <w:noProof/>
          <w:lang w:val="en-IE"/>
        </w:rPr>
        <w:t xml:space="preserve"> implementing acts to specify</w:t>
      </w:r>
      <w:r w:rsidR="001C6E1A">
        <w:rPr>
          <w:noProof/>
          <w:lang w:val="en-IE"/>
        </w:rPr>
        <w:t xml:space="preserve"> the following:</w:t>
      </w:r>
    </w:p>
    <w:p w14:paraId="4AA9FEDC" w14:textId="77777777" w:rsidR="005E0E3B" w:rsidRDefault="006628D6" w:rsidP="005E0E3B">
      <w:pPr>
        <w:pStyle w:val="Point2"/>
        <w:ind w:firstLine="0"/>
        <w:rPr>
          <w:noProof/>
          <w:lang w:val="en-IE"/>
        </w:rPr>
      </w:pPr>
      <w:r>
        <w:rPr>
          <w:noProof/>
          <w:lang w:val="en-IE"/>
        </w:rPr>
        <w:t xml:space="preserve">(i) </w:t>
      </w:r>
      <w:r w:rsidR="00FF67ED" w:rsidRPr="003D7B82">
        <w:rPr>
          <w:noProof/>
          <w:lang w:val="en-IE"/>
        </w:rPr>
        <w:t xml:space="preserve">the content of the information referred to in the </w:t>
      </w:r>
      <w:r w:rsidR="00A45861" w:rsidRPr="003D7B82">
        <w:rPr>
          <w:noProof/>
          <w:lang w:val="en-IE"/>
        </w:rPr>
        <w:t xml:space="preserve">fourth </w:t>
      </w:r>
      <w:r w:rsidR="00FF67ED" w:rsidRPr="003D7B82">
        <w:rPr>
          <w:noProof/>
          <w:lang w:val="en-IE"/>
        </w:rPr>
        <w:t xml:space="preserve">subparagraph of paragraph </w:t>
      </w:r>
      <w:r w:rsidR="00BA5E2E">
        <w:rPr>
          <w:noProof/>
          <w:lang w:val="en-IE"/>
        </w:rPr>
        <w:t>3b</w:t>
      </w:r>
      <w:r w:rsidR="00FF67ED" w:rsidRPr="003D7B82">
        <w:rPr>
          <w:noProof/>
          <w:lang w:val="en-IE"/>
        </w:rPr>
        <w:t>, points (a)</w:t>
      </w:r>
      <w:r w:rsidR="004D30F7">
        <w:rPr>
          <w:noProof/>
          <w:lang w:val="en-IE"/>
        </w:rPr>
        <w:t xml:space="preserve"> and</w:t>
      </w:r>
      <w:r w:rsidR="00FF67ED" w:rsidRPr="003D7B82">
        <w:rPr>
          <w:noProof/>
          <w:lang w:val="en-IE"/>
        </w:rPr>
        <w:t>(b)</w:t>
      </w:r>
      <w:r w:rsidR="0023034C" w:rsidRPr="003D7B82">
        <w:rPr>
          <w:noProof/>
          <w:lang w:val="en-IE"/>
        </w:rPr>
        <w:t>;</w:t>
      </w:r>
    </w:p>
    <w:p w14:paraId="7AFA641F" w14:textId="28CC8F81" w:rsidR="00926E5C" w:rsidRPr="0066613A" w:rsidRDefault="00A9373E" w:rsidP="005E0E3B">
      <w:pPr>
        <w:pStyle w:val="Point2"/>
        <w:ind w:firstLine="0"/>
        <w:rPr>
          <w:noProof/>
          <w:lang w:val="en-IE"/>
        </w:rPr>
      </w:pPr>
      <w:r>
        <w:rPr>
          <w:noProof/>
          <w:lang w:val="en-IE"/>
        </w:rPr>
        <w:t xml:space="preserve">(ii) </w:t>
      </w:r>
      <w:r w:rsidR="00FF67ED" w:rsidRPr="0066613A">
        <w:rPr>
          <w:noProof/>
          <w:lang w:val="en-IE"/>
        </w:rPr>
        <w:t xml:space="preserve">the format of the </w:t>
      </w:r>
      <w:r w:rsidR="00E54C64" w:rsidRPr="0066613A">
        <w:rPr>
          <w:noProof/>
          <w:lang w:val="en-IE"/>
        </w:rPr>
        <w:t>Invest in EU decarbonisation plans</w:t>
      </w:r>
      <w:r w:rsidR="00853E8C" w:rsidRPr="0066613A">
        <w:rPr>
          <w:noProof/>
          <w:lang w:val="en-IE"/>
        </w:rPr>
        <w:t>.</w:t>
      </w:r>
    </w:p>
    <w:p w14:paraId="72DFFD95" w14:textId="77777777" w:rsidR="0025026E" w:rsidRDefault="00DB70B3" w:rsidP="003E5224">
      <w:pPr>
        <w:pStyle w:val="Text2"/>
        <w:rPr>
          <w:noProof/>
          <w:lang w:val="en-IE"/>
        </w:rPr>
      </w:pPr>
      <w:r>
        <w:rPr>
          <w:noProof/>
          <w:lang w:val="en-IE"/>
        </w:rPr>
        <w:t xml:space="preserve">When specifying the </w:t>
      </w:r>
      <w:r w:rsidR="0025026E">
        <w:rPr>
          <w:noProof/>
          <w:lang w:val="en-IE"/>
        </w:rPr>
        <w:t>format and content of the Invest in EU decarbonisation plans, t</w:t>
      </w:r>
      <w:r w:rsidR="00FF67ED" w:rsidRPr="00A027A1">
        <w:rPr>
          <w:noProof/>
          <w:lang w:val="en-IE"/>
        </w:rPr>
        <w:t>he Commission shall seek synergies with similar plans as provided for in Union law</w:t>
      </w:r>
      <w:r w:rsidR="00C7088D">
        <w:rPr>
          <w:noProof/>
          <w:lang w:val="en-IE"/>
        </w:rPr>
        <w:t xml:space="preserve"> and aim to provide for a simple format for the Invest in EU decarbonisation plans</w:t>
      </w:r>
      <w:r w:rsidR="00FF67ED" w:rsidRPr="00A027A1">
        <w:rPr>
          <w:noProof/>
          <w:lang w:val="en-IE"/>
        </w:rPr>
        <w:t xml:space="preserve">. </w:t>
      </w:r>
    </w:p>
    <w:p w14:paraId="161034F1" w14:textId="77777777" w:rsidR="00FF67ED" w:rsidRPr="00A027A1" w:rsidRDefault="000C3587" w:rsidP="003E5224">
      <w:pPr>
        <w:pStyle w:val="Text2"/>
        <w:rPr>
          <w:noProof/>
          <w:lang w:val="en-IE"/>
        </w:rPr>
      </w:pPr>
      <w:r>
        <w:rPr>
          <w:noProof/>
          <w:lang w:val="en-IE"/>
        </w:rPr>
        <w:t>Such</w:t>
      </w:r>
      <w:r w:rsidR="00FF67ED" w:rsidRPr="00A027A1">
        <w:rPr>
          <w:noProof/>
          <w:lang w:val="en-IE"/>
        </w:rPr>
        <w:t xml:space="preserve"> implementing acts shall be adopted in accordance with the examination procedure referred to in Article 22a(2).’;</w:t>
      </w:r>
    </w:p>
    <w:p w14:paraId="06CBC61D" w14:textId="4F398D60" w:rsidR="00FF67ED" w:rsidRDefault="00FF67ED">
      <w:pPr>
        <w:pStyle w:val="Point1"/>
        <w:rPr>
          <w:noProof/>
          <w:lang w:val="en-IE"/>
        </w:rPr>
      </w:pPr>
      <w:r>
        <w:rPr>
          <w:noProof/>
        </w:rPr>
        <w:t>(e)</w:t>
      </w:r>
      <w:r>
        <w:rPr>
          <w:noProof/>
        </w:rPr>
        <w:tab/>
      </w:r>
      <w:r w:rsidRPr="00FF67ED">
        <w:rPr>
          <w:noProof/>
          <w:lang w:val="en-IE"/>
        </w:rPr>
        <w:t xml:space="preserve">the following paragraph is added after paragraph </w:t>
      </w:r>
      <w:r w:rsidR="006C4DB4">
        <w:rPr>
          <w:noProof/>
          <w:lang w:val="en-IE"/>
        </w:rPr>
        <w:t>3e</w:t>
      </w:r>
      <w:r w:rsidRPr="00FF67ED">
        <w:rPr>
          <w:noProof/>
          <w:lang w:val="en-IE"/>
        </w:rPr>
        <w:t>:</w:t>
      </w:r>
    </w:p>
    <w:p w14:paraId="527C01BA" w14:textId="77777777" w:rsidR="00FF67ED" w:rsidRDefault="00FF67ED" w:rsidP="00FF67ED">
      <w:pPr>
        <w:pStyle w:val="Text2"/>
        <w:rPr>
          <w:noProof/>
          <w:lang w:val="en-IE"/>
        </w:rPr>
      </w:pPr>
      <w:r w:rsidRPr="00FF67ED">
        <w:rPr>
          <w:noProof/>
          <w:lang w:val="en-IE"/>
        </w:rPr>
        <w:t>‘</w:t>
      </w:r>
      <w:r w:rsidR="006C4DB4">
        <w:rPr>
          <w:noProof/>
          <w:lang w:val="en-IE"/>
        </w:rPr>
        <w:t>3f</w:t>
      </w:r>
      <w:r w:rsidRPr="00FF67ED">
        <w:rPr>
          <w:noProof/>
          <w:lang w:val="en-IE"/>
        </w:rPr>
        <w:t>. Where an installation received more allowances than the amount to be allocated in accordance with the rules for free allocation laid down under this Article, the competent authority shall require the installation to return such excess allowances and instruct the national administrator to transfer returning excess allowances.’;</w:t>
      </w:r>
    </w:p>
    <w:p w14:paraId="7A5B2970" w14:textId="48858765" w:rsidR="00FF67ED" w:rsidRDefault="00FF67ED">
      <w:pPr>
        <w:pStyle w:val="Point1"/>
        <w:rPr>
          <w:noProof/>
          <w:lang w:val="en-IE"/>
        </w:rPr>
      </w:pPr>
      <w:r>
        <w:rPr>
          <w:noProof/>
        </w:rPr>
        <w:t>(f)</w:t>
      </w:r>
      <w:r>
        <w:rPr>
          <w:noProof/>
        </w:rPr>
        <w:tab/>
      </w:r>
      <w:r w:rsidRPr="00FF67ED">
        <w:rPr>
          <w:noProof/>
          <w:lang w:val="en-IE"/>
        </w:rPr>
        <w:t>paragraph 5a is replaced by the following:</w:t>
      </w:r>
    </w:p>
    <w:p w14:paraId="1651AAF8" w14:textId="4B5F7038" w:rsidR="00FF67ED" w:rsidRDefault="00FF67ED" w:rsidP="00FF67ED">
      <w:pPr>
        <w:pStyle w:val="Text2"/>
        <w:rPr>
          <w:noProof/>
          <w:lang w:val="en-IE"/>
        </w:rPr>
      </w:pPr>
      <w:r w:rsidRPr="00FF67ED">
        <w:rPr>
          <w:noProof/>
          <w:lang w:val="en-IE"/>
        </w:rPr>
        <w:t>‘5a. By way of derogation from paragraph 5</w:t>
      </w:r>
      <w:r w:rsidR="00B913A6">
        <w:rPr>
          <w:noProof/>
          <w:lang w:val="en-IE"/>
        </w:rPr>
        <w:t xml:space="preserve"> of this Article</w:t>
      </w:r>
      <w:r w:rsidRPr="00FF67ED">
        <w:rPr>
          <w:noProof/>
          <w:lang w:val="en-IE"/>
        </w:rPr>
        <w:t xml:space="preserve">, from the total quantity of allowances to be auctioned by the Member States pursuant to Article 10(1) between 2031 and 2040, an amount equivalent to </w:t>
      </w:r>
      <w:r w:rsidR="00100FD5">
        <w:rPr>
          <w:noProof/>
          <w:lang w:val="en-IE"/>
        </w:rPr>
        <w:t>4</w:t>
      </w:r>
      <w:r w:rsidR="00100FD5" w:rsidRPr="00FF67ED">
        <w:rPr>
          <w:noProof/>
          <w:lang w:val="en-IE"/>
        </w:rPr>
        <w:t xml:space="preserve"> </w:t>
      </w:r>
      <w:r w:rsidRPr="00FF67ED">
        <w:rPr>
          <w:noProof/>
          <w:lang w:val="en-IE"/>
        </w:rPr>
        <w:t>% of the Union-wide quantity of allowances referred to in Article 9</w:t>
      </w:r>
      <w:r w:rsidR="00C43B84">
        <w:rPr>
          <w:noProof/>
          <w:lang w:val="en-IE"/>
        </w:rPr>
        <w:t>,</w:t>
      </w:r>
      <w:r w:rsidRPr="00FF67ED">
        <w:rPr>
          <w:noProof/>
          <w:lang w:val="en-IE"/>
        </w:rPr>
        <w:t xml:space="preserve"> for the period 2031 and 2040, shall, to the extent necessary, be used to increase the maximum amount available under paragraph 5</w:t>
      </w:r>
      <w:r w:rsidR="00B913A6">
        <w:rPr>
          <w:noProof/>
          <w:lang w:val="en-IE"/>
        </w:rPr>
        <w:t xml:space="preserve"> of this Article</w:t>
      </w:r>
      <w:r w:rsidRPr="00FF67ED">
        <w:rPr>
          <w:noProof/>
          <w:lang w:val="en-IE"/>
        </w:rPr>
        <w:t>.’</w:t>
      </w:r>
    </w:p>
    <w:p w14:paraId="5618BA8B" w14:textId="45A81086" w:rsidR="00FF67ED" w:rsidRDefault="00FF67ED">
      <w:pPr>
        <w:pStyle w:val="Point1"/>
        <w:rPr>
          <w:noProof/>
          <w:lang w:val="en-IE"/>
        </w:rPr>
      </w:pPr>
      <w:r>
        <w:rPr>
          <w:noProof/>
        </w:rPr>
        <w:t>(g)</w:t>
      </w:r>
      <w:r>
        <w:rPr>
          <w:noProof/>
        </w:rPr>
        <w:tab/>
      </w:r>
      <w:r w:rsidRPr="00FF67ED">
        <w:rPr>
          <w:noProof/>
          <w:lang w:val="en-IE"/>
        </w:rPr>
        <w:t>paragraph 5b is replaced by the following</w:t>
      </w:r>
      <w:r>
        <w:rPr>
          <w:noProof/>
          <w:lang w:val="en-IE"/>
        </w:rPr>
        <w:t>:</w:t>
      </w:r>
    </w:p>
    <w:p w14:paraId="0DB94728" w14:textId="0BCB818A" w:rsidR="00FF67ED" w:rsidRPr="00FF67ED" w:rsidRDefault="00FF67ED" w:rsidP="00FF67ED">
      <w:pPr>
        <w:pStyle w:val="Text2"/>
        <w:rPr>
          <w:noProof/>
          <w:lang w:val="en-IE"/>
        </w:rPr>
      </w:pPr>
      <w:r w:rsidRPr="00FF67ED">
        <w:rPr>
          <w:noProof/>
          <w:lang w:val="en-IE"/>
        </w:rPr>
        <w:t xml:space="preserve">‘5b. </w:t>
      </w:r>
      <w:r>
        <w:rPr>
          <w:noProof/>
          <w:lang w:val="en-IE"/>
        </w:rPr>
        <w:t>Until the end of 2030, where</w:t>
      </w:r>
      <w:r w:rsidRPr="00FF67ED">
        <w:rPr>
          <w:noProof/>
          <w:lang w:val="en-IE"/>
        </w:rPr>
        <w:t xml:space="preserve"> less than </w:t>
      </w:r>
      <w:r>
        <w:rPr>
          <w:noProof/>
          <w:lang w:val="en-IE"/>
        </w:rPr>
        <w:t>3</w:t>
      </w:r>
      <w:r w:rsidRPr="00FF67ED" w:rsidDel="00100FD5">
        <w:rPr>
          <w:noProof/>
          <w:lang w:val="en-IE"/>
        </w:rPr>
        <w:t xml:space="preserve"> </w:t>
      </w:r>
      <w:r w:rsidRPr="00FF67ED">
        <w:rPr>
          <w:noProof/>
          <w:lang w:val="en-IE"/>
        </w:rPr>
        <w:t>% of the total quantity of allowances is needed to increase the maximum amount available under paragraph 5</w:t>
      </w:r>
      <w:r w:rsidR="00B005EB">
        <w:rPr>
          <w:noProof/>
          <w:lang w:val="en-IE"/>
        </w:rPr>
        <w:t xml:space="preserve"> of this Article</w:t>
      </w:r>
      <w:r w:rsidR="005F017C">
        <w:rPr>
          <w:noProof/>
          <w:lang w:val="en-IE"/>
        </w:rPr>
        <w:t xml:space="preserve">, </w:t>
      </w:r>
      <w:r>
        <w:rPr>
          <w:noProof/>
          <w:lang w:val="en-IE"/>
        </w:rPr>
        <w:t xml:space="preserve">and from 2031 to 2040 where less than 4% of the total quantity of allowances is needed to increase the maximum amount available under paragraph 5 of this Article, </w:t>
      </w:r>
      <w:r w:rsidR="005F017C">
        <w:rPr>
          <w:noProof/>
          <w:lang w:val="en-IE"/>
        </w:rPr>
        <w:t>the following shall apply</w:t>
      </w:r>
      <w:r w:rsidRPr="00FF67ED">
        <w:rPr>
          <w:noProof/>
          <w:lang w:val="en-IE"/>
        </w:rPr>
        <w:t>:</w:t>
      </w:r>
    </w:p>
    <w:p w14:paraId="17EB8926" w14:textId="230FB3BC" w:rsidR="00FF67ED" w:rsidRPr="00E57DF8" w:rsidRDefault="011F23B0">
      <w:pPr>
        <w:pStyle w:val="Point2"/>
        <w:rPr>
          <w:noProof/>
          <w:lang w:val="en-IE"/>
        </w:rPr>
      </w:pPr>
      <w:r>
        <w:rPr>
          <w:noProof/>
        </w:rPr>
        <w:t>(a)</w:t>
      </w:r>
      <w:r>
        <w:rPr>
          <w:noProof/>
        </w:rPr>
        <w:tab/>
      </w:r>
      <w:r w:rsidRPr="00E57DF8">
        <w:rPr>
          <w:noProof/>
          <w:lang w:val="en-IE"/>
        </w:rPr>
        <w:t xml:space="preserve">a maximum of </w:t>
      </w:r>
      <w:r w:rsidR="4BF0E146" w:rsidRPr="00E57DF8">
        <w:rPr>
          <w:noProof/>
          <w:lang w:val="en-IE"/>
        </w:rPr>
        <w:t>50</w:t>
      </w:r>
      <w:r w:rsidR="692E2D8C" w:rsidRPr="00E57DF8">
        <w:rPr>
          <w:noProof/>
          <w:lang w:val="en-IE"/>
        </w:rPr>
        <w:t xml:space="preserve"> </w:t>
      </w:r>
      <w:r w:rsidRPr="00E57DF8">
        <w:rPr>
          <w:noProof/>
          <w:lang w:val="en-IE"/>
        </w:rPr>
        <w:t xml:space="preserve">million allowances shall be used to increase the amount of allowances available to support innovation in accordance with </w:t>
      </w:r>
      <w:r>
        <w:rPr>
          <w:noProof/>
          <w:lang w:val="en-IE"/>
        </w:rPr>
        <w:t>the Innovation Fund established p</w:t>
      </w:r>
      <w:r>
        <w:rPr>
          <w:rFonts w:eastAsiaTheme="minorEastAsia"/>
          <w:noProof/>
          <w:szCs w:val="24"/>
          <w:lang w:val="en-IE"/>
        </w:rPr>
        <w:t>ursuant to Article 10a(8) or</w:t>
      </w:r>
      <w:r>
        <w:rPr>
          <w:rFonts w:asciiTheme="minorHAnsi" w:eastAsiaTheme="minorEastAsia" w:hAnsiTheme="minorHAnsi" w:cstheme="minorBidi"/>
          <w:noProof/>
          <w:szCs w:val="24"/>
          <w:lang w:val="en-IE"/>
        </w:rPr>
        <w:t xml:space="preserve"> </w:t>
      </w:r>
      <w:r w:rsidRPr="00E57DF8">
        <w:rPr>
          <w:noProof/>
          <w:lang w:val="en-IE"/>
        </w:rPr>
        <w:t xml:space="preserve">Article </w:t>
      </w:r>
      <w:r w:rsidR="3B665B7E" w:rsidRPr="00E57DF8">
        <w:rPr>
          <w:noProof/>
          <w:lang w:val="en-IE"/>
        </w:rPr>
        <w:t>10cb</w:t>
      </w:r>
      <w:r w:rsidRPr="00E57DF8">
        <w:rPr>
          <w:noProof/>
          <w:lang w:val="en-IE"/>
        </w:rPr>
        <w:t xml:space="preserve">; </w:t>
      </w:r>
    </w:p>
    <w:p w14:paraId="41F93273" w14:textId="77777777" w:rsidR="00FF67ED" w:rsidRPr="00E57DF8" w:rsidRDefault="00FF67ED">
      <w:pPr>
        <w:pStyle w:val="Point2"/>
        <w:rPr>
          <w:noProof/>
          <w:lang w:val="en-IE"/>
        </w:rPr>
      </w:pPr>
      <w:r>
        <w:rPr>
          <w:noProof/>
        </w:rPr>
        <w:t>(b)</w:t>
      </w:r>
      <w:r>
        <w:rPr>
          <w:noProof/>
        </w:rPr>
        <w:tab/>
      </w:r>
      <w:r w:rsidRPr="00E57DF8">
        <w:rPr>
          <w:noProof/>
          <w:lang w:val="en-IE"/>
        </w:rPr>
        <w:t xml:space="preserve">any remaining allowances shall be used in accordance with Article </w:t>
      </w:r>
      <w:r w:rsidR="00565443" w:rsidRPr="00E57DF8">
        <w:rPr>
          <w:noProof/>
          <w:lang w:val="en-IE"/>
        </w:rPr>
        <w:t>10cc</w:t>
      </w:r>
      <w:r w:rsidRPr="00E57DF8">
        <w:rPr>
          <w:noProof/>
          <w:lang w:val="en-IE"/>
        </w:rPr>
        <w:t>.’;</w:t>
      </w:r>
    </w:p>
    <w:p w14:paraId="10112FBC" w14:textId="19353997" w:rsidR="00FF67ED" w:rsidRPr="00FF67ED" w:rsidRDefault="00FF67ED">
      <w:pPr>
        <w:pStyle w:val="Point1"/>
        <w:rPr>
          <w:noProof/>
          <w:lang w:val="en-IE"/>
        </w:rPr>
      </w:pPr>
      <w:r>
        <w:rPr>
          <w:noProof/>
        </w:rPr>
        <w:t>(h)</w:t>
      </w:r>
      <w:r>
        <w:rPr>
          <w:noProof/>
        </w:rPr>
        <w:tab/>
      </w:r>
      <w:r w:rsidRPr="00FF67ED">
        <w:rPr>
          <w:noProof/>
          <w:lang w:val="en-IE"/>
        </w:rPr>
        <w:t xml:space="preserve">paragraph 6 is replaced </w:t>
      </w:r>
      <w:r>
        <w:rPr>
          <w:noProof/>
          <w:lang w:val="en-IE"/>
        </w:rPr>
        <w:t>by the following:</w:t>
      </w:r>
      <w:r w:rsidRPr="00FF67ED">
        <w:rPr>
          <w:noProof/>
          <w:lang w:val="en-IE"/>
        </w:rPr>
        <w:t xml:space="preserve"> </w:t>
      </w:r>
    </w:p>
    <w:p w14:paraId="7E60FD7C" w14:textId="77777777" w:rsidR="00FF67ED" w:rsidRPr="00FF67ED" w:rsidRDefault="00FF67ED" w:rsidP="00FF67ED">
      <w:pPr>
        <w:pStyle w:val="Text2"/>
        <w:rPr>
          <w:noProof/>
          <w:lang w:val="en-IE"/>
        </w:rPr>
      </w:pPr>
      <w:r w:rsidRPr="00FF67ED">
        <w:rPr>
          <w:noProof/>
          <w:lang w:val="en-IE"/>
        </w:rPr>
        <w:t>‘</w:t>
      </w:r>
      <w:r w:rsidR="00B005EB">
        <w:rPr>
          <w:noProof/>
          <w:lang w:val="en-IE"/>
        </w:rPr>
        <w:t xml:space="preserve">6. </w:t>
      </w:r>
      <w:r w:rsidRPr="00FF67ED">
        <w:rPr>
          <w:noProof/>
          <w:lang w:val="en-IE"/>
        </w:rPr>
        <w:t>Member States should adopt financial measures in accordance with the second and fourth subparagraphs of this paragraph in favour of sectors or subsectors which are exposed to a genuine risk of carbon leakage due to significant indirect costs that are actually incurred from greenhouse gas emission costs passed on in electricity prices, provided that such financial measures are in accordance with State aid rules, and in particular do not cause undue distortions of competition in the internal market. The financial measures adopted should not compensate indirect costs covered by free allocation in accordance with the benchmarks established pursuant to paragraph 1.</w:t>
      </w:r>
    </w:p>
    <w:p w14:paraId="69E9751B" w14:textId="77777777" w:rsidR="000A6A1B" w:rsidRDefault="00FF67ED" w:rsidP="00FF67ED">
      <w:pPr>
        <w:pStyle w:val="Text2"/>
        <w:rPr>
          <w:noProof/>
          <w:lang w:val="en-IE"/>
        </w:rPr>
      </w:pPr>
      <w:r w:rsidRPr="00FF67ED">
        <w:rPr>
          <w:noProof/>
          <w:lang w:val="en-IE"/>
        </w:rPr>
        <w:t xml:space="preserve">Member States shall also seek to use no more than 25 % of the revenues generated from the auctioning of allowances for the financial measures referred to in the first subparagraph. </w:t>
      </w:r>
    </w:p>
    <w:p w14:paraId="3C3E7EC6" w14:textId="77777777" w:rsidR="00FF67ED" w:rsidRPr="00FF67ED" w:rsidRDefault="00FF67ED" w:rsidP="00FF67ED">
      <w:pPr>
        <w:pStyle w:val="Text2"/>
        <w:rPr>
          <w:noProof/>
          <w:lang w:val="en-IE"/>
        </w:rPr>
      </w:pPr>
      <w:r w:rsidRPr="00FF67ED">
        <w:rPr>
          <w:noProof/>
          <w:lang w:val="en-IE"/>
        </w:rPr>
        <w:t xml:space="preserve">Member States that have </w:t>
      </w:r>
      <w:r w:rsidR="00582F4E">
        <w:rPr>
          <w:noProof/>
          <w:lang w:val="en-IE"/>
        </w:rPr>
        <w:t xml:space="preserve">the </w:t>
      </w:r>
      <w:r w:rsidRPr="00FF67ED">
        <w:rPr>
          <w:noProof/>
          <w:lang w:val="en-IE"/>
        </w:rPr>
        <w:t xml:space="preserve">financial measures </w:t>
      </w:r>
      <w:r w:rsidR="00582F4E" w:rsidRPr="00FF67ED">
        <w:rPr>
          <w:noProof/>
          <w:lang w:val="en-IE"/>
        </w:rPr>
        <w:t>referred to in the first subparagraph</w:t>
      </w:r>
      <w:r w:rsidRPr="00FF67ED">
        <w:rPr>
          <w:noProof/>
          <w:lang w:val="en-IE"/>
        </w:rPr>
        <w:t xml:space="preserve"> in place shall inform the Commission as to the total amount of compensation provided per benefitting sector and subsector in their reports submitted under Regulation (EU) 2018/1999, as well as information on the implementation of the measures and their contribution to decarbonisation. In addition, in any year in which a Member State uses more than 25 % of the</w:t>
      </w:r>
      <w:r w:rsidR="00FF480D">
        <w:rPr>
          <w:noProof/>
          <w:lang w:val="en-IE"/>
        </w:rPr>
        <w:t>ir</w:t>
      </w:r>
      <w:r w:rsidRPr="00FF67ED">
        <w:rPr>
          <w:noProof/>
          <w:lang w:val="en-IE"/>
        </w:rPr>
        <w:t xml:space="preserve"> revenues generated from the auctioning of allowances for such purposes, it shall set out the reasons for exceeding that amount and shall include relevant information on electricity prices for large industrial consumers benefiting from such financial measures, without prejudice to requirements regarding the protection of confidential information, as well as include information on whether due consideration has been given to other measures to sustainably lower indirect carbon costs in the medium to long term.</w:t>
      </w:r>
    </w:p>
    <w:p w14:paraId="44925655" w14:textId="77777777" w:rsidR="00FF67ED" w:rsidRPr="00FF67ED" w:rsidRDefault="00FF67ED" w:rsidP="00FF67ED">
      <w:pPr>
        <w:pStyle w:val="Text2"/>
        <w:rPr>
          <w:noProof/>
          <w:lang w:val="en-IE"/>
        </w:rPr>
      </w:pPr>
      <w:r w:rsidRPr="00FF67ED">
        <w:rPr>
          <w:noProof/>
          <w:lang w:val="en-IE"/>
        </w:rPr>
        <w:t>The Commission shall include in the report provided for in Article 10(5), inter alia, an assessment of the effects of such financial measures on the internal market and, where appropriate, recommend any measures that may be necessary pursuant to that assessment.</w:t>
      </w:r>
    </w:p>
    <w:p w14:paraId="3D06E401" w14:textId="77777777" w:rsidR="00FF67ED" w:rsidRDefault="00FF67ED" w:rsidP="00FF67ED">
      <w:pPr>
        <w:pStyle w:val="Text2"/>
        <w:rPr>
          <w:noProof/>
        </w:rPr>
      </w:pPr>
      <w:r w:rsidRPr="35B12F22">
        <w:rPr>
          <w:noProof/>
        </w:rPr>
        <w:t xml:space="preserve">Those measures shall be such as to ensure that there is adequate protection against the risk of carbon leakage, based on </w:t>
      </w:r>
      <w:r w:rsidRPr="00620F3F">
        <w:rPr>
          <w:i/>
          <w:noProof/>
        </w:rPr>
        <w:t>ex</w:t>
      </w:r>
      <w:r w:rsidR="00C83BC2">
        <w:rPr>
          <w:i/>
          <w:noProof/>
        </w:rPr>
        <w:t xml:space="preserve"> </w:t>
      </w:r>
      <w:r w:rsidRPr="00620F3F">
        <w:rPr>
          <w:i/>
          <w:noProof/>
        </w:rPr>
        <w:t>ante</w:t>
      </w:r>
      <w:r w:rsidRPr="35B12F22">
        <w:rPr>
          <w:noProof/>
        </w:rPr>
        <w:t xml:space="preserve"> benchmarks for the indirect emissions of CO</w:t>
      </w:r>
      <w:r w:rsidRPr="00620F3F">
        <w:rPr>
          <w:noProof/>
          <w:vertAlign w:val="subscript"/>
        </w:rPr>
        <w:t>2</w:t>
      </w:r>
      <w:r w:rsidRPr="35B12F22">
        <w:rPr>
          <w:noProof/>
        </w:rPr>
        <w:t xml:space="preserve"> per unit of production. Those </w:t>
      </w:r>
      <w:r w:rsidRPr="00620F3F">
        <w:rPr>
          <w:i/>
          <w:noProof/>
        </w:rPr>
        <w:t>ex</w:t>
      </w:r>
      <w:r w:rsidR="00C83BC2">
        <w:rPr>
          <w:i/>
          <w:noProof/>
        </w:rPr>
        <w:t xml:space="preserve"> </w:t>
      </w:r>
      <w:r w:rsidRPr="00620F3F">
        <w:rPr>
          <w:i/>
          <w:noProof/>
        </w:rPr>
        <w:t>ante</w:t>
      </w:r>
      <w:r w:rsidRPr="35B12F22">
        <w:rPr>
          <w:noProof/>
        </w:rPr>
        <w:t xml:space="preserve"> benchmarks shall be calculated for a given sector or subsector as the product of the electricity consumption per unit of production corresponding to the most efficient available technologies and of the CO</w:t>
      </w:r>
      <w:r w:rsidRPr="00620F3F">
        <w:rPr>
          <w:noProof/>
          <w:vertAlign w:val="subscript"/>
        </w:rPr>
        <w:t>2</w:t>
      </w:r>
      <w:r w:rsidRPr="35B12F22">
        <w:rPr>
          <w:noProof/>
        </w:rPr>
        <w:t xml:space="preserve"> emissions of the relevant electricity production mix.’;</w:t>
      </w:r>
    </w:p>
    <w:p w14:paraId="4C65CE22" w14:textId="182F7EDD" w:rsidR="006A26AD" w:rsidRPr="00B97C25" w:rsidRDefault="006A26AD">
      <w:pPr>
        <w:pStyle w:val="Point1"/>
        <w:rPr>
          <w:noProof/>
          <w:lang w:val="en-IE"/>
        </w:rPr>
      </w:pPr>
      <w:r>
        <w:rPr>
          <w:noProof/>
        </w:rPr>
        <w:t>(i)</w:t>
      </w:r>
      <w:r>
        <w:rPr>
          <w:noProof/>
        </w:rPr>
        <w:tab/>
      </w:r>
      <w:r w:rsidRPr="0066613A">
        <w:rPr>
          <w:noProof/>
          <w:lang w:val="en-IE"/>
        </w:rPr>
        <w:t>paragra</w:t>
      </w:r>
      <w:r w:rsidR="006D0406" w:rsidRPr="0066613A">
        <w:rPr>
          <w:noProof/>
          <w:lang w:val="en-IE"/>
        </w:rPr>
        <w:t>p</w:t>
      </w:r>
      <w:r w:rsidRPr="0066613A">
        <w:rPr>
          <w:noProof/>
          <w:lang w:val="en-IE"/>
        </w:rPr>
        <w:t>h</w:t>
      </w:r>
      <w:r w:rsidRPr="00B97C25">
        <w:rPr>
          <w:noProof/>
          <w:lang w:val="en-IE"/>
        </w:rPr>
        <w:t xml:space="preserve"> 7 is amended as follows: </w:t>
      </w:r>
    </w:p>
    <w:p w14:paraId="78A1CB09" w14:textId="33397B83" w:rsidR="00FF67ED" w:rsidRPr="004B49C5" w:rsidRDefault="00FF67ED">
      <w:pPr>
        <w:pStyle w:val="Point1"/>
        <w:ind w:left="2268" w:hanging="850"/>
        <w:rPr>
          <w:noProof/>
          <w:lang w:val="en-IE"/>
        </w:rPr>
      </w:pPr>
      <w:r>
        <w:rPr>
          <w:noProof/>
        </w:rPr>
        <w:t>(i)</w:t>
      </w:r>
      <w:r>
        <w:rPr>
          <w:noProof/>
        </w:rPr>
        <w:tab/>
      </w:r>
      <w:r w:rsidRPr="004B49C5">
        <w:rPr>
          <w:noProof/>
          <w:lang w:val="en-IE"/>
        </w:rPr>
        <w:t>the first subparagraph is replaced by the following:</w:t>
      </w:r>
    </w:p>
    <w:p w14:paraId="71F70C8E" w14:textId="77777777" w:rsidR="00FF67ED" w:rsidRPr="00FF67ED" w:rsidRDefault="00FF67ED">
      <w:pPr>
        <w:pStyle w:val="Text2"/>
        <w:ind w:left="2160"/>
        <w:rPr>
          <w:noProof/>
          <w:lang w:val="en-IE"/>
        </w:rPr>
      </w:pPr>
      <w:r w:rsidRPr="00FF67ED">
        <w:rPr>
          <w:noProof/>
          <w:lang w:val="en-IE"/>
        </w:rPr>
        <w:t xml:space="preserve">‘Allowances from the maximum amount referred to in paragraph 5 of this Article which were not allocated for free by 2020 shall be set aside for new entrants, together with </w:t>
      </w:r>
      <w:r w:rsidR="00520596">
        <w:rPr>
          <w:noProof/>
          <w:lang w:val="en-IE"/>
        </w:rPr>
        <w:t>200</w:t>
      </w:r>
      <w:r w:rsidRPr="00FF67ED">
        <w:rPr>
          <w:noProof/>
          <w:lang w:val="en-IE"/>
        </w:rPr>
        <w:t xml:space="preserve"> million allowances placed in the market stability reserve pursuant to Article 1(3) of Decision (EU) 2015/1814 and </w:t>
      </w:r>
      <w:r w:rsidR="00520596">
        <w:rPr>
          <w:noProof/>
          <w:lang w:val="en-IE"/>
        </w:rPr>
        <w:t xml:space="preserve">50 </w:t>
      </w:r>
      <w:r w:rsidRPr="00FF67ED">
        <w:rPr>
          <w:noProof/>
          <w:lang w:val="en-IE"/>
        </w:rPr>
        <w:t xml:space="preserve">million allowances from the quantity of allowances resulting from the reduction of free allocation referred to in paragraph 1a of this Article.’; </w:t>
      </w:r>
    </w:p>
    <w:p w14:paraId="2DA9A031" w14:textId="4A883793" w:rsidR="00FF67ED" w:rsidRPr="00FF67ED" w:rsidRDefault="00FF67ED">
      <w:pPr>
        <w:pStyle w:val="Point1"/>
        <w:ind w:left="2268" w:hanging="785"/>
        <w:rPr>
          <w:noProof/>
          <w:lang w:val="en-IE"/>
        </w:rPr>
      </w:pPr>
      <w:r>
        <w:rPr>
          <w:noProof/>
        </w:rPr>
        <w:t>(ii)</w:t>
      </w:r>
      <w:r>
        <w:rPr>
          <w:noProof/>
        </w:rPr>
        <w:tab/>
      </w:r>
      <w:r w:rsidRPr="00FF67ED">
        <w:rPr>
          <w:noProof/>
          <w:lang w:val="en-IE"/>
        </w:rPr>
        <w:t>the third subparagraph is deleted;</w:t>
      </w:r>
    </w:p>
    <w:p w14:paraId="5F735456" w14:textId="26A5903E" w:rsidR="00FF67ED" w:rsidRPr="00FF67ED" w:rsidRDefault="00FF67ED">
      <w:pPr>
        <w:pStyle w:val="Point1"/>
        <w:rPr>
          <w:noProof/>
          <w:lang w:val="en-IE"/>
        </w:rPr>
      </w:pPr>
      <w:r>
        <w:rPr>
          <w:noProof/>
        </w:rPr>
        <w:t>(j)</w:t>
      </w:r>
      <w:r>
        <w:rPr>
          <w:noProof/>
        </w:rPr>
        <w:tab/>
      </w:r>
      <w:r w:rsidRPr="00FF67ED">
        <w:rPr>
          <w:noProof/>
          <w:lang w:val="en-IE"/>
        </w:rPr>
        <w:t>paragraphs 8 and 8a are deleted;</w:t>
      </w:r>
    </w:p>
    <w:p w14:paraId="66774D98" w14:textId="2C0F43C3" w:rsidR="00FF67ED" w:rsidRPr="00B97C25" w:rsidRDefault="00FF67ED" w:rsidP="005E0E3B">
      <w:pPr>
        <w:pStyle w:val="Point0"/>
        <w:rPr>
          <w:noProof/>
        </w:rPr>
      </w:pPr>
      <w:r>
        <w:rPr>
          <w:noProof/>
        </w:rPr>
        <w:t>(16)</w:t>
      </w:r>
      <w:r>
        <w:rPr>
          <w:noProof/>
        </w:rPr>
        <w:tab/>
      </w:r>
      <w:r w:rsidRPr="00B97C25">
        <w:rPr>
          <w:noProof/>
        </w:rPr>
        <w:t>Article 10b is amended as follows:</w:t>
      </w:r>
    </w:p>
    <w:p w14:paraId="09E89EB5" w14:textId="6D958F51" w:rsidR="00FF67ED" w:rsidRPr="00530238" w:rsidRDefault="00FF67ED">
      <w:pPr>
        <w:pStyle w:val="Point1"/>
        <w:rPr>
          <w:noProof/>
          <w:lang w:val="en-IE"/>
        </w:rPr>
      </w:pPr>
      <w:r>
        <w:rPr>
          <w:noProof/>
        </w:rPr>
        <w:t>(a)</w:t>
      </w:r>
      <w:r>
        <w:rPr>
          <w:noProof/>
        </w:rPr>
        <w:tab/>
      </w:r>
      <w:r w:rsidRPr="00530238">
        <w:rPr>
          <w:noProof/>
          <w:lang w:val="en-IE"/>
        </w:rPr>
        <w:t xml:space="preserve">in paragraph 1, </w:t>
      </w:r>
      <w:r w:rsidR="00D276A9" w:rsidRPr="00530238">
        <w:rPr>
          <w:noProof/>
          <w:lang w:val="en-IE"/>
        </w:rPr>
        <w:t>second sentence,</w:t>
      </w:r>
      <w:r w:rsidRPr="00530238">
        <w:rPr>
          <w:noProof/>
          <w:lang w:val="en-IE"/>
        </w:rPr>
        <w:t xml:space="preserve"> ‘2030’ is replaced by ‘2040’; </w:t>
      </w:r>
    </w:p>
    <w:p w14:paraId="3C1D3B1A" w14:textId="0C54E748" w:rsidR="00FF67ED" w:rsidRPr="00FF67ED" w:rsidRDefault="00FF67ED" w:rsidP="00B97C25">
      <w:pPr>
        <w:pStyle w:val="Point1"/>
        <w:rPr>
          <w:noProof/>
          <w:lang w:val="en-IE"/>
        </w:rPr>
      </w:pPr>
      <w:r>
        <w:rPr>
          <w:noProof/>
        </w:rPr>
        <w:t>(b)</w:t>
      </w:r>
      <w:r>
        <w:rPr>
          <w:noProof/>
        </w:rPr>
        <w:tab/>
      </w:r>
      <w:r w:rsidRPr="00FF67ED">
        <w:rPr>
          <w:noProof/>
          <w:lang w:val="en-IE"/>
        </w:rPr>
        <w:t>in paragraph 4, the first subparagraph is replaced by the following:</w:t>
      </w:r>
    </w:p>
    <w:p w14:paraId="48713ADF" w14:textId="77777777" w:rsidR="00FF67ED" w:rsidRDefault="00FF67ED" w:rsidP="00FF67ED">
      <w:pPr>
        <w:pStyle w:val="Text2"/>
        <w:rPr>
          <w:noProof/>
          <w:lang w:val="en-IE"/>
        </w:rPr>
      </w:pPr>
      <w:r w:rsidRPr="00FF67ED">
        <w:rPr>
          <w:noProof/>
          <w:lang w:val="en-IE"/>
        </w:rPr>
        <w:t>‘4. Other sectors and subsectors are considered to be able to pass on more of the costs of allowances in product prices, and shall be allocated allowances free of charge at 30 % of the quantity determined pursuant to Article 10a. Unless otherwise decided in the review pursuant to Article 30, free allocations to other sectors and subsectors, except district heating, shall decrease by equal amounts after 2026 so as to reach a level of no free allocation in 2030. Free allocation to district heating shall decrease by equal amounts after 2030 so as to reach a level of no free allocation in 2040.’;</w:t>
      </w:r>
    </w:p>
    <w:p w14:paraId="3AEC6277" w14:textId="2C4FB36A" w:rsidR="00FF67ED" w:rsidRPr="00B97C25" w:rsidRDefault="00565443" w:rsidP="005E0E3B">
      <w:pPr>
        <w:pStyle w:val="Point0"/>
        <w:rPr>
          <w:noProof/>
        </w:rPr>
      </w:pPr>
      <w:r>
        <w:rPr>
          <w:noProof/>
        </w:rPr>
        <w:t>(17)</w:t>
      </w:r>
      <w:r>
        <w:rPr>
          <w:noProof/>
        </w:rPr>
        <w:tab/>
      </w:r>
      <w:r w:rsidRPr="00B97C25">
        <w:rPr>
          <w:noProof/>
        </w:rPr>
        <w:t>the following articles are inserted:</w:t>
      </w:r>
    </w:p>
    <w:p w14:paraId="198A46D3" w14:textId="77777777" w:rsidR="00FF67ED" w:rsidRPr="00FF67ED" w:rsidRDefault="00C6534E" w:rsidP="006109D5">
      <w:pPr>
        <w:pStyle w:val="Titrearticle"/>
        <w:rPr>
          <w:noProof/>
          <w:lang w:val="en-IE"/>
        </w:rPr>
      </w:pPr>
      <w:r>
        <w:rPr>
          <w:noProof/>
          <w:lang w:val="en-IE"/>
        </w:rPr>
        <w:t>‘</w:t>
      </w:r>
      <w:r w:rsidR="00FF67ED" w:rsidRPr="00FF67ED">
        <w:rPr>
          <w:noProof/>
          <w:lang w:val="en-IE"/>
        </w:rPr>
        <w:t xml:space="preserve">Article </w:t>
      </w:r>
      <w:r w:rsidR="00565443">
        <w:rPr>
          <w:noProof/>
          <w:lang w:val="en-IE"/>
        </w:rPr>
        <w:t>10cb</w:t>
      </w:r>
    </w:p>
    <w:p w14:paraId="68CBCD17" w14:textId="77777777" w:rsidR="00FF67ED" w:rsidRPr="00FF67ED" w:rsidRDefault="00FF67ED" w:rsidP="00FF67ED">
      <w:pPr>
        <w:jc w:val="center"/>
        <w:rPr>
          <w:b/>
          <w:bCs/>
          <w:noProof/>
          <w:lang w:val="en-IE"/>
        </w:rPr>
      </w:pPr>
      <w:r w:rsidRPr="00FF67ED">
        <w:rPr>
          <w:b/>
          <w:bCs/>
          <w:noProof/>
          <w:lang w:val="en-IE"/>
        </w:rPr>
        <w:t>Innovation Fund</w:t>
      </w:r>
    </w:p>
    <w:p w14:paraId="6D87CD49" w14:textId="77777777" w:rsidR="0066613A" w:rsidRDefault="00FF67ED" w:rsidP="004830AF">
      <w:pPr>
        <w:pStyle w:val="LegalNumPar"/>
        <w:numPr>
          <w:ilvl w:val="0"/>
          <w:numId w:val="27"/>
        </w:numPr>
        <w:spacing w:line="240" w:lineRule="auto"/>
        <w:ind w:left="0" w:firstLine="0"/>
        <w:rPr>
          <w:noProof/>
          <w:lang w:val="en-IE"/>
        </w:rPr>
      </w:pPr>
      <w:r w:rsidRPr="003D7B82">
        <w:rPr>
          <w:noProof/>
          <w:lang w:val="en-IE"/>
        </w:rPr>
        <w:t xml:space="preserve">A fund (the </w:t>
      </w:r>
      <w:r w:rsidR="00490091" w:rsidRPr="003D7B82">
        <w:rPr>
          <w:noProof/>
          <w:lang w:val="en-IE"/>
        </w:rPr>
        <w:t>‘</w:t>
      </w:r>
      <w:r w:rsidRPr="003D7B82">
        <w:rPr>
          <w:noProof/>
          <w:lang w:val="en-IE"/>
        </w:rPr>
        <w:t>Innovation Fund</w:t>
      </w:r>
      <w:r w:rsidR="00490091" w:rsidRPr="003D7B82">
        <w:rPr>
          <w:noProof/>
          <w:lang w:val="en-IE"/>
        </w:rPr>
        <w:t>’</w:t>
      </w:r>
      <w:r w:rsidRPr="003D7B82">
        <w:rPr>
          <w:noProof/>
          <w:lang w:val="en-IE"/>
        </w:rPr>
        <w:t xml:space="preserve">) is hereby established to support bringing innovation to market, and scaling-up low-, zero-carbon and carbon negative products, processes and technologies that contribute significantly to the decarbonisation of sectors covered by this Directive. </w:t>
      </w:r>
    </w:p>
    <w:p w14:paraId="0DDB52DF" w14:textId="77777777" w:rsidR="00FF67ED" w:rsidRPr="0066613A" w:rsidRDefault="70220B2E" w:rsidP="004830AF">
      <w:pPr>
        <w:pStyle w:val="LegalNumPar"/>
        <w:numPr>
          <w:ilvl w:val="0"/>
          <w:numId w:val="27"/>
        </w:numPr>
        <w:spacing w:line="240" w:lineRule="auto"/>
        <w:ind w:left="0" w:firstLine="0"/>
        <w:rPr>
          <w:noProof/>
          <w:lang w:val="en-IE"/>
        </w:rPr>
      </w:pPr>
      <w:r w:rsidRPr="0066613A">
        <w:rPr>
          <w:noProof/>
          <w:lang w:val="en-IE"/>
        </w:rPr>
        <w:t xml:space="preserve">The Innovation Fund shall be funded from the auctioning of </w:t>
      </w:r>
      <w:r w:rsidR="739C0A32" w:rsidRPr="0066613A">
        <w:rPr>
          <w:noProof/>
          <w:lang w:val="en-IE"/>
        </w:rPr>
        <w:t>200</w:t>
      </w:r>
      <w:r w:rsidRPr="0066613A">
        <w:rPr>
          <w:noProof/>
          <w:lang w:val="en-IE"/>
        </w:rPr>
        <w:t xml:space="preserve"> million allowances resulting from the reduction of free allocation in line with Article 10a(1a). To the extent that </w:t>
      </w:r>
      <w:r w:rsidR="0089302F" w:rsidRPr="0066613A">
        <w:rPr>
          <w:noProof/>
          <w:lang w:val="en-IE"/>
        </w:rPr>
        <w:t xml:space="preserve">fewer </w:t>
      </w:r>
      <w:r w:rsidRPr="0066613A">
        <w:rPr>
          <w:noProof/>
          <w:lang w:val="en-IE"/>
        </w:rPr>
        <w:t xml:space="preserve">than </w:t>
      </w:r>
      <w:r w:rsidR="739C0A32" w:rsidRPr="0066613A">
        <w:rPr>
          <w:noProof/>
          <w:lang w:val="en-IE"/>
        </w:rPr>
        <w:t>50</w:t>
      </w:r>
      <w:r w:rsidRPr="0066613A">
        <w:rPr>
          <w:noProof/>
          <w:lang w:val="en-IE"/>
        </w:rPr>
        <w:t xml:space="preserve"> million allowances remain available following the increase of the maximum amount under Article 10a(5) in accordance with Article 10a(5b), the difference shall be made available to the Innovation Fund from the quantity which could otherwise be auctioned pursuant to Article 10 in 2028.</w:t>
      </w:r>
    </w:p>
    <w:p w14:paraId="3206F779" w14:textId="77777777" w:rsidR="00FF67ED" w:rsidRPr="00FF67ED" w:rsidRDefault="00FF67ED" w:rsidP="003D7B82">
      <w:pPr>
        <w:pStyle w:val="LegalNumPar"/>
        <w:numPr>
          <w:ilvl w:val="0"/>
          <w:numId w:val="0"/>
        </w:numPr>
        <w:spacing w:line="240" w:lineRule="auto"/>
        <w:rPr>
          <w:noProof/>
          <w:lang w:val="en-IE"/>
        </w:rPr>
      </w:pPr>
      <w:r w:rsidRPr="00FF67ED">
        <w:rPr>
          <w:noProof/>
          <w:lang w:val="en-IE"/>
        </w:rPr>
        <w:t>Allowances destined for the Innovation Fund shall be auctioned in accordance with Article 10(4), with proceeds constituting external assigned revenue under Article 21(5) of Regulation (EU, Euratom) 2024/2509. The Commission shall ensure adequate resources are available for annual actions under the Innovation Fund. To this end, budgetary commitments may be broken down into annual instalments and resources be frontloaded while ensuring a balanced distribution of the fund allowances over time.</w:t>
      </w:r>
    </w:p>
    <w:p w14:paraId="5050BB37" w14:textId="77777777" w:rsidR="00FF67ED" w:rsidRPr="00FF67ED" w:rsidRDefault="00FF67ED" w:rsidP="003D7B82">
      <w:pPr>
        <w:pStyle w:val="LegalNumPar"/>
        <w:numPr>
          <w:ilvl w:val="0"/>
          <w:numId w:val="0"/>
        </w:numPr>
        <w:spacing w:line="240" w:lineRule="auto"/>
        <w:rPr>
          <w:noProof/>
          <w:lang w:val="en-IE"/>
        </w:rPr>
      </w:pPr>
      <w:r w:rsidRPr="00FF67ED">
        <w:rPr>
          <w:noProof/>
          <w:lang w:val="en-IE"/>
        </w:rPr>
        <w:t xml:space="preserve">Member States may </w:t>
      </w:r>
      <w:r w:rsidR="002D5915" w:rsidRPr="002D5915">
        <w:rPr>
          <w:noProof/>
          <w:lang w:val="en-IE"/>
        </w:rPr>
        <w:t xml:space="preserve">support projects that meet all selection criteria but cannot be funded from the relevant call budgets by making additional financial resources available. To this end, they shall notify the Commission of their intention to do so before the </w:t>
      </w:r>
      <w:r w:rsidR="002D5915">
        <w:rPr>
          <w:noProof/>
          <w:lang w:val="en-IE"/>
        </w:rPr>
        <w:t>closure</w:t>
      </w:r>
      <w:r w:rsidR="002D5915" w:rsidRPr="002D5915">
        <w:rPr>
          <w:noProof/>
          <w:lang w:val="en-IE"/>
        </w:rPr>
        <w:t xml:space="preserve"> of the relevant call for proposals</w:t>
      </w:r>
      <w:r w:rsidRPr="00FF67ED">
        <w:rPr>
          <w:noProof/>
          <w:lang w:val="en-IE"/>
        </w:rPr>
        <w:t>.</w:t>
      </w:r>
    </w:p>
    <w:p w14:paraId="442B1A27" w14:textId="77777777" w:rsidR="00FF67ED" w:rsidRPr="00FF67ED" w:rsidRDefault="00FF67ED" w:rsidP="00F90D41">
      <w:pPr>
        <w:pStyle w:val="LegalNumPar"/>
        <w:spacing w:line="240" w:lineRule="auto"/>
        <w:ind w:left="0" w:firstLine="0"/>
        <w:rPr>
          <w:noProof/>
          <w:lang w:val="en-IE"/>
        </w:rPr>
      </w:pPr>
      <w:r w:rsidRPr="00FF67ED">
        <w:rPr>
          <w:noProof/>
          <w:lang w:val="en-IE"/>
        </w:rPr>
        <w:t xml:space="preserve">The Innovation Fund shall support projects in the territory of all Member States in sectors listed in Annex I and III, including products, technologies and processes substituting carbon-intensive ones; innovative renewable energy and energy storage technologies, including the manufacturing of clean technologies; </w:t>
      </w:r>
      <w:r w:rsidR="002260D7">
        <w:rPr>
          <w:noProof/>
          <w:lang w:val="en-IE"/>
        </w:rPr>
        <w:t xml:space="preserve">electrification; </w:t>
      </w:r>
      <w:r w:rsidRPr="00FF67ED">
        <w:rPr>
          <w:noProof/>
          <w:lang w:val="en-IE"/>
        </w:rPr>
        <w:t>environmentally safe carbon capture and utilisation (CCU) that contributes substantially to mitigating climate change, environmentally safe capture, transport and geological storage (CCS) of CO</w:t>
      </w:r>
      <w:r w:rsidRPr="007F5BCA">
        <w:rPr>
          <w:noProof/>
          <w:vertAlign w:val="subscript"/>
          <w:lang w:val="en-IE"/>
        </w:rPr>
        <w:t>2</w:t>
      </w:r>
      <w:r w:rsidRPr="00FF67ED">
        <w:rPr>
          <w:noProof/>
          <w:lang w:val="en-IE"/>
        </w:rPr>
        <w:t>, in particular for hard-to-abate industrial emissions; direct atmospheric CO</w:t>
      </w:r>
      <w:r w:rsidRPr="007F5BCA">
        <w:rPr>
          <w:noProof/>
          <w:vertAlign w:val="subscript"/>
          <w:lang w:val="en-IE"/>
        </w:rPr>
        <w:t>2</w:t>
      </w:r>
      <w:r w:rsidRPr="00FF67ED">
        <w:rPr>
          <w:noProof/>
          <w:lang w:val="en-IE"/>
        </w:rPr>
        <w:t xml:space="preserve"> capture with safe, sustainable and permanent storage (DACCS); </w:t>
      </w:r>
      <w:r w:rsidR="006441EF">
        <w:rPr>
          <w:noProof/>
          <w:lang w:val="en-IE"/>
        </w:rPr>
        <w:t xml:space="preserve">and </w:t>
      </w:r>
      <w:r w:rsidRPr="00FF67ED">
        <w:rPr>
          <w:noProof/>
          <w:lang w:val="en-IE"/>
        </w:rPr>
        <w:t>breakthrough innovative technologies and infrastructure, including electrification, production of low- and zero-carbon fuels, to decarbonise maritime and aviation. For the aviation and maritime sectors, the Innovation Fund may also support measures to reduce the overall climate impact, including non-CO</w:t>
      </w:r>
      <w:r w:rsidRPr="007F5BCA">
        <w:rPr>
          <w:noProof/>
          <w:vertAlign w:val="subscript"/>
          <w:lang w:val="en-IE"/>
        </w:rPr>
        <w:t>2</w:t>
      </w:r>
      <w:r w:rsidRPr="00FF67ED">
        <w:rPr>
          <w:noProof/>
          <w:lang w:val="en-IE"/>
        </w:rPr>
        <w:t xml:space="preserve"> effects.</w:t>
      </w:r>
    </w:p>
    <w:p w14:paraId="44971698" w14:textId="77777777" w:rsidR="00FF67ED" w:rsidRPr="00FF67ED" w:rsidRDefault="00FF67ED" w:rsidP="00F90D41">
      <w:pPr>
        <w:pStyle w:val="LegalNumPar"/>
        <w:spacing w:line="240" w:lineRule="auto"/>
        <w:ind w:left="0" w:firstLine="0"/>
        <w:rPr>
          <w:noProof/>
          <w:lang w:val="en-IE"/>
        </w:rPr>
      </w:pPr>
      <w:r w:rsidRPr="00FF67ED">
        <w:rPr>
          <w:noProof/>
          <w:lang w:val="en-IE"/>
        </w:rPr>
        <w:t>The Innovation Fund shall prioritise innovative technologies at a high level of technological readiness that are not yet commercially viable in line with the Union’s climate and energy targets as well as circularity objectives.</w:t>
      </w:r>
    </w:p>
    <w:p w14:paraId="734AA98C" w14:textId="77777777" w:rsidR="009F34C8" w:rsidRDefault="00612106" w:rsidP="00F90D41">
      <w:pPr>
        <w:pStyle w:val="LegalNumPar"/>
        <w:spacing w:line="240" w:lineRule="auto"/>
        <w:ind w:left="0" w:firstLine="0"/>
        <w:rPr>
          <w:noProof/>
        </w:rPr>
      </w:pPr>
      <w:r>
        <w:rPr>
          <w:noProof/>
        </w:rPr>
        <w:t xml:space="preserve">The </w:t>
      </w:r>
      <w:r w:rsidRPr="00304428">
        <w:rPr>
          <w:noProof/>
        </w:rPr>
        <w:t>Commission shall implement the Innovation Fund</w:t>
      </w:r>
      <w:r w:rsidRPr="00CD677C">
        <w:rPr>
          <w:noProof/>
        </w:rPr>
        <w:t xml:space="preserve"> </w:t>
      </w:r>
      <w:r w:rsidRPr="00304428">
        <w:rPr>
          <w:noProof/>
        </w:rPr>
        <w:t xml:space="preserve">in accordance </w:t>
      </w:r>
      <w:r w:rsidR="006F09E0">
        <w:rPr>
          <w:noProof/>
        </w:rPr>
        <w:t xml:space="preserve">with </w:t>
      </w:r>
      <w:r>
        <w:rPr>
          <w:noProof/>
        </w:rPr>
        <w:t>R</w:t>
      </w:r>
      <w:r w:rsidRPr="004537E1">
        <w:rPr>
          <w:noProof/>
        </w:rPr>
        <w:t xml:space="preserve">egulation </w:t>
      </w:r>
      <w:r w:rsidR="006F09E0" w:rsidRPr="006F09E0">
        <w:rPr>
          <w:noProof/>
        </w:rPr>
        <w:t>(EU, Euratom)</w:t>
      </w:r>
      <w:r w:rsidRPr="004537E1">
        <w:rPr>
          <w:noProof/>
        </w:rPr>
        <w:t xml:space="preserve"> 2024/2509</w:t>
      </w:r>
      <w:r w:rsidRPr="00304428">
        <w:rPr>
          <w:noProof/>
        </w:rPr>
        <w:t xml:space="preserve"> in direct management or in indirect management through bodies referred to in Article 62(1)(c) of t</w:t>
      </w:r>
      <w:r>
        <w:rPr>
          <w:noProof/>
        </w:rPr>
        <w:t>hat</w:t>
      </w:r>
      <w:r w:rsidRPr="00304428">
        <w:rPr>
          <w:noProof/>
        </w:rPr>
        <w:t xml:space="preserve"> Regulation.</w:t>
      </w:r>
    </w:p>
    <w:p w14:paraId="12574205" w14:textId="77777777" w:rsidR="009F34C8" w:rsidRDefault="009F34C8" w:rsidP="003D7B82">
      <w:pPr>
        <w:pStyle w:val="LegalNumPar"/>
        <w:numPr>
          <w:ilvl w:val="0"/>
          <w:numId w:val="0"/>
        </w:numPr>
        <w:spacing w:line="240" w:lineRule="auto"/>
        <w:rPr>
          <w:noProof/>
          <w:lang w:val="en-IE"/>
        </w:rPr>
      </w:pPr>
      <w:r w:rsidRPr="009F34C8">
        <w:rPr>
          <w:noProof/>
          <w:lang w:val="en-IE"/>
        </w:rPr>
        <w:t>The Innovation Fund shall be implemented in synergy with other Union programmes. An action that has received a Union contribution from another programme may also receive another contribution under the Innovation Fund. The rules of the relevant Union programme shall apply to the corresponding contribution and, if it is based on eligible costs, the cumulative support from the Innovation Fund and that other Union programme shall not exceed the total eligible costs of the action and may be calculated on a pro-rata basis.</w:t>
      </w:r>
    </w:p>
    <w:p w14:paraId="388C6B7F" w14:textId="77777777" w:rsidR="00FF67ED" w:rsidRPr="00FF67ED" w:rsidRDefault="00FF67ED" w:rsidP="003D7B82">
      <w:pPr>
        <w:pStyle w:val="LegalNumPar"/>
        <w:numPr>
          <w:ilvl w:val="0"/>
          <w:numId w:val="0"/>
        </w:numPr>
        <w:spacing w:line="240" w:lineRule="auto"/>
        <w:rPr>
          <w:noProof/>
          <w:lang w:val="en-IE"/>
        </w:rPr>
      </w:pPr>
      <w:r w:rsidRPr="00FF67ED">
        <w:rPr>
          <w:noProof/>
          <w:lang w:val="en-IE"/>
        </w:rPr>
        <w:t xml:space="preserve">Support from the Innovation Fund may take any form laid down in Regulation </w:t>
      </w:r>
      <w:r w:rsidR="006F09E0" w:rsidRPr="006F09E0">
        <w:rPr>
          <w:noProof/>
          <w:lang w:val="en-IE"/>
        </w:rPr>
        <w:t xml:space="preserve">(EU, Euratom) </w:t>
      </w:r>
      <w:r w:rsidRPr="00FF67ED">
        <w:rPr>
          <w:noProof/>
          <w:lang w:val="en-IE"/>
        </w:rPr>
        <w:t xml:space="preserve"> 2024/2509 where necessary to achieve the objective of this Directive. By way of derogation from Article 212(3) of Regulation </w:t>
      </w:r>
      <w:r w:rsidR="006F09E0" w:rsidRPr="006F09E0">
        <w:rPr>
          <w:noProof/>
          <w:lang w:val="en-IE"/>
        </w:rPr>
        <w:t xml:space="preserve">(EU, Euratom) </w:t>
      </w:r>
      <w:r w:rsidRPr="00FF67ED">
        <w:rPr>
          <w:noProof/>
          <w:lang w:val="en-IE"/>
        </w:rPr>
        <w:t>2024/2509 any revenue and repayments from instruments deployed under this Article paid back to the Commission shall be used for the Innovation Fund as external assigned revenue pursuant to Article 21(5) of Regulation 2024/2509.</w:t>
      </w:r>
    </w:p>
    <w:p w14:paraId="7E04AB05" w14:textId="77777777" w:rsidR="00FF67ED" w:rsidRPr="00FF67ED" w:rsidRDefault="007F3498" w:rsidP="003D7B82">
      <w:pPr>
        <w:pStyle w:val="LegalNumPar"/>
        <w:numPr>
          <w:ilvl w:val="0"/>
          <w:numId w:val="0"/>
        </w:numPr>
        <w:spacing w:line="240" w:lineRule="auto"/>
        <w:rPr>
          <w:noProof/>
          <w:lang w:val="en-IE"/>
        </w:rPr>
      </w:pPr>
      <w:r>
        <w:rPr>
          <w:noProof/>
          <w:lang w:val="en-IE"/>
        </w:rPr>
        <w:t>In accordance with</w:t>
      </w:r>
      <w:r w:rsidR="00FF67ED" w:rsidRPr="00FF67ED">
        <w:rPr>
          <w:noProof/>
          <w:lang w:val="en-IE"/>
        </w:rPr>
        <w:t xml:space="preserve"> Article 196(</w:t>
      </w:r>
      <w:r>
        <w:rPr>
          <w:noProof/>
          <w:lang w:val="en-IE"/>
        </w:rPr>
        <w:t>2</w:t>
      </w:r>
      <w:r w:rsidR="00FF67ED" w:rsidRPr="00FF67ED">
        <w:rPr>
          <w:noProof/>
          <w:lang w:val="en-IE"/>
        </w:rPr>
        <w:t>) of Regulation</w:t>
      </w:r>
      <w:r w:rsidR="006F09E0">
        <w:rPr>
          <w:noProof/>
          <w:lang w:val="en-IE"/>
        </w:rPr>
        <w:t xml:space="preserve"> </w:t>
      </w:r>
      <w:r w:rsidR="006F09E0" w:rsidRPr="006F09E0">
        <w:rPr>
          <w:noProof/>
          <w:lang w:val="en-IE"/>
        </w:rPr>
        <w:t>(EU, Euratom)</w:t>
      </w:r>
      <w:r w:rsidR="006F09E0">
        <w:rPr>
          <w:noProof/>
          <w:lang w:val="en-IE"/>
        </w:rPr>
        <w:t xml:space="preserve"> </w:t>
      </w:r>
      <w:r w:rsidR="006F09E0" w:rsidRPr="00FF67ED">
        <w:rPr>
          <w:noProof/>
          <w:lang w:val="en-IE"/>
        </w:rPr>
        <w:t>2024/2509</w:t>
      </w:r>
      <w:r w:rsidR="00FF67ED" w:rsidRPr="00FF67ED">
        <w:rPr>
          <w:noProof/>
          <w:lang w:val="en-IE"/>
        </w:rPr>
        <w:t>, financial contributions may, where necessary for the implementation of projects deemed essential for security and economic resilience, cover actions that started prior to the date of the submission of the proposal for those actions.</w:t>
      </w:r>
    </w:p>
    <w:p w14:paraId="1421CE63" w14:textId="77777777" w:rsidR="00FF67ED" w:rsidRPr="00FF67ED" w:rsidRDefault="00FF67ED" w:rsidP="003D7B82">
      <w:pPr>
        <w:pStyle w:val="LegalNumPar"/>
        <w:numPr>
          <w:ilvl w:val="0"/>
          <w:numId w:val="0"/>
        </w:numPr>
        <w:spacing w:line="240" w:lineRule="auto"/>
        <w:rPr>
          <w:noProof/>
          <w:lang w:val="en-IE"/>
        </w:rPr>
      </w:pPr>
      <w:r w:rsidRPr="00FF67ED">
        <w:rPr>
          <w:noProof/>
          <w:lang w:val="en-IE"/>
        </w:rPr>
        <w:t xml:space="preserve">Where the Commission decides to disburse the Innovation Fund support through contributions to the </w:t>
      </w:r>
      <w:r w:rsidR="000F1BE7">
        <w:rPr>
          <w:noProof/>
          <w:lang w:val="en-IE"/>
        </w:rPr>
        <w:t xml:space="preserve">ECF </w:t>
      </w:r>
      <w:r w:rsidRPr="00FF67ED">
        <w:rPr>
          <w:noProof/>
          <w:lang w:val="en-IE"/>
        </w:rPr>
        <w:t xml:space="preserve">InvestEU Instrument, the Innovation Fund support shall be implemented in accordance with the rules applicable to the </w:t>
      </w:r>
      <w:r w:rsidR="000F1BE7">
        <w:rPr>
          <w:noProof/>
          <w:lang w:val="en-IE"/>
        </w:rPr>
        <w:t xml:space="preserve">ECF </w:t>
      </w:r>
      <w:r w:rsidRPr="00FF67ED">
        <w:rPr>
          <w:noProof/>
          <w:lang w:val="en-IE"/>
        </w:rPr>
        <w:t xml:space="preserve">InvestEU Instrument. However, the eligibility of the projects shall be assessed in accordance with this Article. </w:t>
      </w:r>
    </w:p>
    <w:p w14:paraId="6FF77145" w14:textId="77777777" w:rsidR="00FF67ED" w:rsidRPr="00FF67ED" w:rsidRDefault="00FF67ED" w:rsidP="003D7B82">
      <w:pPr>
        <w:pStyle w:val="LegalNumPar"/>
        <w:numPr>
          <w:ilvl w:val="0"/>
          <w:numId w:val="0"/>
        </w:numPr>
        <w:spacing w:line="240" w:lineRule="auto"/>
        <w:rPr>
          <w:noProof/>
          <w:lang w:val="en-IE"/>
        </w:rPr>
      </w:pPr>
      <w:r w:rsidRPr="00FF67ED">
        <w:rPr>
          <w:noProof/>
          <w:lang w:val="en-IE"/>
        </w:rPr>
        <w:t>In the case of grants, projects shall be selected through open calls for proposals in a transparent manner. In preparing the calls for proposals, the Commission shall strive to ensure that all sectors are duly covered and that the selection process remains simple and accessible. The Commission shall take measures to ensure that the calls are communicated as widely as possible, and especially to small and medium-sized enterprises. Grant funding shall be disbursed subject to pre-determined milestones in line with project advancement.</w:t>
      </w:r>
    </w:p>
    <w:p w14:paraId="02C164F2" w14:textId="77777777" w:rsidR="00FF67ED" w:rsidRPr="00FF67ED" w:rsidRDefault="00FF67ED" w:rsidP="004F6AF9">
      <w:pPr>
        <w:pStyle w:val="LegalNumPar"/>
        <w:numPr>
          <w:ilvl w:val="0"/>
          <w:numId w:val="0"/>
        </w:numPr>
        <w:spacing w:line="240" w:lineRule="auto"/>
        <w:rPr>
          <w:noProof/>
          <w:lang w:val="en-IE"/>
        </w:rPr>
      </w:pPr>
      <w:r w:rsidRPr="00FF67ED">
        <w:rPr>
          <w:noProof/>
          <w:lang w:val="en-IE"/>
        </w:rPr>
        <w:t xml:space="preserve">The Commission may also select projects through competitive bidding. To deter speculative applications in calls for proposals or competitive bidding, the Commission may require </w:t>
      </w:r>
      <w:r>
        <w:rPr>
          <w:noProof/>
        </w:rPr>
        <w:t>applicants</w:t>
      </w:r>
      <w:r w:rsidRPr="004D19A1">
        <w:rPr>
          <w:noProof/>
        </w:rPr>
        <w:t xml:space="preserve"> to provide </w:t>
      </w:r>
      <w:r>
        <w:rPr>
          <w:noProof/>
        </w:rPr>
        <w:t xml:space="preserve">a </w:t>
      </w:r>
      <w:r w:rsidR="001C4EB1">
        <w:rPr>
          <w:noProof/>
        </w:rPr>
        <w:t xml:space="preserve">bid bond </w:t>
      </w:r>
      <w:r w:rsidR="001C4EB1" w:rsidRPr="004D19A1">
        <w:rPr>
          <w:noProof/>
        </w:rPr>
        <w:t>equivalent to a percentage share of the estimated total contract value, issued by an EU-authorised financial institution, as a guarantee of serious intent</w:t>
      </w:r>
      <w:r w:rsidR="001C4EB1">
        <w:rPr>
          <w:noProof/>
        </w:rPr>
        <w:t xml:space="preserve">. The Commission may also require </w:t>
      </w:r>
      <w:r w:rsidR="001C4EB1" w:rsidRPr="004D19A1">
        <w:rPr>
          <w:noProof/>
        </w:rPr>
        <w:t>a completion bond issued by an EU-authorised financial institution equivalent to a percentage share of the total maximum requested support.</w:t>
      </w:r>
      <w:r w:rsidR="003E233A">
        <w:rPr>
          <w:noProof/>
        </w:rPr>
        <w:t xml:space="preserve"> </w:t>
      </w:r>
      <w:r w:rsidR="00DF7094">
        <w:rPr>
          <w:noProof/>
        </w:rPr>
        <w:t>The Commissions shall call a bid bond or a completion bond</w:t>
      </w:r>
      <w:r w:rsidRPr="00FF67ED">
        <w:rPr>
          <w:noProof/>
          <w:lang w:val="en-IE"/>
        </w:rPr>
        <w:t xml:space="preserve"> in the event of non-fulfilment of the obligations and commitments outlined in the grant agreement or bid. </w:t>
      </w:r>
      <w:r w:rsidR="004F517D">
        <w:rPr>
          <w:noProof/>
          <w:lang w:val="en-IE"/>
        </w:rPr>
        <w:t>Any amount</w:t>
      </w:r>
      <w:r w:rsidRPr="00FF67ED">
        <w:rPr>
          <w:noProof/>
          <w:lang w:val="en-IE"/>
        </w:rPr>
        <w:t xml:space="preserve"> forfeited </w:t>
      </w:r>
      <w:r w:rsidR="0007033D">
        <w:rPr>
          <w:noProof/>
        </w:rPr>
        <w:t>in accordance with this paragraph</w:t>
      </w:r>
      <w:r w:rsidRPr="00FF67ED">
        <w:rPr>
          <w:noProof/>
          <w:lang w:val="en-IE"/>
        </w:rPr>
        <w:t xml:space="preserve"> shall be used for the Innovation Fund as external assigned revenue pursuant to Article 21(5) of Regulation 2024/2509.</w:t>
      </w:r>
    </w:p>
    <w:p w14:paraId="504A5B93" w14:textId="77777777" w:rsidR="00FF67ED" w:rsidRPr="00FF67ED" w:rsidRDefault="00FF67ED" w:rsidP="00F90D41">
      <w:pPr>
        <w:pStyle w:val="LegalNumPar"/>
        <w:spacing w:line="240" w:lineRule="auto"/>
        <w:ind w:left="0" w:firstLine="0"/>
        <w:rPr>
          <w:noProof/>
          <w:lang w:val="en-IE"/>
        </w:rPr>
      </w:pPr>
      <w:r w:rsidRPr="00FF67ED">
        <w:rPr>
          <w:noProof/>
          <w:lang w:val="en-IE"/>
        </w:rPr>
        <w:t>In implementing the Innovation Fund, the Commission shall strive to ensure effective, quality-based geographical coverage across the Union, ensure adequate participation of SME’s, in particular start-ups and scale-ups, and create synergies with other funding available at EU level, in particular Horizon Europe and the European Competitiveness Fund. In this context, the Commission may provide project development assistance and, on request, technical assistance to Member States with low effective participation in the Innovation Fund to address specific project challenges in those countries and improve geographical coverage.</w:t>
      </w:r>
    </w:p>
    <w:p w14:paraId="4FA7F111" w14:textId="77777777" w:rsidR="0012554B" w:rsidRPr="00FF67ED" w:rsidRDefault="0012554B" w:rsidP="004F6AF9">
      <w:pPr>
        <w:pStyle w:val="LegalNumPar"/>
        <w:numPr>
          <w:ilvl w:val="0"/>
          <w:numId w:val="0"/>
        </w:numPr>
        <w:spacing w:line="240" w:lineRule="auto"/>
        <w:rPr>
          <w:noProof/>
          <w:lang w:val="en-IE"/>
        </w:rPr>
      </w:pPr>
      <w:r w:rsidRPr="0012554B">
        <w:rPr>
          <w:noProof/>
          <w:lang w:val="en-IE"/>
        </w:rPr>
        <w:t xml:space="preserve">The Competitiveness Seal referred to in Article 8 </w:t>
      </w:r>
      <w:r w:rsidR="00533901" w:rsidRPr="00533901">
        <w:rPr>
          <w:noProof/>
          <w:lang w:val="en-IE"/>
        </w:rPr>
        <w:t xml:space="preserve">Regulation (EU) […]/[…] of the European Parliament and of the Council* </w:t>
      </w:r>
      <w:r w:rsidRPr="0012554B">
        <w:rPr>
          <w:noProof/>
          <w:lang w:val="en-IE"/>
        </w:rPr>
        <w:t>may be awarded to projects which have been assessed in an award procedure under the Innovation Fund and comply with the minimum quality requirements of that award procedure. The documents related to the award procedure may set out additional conditions.</w:t>
      </w:r>
    </w:p>
    <w:p w14:paraId="78D801C6" w14:textId="77777777" w:rsidR="00FF67ED" w:rsidRPr="00FF67ED" w:rsidRDefault="00FF67ED" w:rsidP="00F90D41">
      <w:pPr>
        <w:pStyle w:val="LegalNumPar"/>
        <w:spacing w:line="240" w:lineRule="auto"/>
        <w:ind w:left="0" w:firstLine="0"/>
        <w:rPr>
          <w:noProof/>
          <w:lang w:val="en-IE"/>
        </w:rPr>
      </w:pPr>
      <w:r w:rsidRPr="00FF67ED">
        <w:rPr>
          <w:noProof/>
          <w:lang w:val="en-IE"/>
        </w:rPr>
        <w:t xml:space="preserve">Projects funded under this Article shall be required to share knowledge with other relevant projects and with Union-based researchers who have a legitimate interest. </w:t>
      </w:r>
    </w:p>
    <w:p w14:paraId="11C8F8A7" w14:textId="77777777" w:rsidR="00FF67ED" w:rsidRPr="00FF67ED" w:rsidRDefault="00FF67ED" w:rsidP="00F90D41">
      <w:pPr>
        <w:pStyle w:val="LegalNumPar"/>
        <w:spacing w:line="240" w:lineRule="auto"/>
        <w:ind w:left="0" w:firstLine="0"/>
        <w:rPr>
          <w:noProof/>
          <w:lang w:val="en-IE"/>
        </w:rPr>
      </w:pPr>
      <w:r w:rsidRPr="00FF67ED">
        <w:rPr>
          <w:noProof/>
          <w:lang w:val="en-IE"/>
        </w:rPr>
        <w:t>The Commission shall report annually to the Climate Change Committee, the European Parliament and the Council on the implementation of the Innovation Fund, providing an analysis of funded projects by sector and Member State and an assessment of their expected contribution to Union climate neutrality under Regulation (EU) 2021/1119. Those reports shall be made public.</w:t>
      </w:r>
    </w:p>
    <w:p w14:paraId="65F7CB8C" w14:textId="77777777" w:rsidR="00FF67ED" w:rsidRDefault="00FF67ED" w:rsidP="00F90D41">
      <w:pPr>
        <w:pStyle w:val="LegalNumPar"/>
        <w:spacing w:line="240" w:lineRule="auto"/>
        <w:ind w:left="0" w:firstLine="0"/>
        <w:rPr>
          <w:noProof/>
          <w:lang w:val="en-IE"/>
        </w:rPr>
      </w:pPr>
      <w:r w:rsidRPr="00FF67ED">
        <w:rPr>
          <w:noProof/>
          <w:lang w:val="en-IE"/>
        </w:rPr>
        <w:t xml:space="preserve">The Commission is empowered to adopt delegated acts in accordance with Article 23 to supplement this Article with rules on the operation of the Innovation Fund, including the governance, eligibility, </w:t>
      </w:r>
      <w:r w:rsidR="001669C8" w:rsidRPr="001669C8">
        <w:rPr>
          <w:noProof/>
          <w:lang w:val="en-IE"/>
        </w:rPr>
        <w:t xml:space="preserve">forms of support and related conditions, </w:t>
      </w:r>
      <w:r w:rsidRPr="00FF67ED">
        <w:rPr>
          <w:noProof/>
          <w:lang w:val="en-IE"/>
        </w:rPr>
        <w:t>selection procedure, selection criteria, and procedural, organisational, and financial rules to ensure an appropriate implementation of the Innovation Fund in accordance with this Article.</w:t>
      </w:r>
    </w:p>
    <w:p w14:paraId="6E48B27E" w14:textId="77777777" w:rsidR="00533901" w:rsidRPr="00533901" w:rsidRDefault="00533901" w:rsidP="003D7B82">
      <w:pPr>
        <w:pStyle w:val="Text1"/>
        <w:ind w:left="0"/>
        <w:rPr>
          <w:noProof/>
          <w:lang w:val="en-IE"/>
        </w:rPr>
      </w:pPr>
      <w:r w:rsidRPr="00533901">
        <w:rPr>
          <w:noProof/>
          <w:lang w:val="en-IE"/>
        </w:rPr>
        <w:t>___________</w:t>
      </w:r>
    </w:p>
    <w:p w14:paraId="75F4768B" w14:textId="77777777" w:rsidR="00533901" w:rsidRDefault="00533901" w:rsidP="003D7B82">
      <w:pPr>
        <w:pStyle w:val="Text1"/>
        <w:ind w:left="0"/>
        <w:rPr>
          <w:noProof/>
          <w:lang w:val="en-IE"/>
        </w:rPr>
      </w:pPr>
      <w:r>
        <w:rPr>
          <w:noProof/>
          <w:lang w:val="en-IE"/>
        </w:rPr>
        <w:t xml:space="preserve">* </w:t>
      </w:r>
      <w:r w:rsidRPr="00533901">
        <w:rPr>
          <w:noProof/>
          <w:lang w:val="en-IE"/>
        </w:rPr>
        <w:t>[OJ reference once adopted to Regulation (EU) […]/[…] of the European Parliament and of the Council on establishing the European Competitiveness Fund (‘ECF’) including the specific programme for defence research and innovation activities.]</w:t>
      </w:r>
    </w:p>
    <w:p w14:paraId="3E74AC8E" w14:textId="77777777" w:rsidR="00FF67ED" w:rsidRPr="00FF67ED" w:rsidRDefault="00FF67ED" w:rsidP="006109D5">
      <w:pPr>
        <w:pStyle w:val="Titrearticle"/>
        <w:rPr>
          <w:noProof/>
          <w:lang w:val="en-IE"/>
        </w:rPr>
      </w:pPr>
      <w:r w:rsidRPr="00FF67ED">
        <w:rPr>
          <w:noProof/>
          <w:lang w:val="en-IE"/>
        </w:rPr>
        <w:t xml:space="preserve">Article </w:t>
      </w:r>
      <w:r w:rsidR="00565443">
        <w:rPr>
          <w:noProof/>
          <w:lang w:val="en-IE"/>
        </w:rPr>
        <w:t>10cc</w:t>
      </w:r>
    </w:p>
    <w:p w14:paraId="1D0C9962" w14:textId="77777777" w:rsidR="00FF67ED" w:rsidRPr="00FF67ED" w:rsidRDefault="00FF67ED" w:rsidP="00FF67ED">
      <w:pPr>
        <w:jc w:val="center"/>
        <w:rPr>
          <w:b/>
          <w:bCs/>
          <w:noProof/>
          <w:lang w:val="en-IE"/>
        </w:rPr>
      </w:pPr>
      <w:r w:rsidRPr="00FF67ED">
        <w:rPr>
          <w:b/>
          <w:bCs/>
          <w:noProof/>
          <w:lang w:val="en-IE"/>
        </w:rPr>
        <w:t>Industrial Decarbonisation Bank</w:t>
      </w:r>
    </w:p>
    <w:p w14:paraId="0764F742" w14:textId="77777777" w:rsidR="00FF67ED" w:rsidRPr="003D7B82" w:rsidRDefault="00FF67ED" w:rsidP="004830AF">
      <w:pPr>
        <w:pStyle w:val="LegalNumPar"/>
        <w:numPr>
          <w:ilvl w:val="0"/>
          <w:numId w:val="28"/>
        </w:numPr>
        <w:spacing w:line="240" w:lineRule="auto"/>
        <w:ind w:left="0" w:firstLine="0"/>
        <w:rPr>
          <w:noProof/>
          <w:lang w:val="en-IE"/>
        </w:rPr>
      </w:pPr>
      <w:r w:rsidRPr="003D7B82">
        <w:rPr>
          <w:noProof/>
          <w:lang w:val="en-IE"/>
        </w:rPr>
        <w:t>An instrument to support the scaling up and deployment of the technologies, processes and techniques to decarbonise industries (the ‘Industrial Decarbonisation Bank) is established starting from 2028. It shall accelerate industrial decarbonisation</w:t>
      </w:r>
      <w:r w:rsidR="00E61B11">
        <w:rPr>
          <w:noProof/>
          <w:lang w:val="en-IE"/>
        </w:rPr>
        <w:t>, including electrification,</w:t>
      </w:r>
      <w:r w:rsidRPr="003D7B82">
        <w:rPr>
          <w:noProof/>
          <w:lang w:val="en-IE"/>
        </w:rPr>
        <w:t xml:space="preserve"> within the Union through supporting capital investment</w:t>
      </w:r>
      <w:r w:rsidR="00F532DD" w:rsidRPr="003D7B82">
        <w:rPr>
          <w:noProof/>
          <w:lang w:val="en-IE"/>
        </w:rPr>
        <w:t>, including grid connection</w:t>
      </w:r>
      <w:r w:rsidR="00D3747A" w:rsidRPr="003D7B82">
        <w:rPr>
          <w:noProof/>
          <w:lang w:val="en-IE"/>
        </w:rPr>
        <w:t xml:space="preserve">, storage and flexibility </w:t>
      </w:r>
      <w:r w:rsidR="00F532DD" w:rsidRPr="003D7B82">
        <w:rPr>
          <w:noProof/>
          <w:lang w:val="en-IE"/>
        </w:rPr>
        <w:t>costs</w:t>
      </w:r>
      <w:r w:rsidR="00D3747A" w:rsidRPr="003D7B82">
        <w:rPr>
          <w:noProof/>
          <w:lang w:val="en-IE"/>
        </w:rPr>
        <w:t xml:space="preserve"> incurred by projects</w:t>
      </w:r>
      <w:r w:rsidR="00F532DD" w:rsidRPr="003D7B82">
        <w:rPr>
          <w:noProof/>
          <w:lang w:val="en-IE"/>
        </w:rPr>
        <w:t>,</w:t>
      </w:r>
      <w:r w:rsidRPr="003D7B82">
        <w:rPr>
          <w:noProof/>
          <w:lang w:val="en-IE"/>
        </w:rPr>
        <w:t xml:space="preserve"> and operational expenditure for emission reductions or removals in stationary installations carrying out or substituting industrial production processes referred to in Annex I of this Directive, including in installations for the incineration of waste. In the period from 2028 to 2030, 400 million allowances from the quantity of allowances available pursuant to the second indent of Article 10a(5b) shall be reserved to support industrial decarbonisation projects on a ‘first in, first served’ basis in accordance with Article </w:t>
      </w:r>
      <w:r w:rsidR="00565443" w:rsidRPr="003D7B82">
        <w:rPr>
          <w:noProof/>
          <w:lang w:val="en-IE"/>
        </w:rPr>
        <w:t>10cd</w:t>
      </w:r>
      <w:r w:rsidRPr="003D7B82">
        <w:rPr>
          <w:noProof/>
          <w:lang w:val="en-IE"/>
        </w:rPr>
        <w:t>.</w:t>
      </w:r>
    </w:p>
    <w:p w14:paraId="476E4A5C" w14:textId="77777777" w:rsidR="00FF67ED" w:rsidRPr="00FF67ED" w:rsidRDefault="00FF67ED" w:rsidP="003D7B82">
      <w:pPr>
        <w:pStyle w:val="LegalNumPar"/>
        <w:numPr>
          <w:ilvl w:val="0"/>
          <w:numId w:val="0"/>
        </w:numPr>
        <w:spacing w:line="240" w:lineRule="auto"/>
        <w:rPr>
          <w:noProof/>
          <w:lang w:val="en-IE"/>
        </w:rPr>
      </w:pPr>
      <w:r w:rsidRPr="00FF67ED">
        <w:rPr>
          <w:noProof/>
          <w:lang w:val="en-IE"/>
        </w:rPr>
        <w:t>Where the allowances available pursuant to the second indent of Article 10a(5b) are less than the 400 million allowances referred to in the previous sentence, the difference shall be covered by allowances set aside pursuant to Article 10a(7).</w:t>
      </w:r>
    </w:p>
    <w:p w14:paraId="6D278BC7" w14:textId="77777777" w:rsidR="00FF67ED" w:rsidRPr="00FF67ED" w:rsidRDefault="00FF67ED" w:rsidP="004F6AF9">
      <w:pPr>
        <w:pStyle w:val="LegalNumPar"/>
        <w:numPr>
          <w:ilvl w:val="0"/>
          <w:numId w:val="0"/>
        </w:numPr>
        <w:spacing w:line="240" w:lineRule="auto"/>
        <w:rPr>
          <w:noProof/>
          <w:lang w:val="en-IE"/>
        </w:rPr>
      </w:pPr>
      <w:r w:rsidRPr="22FA97FC">
        <w:rPr>
          <w:noProof/>
          <w:lang w:val="en-IE"/>
        </w:rPr>
        <w:t xml:space="preserve">The allowances shall be available for projects in all Member States. In the first 18 months of operation, a share of allowances shall be reserved for projects in the group of Member States with a GDP per capita at market prices below 75 % of the Union average in the period 2022 to 2024, equal to </w:t>
      </w:r>
      <w:r w:rsidR="353EE48E" w:rsidRPr="22FA97FC">
        <w:rPr>
          <w:noProof/>
          <w:lang w:val="en-IE"/>
        </w:rPr>
        <w:t>100 million allowances</w:t>
      </w:r>
      <w:r w:rsidRPr="22FA97FC">
        <w:rPr>
          <w:noProof/>
          <w:lang w:val="en-IE"/>
        </w:rPr>
        <w:t xml:space="preserve">. After 18 months this reserved amount shall be reduced to </w:t>
      </w:r>
      <w:r w:rsidR="00162251" w:rsidRPr="22FA97FC">
        <w:rPr>
          <w:noProof/>
          <w:lang w:val="en-IE"/>
        </w:rPr>
        <w:t>60</w:t>
      </w:r>
      <w:r w:rsidRPr="22FA97FC">
        <w:rPr>
          <w:noProof/>
          <w:lang w:val="en-IE"/>
        </w:rPr>
        <w:t xml:space="preserve"> million. </w:t>
      </w:r>
    </w:p>
    <w:p w14:paraId="212A41C3" w14:textId="77777777" w:rsidR="00FF67ED" w:rsidRPr="00FF67ED" w:rsidRDefault="00FF67ED" w:rsidP="00F90D41">
      <w:pPr>
        <w:pStyle w:val="LegalNumPar"/>
        <w:spacing w:line="240" w:lineRule="auto"/>
        <w:ind w:left="0" w:firstLine="0"/>
        <w:rPr>
          <w:noProof/>
          <w:lang w:val="en-IE"/>
        </w:rPr>
      </w:pPr>
      <w:r w:rsidRPr="00FF67ED">
        <w:rPr>
          <w:noProof/>
          <w:lang w:val="en-IE"/>
        </w:rPr>
        <w:t xml:space="preserve">In 2031, any remaining allowances from the </w:t>
      </w:r>
      <w:r w:rsidR="00162251">
        <w:rPr>
          <w:noProof/>
          <w:lang w:val="en-IE"/>
        </w:rPr>
        <w:t>60</w:t>
      </w:r>
      <w:r w:rsidRPr="00FF67ED">
        <w:rPr>
          <w:noProof/>
          <w:lang w:val="en-IE"/>
        </w:rPr>
        <w:t xml:space="preserve"> million allowances reserved for projects in Member States with a GDP per capita at market prices below 75% of the Union average in the period 2022 to 2024, shall be used in accordance with Article 10d. Any further remaining allowances shall be used in accordance with Article </w:t>
      </w:r>
      <w:r w:rsidR="00565443">
        <w:rPr>
          <w:noProof/>
          <w:lang w:val="en-IE"/>
        </w:rPr>
        <w:t>10ce</w:t>
      </w:r>
      <w:r w:rsidRPr="00FF67ED">
        <w:rPr>
          <w:noProof/>
          <w:lang w:val="en-IE"/>
        </w:rPr>
        <w:t>.</w:t>
      </w:r>
    </w:p>
    <w:p w14:paraId="6D29A20A" w14:textId="77777777" w:rsidR="004A44E6" w:rsidRDefault="00FF67ED" w:rsidP="003D7B82">
      <w:pPr>
        <w:pStyle w:val="LegalNumPar"/>
        <w:numPr>
          <w:ilvl w:val="0"/>
          <w:numId w:val="0"/>
        </w:numPr>
        <w:spacing w:line="240" w:lineRule="auto"/>
        <w:rPr>
          <w:noProof/>
          <w:lang w:val="en-IE"/>
        </w:rPr>
      </w:pPr>
      <w:r w:rsidRPr="00FF67ED">
        <w:rPr>
          <w:noProof/>
          <w:lang w:val="en-IE"/>
        </w:rPr>
        <w:t xml:space="preserve">In the period from 2031 to 2040, </w:t>
      </w:r>
      <w:r w:rsidR="00162251">
        <w:rPr>
          <w:noProof/>
          <w:lang w:val="en-IE"/>
        </w:rPr>
        <w:t>400</w:t>
      </w:r>
      <w:r w:rsidRPr="00FF67ED">
        <w:rPr>
          <w:noProof/>
          <w:lang w:val="en-IE"/>
        </w:rPr>
        <w:t xml:space="preserve"> million allowances from Union-wide quantity of allowances referred to Article 9 shall be reserved to support industrial decarbonisation projects in accordance with Article </w:t>
      </w:r>
      <w:r w:rsidR="00565443">
        <w:rPr>
          <w:noProof/>
          <w:lang w:val="en-IE"/>
        </w:rPr>
        <w:t>10ce</w:t>
      </w:r>
      <w:r w:rsidRPr="00FF67ED">
        <w:rPr>
          <w:noProof/>
          <w:lang w:val="en-IE"/>
        </w:rPr>
        <w:t>. These allowances shall be auctioned in accordance with Article 10(4), with proceeds constituting external assigned revenue under Article 21(5) of Regulation (EU, Euratom) 2024/2509.</w:t>
      </w:r>
    </w:p>
    <w:p w14:paraId="713A4F6B" w14:textId="5AED2C44" w:rsidR="00FF67ED" w:rsidRPr="00FF67ED" w:rsidRDefault="004A44E6" w:rsidP="004F6AF9">
      <w:pPr>
        <w:pStyle w:val="LegalNumPar"/>
        <w:numPr>
          <w:ilvl w:val="0"/>
          <w:numId w:val="0"/>
        </w:numPr>
        <w:spacing w:line="240" w:lineRule="auto"/>
        <w:rPr>
          <w:noProof/>
          <w:lang w:val="en-IE"/>
        </w:rPr>
      </w:pPr>
      <w:r w:rsidRPr="004A44E6">
        <w:rPr>
          <w:noProof/>
          <w:lang w:val="en-IE"/>
        </w:rPr>
        <w:t>Where the amount of allowances referred to in paragraph 1 is fully used in accordance with Article 10cd, the</w:t>
      </w:r>
      <w:r w:rsidR="00DC6054">
        <w:rPr>
          <w:noProof/>
          <w:lang w:val="en-IE"/>
        </w:rPr>
        <w:t xml:space="preserve"> </w:t>
      </w:r>
      <w:r w:rsidR="00DC6054" w:rsidRPr="00DC6054">
        <w:rPr>
          <w:noProof/>
          <w:lang w:val="en-IE"/>
        </w:rPr>
        <w:t xml:space="preserve">Commission shall make </w:t>
      </w:r>
      <w:r w:rsidRPr="004A44E6">
        <w:rPr>
          <w:noProof/>
          <w:lang w:val="en-IE"/>
        </w:rPr>
        <w:t>available support</w:t>
      </w:r>
      <w:r w:rsidR="00DC6054">
        <w:rPr>
          <w:noProof/>
          <w:lang w:val="en-IE"/>
        </w:rPr>
        <w:t xml:space="preserve"> to</w:t>
      </w:r>
      <w:r w:rsidRPr="004A44E6">
        <w:rPr>
          <w:noProof/>
          <w:lang w:val="en-IE"/>
        </w:rPr>
        <w:t xml:space="preserve"> projects in accordance with Article 10ce earlier than 2031.</w:t>
      </w:r>
      <w:r w:rsidR="00FF67ED" w:rsidRPr="00FF67ED">
        <w:rPr>
          <w:noProof/>
          <w:lang w:val="en-IE"/>
        </w:rPr>
        <w:t xml:space="preserve"> </w:t>
      </w:r>
      <w:r w:rsidR="00DC6054" w:rsidRPr="00DC6054">
        <w:rPr>
          <w:noProof/>
          <w:lang w:val="en-IE"/>
        </w:rPr>
        <w:t xml:space="preserve">The amount of allowances auctioned by Member States pursuant to Article 9 shall be reduced where necessary to enable this earlier start. Allowances corresponding to the revenues generated from that amount shall be returned to Member States starting in 2031 from the allowances reserved in accordance with the </w:t>
      </w:r>
      <w:r w:rsidR="00632ADF">
        <w:rPr>
          <w:noProof/>
          <w:lang w:val="en-IE"/>
        </w:rPr>
        <w:t>second</w:t>
      </w:r>
      <w:r w:rsidR="00DC6054" w:rsidRPr="00DC6054">
        <w:rPr>
          <w:noProof/>
          <w:lang w:val="en-IE"/>
        </w:rPr>
        <w:t xml:space="preserve"> subparagraph</w:t>
      </w:r>
      <w:r w:rsidR="00632ADF">
        <w:rPr>
          <w:noProof/>
          <w:lang w:val="en-IE"/>
        </w:rPr>
        <w:t xml:space="preserve"> of this paragraph</w:t>
      </w:r>
      <w:r w:rsidR="00DC6054" w:rsidRPr="00DC6054">
        <w:rPr>
          <w:noProof/>
          <w:lang w:val="en-IE"/>
        </w:rPr>
        <w:t>.</w:t>
      </w:r>
    </w:p>
    <w:p w14:paraId="6505AA63" w14:textId="77777777" w:rsidR="00FF67ED" w:rsidRPr="00FF67ED" w:rsidRDefault="00FF67ED" w:rsidP="00F90D41">
      <w:pPr>
        <w:pStyle w:val="LegalNumPar"/>
        <w:spacing w:line="240" w:lineRule="auto"/>
        <w:ind w:left="0" w:firstLine="0"/>
        <w:rPr>
          <w:noProof/>
          <w:lang w:val="en-IE"/>
        </w:rPr>
      </w:pPr>
      <w:r w:rsidRPr="00FF67ED">
        <w:rPr>
          <w:noProof/>
          <w:lang w:val="en-IE"/>
        </w:rPr>
        <w:t xml:space="preserve">Member States may </w:t>
      </w:r>
      <w:r w:rsidR="00170794">
        <w:rPr>
          <w:noProof/>
        </w:rPr>
        <w:t xml:space="preserve">support </w:t>
      </w:r>
      <w:r w:rsidR="00170794" w:rsidRPr="00F149C5">
        <w:rPr>
          <w:noProof/>
        </w:rPr>
        <w:t xml:space="preserve">projects that meet all </w:t>
      </w:r>
      <w:r w:rsidR="00246BF6">
        <w:rPr>
          <w:noProof/>
        </w:rPr>
        <w:t>relevant</w:t>
      </w:r>
      <w:r w:rsidR="00170794" w:rsidRPr="00F149C5">
        <w:rPr>
          <w:noProof/>
        </w:rPr>
        <w:t xml:space="preserve"> criteria but cannot be funded from the relevant</w:t>
      </w:r>
      <w:r w:rsidR="00170794">
        <w:rPr>
          <w:noProof/>
        </w:rPr>
        <w:t xml:space="preserve"> award procedure’s</w:t>
      </w:r>
      <w:r w:rsidR="00170794" w:rsidRPr="00F149C5">
        <w:rPr>
          <w:noProof/>
        </w:rPr>
        <w:t xml:space="preserve"> budget</w:t>
      </w:r>
      <w:r w:rsidR="00170794">
        <w:rPr>
          <w:noProof/>
        </w:rPr>
        <w:t xml:space="preserve"> under the Industrial Decarbonisation Bank </w:t>
      </w:r>
      <w:r w:rsidR="00AB0E1E">
        <w:rPr>
          <w:noProof/>
          <w:lang w:val="en-IE"/>
        </w:rPr>
        <w:t>pursuant to</w:t>
      </w:r>
      <w:r w:rsidR="004A60EF" w:rsidRPr="004A44E6">
        <w:rPr>
          <w:noProof/>
          <w:lang w:val="en-IE"/>
        </w:rPr>
        <w:t xml:space="preserve"> Article 10ce</w:t>
      </w:r>
      <w:r w:rsidR="004A60EF">
        <w:rPr>
          <w:noProof/>
        </w:rPr>
        <w:t xml:space="preserve"> </w:t>
      </w:r>
      <w:r w:rsidR="00170794">
        <w:rPr>
          <w:noProof/>
        </w:rPr>
        <w:t>by making additional financial resources available. To this end, they shall notify the Commission of their intention to do so before the closure of the relevant award procedure.</w:t>
      </w:r>
    </w:p>
    <w:p w14:paraId="2566952C" w14:textId="77777777" w:rsidR="00FF67ED" w:rsidRPr="00FF67ED" w:rsidRDefault="00FF67ED" w:rsidP="00F90D41">
      <w:pPr>
        <w:pStyle w:val="LegalNumPar"/>
        <w:spacing w:line="240" w:lineRule="auto"/>
        <w:ind w:left="0" w:firstLine="0"/>
        <w:rPr>
          <w:noProof/>
          <w:lang w:val="en-IE"/>
        </w:rPr>
      </w:pPr>
      <w:r w:rsidRPr="00FF67ED">
        <w:rPr>
          <w:noProof/>
          <w:lang w:val="en-IE"/>
        </w:rPr>
        <w:t xml:space="preserve">Any revenues generated by activities under Articles </w:t>
      </w:r>
      <w:r w:rsidR="0040025D">
        <w:rPr>
          <w:noProof/>
          <w:lang w:val="en-IE"/>
        </w:rPr>
        <w:t>10cc and 10ce</w:t>
      </w:r>
      <w:r w:rsidRPr="00FF67ED">
        <w:rPr>
          <w:noProof/>
          <w:lang w:val="en-IE"/>
        </w:rPr>
        <w:t xml:space="preserve"> shall constitute external assigned revenue within the meaning of Article 21(5) of Regulation (EU, Euratom) 2024/2509 to the Industrial Decarbonisation Bank.</w:t>
      </w:r>
    </w:p>
    <w:p w14:paraId="6B758077" w14:textId="77777777" w:rsidR="00FF67ED" w:rsidRPr="00FF67ED" w:rsidRDefault="00FF67ED" w:rsidP="00F90D41">
      <w:pPr>
        <w:pStyle w:val="LegalNumPar"/>
        <w:spacing w:line="240" w:lineRule="auto"/>
        <w:ind w:left="0" w:firstLine="0"/>
        <w:rPr>
          <w:noProof/>
          <w:lang w:val="en-IE"/>
        </w:rPr>
      </w:pPr>
      <w:r w:rsidRPr="00FF67ED">
        <w:rPr>
          <w:noProof/>
          <w:lang w:val="en-IE"/>
        </w:rPr>
        <w:t xml:space="preserve">To ensure efficient use of Union resources, the Commission shall ensure synergies between the Industrial Decarbonisation Bank and the European Competitiveness Fund, particularly its ‘Clean Transition and Industrial Decarbonisation’ window. The Competitiveness Seal referred to in Article 8 of Regulation </w:t>
      </w:r>
      <w:r w:rsidR="00533901" w:rsidRPr="00533901">
        <w:rPr>
          <w:noProof/>
          <w:lang w:val="en-IE"/>
        </w:rPr>
        <w:t>[…]/[…]</w:t>
      </w:r>
      <w:r w:rsidR="00533901">
        <w:rPr>
          <w:noProof/>
          <w:lang w:val="en-IE"/>
        </w:rPr>
        <w:t xml:space="preserve"> </w:t>
      </w:r>
      <w:r w:rsidRPr="00FF67ED">
        <w:rPr>
          <w:noProof/>
          <w:lang w:val="en-IE"/>
        </w:rPr>
        <w:t xml:space="preserve">may be awarded to projects which have been assessed under the Industrial Decarbonisation Bank’s procedures provided they comply with </w:t>
      </w:r>
      <w:r w:rsidR="00E1527F">
        <w:rPr>
          <w:noProof/>
          <w:lang w:val="en-IE"/>
        </w:rPr>
        <w:t>all</w:t>
      </w:r>
      <w:r w:rsidRPr="00FF67ED">
        <w:rPr>
          <w:noProof/>
          <w:lang w:val="en-IE"/>
        </w:rPr>
        <w:t xml:space="preserve"> quality requirements</w:t>
      </w:r>
      <w:r w:rsidR="00E1527F">
        <w:rPr>
          <w:noProof/>
          <w:lang w:val="en-IE"/>
        </w:rPr>
        <w:t xml:space="preserve"> </w:t>
      </w:r>
      <w:r w:rsidR="00E1527F">
        <w:rPr>
          <w:noProof/>
        </w:rPr>
        <w:t>set out in the documents related to that procedure</w:t>
      </w:r>
      <w:r w:rsidRPr="00FF67ED">
        <w:rPr>
          <w:noProof/>
          <w:lang w:val="en-IE"/>
        </w:rPr>
        <w:t>.</w:t>
      </w:r>
    </w:p>
    <w:p w14:paraId="15CE3A03" w14:textId="77777777" w:rsidR="00FF67ED" w:rsidRPr="00FF67ED" w:rsidRDefault="00FF67ED" w:rsidP="00F90D41">
      <w:pPr>
        <w:pStyle w:val="LegalNumPar"/>
        <w:spacing w:line="240" w:lineRule="auto"/>
        <w:ind w:left="0" w:firstLine="0"/>
        <w:rPr>
          <w:noProof/>
          <w:lang w:val="en-IE"/>
        </w:rPr>
      </w:pPr>
      <w:r w:rsidRPr="00FF67ED">
        <w:rPr>
          <w:noProof/>
          <w:lang w:val="en-IE"/>
        </w:rPr>
        <w:t>The Commission is empowered to adopt delegated acts in accordance with Article 23 to supplement this Directive with rules on the operation of the Industrial Decarbonisation Bank, including procedural, organisational, and financial rules to ensure an appropriate implementation of the Industrial Decarbonisation Bank.</w:t>
      </w:r>
    </w:p>
    <w:p w14:paraId="23944468" w14:textId="77777777" w:rsidR="00FF67ED" w:rsidRPr="00FF67ED" w:rsidRDefault="00FF67ED" w:rsidP="006109D5">
      <w:pPr>
        <w:pStyle w:val="Titrearticle"/>
        <w:rPr>
          <w:noProof/>
          <w:lang w:val="en-IE"/>
        </w:rPr>
      </w:pPr>
      <w:r w:rsidRPr="00FF67ED">
        <w:rPr>
          <w:noProof/>
          <w:lang w:val="en-IE"/>
        </w:rPr>
        <w:t xml:space="preserve">Article </w:t>
      </w:r>
      <w:r w:rsidR="00565443">
        <w:rPr>
          <w:noProof/>
          <w:lang w:val="en-IE"/>
        </w:rPr>
        <w:t>10cd</w:t>
      </w:r>
    </w:p>
    <w:p w14:paraId="0A110FEB" w14:textId="77777777" w:rsidR="00FF67ED" w:rsidRPr="00FF67ED" w:rsidRDefault="00FF67ED" w:rsidP="00FF67ED">
      <w:pPr>
        <w:jc w:val="center"/>
        <w:rPr>
          <w:b/>
          <w:bCs/>
          <w:noProof/>
          <w:lang w:val="en-IE"/>
        </w:rPr>
      </w:pPr>
      <w:r w:rsidRPr="00FF67ED">
        <w:rPr>
          <w:b/>
          <w:bCs/>
          <w:noProof/>
          <w:lang w:val="en-IE"/>
        </w:rPr>
        <w:t>Investment booster</w:t>
      </w:r>
    </w:p>
    <w:p w14:paraId="4B9C5E72" w14:textId="77777777" w:rsidR="00FF67ED" w:rsidRPr="00514A04" w:rsidRDefault="00FF67ED" w:rsidP="004830AF">
      <w:pPr>
        <w:pStyle w:val="LegalNumPar"/>
        <w:numPr>
          <w:ilvl w:val="0"/>
          <w:numId w:val="29"/>
        </w:numPr>
        <w:spacing w:line="240" w:lineRule="auto"/>
        <w:ind w:left="0" w:firstLine="0"/>
        <w:rPr>
          <w:noProof/>
          <w:lang w:val="en-IE"/>
        </w:rPr>
      </w:pPr>
      <w:r w:rsidRPr="00514A04">
        <w:rPr>
          <w:noProof/>
          <w:lang w:val="en-IE"/>
        </w:rPr>
        <w:t xml:space="preserve">Until 2030, in line with Article </w:t>
      </w:r>
      <w:r w:rsidR="00313E70" w:rsidRPr="00514A04">
        <w:rPr>
          <w:noProof/>
          <w:lang w:val="en-IE"/>
        </w:rPr>
        <w:t>10cc</w:t>
      </w:r>
      <w:r w:rsidRPr="00514A04">
        <w:rPr>
          <w:noProof/>
          <w:lang w:val="en-IE"/>
        </w:rPr>
        <w:t xml:space="preserve"> paragraph 1, the Commission shall support under the Industrial Decarbonisation Bank projects through allocating allowances based on </w:t>
      </w:r>
      <w:r w:rsidR="0008205B" w:rsidRPr="00514A04">
        <w:rPr>
          <w:noProof/>
          <w:lang w:val="en-IE"/>
        </w:rPr>
        <w:t xml:space="preserve">a </w:t>
      </w:r>
      <w:r w:rsidRPr="00514A04">
        <w:rPr>
          <w:noProof/>
          <w:lang w:val="en-IE"/>
        </w:rPr>
        <w:t>fixed carbon premi</w:t>
      </w:r>
      <w:r w:rsidR="0008205B" w:rsidRPr="00514A04">
        <w:rPr>
          <w:noProof/>
          <w:lang w:val="en-IE"/>
        </w:rPr>
        <w:t>um</w:t>
      </w:r>
      <w:r w:rsidRPr="00514A04">
        <w:rPr>
          <w:noProof/>
          <w:lang w:val="en-IE"/>
        </w:rPr>
        <w:t xml:space="preserve"> to eligible projects within the Union. The Commission shall publish open invitations for submissions of applications on the basis of which it will pre-select projects. The allowances shall then be allocated to pre-selected projects in a chronological order based on the date and time of submission of a completion bond until the amount referred to in Article </w:t>
      </w:r>
      <w:r w:rsidR="00565443" w:rsidRPr="00514A04">
        <w:rPr>
          <w:noProof/>
          <w:lang w:val="en-IE"/>
        </w:rPr>
        <w:t>10cc</w:t>
      </w:r>
      <w:r w:rsidRPr="00514A04">
        <w:rPr>
          <w:noProof/>
          <w:lang w:val="en-IE"/>
        </w:rPr>
        <w:t xml:space="preserve"> is allocated or the Commission closes the invitation for submissions.</w:t>
      </w:r>
    </w:p>
    <w:p w14:paraId="48E01E78" w14:textId="77777777" w:rsidR="00520854" w:rsidRPr="00514A04" w:rsidDel="00520854" w:rsidRDefault="00FF67ED" w:rsidP="004830AF">
      <w:pPr>
        <w:pStyle w:val="LegalNumPar"/>
        <w:numPr>
          <w:ilvl w:val="0"/>
          <w:numId w:val="29"/>
        </w:numPr>
        <w:spacing w:line="240" w:lineRule="auto"/>
        <w:ind w:left="0" w:firstLine="0"/>
        <w:rPr>
          <w:noProof/>
          <w:lang w:val="en-IE"/>
        </w:rPr>
      </w:pPr>
      <w:r w:rsidRPr="00514A04">
        <w:rPr>
          <w:noProof/>
          <w:lang w:val="en-IE"/>
        </w:rPr>
        <w:t>For the allocation of the allowances, including the pre-selection of projects, referred to in the first paragraph, the Commission shall publish Terms and Conditions developed in consultation with stakeholders. Those Terms and Conditions shall, in particular, set the fixed premium rate per tonne of CO</w:t>
      </w:r>
      <w:r w:rsidRPr="00514A04">
        <w:rPr>
          <w:noProof/>
          <w:vertAlign w:val="subscript"/>
          <w:lang w:val="en-IE"/>
        </w:rPr>
        <w:t>2</w:t>
      </w:r>
      <w:r w:rsidRPr="00514A04">
        <w:rPr>
          <w:noProof/>
          <w:lang w:val="en-IE"/>
        </w:rPr>
        <w:t xml:space="preserve"> emissions avoided, eligibility criteria, minimum requirements as regards emission reductions, mandatory documentation, size of the completion bond and monitoring and verification requirements. The Terms &amp; Conditions may also provide mechanisms for sharing possible gains</w:t>
      </w:r>
      <w:r w:rsidR="00670112" w:rsidRPr="00514A04">
        <w:rPr>
          <w:noProof/>
          <w:lang w:val="en-IE"/>
        </w:rPr>
        <w:t xml:space="preserve"> and for ensuring </w:t>
      </w:r>
      <w:r w:rsidR="00892798" w:rsidRPr="00514A04">
        <w:rPr>
          <w:noProof/>
          <w:lang w:val="en-IE"/>
        </w:rPr>
        <w:t xml:space="preserve">best </w:t>
      </w:r>
      <w:r w:rsidR="00670112" w:rsidRPr="00514A04">
        <w:rPr>
          <w:noProof/>
          <w:lang w:val="en-IE"/>
        </w:rPr>
        <w:t>value for money</w:t>
      </w:r>
      <w:r w:rsidR="00892798" w:rsidRPr="00514A04">
        <w:rPr>
          <w:noProof/>
          <w:lang w:val="en-IE"/>
        </w:rPr>
        <w:t>, such as a review of the fixed premium rate should there be indications that it is no longer appropriate in light of market developments and/or differentiated Terms and Conditions</w:t>
      </w:r>
      <w:r w:rsidRPr="00514A04">
        <w:rPr>
          <w:noProof/>
          <w:lang w:val="en-IE"/>
        </w:rPr>
        <w:t>.</w:t>
      </w:r>
      <w:r w:rsidR="00B4250B" w:rsidRPr="00514A04">
        <w:rPr>
          <w:noProof/>
          <w:lang w:val="en-IE"/>
        </w:rPr>
        <w:t xml:space="preserve"> </w:t>
      </w:r>
    </w:p>
    <w:p w14:paraId="58FDC060" w14:textId="77777777" w:rsidR="00FF67ED" w:rsidRPr="00514A04" w:rsidRDefault="00FF67ED" w:rsidP="004830AF">
      <w:pPr>
        <w:pStyle w:val="LegalNumPar"/>
        <w:numPr>
          <w:ilvl w:val="0"/>
          <w:numId w:val="29"/>
        </w:numPr>
        <w:spacing w:line="240" w:lineRule="auto"/>
        <w:ind w:left="0" w:firstLine="0"/>
        <w:rPr>
          <w:noProof/>
          <w:lang w:val="en-IE"/>
        </w:rPr>
      </w:pPr>
      <w:r w:rsidRPr="00514A04">
        <w:rPr>
          <w:noProof/>
          <w:lang w:val="en-IE"/>
        </w:rPr>
        <w:t>The completion bond referred to in paragraph 1 shall be issued by an EU-authorised financial institution equivalent to a percentage share of the total maximum requested support. It shall act as a performance guarantee, ensuring the project’s timely implementation. It shall be released in two instalments, with 50% released upon start of physical construction and 50% upon start of operations.</w:t>
      </w:r>
    </w:p>
    <w:p w14:paraId="19CA1A77" w14:textId="77777777" w:rsidR="00FF67ED" w:rsidRPr="00514A04" w:rsidRDefault="00FF67ED" w:rsidP="004830AF">
      <w:pPr>
        <w:pStyle w:val="LegalNumPar"/>
        <w:numPr>
          <w:ilvl w:val="0"/>
          <w:numId w:val="29"/>
        </w:numPr>
        <w:spacing w:line="240" w:lineRule="auto"/>
        <w:ind w:left="0" w:firstLine="0"/>
        <w:rPr>
          <w:noProof/>
          <w:lang w:val="en-IE"/>
        </w:rPr>
      </w:pPr>
      <w:r w:rsidRPr="00514A04">
        <w:rPr>
          <w:noProof/>
          <w:lang w:val="en-IE"/>
        </w:rPr>
        <w:t xml:space="preserve">Upon formal approval of the allocation under this Article, projects shall start physical construction within a maximum period of 30 months set in the relevant Terms and Conditions. Start of physical construction in the sense of this Article shall mean the start of building or assembly works on the project site, excluding preparatory works such as obtaining permits, conducting Front-End Engineering Design and other studies, or undertaking site clearance. Following the start of physical construction within the period set in the first sentence of this paragraph, the Commission shall release half of the completion bond. In the event a project has not started physical construction within the period set in the first sentence of this paragraph, the Commission shall call the completion bond in full. In addition, the support shall be revoked and all entitlements of the beneficiary of the support shall cease. </w:t>
      </w:r>
    </w:p>
    <w:p w14:paraId="7965F6CF" w14:textId="77777777" w:rsidR="00FF67ED" w:rsidRPr="00514A04" w:rsidRDefault="00FF67ED" w:rsidP="004830AF">
      <w:pPr>
        <w:pStyle w:val="LegalNumPar"/>
        <w:numPr>
          <w:ilvl w:val="0"/>
          <w:numId w:val="29"/>
        </w:numPr>
        <w:spacing w:line="240" w:lineRule="auto"/>
        <w:ind w:left="0" w:firstLine="0"/>
        <w:rPr>
          <w:noProof/>
          <w:lang w:val="en-IE"/>
        </w:rPr>
      </w:pPr>
      <w:r w:rsidRPr="00514A04">
        <w:rPr>
          <w:noProof/>
          <w:lang w:val="en-IE"/>
        </w:rPr>
        <w:t>Following the start of operations of the project, the beneficiary of the support shall receive allowances periodically, upon independent verification of emissions avoidance, for a maximum period of 10 years. The Commission shall release the outstanding half of the completion bond. In case a project begins physical construction but fails to start operations, the Commission shall call the outstanding half of the completion bond. In addition, the support shall be revoked and all entitlements of the beneficiary of the support shall cease.</w:t>
      </w:r>
    </w:p>
    <w:p w14:paraId="57BA4A26" w14:textId="77777777" w:rsidR="00FF67ED" w:rsidRPr="00514A04" w:rsidRDefault="00FF67ED" w:rsidP="004830AF">
      <w:pPr>
        <w:pStyle w:val="LegalNumPar"/>
        <w:numPr>
          <w:ilvl w:val="0"/>
          <w:numId w:val="29"/>
        </w:numPr>
        <w:spacing w:line="240" w:lineRule="auto"/>
        <w:ind w:left="0" w:firstLine="0"/>
        <w:rPr>
          <w:noProof/>
          <w:lang w:val="en-IE"/>
        </w:rPr>
      </w:pPr>
      <w:r w:rsidRPr="00514A04">
        <w:rPr>
          <w:noProof/>
          <w:lang w:val="en-IE"/>
        </w:rPr>
        <w:t xml:space="preserve">The allocation of allowances referred to in the </w:t>
      </w:r>
      <w:r w:rsidR="00607EC0" w:rsidRPr="00514A04">
        <w:rPr>
          <w:noProof/>
          <w:lang w:val="en-IE"/>
        </w:rPr>
        <w:t xml:space="preserve">previous </w:t>
      </w:r>
      <w:r w:rsidRPr="00514A04">
        <w:rPr>
          <w:noProof/>
          <w:lang w:val="en-IE"/>
        </w:rPr>
        <w:t>paragraph shall correspond to the verified tonnes of CO₂ emissions avoided, multiplied by the fixed premium rate and divided by the average of the price of allowances in the auctions carried out in accordance with the delegated acts adopted pursuant to Article 10(4) of this Directive of the last 6 months preceding the allocation decision. The allocation of allowances under this paragraph may take into account possible other public support received for the project.</w:t>
      </w:r>
    </w:p>
    <w:p w14:paraId="20BB83D3" w14:textId="77777777" w:rsidR="00FF67ED" w:rsidRPr="00514A04" w:rsidRDefault="00FF67ED" w:rsidP="00514A04">
      <w:pPr>
        <w:pStyle w:val="LegalNumPar"/>
        <w:numPr>
          <w:ilvl w:val="0"/>
          <w:numId w:val="0"/>
        </w:numPr>
        <w:spacing w:line="240" w:lineRule="auto"/>
        <w:rPr>
          <w:noProof/>
          <w:lang w:val="en-IE"/>
        </w:rPr>
      </w:pPr>
      <w:r w:rsidRPr="00514A04">
        <w:rPr>
          <w:noProof/>
          <w:lang w:val="en-IE"/>
        </w:rPr>
        <w:t xml:space="preserve">The Commission shall ensure appropriate accounting of the number of available allowances, before it adopts a decision on the allocation of allowances under this Article. It shall notably check that the remaining number of allowances reserved pursuant to Article </w:t>
      </w:r>
      <w:r w:rsidR="00313E70" w:rsidRPr="00514A04">
        <w:rPr>
          <w:noProof/>
          <w:lang w:val="en-IE"/>
        </w:rPr>
        <w:t>10cc</w:t>
      </w:r>
      <w:r w:rsidRPr="00514A04">
        <w:rPr>
          <w:noProof/>
          <w:lang w:val="en-IE"/>
        </w:rPr>
        <w:t xml:space="preserve"> is sufficient to cover the estimated demand for the allocation of allowances. Where more allowances need to be allocated to fulfil commitments taken, the Commission may take those additional allowances from the amount available pursuant to Article </w:t>
      </w:r>
      <w:r w:rsidR="00313E70" w:rsidRPr="00514A04">
        <w:rPr>
          <w:noProof/>
          <w:lang w:val="en-IE"/>
        </w:rPr>
        <w:t>10ce(1)</w:t>
      </w:r>
      <w:r w:rsidRPr="00514A04">
        <w:rPr>
          <w:noProof/>
          <w:lang w:val="en-IE"/>
        </w:rPr>
        <w:t>.</w:t>
      </w:r>
    </w:p>
    <w:p w14:paraId="54BCFE55" w14:textId="77777777" w:rsidR="00FF67ED" w:rsidRPr="00514A04" w:rsidRDefault="00FF67ED" w:rsidP="004830AF">
      <w:pPr>
        <w:pStyle w:val="LegalNumPar"/>
        <w:numPr>
          <w:ilvl w:val="0"/>
          <w:numId w:val="29"/>
        </w:numPr>
        <w:spacing w:line="240" w:lineRule="auto"/>
        <w:ind w:left="0" w:firstLine="0"/>
        <w:rPr>
          <w:noProof/>
          <w:lang w:val="en-IE"/>
        </w:rPr>
      </w:pPr>
      <w:r w:rsidRPr="00514A04">
        <w:rPr>
          <w:noProof/>
          <w:lang w:val="en-IE"/>
        </w:rPr>
        <w:t>The Commission is empowered to adopt delegated acts in accordance with Article 23 to supplement this Directive with rules on the operation of the Industrial Decarbonisation Bank as regards the Investment Booster, including eligibility rules, the pre-selection procedure and criteria, the allocation of allowances as well as the completion bond.</w:t>
      </w:r>
    </w:p>
    <w:p w14:paraId="7175E40F" w14:textId="77777777" w:rsidR="00FF67ED" w:rsidRPr="00FF67ED" w:rsidRDefault="00FF67ED" w:rsidP="006109D5">
      <w:pPr>
        <w:pStyle w:val="Titrearticle"/>
        <w:rPr>
          <w:noProof/>
          <w:lang w:val="en-IE"/>
        </w:rPr>
      </w:pPr>
      <w:r w:rsidRPr="00FF67ED">
        <w:rPr>
          <w:noProof/>
          <w:lang w:val="en-IE"/>
        </w:rPr>
        <w:t xml:space="preserve">Article </w:t>
      </w:r>
      <w:r w:rsidR="00565443">
        <w:rPr>
          <w:noProof/>
          <w:lang w:val="en-IE"/>
        </w:rPr>
        <w:t>10ce</w:t>
      </w:r>
    </w:p>
    <w:p w14:paraId="52BB03D7" w14:textId="77777777" w:rsidR="00FF67ED" w:rsidRPr="00FF67ED" w:rsidRDefault="00FF67ED" w:rsidP="00FF67ED">
      <w:pPr>
        <w:jc w:val="center"/>
        <w:rPr>
          <w:b/>
          <w:bCs/>
          <w:noProof/>
          <w:lang w:val="en-IE"/>
        </w:rPr>
      </w:pPr>
      <w:r w:rsidRPr="00FF67ED">
        <w:rPr>
          <w:b/>
          <w:bCs/>
          <w:noProof/>
          <w:lang w:val="en-IE"/>
        </w:rPr>
        <w:t>Industrial Decarbonisation Bank phase two</w:t>
      </w:r>
    </w:p>
    <w:p w14:paraId="6B8F3AA0" w14:textId="77777777" w:rsidR="00FF67ED" w:rsidRPr="004B3708" w:rsidRDefault="00FF67ED" w:rsidP="004830AF">
      <w:pPr>
        <w:pStyle w:val="LegalNumPar"/>
        <w:numPr>
          <w:ilvl w:val="0"/>
          <w:numId w:val="30"/>
        </w:numPr>
        <w:spacing w:line="240" w:lineRule="auto"/>
        <w:ind w:left="0" w:firstLine="0"/>
        <w:rPr>
          <w:noProof/>
          <w:lang w:val="en-IE"/>
        </w:rPr>
      </w:pPr>
      <w:r w:rsidRPr="004B3708">
        <w:rPr>
          <w:noProof/>
          <w:lang w:val="en-IE"/>
        </w:rPr>
        <w:t xml:space="preserve">From 2031, the Commission shall use the revenues from the number of allowances reserved in line with Article </w:t>
      </w:r>
      <w:r w:rsidR="00565443" w:rsidRPr="004B3708">
        <w:rPr>
          <w:noProof/>
          <w:lang w:val="en-IE"/>
        </w:rPr>
        <w:t>10cc</w:t>
      </w:r>
      <w:r w:rsidRPr="004B3708">
        <w:rPr>
          <w:noProof/>
          <w:lang w:val="en-IE"/>
        </w:rPr>
        <w:t xml:space="preserve"> reserving </w:t>
      </w:r>
      <w:r w:rsidR="00162251" w:rsidRPr="004B3708">
        <w:rPr>
          <w:noProof/>
          <w:lang w:val="en-IE"/>
        </w:rPr>
        <w:t>400</w:t>
      </w:r>
      <w:r w:rsidRPr="004B3708">
        <w:rPr>
          <w:noProof/>
          <w:lang w:val="en-IE"/>
        </w:rPr>
        <w:t xml:space="preserve"> million allowances to support industrial decarbonisation projects within the Union through competitive bidding procedures awarding Carbon Contracts for Difference (CCfD) or carbon premia</w:t>
      </w:r>
      <w:r w:rsidR="0068617D" w:rsidRPr="004B3708">
        <w:rPr>
          <w:noProof/>
          <w:lang w:val="en-IE"/>
        </w:rPr>
        <w:t xml:space="preserve"> without prejudice to the use of other forms of support where appropriate</w:t>
      </w:r>
      <w:r w:rsidRPr="004B3708">
        <w:rPr>
          <w:noProof/>
          <w:lang w:val="en-IE"/>
        </w:rPr>
        <w:t>.</w:t>
      </w:r>
    </w:p>
    <w:p w14:paraId="70C8FF10" w14:textId="77777777" w:rsidR="00FF67ED" w:rsidRPr="004B3708" w:rsidRDefault="00FF67ED" w:rsidP="004830AF">
      <w:pPr>
        <w:pStyle w:val="LegalNumPar"/>
        <w:numPr>
          <w:ilvl w:val="0"/>
          <w:numId w:val="30"/>
        </w:numPr>
        <w:spacing w:line="240" w:lineRule="auto"/>
        <w:ind w:left="0" w:firstLine="0"/>
        <w:rPr>
          <w:noProof/>
          <w:lang w:val="en-IE"/>
        </w:rPr>
      </w:pPr>
      <w:r w:rsidRPr="004B3708">
        <w:rPr>
          <w:noProof/>
          <w:lang w:val="en-IE"/>
        </w:rPr>
        <w:t>Prior to launching a competitive bidding procedure, the Commission shall publish Terms and Conditions developed in consultation with stakeholders to specify in particular: eligibility criteria, mandatory documentation, size of the bid bond and the completion bond as well as monitoring and verification requirements, ensuring transparency.</w:t>
      </w:r>
    </w:p>
    <w:p w14:paraId="69EDFB3A" w14:textId="77777777" w:rsidR="00FF67ED" w:rsidRPr="004B3708" w:rsidRDefault="00FF67ED" w:rsidP="004830AF">
      <w:pPr>
        <w:pStyle w:val="LegalNumPar"/>
        <w:numPr>
          <w:ilvl w:val="0"/>
          <w:numId w:val="30"/>
        </w:numPr>
        <w:spacing w:line="240" w:lineRule="auto"/>
        <w:ind w:left="0" w:firstLine="0"/>
        <w:rPr>
          <w:noProof/>
          <w:lang w:val="en-IE"/>
        </w:rPr>
      </w:pPr>
      <w:r w:rsidRPr="004B3708">
        <w:rPr>
          <w:noProof/>
          <w:lang w:val="en-IE"/>
        </w:rPr>
        <w:t xml:space="preserve">CCFDs shall support industrial decarbonisation projects by compensating for the difference between the strike price determined via the competitive bidding procedure and the prevailing carbon price on the common auction platform over a term of up to 10 years. The instrument shall operate with payments conditional on verified emission reductions in line with the relevant Terms and Conditions. The Commission may require beneficiaries to repay excess support if the carbon price surpasses the strike price by more than a pre-determined percentage, ensuring cost-efficiency. Any such repayment shall be used under the Industrial Decarbonisation Bank as external assigned revenue pursuant to Article 21(5) of Regulation </w:t>
      </w:r>
      <w:r w:rsidR="00924717">
        <w:rPr>
          <w:noProof/>
          <w:lang w:val="en-IE"/>
        </w:rPr>
        <w:t>(EU, Euratom)</w:t>
      </w:r>
      <w:r w:rsidRPr="004B3708">
        <w:rPr>
          <w:noProof/>
          <w:lang w:val="en-IE"/>
        </w:rPr>
        <w:t xml:space="preserve"> 2024/2509.</w:t>
      </w:r>
    </w:p>
    <w:p w14:paraId="69CBC7FE" w14:textId="77777777" w:rsidR="00FF67ED" w:rsidRPr="004B3708" w:rsidRDefault="00FF67ED" w:rsidP="004830AF">
      <w:pPr>
        <w:pStyle w:val="LegalNumPar"/>
        <w:numPr>
          <w:ilvl w:val="0"/>
          <w:numId w:val="30"/>
        </w:numPr>
        <w:spacing w:line="240" w:lineRule="auto"/>
        <w:ind w:left="0" w:firstLine="0"/>
        <w:rPr>
          <w:noProof/>
          <w:lang w:val="en-IE"/>
        </w:rPr>
      </w:pPr>
      <w:r w:rsidRPr="004B3708">
        <w:rPr>
          <w:noProof/>
          <w:lang w:val="en-IE"/>
        </w:rPr>
        <w:t>The Commission may require bidders under the competitive bidding procedure to submit a bid bond equivalent to a percentage share of the estimated total contract value, issued by an EU-authorised financial institution, as a guarantee of serious intent. Where a project is not selected, the bid bond shall be released immediately.</w:t>
      </w:r>
      <w:r w:rsidR="00314B72" w:rsidRPr="004B3708">
        <w:rPr>
          <w:noProof/>
          <w:lang w:val="en-IE"/>
        </w:rPr>
        <w:t xml:space="preserve"> </w:t>
      </w:r>
      <w:r w:rsidR="004E200C" w:rsidRPr="004B3708">
        <w:rPr>
          <w:noProof/>
          <w:lang w:val="en-IE"/>
        </w:rPr>
        <w:t xml:space="preserve">The Commission shall call the bid bond in the event of non-fulfilment of the obligations and commitments outlined in the bid. Any amount forfeited in accordance with this paragraph shall be used for the Industrial Decarbonisation Bank Fund as external assigned revenue pursuant to Article 21(5) of Regulation </w:t>
      </w:r>
      <w:r w:rsidR="00464192">
        <w:rPr>
          <w:noProof/>
          <w:lang w:val="en-IE"/>
        </w:rPr>
        <w:t xml:space="preserve">(EU, Euratom) </w:t>
      </w:r>
      <w:r w:rsidR="004E200C" w:rsidRPr="004B3708">
        <w:rPr>
          <w:noProof/>
          <w:lang w:val="en-IE"/>
        </w:rPr>
        <w:t>2024/2509.</w:t>
      </w:r>
    </w:p>
    <w:p w14:paraId="49C45901" w14:textId="77777777" w:rsidR="00FF67ED" w:rsidRPr="004B3708" w:rsidRDefault="00FF67ED" w:rsidP="004830AF">
      <w:pPr>
        <w:pStyle w:val="LegalNumPar"/>
        <w:numPr>
          <w:ilvl w:val="0"/>
          <w:numId w:val="30"/>
        </w:numPr>
        <w:spacing w:line="240" w:lineRule="auto"/>
        <w:ind w:left="0" w:firstLine="0"/>
        <w:rPr>
          <w:noProof/>
          <w:lang w:val="en-IE"/>
        </w:rPr>
      </w:pPr>
      <w:r w:rsidRPr="004B3708">
        <w:rPr>
          <w:noProof/>
          <w:lang w:val="en-IE"/>
        </w:rPr>
        <w:t>The Commission may also set in the Terms and Conditions a maximum period during which the project’s physical construction shall start and may require beneficiaries to provide a completion bond issued by an EU-authorised financial institution equivalent to a percentage share of the total maximum requested support before the CCfD or carbon premium becomes legally effective. Start of physical construction in the sense of this paragraph shall mean the start of building or assembly works on the project site, excluding preparatory works such as obtaining permits, conducting Front-End Engineering Design and other studies, or undertaking site clearance. In the event a project has not started physical construction within the maximum period set in the Terms and Conditions, the Commission shall call the completion bond. In addition, the support shall be revoked and all entitlements of the beneficiary of the support shall cease.</w:t>
      </w:r>
    </w:p>
    <w:p w14:paraId="0C974D43" w14:textId="77777777" w:rsidR="00FF67ED" w:rsidRPr="004B3708" w:rsidRDefault="007F1576" w:rsidP="004830AF">
      <w:pPr>
        <w:pStyle w:val="LegalNumPar"/>
        <w:numPr>
          <w:ilvl w:val="0"/>
          <w:numId w:val="30"/>
        </w:numPr>
        <w:spacing w:line="240" w:lineRule="auto"/>
        <w:ind w:left="0" w:firstLine="0"/>
        <w:rPr>
          <w:noProof/>
          <w:lang w:val="en-IE"/>
        </w:rPr>
      </w:pPr>
      <w:r w:rsidRPr="004B3708">
        <w:rPr>
          <w:noProof/>
          <w:lang w:val="en-IE"/>
        </w:rPr>
        <w:t>In accorda</w:t>
      </w:r>
      <w:r w:rsidR="004E12A1" w:rsidRPr="004B3708">
        <w:rPr>
          <w:noProof/>
          <w:lang w:val="en-IE"/>
        </w:rPr>
        <w:t>n</w:t>
      </w:r>
      <w:r w:rsidRPr="004B3708">
        <w:rPr>
          <w:noProof/>
          <w:lang w:val="en-IE"/>
        </w:rPr>
        <w:t>ce with</w:t>
      </w:r>
      <w:r w:rsidR="00FF67ED" w:rsidRPr="004B3708">
        <w:rPr>
          <w:noProof/>
          <w:lang w:val="en-IE"/>
        </w:rPr>
        <w:t xml:space="preserve"> Article 196(</w:t>
      </w:r>
      <w:r w:rsidRPr="004B3708">
        <w:rPr>
          <w:noProof/>
          <w:lang w:val="en-IE"/>
        </w:rPr>
        <w:t>2</w:t>
      </w:r>
      <w:r w:rsidR="00FF67ED" w:rsidRPr="004B3708">
        <w:rPr>
          <w:noProof/>
          <w:lang w:val="en-IE"/>
        </w:rPr>
        <w:t>) of Regulation</w:t>
      </w:r>
      <w:r w:rsidR="004550CF">
        <w:rPr>
          <w:noProof/>
          <w:lang w:val="en-IE"/>
        </w:rPr>
        <w:t xml:space="preserve"> (EU, Euratom) 2024/2509</w:t>
      </w:r>
      <w:r w:rsidR="00FF67ED" w:rsidRPr="004B3708">
        <w:rPr>
          <w:noProof/>
          <w:lang w:val="en-IE"/>
        </w:rPr>
        <w:t>, financial contributions may, where necessary for the implementation of projects deemed essential for security and economic resilience, cover actions that started prior to the date of the submission of the proposal for those actions.</w:t>
      </w:r>
    </w:p>
    <w:p w14:paraId="237BCB46" w14:textId="77777777" w:rsidR="00FF67ED" w:rsidRPr="004B3708" w:rsidRDefault="00FF67ED" w:rsidP="004830AF">
      <w:pPr>
        <w:pStyle w:val="LegalNumPar"/>
        <w:numPr>
          <w:ilvl w:val="0"/>
          <w:numId w:val="30"/>
        </w:numPr>
        <w:spacing w:line="240" w:lineRule="auto"/>
        <w:ind w:left="0" w:firstLine="0"/>
        <w:rPr>
          <w:noProof/>
          <w:lang w:val="en-IE"/>
        </w:rPr>
      </w:pPr>
      <w:r w:rsidRPr="004B3708">
        <w:rPr>
          <w:noProof/>
          <w:lang w:val="en-IE"/>
        </w:rPr>
        <w:t>For CCfDs or carbon premia awarded upon conclusion of a competitive bidding procedure</w:t>
      </w:r>
      <w:r w:rsidR="00792012" w:rsidRPr="004B3708">
        <w:rPr>
          <w:noProof/>
          <w:lang w:val="en-IE"/>
        </w:rPr>
        <w:t xml:space="preserve"> under this Article</w:t>
      </w:r>
      <w:r w:rsidRPr="004B3708">
        <w:rPr>
          <w:noProof/>
          <w:lang w:val="en-IE"/>
        </w:rPr>
        <w:t xml:space="preserve">, </w:t>
      </w:r>
      <w:r w:rsidR="00B022C8" w:rsidRPr="004B3708">
        <w:rPr>
          <w:noProof/>
          <w:lang w:val="en-IE"/>
        </w:rPr>
        <w:t>financial liabilities shall not exceed</w:t>
      </w:r>
      <w:r w:rsidRPr="004B3708">
        <w:rPr>
          <w:noProof/>
          <w:lang w:val="en-IE"/>
        </w:rPr>
        <w:t xml:space="preserve"> the proceeds of the auctioning of the </w:t>
      </w:r>
      <w:r w:rsidR="00260D15" w:rsidRPr="004B3708">
        <w:rPr>
          <w:noProof/>
          <w:lang w:val="en-IE"/>
        </w:rPr>
        <w:t xml:space="preserve">total amount of </w:t>
      </w:r>
      <w:r w:rsidRPr="004B3708">
        <w:rPr>
          <w:noProof/>
          <w:lang w:val="en-IE"/>
        </w:rPr>
        <w:t xml:space="preserve">allowances </w:t>
      </w:r>
      <w:r w:rsidR="00260D15" w:rsidRPr="004B3708">
        <w:rPr>
          <w:noProof/>
          <w:lang w:val="en-IE"/>
        </w:rPr>
        <w:t>available to the</w:t>
      </w:r>
      <w:r w:rsidR="009B34D3" w:rsidRPr="004B3708">
        <w:rPr>
          <w:noProof/>
          <w:lang w:val="en-IE"/>
        </w:rPr>
        <w:t xml:space="preserve"> Industrial Decarbonisation Bank. </w:t>
      </w:r>
      <w:r w:rsidR="00E04FB3" w:rsidRPr="004B3708">
        <w:rPr>
          <w:noProof/>
          <w:lang w:val="en-IE"/>
        </w:rPr>
        <w:t xml:space="preserve">Prior to the launch of a competitive bidding procedure, the Commission shall adopt a financing decision setting out a maximum amount available for signing CCfDs or carbon premia based on an estimate of the proceeds and payment exposure, using a plausible range of carbon price scenarios. To ensure that no liabilities are created that exceed the budget of the Industrial Decarbonisation Bank, the Commission may also set in the relevant terms and conditions rules that effectively limit the financial liability arising from contracts. </w:t>
      </w:r>
    </w:p>
    <w:p w14:paraId="5F31FE4A" w14:textId="77777777" w:rsidR="00FF67ED" w:rsidRPr="004B3708" w:rsidRDefault="00FF67ED" w:rsidP="004830AF">
      <w:pPr>
        <w:pStyle w:val="LegalNumPar"/>
        <w:numPr>
          <w:ilvl w:val="0"/>
          <w:numId w:val="30"/>
        </w:numPr>
        <w:spacing w:line="240" w:lineRule="auto"/>
        <w:ind w:left="0" w:firstLine="0"/>
        <w:rPr>
          <w:noProof/>
          <w:lang w:val="en-IE"/>
        </w:rPr>
      </w:pPr>
      <w:r w:rsidRPr="004B3708">
        <w:rPr>
          <w:noProof/>
          <w:lang w:val="en-IE"/>
        </w:rPr>
        <w:t>The Commission is empowered to adopt delegated acts in accordance with Article 23 of this Directive to supplement this Directive in order to provide detailed rules on the implementation of CCfDs, including the competitive bidding procedure, the conditions for eligibility, the calculation of support, budgetary provisioning, contractual obligations, and the procedures for monitoring and verification.</w:t>
      </w:r>
    </w:p>
    <w:p w14:paraId="1BF55020" w14:textId="77777777" w:rsidR="00FF67ED" w:rsidRPr="004B3708" w:rsidRDefault="00FF67ED" w:rsidP="004830AF">
      <w:pPr>
        <w:pStyle w:val="LegalNumPar"/>
        <w:numPr>
          <w:ilvl w:val="0"/>
          <w:numId w:val="30"/>
        </w:numPr>
        <w:spacing w:line="240" w:lineRule="auto"/>
        <w:ind w:left="0" w:firstLine="0"/>
        <w:rPr>
          <w:noProof/>
          <w:lang w:val="en-IE"/>
        </w:rPr>
      </w:pPr>
      <w:r w:rsidRPr="004B3708">
        <w:rPr>
          <w:noProof/>
          <w:lang w:val="en-IE"/>
        </w:rPr>
        <w:t xml:space="preserve">In addition to CCfD awarded through competitive bidding, the Commission may choose to provide support under this Article in any way and form laid down in Regulation </w:t>
      </w:r>
      <w:r w:rsidR="007F6A81">
        <w:rPr>
          <w:noProof/>
          <w:lang w:val="en-IE"/>
        </w:rPr>
        <w:t>(EU, Euratom)</w:t>
      </w:r>
      <w:r w:rsidRPr="004B3708">
        <w:rPr>
          <w:noProof/>
          <w:lang w:val="en-IE"/>
        </w:rPr>
        <w:t xml:space="preserve"> 2024/2509, including through contributions to blending operations under the Union investment support instrument. The Commission is empowered to adopt delegated acts in accordance with Article 23 of this Directive to supplement this Directive concerning the detailed arrangements and modalities for operationalising such other forms of support.</w:t>
      </w:r>
    </w:p>
    <w:p w14:paraId="2D0F9D0A" w14:textId="77777777" w:rsidR="00886D83" w:rsidRPr="005043C4" w:rsidRDefault="00FF67ED" w:rsidP="004830AF">
      <w:pPr>
        <w:pStyle w:val="LegalNumPar"/>
        <w:numPr>
          <w:ilvl w:val="0"/>
          <w:numId w:val="30"/>
        </w:numPr>
        <w:spacing w:line="240" w:lineRule="auto"/>
        <w:ind w:left="0" w:firstLine="0"/>
        <w:rPr>
          <w:noProof/>
          <w:lang w:val="en-IE"/>
        </w:rPr>
      </w:pPr>
      <w:r w:rsidRPr="004B3708">
        <w:rPr>
          <w:noProof/>
          <w:lang w:val="en-IE"/>
        </w:rPr>
        <w:t xml:space="preserve">Any revenue or repayment arising from instruments deployed under this Article and Article </w:t>
      </w:r>
      <w:r w:rsidR="00313E70" w:rsidRPr="004B3708">
        <w:rPr>
          <w:noProof/>
          <w:lang w:val="en-IE"/>
        </w:rPr>
        <w:t>10cd</w:t>
      </w:r>
      <w:r w:rsidRPr="004B3708">
        <w:rPr>
          <w:noProof/>
          <w:lang w:val="en-IE"/>
        </w:rPr>
        <w:t xml:space="preserve"> shall be used under the Industrial Decarbonisation Bank as external assigned revenue pursuant to Article 21(5) of Regulation </w:t>
      </w:r>
      <w:r w:rsidR="007F6A81">
        <w:rPr>
          <w:noProof/>
          <w:lang w:val="en-IE"/>
        </w:rPr>
        <w:t>(EU, Euratom)</w:t>
      </w:r>
      <w:r w:rsidRPr="004B3708">
        <w:rPr>
          <w:noProof/>
          <w:lang w:val="en-IE"/>
        </w:rPr>
        <w:t xml:space="preserve"> 2024/2509.</w:t>
      </w:r>
      <w:r w:rsidR="00C6534E" w:rsidRPr="004B3708">
        <w:rPr>
          <w:noProof/>
          <w:lang w:val="en-IE"/>
        </w:rPr>
        <w:t>’</w:t>
      </w:r>
    </w:p>
    <w:p w14:paraId="4B085210" w14:textId="17C6A94C" w:rsidR="004A0E02" w:rsidRPr="00B97C25" w:rsidRDefault="004A0E02" w:rsidP="009D06CA">
      <w:pPr>
        <w:pStyle w:val="Point0"/>
        <w:rPr>
          <w:noProof/>
        </w:rPr>
      </w:pPr>
      <w:r>
        <w:rPr>
          <w:noProof/>
        </w:rPr>
        <w:t>(18)</w:t>
      </w:r>
      <w:r>
        <w:rPr>
          <w:noProof/>
        </w:rPr>
        <w:tab/>
      </w:r>
      <w:r w:rsidRPr="00B97C25">
        <w:rPr>
          <w:noProof/>
        </w:rPr>
        <w:t>Article 10d is amended as follows:</w:t>
      </w:r>
    </w:p>
    <w:p w14:paraId="194109F4" w14:textId="4219390F" w:rsidR="004A0E02" w:rsidRPr="00251A1C" w:rsidRDefault="004A0E02">
      <w:pPr>
        <w:pStyle w:val="Point1"/>
        <w:rPr>
          <w:noProof/>
          <w:lang w:val="en-IE"/>
        </w:rPr>
      </w:pPr>
      <w:r>
        <w:rPr>
          <w:noProof/>
        </w:rPr>
        <w:t>(a)</w:t>
      </w:r>
      <w:r>
        <w:rPr>
          <w:noProof/>
        </w:rPr>
        <w:tab/>
      </w:r>
      <w:r w:rsidRPr="00251A1C">
        <w:rPr>
          <w:noProof/>
          <w:lang w:val="en-IE"/>
        </w:rPr>
        <w:t>paragraph 1 is replaced by the following:</w:t>
      </w:r>
    </w:p>
    <w:p w14:paraId="6F279CD2" w14:textId="77777777" w:rsidR="004A0E02" w:rsidRPr="00FF67ED" w:rsidRDefault="004A0E02" w:rsidP="004A0E02">
      <w:pPr>
        <w:pStyle w:val="Text2"/>
        <w:rPr>
          <w:noProof/>
          <w:lang w:val="en-IE"/>
        </w:rPr>
      </w:pPr>
      <w:r w:rsidRPr="00FF67ED">
        <w:rPr>
          <w:noProof/>
          <w:lang w:val="en-IE"/>
        </w:rPr>
        <w:t xml:space="preserve">‘1. A fund to support investments proposed by Member States </w:t>
      </w:r>
      <w:r w:rsidRPr="2E8C8BA7">
        <w:rPr>
          <w:rFonts w:eastAsia="Calibri"/>
          <w:noProof/>
          <w:szCs w:val="24"/>
          <w:lang w:val="en-IE"/>
        </w:rPr>
        <w:t>with a GDP per capita at market prices below 75 % of the Union average in the period 2022 to 2024</w:t>
      </w:r>
      <w:r w:rsidRPr="2E8C8BA7">
        <w:rPr>
          <w:noProof/>
          <w:lang w:val="en-IE"/>
        </w:rPr>
        <w:t xml:space="preserve"> </w:t>
      </w:r>
      <w:r w:rsidRPr="00FF67ED">
        <w:rPr>
          <w:noProof/>
          <w:lang w:val="en-IE"/>
        </w:rPr>
        <w:t>(the ‘beneficiary Member States’), including the financing of small-scale investment projects, to modernise energy systems, improve energy efficiency, enhance industrial decarbonisation and electrification shall be established for the period from 2031 to 2040 (the ‘Modernisation Fund’). The Modernisation Fund shall be financed through the auctioning of the following amounts of allowances from the total quantity of allowances to be auctioned by the Member States pursuant to Article 10(1) between 2031 and 2040:</w:t>
      </w:r>
    </w:p>
    <w:p w14:paraId="5DB8138E" w14:textId="77777777" w:rsidR="004A0E02" w:rsidRPr="00FF67ED" w:rsidRDefault="004A0E02" w:rsidP="004A0E02">
      <w:pPr>
        <w:pStyle w:val="Text2"/>
        <w:rPr>
          <w:noProof/>
          <w:lang w:val="en-IE"/>
        </w:rPr>
      </w:pPr>
      <w:r w:rsidRPr="00FF67ED">
        <w:rPr>
          <w:noProof/>
          <w:lang w:val="en-IE"/>
        </w:rPr>
        <w:t xml:space="preserve">- an amount equivalent to </w:t>
      </w:r>
      <w:r>
        <w:rPr>
          <w:noProof/>
          <w:lang w:val="en-IE"/>
        </w:rPr>
        <w:t>2</w:t>
      </w:r>
      <w:r w:rsidRPr="00FF67ED">
        <w:rPr>
          <w:noProof/>
          <w:lang w:val="en-IE"/>
        </w:rPr>
        <w:t xml:space="preserve"> % of the Union-wide quantity of allowances referred to in Article 9 for the period 2031 and 2040, shall be auctioned to the beneficiary Member States and used as set out in Article 10d;</w:t>
      </w:r>
    </w:p>
    <w:p w14:paraId="79D324BF" w14:textId="77777777" w:rsidR="004A0E02" w:rsidRPr="00FF67ED" w:rsidRDefault="004A0E02" w:rsidP="004A0E02">
      <w:pPr>
        <w:pStyle w:val="Text2"/>
        <w:rPr>
          <w:noProof/>
          <w:lang w:val="en-IE"/>
        </w:rPr>
      </w:pPr>
      <w:r w:rsidRPr="00FF67ED">
        <w:rPr>
          <w:noProof/>
          <w:lang w:val="en-IE"/>
        </w:rPr>
        <w:t xml:space="preserve">- and an amount equivalent to </w:t>
      </w:r>
      <w:r>
        <w:rPr>
          <w:noProof/>
          <w:lang w:val="en-IE"/>
        </w:rPr>
        <w:t>0,5</w:t>
      </w:r>
      <w:r w:rsidDel="00162251">
        <w:rPr>
          <w:noProof/>
          <w:lang w:val="en-IE"/>
        </w:rPr>
        <w:t xml:space="preserve"> </w:t>
      </w:r>
      <w:r w:rsidRPr="00FF67ED">
        <w:rPr>
          <w:noProof/>
          <w:lang w:val="en-IE"/>
        </w:rPr>
        <w:t xml:space="preserve">% of the Union-wide quantity of allowances referred to in Article 9 for the period 2031 and 2040, shall be auctioned to the benefit of the same Member States and be used to support investments on the basis of Article </w:t>
      </w:r>
      <w:r>
        <w:rPr>
          <w:noProof/>
          <w:lang w:val="en-IE"/>
        </w:rPr>
        <w:t>10ce</w:t>
      </w:r>
      <w:r w:rsidRPr="00FF67ED">
        <w:rPr>
          <w:noProof/>
          <w:lang w:val="en-IE"/>
        </w:rPr>
        <w:t xml:space="preserve">.’ </w:t>
      </w:r>
    </w:p>
    <w:p w14:paraId="34359E63" w14:textId="77777777" w:rsidR="004A0E02" w:rsidRPr="00FF67ED" w:rsidRDefault="004A0E02" w:rsidP="004A0E02">
      <w:pPr>
        <w:pStyle w:val="Text2"/>
        <w:rPr>
          <w:noProof/>
          <w:lang w:val="en-IE"/>
        </w:rPr>
      </w:pPr>
      <w:r w:rsidRPr="00FF67ED">
        <w:rPr>
          <w:noProof/>
          <w:lang w:val="en-IE"/>
        </w:rPr>
        <w:t>The funds corresponding to these amounts of allowances shall be distributed in accordance with Annex IIb.</w:t>
      </w:r>
    </w:p>
    <w:p w14:paraId="0809FE21" w14:textId="77777777" w:rsidR="004A0E02" w:rsidRDefault="004A0E02" w:rsidP="004A0E02">
      <w:pPr>
        <w:pStyle w:val="Text2"/>
        <w:rPr>
          <w:noProof/>
          <w:lang w:val="en-IE"/>
        </w:rPr>
      </w:pPr>
      <w:r w:rsidRPr="00FF67ED">
        <w:rPr>
          <w:noProof/>
          <w:lang w:val="en-IE"/>
        </w:rPr>
        <w:t xml:space="preserve">The investments supported shall be consistent with the aims of this Directive, as well as the objectives of the Communication of the Commission of 11 December 2019 on ‘The European Green Deal’ and Regulation (EU) 2021/1119 and the long-term objectives as expressed in the Paris Agreement. </w:t>
      </w:r>
      <w:r w:rsidRPr="00DB786D">
        <w:rPr>
          <w:noProof/>
          <w:lang w:val="en-IE"/>
        </w:rPr>
        <w:t>When selecting investments for support from the Modernisation Fund under this Article, the beneficiary Member States shall apply criteria and procedures which are non-discriminatory and transparent. To this end, they shall continuously provide information about ongoing and upcoming calls for expression of interests, calls for proposals and calls for tenders financed by the Modernisation Fund.  The beneficiary Member States shall establish effective and efficient management and control systems for their investments and ensure their proper functioning in accordance with the principle of sound financial management.</w:t>
      </w:r>
      <w:r>
        <w:rPr>
          <w:noProof/>
          <w:lang w:val="en-IE"/>
        </w:rPr>
        <w:t xml:space="preserve"> </w:t>
      </w:r>
      <w:r w:rsidRPr="00FF67ED">
        <w:rPr>
          <w:noProof/>
          <w:lang w:val="en-IE"/>
        </w:rPr>
        <w:t>The beneficiary Member States may, where appropriate, use the resources of the Modernisation Fund to finance investments involving the adjacent border regions within the Union. No support from the Modernisation Fund shall be provided to energy generation facilities that use fossil fuels or facilities that transport fossil fuels.’</w:t>
      </w:r>
    </w:p>
    <w:p w14:paraId="0266FA61" w14:textId="3EB81899" w:rsidR="004A0E02" w:rsidRPr="00FF67ED" w:rsidRDefault="004A0E02">
      <w:pPr>
        <w:pStyle w:val="Point1"/>
        <w:rPr>
          <w:noProof/>
          <w:lang w:val="en-IE"/>
        </w:rPr>
      </w:pPr>
      <w:r>
        <w:rPr>
          <w:noProof/>
        </w:rPr>
        <w:t>(a)</w:t>
      </w:r>
      <w:r>
        <w:rPr>
          <w:noProof/>
        </w:rPr>
        <w:tab/>
      </w:r>
      <w:r w:rsidRPr="00FF67ED">
        <w:rPr>
          <w:noProof/>
          <w:lang w:val="en-IE"/>
        </w:rPr>
        <w:t>paragraph 2 is replaced by the following:</w:t>
      </w:r>
    </w:p>
    <w:p w14:paraId="43A00C2B" w14:textId="77777777" w:rsidR="004A0E02" w:rsidRPr="00FF67ED" w:rsidRDefault="004A0E02" w:rsidP="004A0E02">
      <w:pPr>
        <w:pStyle w:val="Text2"/>
        <w:rPr>
          <w:noProof/>
          <w:lang w:val="en-IE"/>
        </w:rPr>
      </w:pPr>
      <w:r w:rsidRPr="00FF67ED">
        <w:rPr>
          <w:noProof/>
          <w:lang w:val="en-IE"/>
        </w:rPr>
        <w:t>‘2. At least 95 % of the revenue from allowances referred to in Article 10(1), third subparagraph, and from allowances covered by a notification pursuant to paragraph 4 of this Article, shall be used to support investments in the following:</w:t>
      </w:r>
    </w:p>
    <w:p w14:paraId="6DFF988D" w14:textId="77777777" w:rsidR="004A0E02" w:rsidRPr="004B3708" w:rsidRDefault="004A0E02">
      <w:pPr>
        <w:pStyle w:val="Point2"/>
        <w:rPr>
          <w:noProof/>
          <w:lang w:val="en-IE"/>
        </w:rPr>
      </w:pPr>
      <w:r>
        <w:rPr>
          <w:noProof/>
        </w:rPr>
        <w:t>(a)</w:t>
      </w:r>
      <w:r>
        <w:rPr>
          <w:noProof/>
        </w:rPr>
        <w:tab/>
      </w:r>
      <w:r w:rsidRPr="004B3708">
        <w:rPr>
          <w:noProof/>
          <w:lang w:val="en-IE"/>
        </w:rPr>
        <w:t>the generation and use of renewable energy sources</w:t>
      </w:r>
      <w:r w:rsidR="001436C1" w:rsidRPr="001436C1">
        <w:rPr>
          <w:noProof/>
          <w:lang w:val="en-IE"/>
        </w:rPr>
        <w:t>, including biogas and biomethane</w:t>
      </w:r>
      <w:r w:rsidRPr="004B3708">
        <w:rPr>
          <w:noProof/>
          <w:lang w:val="en-IE"/>
        </w:rPr>
        <w:t>;</w:t>
      </w:r>
    </w:p>
    <w:p w14:paraId="018C3C48" w14:textId="77777777" w:rsidR="004A0E02" w:rsidRPr="00A31B26" w:rsidRDefault="004A0E02">
      <w:pPr>
        <w:pStyle w:val="Point2"/>
        <w:rPr>
          <w:noProof/>
          <w:lang w:val="en-IE"/>
        </w:rPr>
      </w:pPr>
      <w:r>
        <w:rPr>
          <w:noProof/>
        </w:rPr>
        <w:t>(b)</w:t>
      </w:r>
      <w:r>
        <w:rPr>
          <w:noProof/>
        </w:rPr>
        <w:tab/>
      </w:r>
      <w:r w:rsidRPr="00A31B26">
        <w:rPr>
          <w:noProof/>
          <w:lang w:val="en-IE"/>
        </w:rPr>
        <w:t>the reduction of overall energy use through energy efficiency by at least 20% in industry, transport and buildings, avoiding any risk of fossil fuel lock-in</w:t>
      </w:r>
      <w:r w:rsidR="00A7584A" w:rsidRPr="00A31B26">
        <w:rPr>
          <w:noProof/>
          <w:lang w:val="en-IE"/>
        </w:rPr>
        <w:t xml:space="preserve"> and fostering circularity</w:t>
      </w:r>
      <w:r w:rsidRPr="00A31B26">
        <w:rPr>
          <w:noProof/>
          <w:lang w:val="en-IE"/>
        </w:rPr>
        <w:t>, and the recovery of waste heat from incineration plants for district heating;</w:t>
      </w:r>
    </w:p>
    <w:p w14:paraId="7BF14EB9" w14:textId="77777777" w:rsidR="004A0E02" w:rsidRPr="00FF67ED" w:rsidRDefault="004A0E02">
      <w:pPr>
        <w:pStyle w:val="Point2"/>
        <w:rPr>
          <w:noProof/>
          <w:lang w:val="en-IE"/>
        </w:rPr>
      </w:pPr>
      <w:r>
        <w:rPr>
          <w:noProof/>
        </w:rPr>
        <w:t>(c)</w:t>
      </w:r>
      <w:r>
        <w:rPr>
          <w:noProof/>
        </w:rPr>
        <w:tab/>
      </w:r>
      <w:r w:rsidRPr="00FF67ED">
        <w:rPr>
          <w:noProof/>
          <w:lang w:val="en-IE"/>
        </w:rPr>
        <w:t>electrification of demand side sectors including industry, buildings and trans</w:t>
      </w:r>
      <w:r w:rsidRPr="00D62460">
        <w:rPr>
          <w:noProof/>
          <w:lang w:val="en-IE"/>
        </w:rPr>
        <w:t>port;</w:t>
      </w:r>
      <w:r w:rsidRPr="00FF67ED">
        <w:rPr>
          <w:noProof/>
          <w:lang w:val="en-IE"/>
        </w:rPr>
        <w:t xml:space="preserve"> </w:t>
      </w:r>
    </w:p>
    <w:p w14:paraId="736614BA" w14:textId="77777777" w:rsidR="004A0E02" w:rsidRPr="00FF67ED" w:rsidRDefault="004A0E02">
      <w:pPr>
        <w:pStyle w:val="Point2"/>
        <w:rPr>
          <w:noProof/>
          <w:lang w:val="en-IE"/>
        </w:rPr>
      </w:pPr>
      <w:r>
        <w:rPr>
          <w:noProof/>
        </w:rPr>
        <w:t>(d)</w:t>
      </w:r>
      <w:r>
        <w:rPr>
          <w:noProof/>
        </w:rPr>
        <w:tab/>
      </w:r>
      <w:r w:rsidRPr="00FF67ED">
        <w:rPr>
          <w:noProof/>
          <w:lang w:val="en-IE"/>
        </w:rPr>
        <w:t>the modernisation and expansion of electricity, hydrogen, district heating and CO</w:t>
      </w:r>
      <w:r w:rsidRPr="007F5BCA">
        <w:rPr>
          <w:noProof/>
          <w:vertAlign w:val="subscript"/>
          <w:lang w:val="en-IE"/>
        </w:rPr>
        <w:t>2</w:t>
      </w:r>
      <w:r w:rsidRPr="00FF67ED">
        <w:rPr>
          <w:noProof/>
          <w:lang w:val="en-IE"/>
        </w:rPr>
        <w:t xml:space="preserve"> infrastructure, including energy sto</w:t>
      </w:r>
      <w:r w:rsidRPr="00D62460">
        <w:rPr>
          <w:noProof/>
          <w:lang w:val="en-IE"/>
        </w:rPr>
        <w:t>rage;</w:t>
      </w:r>
    </w:p>
    <w:p w14:paraId="0F6C4F81" w14:textId="77777777" w:rsidR="00961682" w:rsidRDefault="004A0E02">
      <w:pPr>
        <w:pStyle w:val="Point2"/>
        <w:rPr>
          <w:noProof/>
          <w:lang w:val="en-IE"/>
        </w:rPr>
      </w:pPr>
      <w:r>
        <w:rPr>
          <w:noProof/>
        </w:rPr>
        <w:t>(e)</w:t>
      </w:r>
      <w:r>
        <w:rPr>
          <w:noProof/>
        </w:rPr>
        <w:tab/>
      </w:r>
      <w:r w:rsidRPr="00FF67ED">
        <w:rPr>
          <w:noProof/>
          <w:lang w:val="en-IE"/>
        </w:rPr>
        <w:t>industrial decarbonisation, including CCS and CCU</w:t>
      </w:r>
      <w:r>
        <w:rPr>
          <w:noProof/>
          <w:lang w:val="en-IE"/>
        </w:rPr>
        <w:t xml:space="preserve"> </w:t>
      </w:r>
      <w:r w:rsidRPr="00D3747A">
        <w:rPr>
          <w:noProof/>
          <w:lang w:val="en-IE"/>
        </w:rPr>
        <w:t>and electri</w:t>
      </w:r>
      <w:r w:rsidRPr="00D62460">
        <w:rPr>
          <w:noProof/>
          <w:lang w:val="en-IE"/>
        </w:rPr>
        <w:t>fication</w:t>
      </w:r>
      <w:r w:rsidR="00961682">
        <w:rPr>
          <w:noProof/>
          <w:lang w:val="en-IE"/>
        </w:rPr>
        <w:t>;</w:t>
      </w:r>
    </w:p>
    <w:p w14:paraId="11AED498" w14:textId="31E26719" w:rsidR="004451FD" w:rsidRDefault="004451FD">
      <w:pPr>
        <w:pStyle w:val="Point2"/>
        <w:rPr>
          <w:noProof/>
          <w:lang w:val="en-IE"/>
        </w:rPr>
      </w:pPr>
      <w:r>
        <w:rPr>
          <w:noProof/>
        </w:rPr>
        <w:t>(f)</w:t>
      </w:r>
      <w:r>
        <w:rPr>
          <w:noProof/>
        </w:rPr>
        <w:tab/>
      </w:r>
      <w:r w:rsidRPr="004451FD">
        <w:rPr>
          <w:noProof/>
          <w:lang w:val="en-IE"/>
        </w:rPr>
        <w:t>support for low-income households, including in rural and remote areas, to address energy poverty and to modernise their heating systems;</w:t>
      </w:r>
    </w:p>
    <w:p w14:paraId="1AC8E2DA" w14:textId="29EF2103" w:rsidR="009D6C87" w:rsidRDefault="00961682">
      <w:pPr>
        <w:pStyle w:val="Point2"/>
        <w:rPr>
          <w:noProof/>
          <w:lang w:val="en-IE"/>
        </w:rPr>
      </w:pPr>
      <w:r>
        <w:rPr>
          <w:noProof/>
        </w:rPr>
        <w:t>(g)</w:t>
      </w:r>
      <w:r>
        <w:rPr>
          <w:noProof/>
        </w:rPr>
        <w:tab/>
      </w:r>
      <w:r w:rsidRPr="00961682">
        <w:rPr>
          <w:noProof/>
          <w:lang w:val="en-IE"/>
        </w:rPr>
        <w:t>a just transition in carbon-intensive regions in the beneficiary Member States to support the redeployment, reskilling and up-skilling of workers, education, job-seeking initiatives and start-ups accelerating the clean energy transition</w:t>
      </w:r>
      <w:r w:rsidR="009D6C87">
        <w:rPr>
          <w:noProof/>
          <w:lang w:val="en-IE"/>
        </w:rPr>
        <w:t>;</w:t>
      </w:r>
    </w:p>
    <w:p w14:paraId="55D22AAF" w14:textId="77777777" w:rsidR="008A50D4" w:rsidRDefault="004A0E02" w:rsidP="00DE2C42">
      <w:pPr>
        <w:pStyle w:val="Point2"/>
        <w:rPr>
          <w:noProof/>
          <w:lang w:val="en-IE"/>
        </w:rPr>
      </w:pPr>
      <w:r>
        <w:rPr>
          <w:noProof/>
        </w:rPr>
        <w:t>(h)</w:t>
      </w:r>
      <w:r>
        <w:rPr>
          <w:noProof/>
        </w:rPr>
        <w:tab/>
      </w:r>
      <w:r>
        <w:rPr>
          <w:noProof/>
          <w:lang w:val="en-IE"/>
        </w:rPr>
        <w:t>the production of affordable low-carbon and bio-based fertilisers.’;</w:t>
      </w:r>
    </w:p>
    <w:p w14:paraId="33496215" w14:textId="77777777" w:rsidR="004A0E02" w:rsidRPr="00FF67ED" w:rsidRDefault="004A0E02">
      <w:pPr>
        <w:pStyle w:val="Point1"/>
        <w:rPr>
          <w:noProof/>
          <w:lang w:val="en-IE"/>
        </w:rPr>
      </w:pPr>
      <w:r>
        <w:rPr>
          <w:noProof/>
        </w:rPr>
        <w:t>(b)</w:t>
      </w:r>
      <w:r>
        <w:rPr>
          <w:noProof/>
        </w:rPr>
        <w:tab/>
      </w:r>
      <w:r w:rsidRPr="00FF67ED">
        <w:rPr>
          <w:noProof/>
          <w:lang w:val="en-IE"/>
        </w:rPr>
        <w:t>paragraph 4 is replaced by the following:</w:t>
      </w:r>
    </w:p>
    <w:p w14:paraId="214486E3" w14:textId="77777777" w:rsidR="004A0E02" w:rsidRPr="00FF67ED" w:rsidRDefault="004A0E02" w:rsidP="004A0E02">
      <w:pPr>
        <w:pStyle w:val="Text2"/>
        <w:rPr>
          <w:noProof/>
          <w:lang w:val="en-IE"/>
        </w:rPr>
      </w:pPr>
      <w:r w:rsidRPr="00FF67ED">
        <w:rPr>
          <w:noProof/>
          <w:lang w:val="en-IE"/>
        </w:rPr>
        <w:t>‘4. All beneficiary Member States shall use the amount of allowances distributed for the purposes of solidarity, growth and interconnections within the Union specified in Article 10(2)(b) in accordance with Article 10d, to support investments within the framework of the Modernisation Fund, thereby increasing the resources available to them under the Fund. Any Member State concerned may also use the amount of allowances to be auctioned by that Member State in accordance with Article 10(2)(a), or part of that amount, in accordance with Article 10d, Where a Member State intends to use allowances referred to in Article 10(2)(a) under Article 10d, it shall inform the Commission of the relevant amount at the latest by 30 September of the preceding calendar year.’</w:t>
      </w:r>
    </w:p>
    <w:p w14:paraId="5CF78256" w14:textId="2BD68830" w:rsidR="004A0E02" w:rsidRPr="00FF67ED" w:rsidRDefault="004A0E02">
      <w:pPr>
        <w:pStyle w:val="Point1"/>
        <w:rPr>
          <w:noProof/>
          <w:lang w:val="en-IE"/>
        </w:rPr>
      </w:pPr>
      <w:r>
        <w:rPr>
          <w:noProof/>
        </w:rPr>
        <w:t>(c)</w:t>
      </w:r>
      <w:r>
        <w:rPr>
          <w:noProof/>
        </w:rPr>
        <w:tab/>
      </w:r>
      <w:r w:rsidRPr="00FF67ED">
        <w:rPr>
          <w:noProof/>
          <w:lang w:val="en-IE"/>
        </w:rPr>
        <w:t xml:space="preserve">in paragraph 6, the second subparagraph is replaced by the following: </w:t>
      </w:r>
    </w:p>
    <w:p w14:paraId="1E500F36" w14:textId="77777777" w:rsidR="004A0E02" w:rsidRDefault="004A0E02" w:rsidP="004A0E02">
      <w:pPr>
        <w:pStyle w:val="Text2"/>
        <w:rPr>
          <w:noProof/>
          <w:lang w:val="en-IE"/>
        </w:rPr>
      </w:pPr>
      <w:r w:rsidRPr="00FF67ED">
        <w:rPr>
          <w:noProof/>
          <w:lang w:val="en-IE"/>
        </w:rPr>
        <w:t>‘Where an investment in line with the objectives of the Modernisation Fund, which is proposed to be financed from the Modernisation Fund, does not fall into the areas listed in paragraph 2, the investment committee shall assess the technical and financial viability of that investment, including the emission reductions it achieves, and issue a recommendation on financing the investment from the Modernisation Fund. The investment committee shall ensure that any investment financed from the Modernisation Fund achieves a substantial improvement in emission reductions and, where relevant, in energy efficiency. That recommendation may include suggestions regarding appropriate financing instruments. Up to 50% of the relevant costs of an investment which does not fall into the areas listed in paragraph 2 may be supported with resources from the Modernisation Fund provided that the remaining costs are financed by private legal entities.’</w:t>
      </w:r>
    </w:p>
    <w:p w14:paraId="006448A9" w14:textId="7ABC570F" w:rsidR="004A0E02" w:rsidRPr="00FF67ED" w:rsidRDefault="004A0E02">
      <w:pPr>
        <w:pStyle w:val="Point1"/>
        <w:rPr>
          <w:noProof/>
        </w:rPr>
      </w:pPr>
      <w:r>
        <w:rPr>
          <w:noProof/>
        </w:rPr>
        <w:t>(d)</w:t>
      </w:r>
      <w:r>
        <w:rPr>
          <w:noProof/>
        </w:rPr>
        <w:tab/>
        <w:t>the following sentence is added in the beginning of paragraph 10:</w:t>
      </w:r>
    </w:p>
    <w:p w14:paraId="22443E28" w14:textId="77777777" w:rsidR="004A0E02" w:rsidRPr="00304668" w:rsidRDefault="004A0E02" w:rsidP="004A0E02">
      <w:pPr>
        <w:pStyle w:val="Text2"/>
        <w:rPr>
          <w:noProof/>
          <w:lang w:val="en-IE"/>
        </w:rPr>
      </w:pPr>
      <w:r>
        <w:rPr>
          <w:noProof/>
          <w:lang w:val="en-IE"/>
        </w:rPr>
        <w:t>‘</w:t>
      </w:r>
      <w:r w:rsidRPr="00304668">
        <w:rPr>
          <w:noProof/>
          <w:lang w:val="en-IE"/>
        </w:rPr>
        <w:t xml:space="preserve">Beneficiary Member States shall make </w:t>
      </w:r>
      <w:r w:rsidRPr="51F9F094">
        <w:rPr>
          <w:noProof/>
          <w:lang w:val="en-IE"/>
        </w:rPr>
        <w:t>public</w:t>
      </w:r>
      <w:r w:rsidRPr="00304668">
        <w:rPr>
          <w:noProof/>
          <w:lang w:val="en-IE"/>
        </w:rPr>
        <w:t xml:space="preserve"> the information about recipients and other information referred to in Article 38(2) of Regulation (EU, Euratom) 2024/2509</w:t>
      </w:r>
      <w:r w:rsidRPr="51F9F094">
        <w:rPr>
          <w:noProof/>
          <w:lang w:val="en-IE"/>
        </w:rPr>
        <w:t xml:space="preserve"> </w:t>
      </w:r>
      <w:r>
        <w:rPr>
          <w:noProof/>
          <w:lang w:val="en-IE"/>
        </w:rPr>
        <w:t xml:space="preserve">where applicable </w:t>
      </w:r>
      <w:r w:rsidR="00EF15BC">
        <w:rPr>
          <w:noProof/>
          <w:lang w:val="en-IE"/>
        </w:rPr>
        <w:t xml:space="preserve">in </w:t>
      </w:r>
      <w:r w:rsidRPr="51F9F094">
        <w:rPr>
          <w:noProof/>
          <w:lang w:val="en-IE"/>
        </w:rPr>
        <w:t>relation to support from the Modernisation Fund</w:t>
      </w:r>
      <w:r>
        <w:rPr>
          <w:noProof/>
          <w:lang w:val="en-IE"/>
        </w:rPr>
        <w:t>.’</w:t>
      </w:r>
    </w:p>
    <w:p w14:paraId="2F11584E" w14:textId="40C6270B" w:rsidR="00886D83" w:rsidRPr="00FF67ED" w:rsidRDefault="004A0E02">
      <w:pPr>
        <w:pStyle w:val="Point1"/>
        <w:rPr>
          <w:noProof/>
          <w:lang w:val="en-IE"/>
        </w:rPr>
      </w:pPr>
      <w:r>
        <w:rPr>
          <w:noProof/>
        </w:rPr>
        <w:t>(e)</w:t>
      </w:r>
      <w:r>
        <w:rPr>
          <w:noProof/>
        </w:rPr>
        <w:tab/>
      </w:r>
      <w:r w:rsidRPr="51F9F094">
        <w:rPr>
          <w:noProof/>
          <w:lang w:val="en-IE"/>
        </w:rPr>
        <w:t>in paragraph 11, ‘2024’ is replaced by ‘2036’.</w:t>
      </w:r>
    </w:p>
    <w:p w14:paraId="47756D0C" w14:textId="2F1DBF26" w:rsidR="004A0E02" w:rsidRDefault="004A0E02" w:rsidP="009D06CA">
      <w:pPr>
        <w:pStyle w:val="Point0"/>
        <w:rPr>
          <w:noProof/>
        </w:rPr>
      </w:pPr>
      <w:r>
        <w:rPr>
          <w:noProof/>
        </w:rPr>
        <w:t>(19)</w:t>
      </w:r>
      <w:r>
        <w:rPr>
          <w:noProof/>
        </w:rPr>
        <w:tab/>
        <w:t>The following Article is inserted:</w:t>
      </w:r>
    </w:p>
    <w:p w14:paraId="7EE52E7C" w14:textId="77777777" w:rsidR="004A0E02" w:rsidRPr="00304668" w:rsidRDefault="004A0E02" w:rsidP="004A0E02">
      <w:pPr>
        <w:pStyle w:val="Titrearticle"/>
        <w:rPr>
          <w:noProof/>
          <w:lang w:val="en-US"/>
        </w:rPr>
      </w:pPr>
      <w:r w:rsidRPr="00304668">
        <w:rPr>
          <w:noProof/>
          <w:lang w:val="en-US"/>
        </w:rPr>
        <w:t>‘Article 10da</w:t>
      </w:r>
    </w:p>
    <w:p w14:paraId="3935560A" w14:textId="77777777" w:rsidR="004A0E02" w:rsidRPr="00304668" w:rsidRDefault="004A0E02" w:rsidP="004A0E02">
      <w:pPr>
        <w:jc w:val="center"/>
        <w:rPr>
          <w:b/>
          <w:bCs/>
          <w:noProof/>
          <w:lang w:val="en-US"/>
        </w:rPr>
      </w:pPr>
      <w:r w:rsidRPr="00304668">
        <w:rPr>
          <w:b/>
          <w:bCs/>
          <w:noProof/>
          <w:lang w:val="en-US"/>
        </w:rPr>
        <w:t>Ru</w:t>
      </w:r>
      <w:r>
        <w:rPr>
          <w:b/>
          <w:bCs/>
          <w:noProof/>
          <w:lang w:val="en-US"/>
        </w:rPr>
        <w:t>l</w:t>
      </w:r>
      <w:r w:rsidRPr="00304668">
        <w:rPr>
          <w:b/>
          <w:bCs/>
          <w:noProof/>
          <w:lang w:val="en-US"/>
        </w:rPr>
        <w:t xml:space="preserve">e of Law </w:t>
      </w:r>
    </w:p>
    <w:p w14:paraId="4E329560" w14:textId="5F08F617" w:rsidR="004A0E02" w:rsidRPr="00A31B26" w:rsidRDefault="004A0E02" w:rsidP="004830AF">
      <w:pPr>
        <w:pStyle w:val="LegalNumPar"/>
        <w:numPr>
          <w:ilvl w:val="0"/>
          <w:numId w:val="35"/>
        </w:numPr>
        <w:spacing w:line="240" w:lineRule="auto"/>
        <w:ind w:left="0" w:firstLine="0"/>
        <w:rPr>
          <w:noProof/>
          <w:lang w:val="en-US"/>
        </w:rPr>
      </w:pPr>
      <w:r w:rsidRPr="00A31B26">
        <w:rPr>
          <w:noProof/>
          <w:lang w:val="en-US"/>
        </w:rPr>
        <w:t xml:space="preserve">Beneficiary Member States shall ensure the respect of the principles of the rule of law as set out in Article 2, point (a), and Article 3 of Regulation (EU, Euratom) 2020/2092 throughout the implementation of the Modernisation Fund. </w:t>
      </w:r>
    </w:p>
    <w:p w14:paraId="05995241" w14:textId="75D5C876" w:rsidR="00A31B26" w:rsidRPr="00A31B26" w:rsidRDefault="004A0E02" w:rsidP="004830AF">
      <w:pPr>
        <w:pStyle w:val="LegalNumPar"/>
        <w:numPr>
          <w:ilvl w:val="0"/>
          <w:numId w:val="35"/>
        </w:numPr>
        <w:spacing w:line="240" w:lineRule="auto"/>
        <w:ind w:left="0" w:firstLine="0"/>
        <w:rPr>
          <w:noProof/>
          <w:lang w:val="en-US"/>
        </w:rPr>
      </w:pPr>
      <w:r w:rsidRPr="00A31B26">
        <w:rPr>
          <w:noProof/>
          <w:lang w:val="en-US"/>
        </w:rPr>
        <w:t>Appropriate measures as set out in paragraph 3 may be taken where it is established that the breaches of the principles of the rule of law referred to in Article 4(2) of Regulation 2020/2092 in a beneficiary Member State affect or seriously risk affecting the sound financial management of the Modernisation Fund in a sufficiently direct way.</w:t>
      </w:r>
    </w:p>
    <w:p w14:paraId="65F53AF0" w14:textId="38DDFF42" w:rsidR="004A0E02" w:rsidRPr="00A31B26" w:rsidRDefault="004A0E02" w:rsidP="004830AF">
      <w:pPr>
        <w:pStyle w:val="LegalNumPar"/>
        <w:numPr>
          <w:ilvl w:val="0"/>
          <w:numId w:val="35"/>
        </w:numPr>
        <w:spacing w:line="240" w:lineRule="auto"/>
        <w:ind w:left="0" w:firstLine="0"/>
        <w:rPr>
          <w:noProof/>
          <w:lang w:val="en-US"/>
        </w:rPr>
      </w:pPr>
      <w:r w:rsidRPr="00A31B26">
        <w:rPr>
          <w:noProof/>
          <w:lang w:val="en-US"/>
        </w:rPr>
        <w:t xml:space="preserve">Provided that the condition set out in paragraph </w:t>
      </w:r>
      <w:r w:rsidR="00632ADF">
        <w:rPr>
          <w:noProof/>
          <w:lang w:val="en-US"/>
        </w:rPr>
        <w:t xml:space="preserve">2 </w:t>
      </w:r>
      <w:r w:rsidRPr="00A31B26">
        <w:rPr>
          <w:noProof/>
          <w:lang w:val="en-US"/>
        </w:rPr>
        <w:t>is fulfilled, one or more of the following appropriate measures may be adopted, following the procedure in Article 10db.</w:t>
      </w:r>
    </w:p>
    <w:p w14:paraId="0BE2F34A" w14:textId="77777777" w:rsidR="004A0E02" w:rsidRPr="00E85ADF" w:rsidRDefault="004A0E02">
      <w:pPr>
        <w:pStyle w:val="Point1"/>
        <w:rPr>
          <w:noProof/>
          <w:lang w:val="en-IE"/>
        </w:rPr>
      </w:pPr>
      <w:r>
        <w:rPr>
          <w:noProof/>
        </w:rPr>
        <w:t>(a)</w:t>
      </w:r>
      <w:r>
        <w:rPr>
          <w:noProof/>
        </w:rPr>
        <w:tab/>
      </w:r>
      <w:r w:rsidRPr="00E85ADF">
        <w:rPr>
          <w:noProof/>
          <w:lang w:val="en-IE"/>
        </w:rPr>
        <w:t>a suspension of the adoption of the disbursement decision referred to in Article 10d (3);</w:t>
      </w:r>
    </w:p>
    <w:p w14:paraId="1C9C1927" w14:textId="77777777" w:rsidR="004A0E02" w:rsidRPr="00E85ADF" w:rsidRDefault="004A0E02">
      <w:pPr>
        <w:pStyle w:val="Point1"/>
        <w:rPr>
          <w:noProof/>
          <w:lang w:val="en-IE"/>
        </w:rPr>
      </w:pPr>
      <w:r>
        <w:rPr>
          <w:noProof/>
        </w:rPr>
        <w:t>(b)</w:t>
      </w:r>
      <w:r>
        <w:rPr>
          <w:noProof/>
        </w:rPr>
        <w:tab/>
      </w:r>
      <w:r w:rsidRPr="00E85ADF">
        <w:rPr>
          <w:noProof/>
          <w:lang w:val="en-IE"/>
        </w:rPr>
        <w:t xml:space="preserve">a suspension of disbursements under disbursement decisions already adopted; </w:t>
      </w:r>
    </w:p>
    <w:p w14:paraId="2B7DBAA5" w14:textId="16877514" w:rsidR="004A0E02" w:rsidRDefault="004A0E02" w:rsidP="00B97C25">
      <w:pPr>
        <w:pStyle w:val="LegalNumPar"/>
        <w:numPr>
          <w:ilvl w:val="0"/>
          <w:numId w:val="0"/>
        </w:numPr>
        <w:spacing w:line="240" w:lineRule="auto"/>
        <w:rPr>
          <w:noProof/>
          <w:lang w:val="en-US"/>
        </w:rPr>
      </w:pPr>
      <w:r>
        <w:rPr>
          <w:noProof/>
          <w:lang w:val="en-US"/>
        </w:rPr>
        <w:t>The measures adopted shall respect the conditions provided for in Article 5</w:t>
      </w:r>
      <w:r w:rsidR="00730045">
        <w:rPr>
          <w:noProof/>
          <w:lang w:val="en-US"/>
        </w:rPr>
        <w:t>(2) to (5)</w:t>
      </w:r>
      <w:r>
        <w:rPr>
          <w:noProof/>
          <w:lang w:val="en-US"/>
        </w:rPr>
        <w:t xml:space="preserve"> of Regulation 2020/2092 as appropriate.</w:t>
      </w:r>
    </w:p>
    <w:p w14:paraId="116E1EBE" w14:textId="15AB341D" w:rsidR="004A0E02" w:rsidRPr="00A31B26" w:rsidRDefault="004A0E02" w:rsidP="00B97C25">
      <w:pPr>
        <w:pStyle w:val="LegalNumPar"/>
        <w:spacing w:line="240" w:lineRule="auto"/>
        <w:ind w:left="0" w:firstLine="0"/>
        <w:rPr>
          <w:noProof/>
          <w:lang w:val="en-US"/>
        </w:rPr>
      </w:pPr>
      <w:r>
        <w:rPr>
          <w:noProof/>
          <w:lang w:val="en-US"/>
        </w:rPr>
        <w:t>The measures shall be adopted in accordance with the procedure laid down in Article 6 of Regulation 2020/2092. When triggering the procedure, the Commission shall verify that no other means exist to</w:t>
      </w:r>
      <w:r w:rsidRPr="008E1BBE">
        <w:rPr>
          <w:noProof/>
          <w:lang w:val="en-US"/>
        </w:rPr>
        <w:t xml:space="preserve"> protect the </w:t>
      </w:r>
      <w:r>
        <w:rPr>
          <w:noProof/>
          <w:lang w:val="en-US"/>
        </w:rPr>
        <w:t>revenues managed under the Modernisation Fund</w:t>
      </w:r>
      <w:r w:rsidRPr="008E1BBE">
        <w:rPr>
          <w:noProof/>
          <w:lang w:val="en-US"/>
        </w:rPr>
        <w:t xml:space="preserve"> more effectively</w:t>
      </w:r>
      <w:r>
        <w:rPr>
          <w:noProof/>
          <w:lang w:val="en-US"/>
        </w:rPr>
        <w:t>.</w:t>
      </w:r>
    </w:p>
    <w:p w14:paraId="489E077C" w14:textId="2CDF1460" w:rsidR="000106F1" w:rsidRPr="00DE2C42" w:rsidRDefault="004A0E02" w:rsidP="00B97C25">
      <w:pPr>
        <w:pStyle w:val="LegalNumPar"/>
        <w:spacing w:line="240" w:lineRule="auto"/>
        <w:ind w:left="0" w:firstLine="0"/>
        <w:rPr>
          <w:noProof/>
          <w:lang w:val="en-US"/>
        </w:rPr>
      </w:pPr>
      <w:r>
        <w:rPr>
          <w:noProof/>
          <w:lang w:val="en-US"/>
        </w:rPr>
        <w:t>The m</w:t>
      </w:r>
      <w:r w:rsidRPr="007B3A2F">
        <w:rPr>
          <w:noProof/>
          <w:lang w:val="en-US"/>
        </w:rPr>
        <w:t xml:space="preserve">easures shall be lifted in accordance with the procedure laid down in Article 7 of Regulation 2020/2092. </w:t>
      </w:r>
    </w:p>
    <w:p w14:paraId="7191FD2E" w14:textId="0E53262F" w:rsidR="00FF67ED" w:rsidRPr="00B97C25" w:rsidRDefault="00FF67ED" w:rsidP="009D06CA">
      <w:pPr>
        <w:pStyle w:val="Point0"/>
        <w:rPr>
          <w:noProof/>
        </w:rPr>
      </w:pPr>
      <w:r>
        <w:rPr>
          <w:noProof/>
        </w:rPr>
        <w:t>(20)</w:t>
      </w:r>
      <w:r>
        <w:rPr>
          <w:noProof/>
        </w:rPr>
        <w:tab/>
      </w:r>
      <w:r w:rsidRPr="00B97C25">
        <w:rPr>
          <w:noProof/>
        </w:rPr>
        <w:t xml:space="preserve">Article 10f is </w:t>
      </w:r>
      <w:r w:rsidR="00730045">
        <w:rPr>
          <w:noProof/>
        </w:rPr>
        <w:t>replaced by</w:t>
      </w:r>
      <w:r w:rsidRPr="00B97C25">
        <w:rPr>
          <w:noProof/>
        </w:rPr>
        <w:t xml:space="preserve"> </w:t>
      </w:r>
      <w:r w:rsidR="00730045">
        <w:rPr>
          <w:noProof/>
        </w:rPr>
        <w:t xml:space="preserve">the </w:t>
      </w:r>
      <w:r w:rsidRPr="00B97C25">
        <w:rPr>
          <w:noProof/>
        </w:rPr>
        <w:t>follow</w:t>
      </w:r>
      <w:r w:rsidR="00730045">
        <w:rPr>
          <w:noProof/>
        </w:rPr>
        <w:t>ing</w:t>
      </w:r>
      <w:r w:rsidRPr="00B97C25">
        <w:rPr>
          <w:noProof/>
        </w:rPr>
        <w:t>:</w:t>
      </w:r>
    </w:p>
    <w:p w14:paraId="08AAC573" w14:textId="77777777" w:rsidR="00124401" w:rsidRPr="00620F3F" w:rsidRDefault="00124401" w:rsidP="00D62460">
      <w:pPr>
        <w:pStyle w:val="Titrearticle"/>
        <w:rPr>
          <w:noProof/>
        </w:rPr>
      </w:pPr>
      <w:r>
        <w:rPr>
          <w:noProof/>
        </w:rPr>
        <w:t>‘</w:t>
      </w:r>
      <w:r w:rsidRPr="003E5224">
        <w:rPr>
          <w:noProof/>
        </w:rPr>
        <w:t>Article 10f</w:t>
      </w:r>
    </w:p>
    <w:p w14:paraId="1A658A72" w14:textId="77777777" w:rsidR="00124401" w:rsidRPr="00D62460" w:rsidRDefault="00124401" w:rsidP="00D62460">
      <w:pPr>
        <w:jc w:val="center"/>
        <w:rPr>
          <w:b/>
          <w:bCs/>
          <w:noProof/>
        </w:rPr>
      </w:pPr>
      <w:r w:rsidRPr="00D62460">
        <w:rPr>
          <w:b/>
          <w:bCs/>
          <w:noProof/>
        </w:rPr>
        <w:t>‘Do no significant harm’ principle</w:t>
      </w:r>
    </w:p>
    <w:p w14:paraId="447CFDB2" w14:textId="77777777" w:rsidR="00A31B26" w:rsidRPr="003E5224" w:rsidRDefault="002A0717" w:rsidP="004B3708">
      <w:pPr>
        <w:pStyle w:val="LegalNumPar"/>
        <w:numPr>
          <w:ilvl w:val="0"/>
          <w:numId w:val="0"/>
        </w:numPr>
        <w:spacing w:line="240" w:lineRule="auto"/>
        <w:rPr>
          <w:noProof/>
        </w:rPr>
      </w:pPr>
      <w:r>
        <w:rPr>
          <w:noProof/>
        </w:rPr>
        <w:t>R</w:t>
      </w:r>
      <w:r w:rsidR="00FE37C6" w:rsidRPr="00FE37C6">
        <w:rPr>
          <w:noProof/>
        </w:rPr>
        <w:t xml:space="preserve">evenues generated from the auctioning of allowances destined for the Modernisation Fund pursuant to Article 10d, </w:t>
      </w:r>
      <w:r>
        <w:rPr>
          <w:noProof/>
        </w:rPr>
        <w:t xml:space="preserve">for the </w:t>
      </w:r>
      <w:r w:rsidR="00FE37C6" w:rsidRPr="00FE37C6">
        <w:rPr>
          <w:noProof/>
        </w:rPr>
        <w:t>Innovation Fund pursuant to Article 10c</w:t>
      </w:r>
      <w:r w:rsidR="00FE37C6">
        <w:rPr>
          <w:noProof/>
        </w:rPr>
        <w:t>b</w:t>
      </w:r>
      <w:r w:rsidR="00FE37C6" w:rsidRPr="00FE37C6">
        <w:rPr>
          <w:noProof/>
        </w:rPr>
        <w:t xml:space="preserve"> and </w:t>
      </w:r>
      <w:r>
        <w:rPr>
          <w:noProof/>
        </w:rPr>
        <w:t xml:space="preserve">for </w:t>
      </w:r>
      <w:r w:rsidR="00FE37C6" w:rsidRPr="00FE37C6">
        <w:rPr>
          <w:noProof/>
        </w:rPr>
        <w:t>the Industrial Decarbonisation Bank pursuant to Article 10c</w:t>
      </w:r>
      <w:r w:rsidR="00FE37C6">
        <w:rPr>
          <w:noProof/>
        </w:rPr>
        <w:t>c</w:t>
      </w:r>
      <w:r w:rsidR="00FE37C6" w:rsidRPr="00FE37C6">
        <w:rPr>
          <w:noProof/>
        </w:rPr>
        <w:t xml:space="preserve"> of this Directive shall be used in line with the principle of ‘do no significant harm’ referred to in Article 33(2), point (d) of Regulation of Regulation (EU, Euratom) 2024/2509.</w:t>
      </w:r>
      <w:r w:rsidR="00124401">
        <w:rPr>
          <w:noProof/>
        </w:rPr>
        <w:t>’</w:t>
      </w:r>
    </w:p>
    <w:p w14:paraId="75DCE35D" w14:textId="77777777" w:rsidR="3FA15FC7" w:rsidRPr="00B97C25" w:rsidRDefault="3FA15FC7" w:rsidP="009D06CA">
      <w:pPr>
        <w:pStyle w:val="Point0"/>
        <w:rPr>
          <w:noProof/>
        </w:rPr>
      </w:pPr>
      <w:r>
        <w:rPr>
          <w:noProof/>
        </w:rPr>
        <w:t>(21)</w:t>
      </w:r>
      <w:r>
        <w:rPr>
          <w:noProof/>
        </w:rPr>
        <w:tab/>
      </w:r>
      <w:r w:rsidRPr="00B97C25">
        <w:rPr>
          <w:noProof/>
        </w:rPr>
        <w:t>in the title of Chapter IV, the word ‘stationary’ is deleted;</w:t>
      </w:r>
    </w:p>
    <w:p w14:paraId="28792073" w14:textId="2D7F44BE" w:rsidR="00FF67ED" w:rsidRPr="00B97C25" w:rsidRDefault="00FF67ED" w:rsidP="009D06CA">
      <w:pPr>
        <w:pStyle w:val="Point0"/>
        <w:rPr>
          <w:noProof/>
        </w:rPr>
      </w:pPr>
      <w:r>
        <w:rPr>
          <w:noProof/>
        </w:rPr>
        <w:t>(22)</w:t>
      </w:r>
      <w:r>
        <w:rPr>
          <w:noProof/>
        </w:rPr>
        <w:tab/>
      </w:r>
      <w:r w:rsidRPr="00B97C25">
        <w:rPr>
          <w:noProof/>
        </w:rPr>
        <w:t xml:space="preserve">Article 12 is amended as follows: </w:t>
      </w:r>
    </w:p>
    <w:p w14:paraId="49DE94F3" w14:textId="442E9D55" w:rsidR="009316C0" w:rsidRPr="00A31B26" w:rsidRDefault="00000F13">
      <w:pPr>
        <w:pStyle w:val="Point1"/>
        <w:rPr>
          <w:noProof/>
          <w:lang w:val="en-IE"/>
        </w:rPr>
      </w:pPr>
      <w:r>
        <w:rPr>
          <w:noProof/>
        </w:rPr>
        <w:t xml:space="preserve">(a) </w:t>
      </w:r>
      <w:r w:rsidR="009316C0" w:rsidRPr="00A31B26">
        <w:rPr>
          <w:noProof/>
          <w:lang w:val="en-IE"/>
        </w:rPr>
        <w:t>paragraph 3 is amended as follows:</w:t>
      </w:r>
    </w:p>
    <w:p w14:paraId="7B04F874" w14:textId="77777777" w:rsidR="00FF67ED" w:rsidRPr="006F6BBD" w:rsidRDefault="006F6BBD" w:rsidP="00620F3F">
      <w:pPr>
        <w:pStyle w:val="Point1letter0"/>
        <w:tabs>
          <w:tab w:val="clear" w:pos="1417"/>
        </w:tabs>
        <w:ind w:firstLine="0"/>
        <w:rPr>
          <w:noProof/>
          <w:lang w:val="en-IE"/>
        </w:rPr>
      </w:pPr>
      <w:r>
        <w:rPr>
          <w:noProof/>
          <w:lang w:val="en-IE"/>
        </w:rPr>
        <w:t xml:space="preserve">(i) </w:t>
      </w:r>
      <w:r w:rsidR="00FF67ED" w:rsidRPr="006F6BBD">
        <w:rPr>
          <w:noProof/>
          <w:lang w:val="en-IE"/>
        </w:rPr>
        <w:t>point (b) is replaced by the following:</w:t>
      </w:r>
    </w:p>
    <w:p w14:paraId="08BC739A" w14:textId="77777777" w:rsidR="00FF67ED" w:rsidRPr="00FF67ED" w:rsidRDefault="00FF67ED" w:rsidP="00FF67ED">
      <w:pPr>
        <w:pStyle w:val="Text2"/>
        <w:rPr>
          <w:noProof/>
          <w:lang w:val="en-IE"/>
        </w:rPr>
      </w:pPr>
      <w:r w:rsidRPr="00FF67ED">
        <w:rPr>
          <w:noProof/>
          <w:lang w:val="en-IE"/>
        </w:rPr>
        <w:t xml:space="preserve">‘(b) each aircraft operator surrenders a number of allowances that is equal to its total emissions during the preceding calendar year, as verified in accordance with Article 15, reduced as set out in </w:t>
      </w:r>
      <w:r w:rsidR="009F3E28">
        <w:rPr>
          <w:noProof/>
          <w:lang w:val="en-IE"/>
        </w:rPr>
        <w:t>paragraph 3-f</w:t>
      </w:r>
      <w:r w:rsidRPr="00FF67ED">
        <w:rPr>
          <w:noProof/>
          <w:lang w:val="en-IE"/>
        </w:rPr>
        <w:t xml:space="preserve"> to deduct costs incurred from CORSIA offsetting, and thereby avoid double charging.’; </w:t>
      </w:r>
    </w:p>
    <w:p w14:paraId="40AB9F5B" w14:textId="77777777" w:rsidR="00FF67ED" w:rsidRPr="00FF67ED" w:rsidRDefault="006F6BBD" w:rsidP="00620F3F">
      <w:pPr>
        <w:pStyle w:val="Point1letter0"/>
        <w:tabs>
          <w:tab w:val="clear" w:pos="1417"/>
        </w:tabs>
        <w:ind w:firstLine="0"/>
        <w:rPr>
          <w:noProof/>
          <w:lang w:val="en-IE"/>
        </w:rPr>
      </w:pPr>
      <w:r>
        <w:rPr>
          <w:noProof/>
          <w:lang w:val="en-IE"/>
        </w:rPr>
        <w:t xml:space="preserve">(ii) </w:t>
      </w:r>
      <w:r w:rsidR="00FF67ED" w:rsidRPr="00FF67ED">
        <w:rPr>
          <w:noProof/>
          <w:lang w:val="en-IE"/>
        </w:rPr>
        <w:t xml:space="preserve">the following </w:t>
      </w:r>
      <w:r w:rsidR="00333E9A">
        <w:rPr>
          <w:noProof/>
          <w:lang w:val="en-IE"/>
        </w:rPr>
        <w:t>paragraph</w:t>
      </w:r>
      <w:r w:rsidR="007D302C">
        <w:rPr>
          <w:noProof/>
          <w:lang w:val="en-IE"/>
        </w:rPr>
        <w:t>s</w:t>
      </w:r>
      <w:r w:rsidR="00FF67ED" w:rsidRPr="00FF67ED">
        <w:rPr>
          <w:noProof/>
          <w:lang w:val="en-IE"/>
        </w:rPr>
        <w:t xml:space="preserve"> </w:t>
      </w:r>
      <w:r w:rsidR="007D302C">
        <w:rPr>
          <w:noProof/>
          <w:lang w:val="en-IE"/>
        </w:rPr>
        <w:t>are</w:t>
      </w:r>
      <w:r w:rsidR="00FF67ED" w:rsidRPr="00FF67ED">
        <w:rPr>
          <w:noProof/>
          <w:lang w:val="en-IE"/>
        </w:rPr>
        <w:t xml:space="preserve"> inserted after </w:t>
      </w:r>
      <w:r w:rsidR="005522A6">
        <w:rPr>
          <w:noProof/>
          <w:lang w:val="en-IE"/>
        </w:rPr>
        <w:t>paragraph 3</w:t>
      </w:r>
      <w:r w:rsidR="00FF67ED" w:rsidRPr="00FF67ED">
        <w:rPr>
          <w:noProof/>
          <w:lang w:val="en-IE"/>
        </w:rPr>
        <w:t xml:space="preserve">: </w:t>
      </w:r>
    </w:p>
    <w:p w14:paraId="130D39AE" w14:textId="77777777" w:rsidR="006C1C2B" w:rsidRPr="006C1C2B" w:rsidRDefault="00FF67ED" w:rsidP="006C1C2B">
      <w:pPr>
        <w:pStyle w:val="Text2"/>
        <w:rPr>
          <w:noProof/>
          <w:lang w:val="en-IE"/>
        </w:rPr>
      </w:pPr>
      <w:r w:rsidRPr="00FF67ED">
        <w:rPr>
          <w:noProof/>
          <w:lang w:val="en-IE"/>
        </w:rPr>
        <w:t>‘</w:t>
      </w:r>
      <w:r w:rsidR="007D302C">
        <w:rPr>
          <w:noProof/>
          <w:lang w:val="en-IE"/>
        </w:rPr>
        <w:t xml:space="preserve">3-g. By </w:t>
      </w:r>
      <w:r w:rsidR="006C1C2B" w:rsidRPr="006C1C2B">
        <w:rPr>
          <w:noProof/>
          <w:lang w:val="en-IE"/>
        </w:rPr>
        <w:t xml:space="preserve">way of derogation from paragraph 3, first subparagraph, point (c), shipping companies may surrender fewer allowances than their verified emissions in respect of emissions released until 31 December 2035 from voyages from a port of call outside the jurisdiction of a Member State to a port of call under the jurisdiction of a Member State if performed by containerships of 10 000 TEU and above, if the distance of the voyage exceeds 300 nautical miles. </w:t>
      </w:r>
    </w:p>
    <w:p w14:paraId="7D6A96F5" w14:textId="77777777" w:rsidR="006C1C2B" w:rsidRPr="006C1C2B" w:rsidRDefault="006C1C2B" w:rsidP="006C1C2B">
      <w:pPr>
        <w:pStyle w:val="Text2"/>
        <w:rPr>
          <w:noProof/>
          <w:lang w:val="en-IE"/>
        </w:rPr>
      </w:pPr>
      <w:r w:rsidRPr="006C1C2B">
        <w:rPr>
          <w:noProof/>
          <w:lang w:val="en-IE"/>
        </w:rPr>
        <w:t xml:space="preserve">Where the shipping companies benefit from the derogation referred to in the first subparagraph, they may surrender fewer allowances than their verified emissions in respect of emissions released from the activities within a port in relation to the voyages referred to in the first subparagraph. </w:t>
      </w:r>
    </w:p>
    <w:p w14:paraId="7D2E3188" w14:textId="77777777" w:rsidR="006C1C2B" w:rsidRPr="006C1C2B" w:rsidRDefault="006C1C2B" w:rsidP="006C1C2B">
      <w:pPr>
        <w:pStyle w:val="Text2"/>
        <w:rPr>
          <w:noProof/>
          <w:lang w:val="en-IE"/>
        </w:rPr>
      </w:pPr>
      <w:r w:rsidRPr="006C1C2B">
        <w:rPr>
          <w:noProof/>
          <w:lang w:val="en-IE"/>
        </w:rPr>
        <w:t>The amount of allowances to be surrendered in respect of the containership referred to in the first subparagraph at the port of call under the jurisdiction of a Member State, shall be reduced on the basis of the share of containers, measured in twenty-foot equivalent units, unloaded at the port of call under the jurisdiction of a Member State for the sole purpose of being loaded onto another ship, performing a voyage between the same port of call and a port of call outside the jurisdiction of a Member State, compared to the total  number of containers unloaded by the containership.</w:t>
      </w:r>
    </w:p>
    <w:p w14:paraId="702F2A69" w14:textId="77777777" w:rsidR="007D302C" w:rsidRDefault="006C1C2B" w:rsidP="00FF67ED">
      <w:pPr>
        <w:pStyle w:val="Text2"/>
        <w:rPr>
          <w:noProof/>
          <w:lang w:val="en-IE"/>
        </w:rPr>
      </w:pPr>
      <w:r w:rsidRPr="006C1C2B">
        <w:rPr>
          <w:noProof/>
          <w:lang w:val="en-IE"/>
        </w:rPr>
        <w:t>Where fewer allowances are surrendered compared to the verified emissions, once the difference between verified emissions and allowances surrendered has been established in respect of each year, an amount of allowances corresponding to that difference shall be cancelled rather than auctioned pursuant to Article 10</w:t>
      </w:r>
      <w:r w:rsidR="00293598">
        <w:rPr>
          <w:noProof/>
          <w:lang w:val="en-IE"/>
        </w:rPr>
        <w:t>.</w:t>
      </w:r>
    </w:p>
    <w:p w14:paraId="5C7AEFA9" w14:textId="77777777" w:rsidR="00FF67ED" w:rsidRPr="00FF67ED" w:rsidRDefault="00D35AB0" w:rsidP="00FF67ED">
      <w:pPr>
        <w:pStyle w:val="Text2"/>
        <w:rPr>
          <w:noProof/>
          <w:lang w:val="en-IE"/>
        </w:rPr>
      </w:pPr>
      <w:r>
        <w:rPr>
          <w:noProof/>
          <w:lang w:val="en-IE"/>
        </w:rPr>
        <w:t>3-f.</w:t>
      </w:r>
      <w:r w:rsidR="00FF67ED" w:rsidRPr="00FF67ED">
        <w:rPr>
          <w:noProof/>
          <w:lang w:val="en-IE"/>
        </w:rPr>
        <w:t xml:space="preserve"> On routes subject to the offsetting requirement calculated pursuant to paragraph 6</w:t>
      </w:r>
      <w:r w:rsidR="00AD7336">
        <w:rPr>
          <w:noProof/>
          <w:lang w:val="en-IE"/>
        </w:rPr>
        <w:t xml:space="preserve"> of this Article</w:t>
      </w:r>
      <w:r w:rsidR="00FF67ED" w:rsidRPr="00FF67ED">
        <w:rPr>
          <w:noProof/>
          <w:lang w:val="en-IE"/>
        </w:rPr>
        <w:t xml:space="preserve">, the reduction of the surrender obligation shall correspond to the </w:t>
      </w:r>
      <w:r w:rsidR="005522A6" w:rsidRPr="00FF67ED">
        <w:rPr>
          <w:noProof/>
          <w:lang w:val="en-IE"/>
        </w:rPr>
        <w:t>aircraft operator’s</w:t>
      </w:r>
      <w:r w:rsidR="005522A6" w:rsidRPr="48AF4A70">
        <w:rPr>
          <w:noProof/>
          <w:lang w:val="en-IE"/>
        </w:rPr>
        <w:t xml:space="preserve"> </w:t>
      </w:r>
      <w:r w:rsidR="005522A6" w:rsidRPr="00FF67ED">
        <w:rPr>
          <w:noProof/>
          <w:lang w:val="en-IE"/>
        </w:rPr>
        <w:t>offsetting requirement</w:t>
      </w:r>
      <w:r w:rsidR="005522A6" w:rsidRPr="30E6C3F4">
        <w:rPr>
          <w:noProof/>
          <w:lang w:val="en-IE"/>
        </w:rPr>
        <w:t>, as</w:t>
      </w:r>
      <w:r w:rsidR="005522A6" w:rsidRPr="00FF67ED">
        <w:rPr>
          <w:noProof/>
          <w:lang w:val="en-IE"/>
        </w:rPr>
        <w:t xml:space="preserve"> calculated pursuant to paragraph</w:t>
      </w:r>
      <w:r w:rsidR="005522A6" w:rsidRPr="30E6C3F4">
        <w:rPr>
          <w:noProof/>
          <w:lang w:val="en-IE"/>
        </w:rPr>
        <w:t xml:space="preserve"> 6</w:t>
      </w:r>
      <w:r w:rsidR="005522A6">
        <w:rPr>
          <w:noProof/>
          <w:lang w:val="en-IE"/>
        </w:rPr>
        <w:t xml:space="preserve"> of this Article</w:t>
      </w:r>
      <w:r w:rsidR="00FF67ED" w:rsidRPr="00FF67ED">
        <w:rPr>
          <w:noProof/>
          <w:lang w:val="en-IE"/>
        </w:rPr>
        <w:t xml:space="preserve">, in proportion to the extent the route is covered by the surrender obligation, multiplied by the ratio between the average price of allowances and the average price of credits eligible under Article 11a. The ratio shall be calculated using best available price indices for credits published in the </w:t>
      </w:r>
      <w:r w:rsidR="00A8244C" w:rsidRPr="00FF67ED">
        <w:rPr>
          <w:noProof/>
          <w:lang w:val="en-IE"/>
        </w:rPr>
        <w:t>carbon market report</w:t>
      </w:r>
      <w:r w:rsidR="00FF67ED" w:rsidRPr="00FF67ED">
        <w:rPr>
          <w:noProof/>
          <w:lang w:val="en-IE"/>
        </w:rPr>
        <w:t xml:space="preserve"> published pursuant to Article 10(5). </w:t>
      </w:r>
    </w:p>
    <w:p w14:paraId="7349076D" w14:textId="77777777" w:rsidR="00FF67ED" w:rsidRPr="00FF67ED" w:rsidRDefault="00FF67ED" w:rsidP="00FF67ED">
      <w:pPr>
        <w:pStyle w:val="Text2"/>
        <w:rPr>
          <w:noProof/>
          <w:lang w:val="en-IE"/>
        </w:rPr>
      </w:pPr>
      <w:r w:rsidRPr="00FF67ED">
        <w:rPr>
          <w:noProof/>
          <w:lang w:val="en-IE"/>
        </w:rPr>
        <w:t>In case the cancelation of units pursuant to paragraph 9 does not take place for a certain period described in that paragraph, allowances shall be surrendered for the deductions that took already place for the years in that period, no later than 30 September of the year following the date of the notification of the final offsetting obligation.</w:t>
      </w:r>
    </w:p>
    <w:p w14:paraId="53AEC30D" w14:textId="77777777" w:rsidR="00FF67ED" w:rsidRPr="00FF67ED" w:rsidRDefault="00FF67ED" w:rsidP="00FF67ED">
      <w:pPr>
        <w:pStyle w:val="Text2"/>
        <w:rPr>
          <w:noProof/>
          <w:lang w:val="en-IE"/>
        </w:rPr>
      </w:pPr>
      <w:r w:rsidRPr="00FF67ED">
        <w:rPr>
          <w:noProof/>
          <w:lang w:val="en-IE"/>
        </w:rPr>
        <w:t>In case the final offsetting requirement pursuant to paragraph 6 is not communicated to aircraft operators and the cancelation of units pursuant to paragraph 9 does not take place for a certain period described in that paragraph, allowances shall be surrendered for the deductions that took already place for the years in that period, no later than 30 September of the year following the due date of the notification of the final offsetting obligation.’;</w:t>
      </w:r>
    </w:p>
    <w:p w14:paraId="727DBDA2" w14:textId="2D538A07" w:rsidR="00FF67ED" w:rsidRPr="009D06CA" w:rsidRDefault="00FF67ED" w:rsidP="009D06CA">
      <w:pPr>
        <w:pStyle w:val="Point1"/>
        <w:rPr>
          <w:noProof/>
        </w:rPr>
      </w:pPr>
      <w:r>
        <w:rPr>
          <w:noProof/>
        </w:rPr>
        <w:t>(b)</w:t>
      </w:r>
      <w:r>
        <w:rPr>
          <w:noProof/>
        </w:rPr>
        <w:tab/>
      </w:r>
      <w:r w:rsidRPr="009D06CA">
        <w:rPr>
          <w:noProof/>
        </w:rPr>
        <w:t xml:space="preserve">in paragraphs 3-e, 3-d, 3-c, and 3-b, </w:t>
      </w:r>
      <w:r w:rsidR="00342376" w:rsidRPr="009D06CA">
        <w:rPr>
          <w:noProof/>
        </w:rPr>
        <w:t xml:space="preserve">the date of </w:t>
      </w:r>
      <w:r w:rsidRPr="009D06CA">
        <w:rPr>
          <w:noProof/>
        </w:rPr>
        <w:t>‘31 December 2030’ is replaced by ‘31 December 2035’;</w:t>
      </w:r>
    </w:p>
    <w:p w14:paraId="5CE0EFFA" w14:textId="78E2E8E9" w:rsidR="00FF67ED" w:rsidRPr="009D06CA" w:rsidRDefault="00FF67ED" w:rsidP="009D06CA">
      <w:pPr>
        <w:pStyle w:val="Point1"/>
        <w:rPr>
          <w:noProof/>
        </w:rPr>
      </w:pPr>
      <w:r>
        <w:rPr>
          <w:noProof/>
        </w:rPr>
        <w:t>(c)</w:t>
      </w:r>
      <w:r>
        <w:rPr>
          <w:noProof/>
        </w:rPr>
        <w:tab/>
      </w:r>
      <w:r w:rsidRPr="009D06CA">
        <w:rPr>
          <w:noProof/>
        </w:rPr>
        <w:t xml:space="preserve">paragraph 3a is replaced by the following: </w:t>
      </w:r>
    </w:p>
    <w:p w14:paraId="3C633B0A" w14:textId="77777777" w:rsidR="00F159D5" w:rsidRDefault="00FF67ED" w:rsidP="009D06CA">
      <w:pPr>
        <w:pStyle w:val="Text2"/>
        <w:rPr>
          <w:noProof/>
          <w:lang w:val="en-IE"/>
        </w:rPr>
      </w:pPr>
      <w:r w:rsidRPr="00FF67ED">
        <w:rPr>
          <w:noProof/>
          <w:lang w:val="en-IE"/>
        </w:rPr>
        <w:t xml:space="preserve">‘3a. An obligation to surrender allowances shall not arise in respect of emissions verified as captured and transported for permanent storage to a facility for which a permit is in force in accordance with Directive 2009/31/EC of the European Parliament and of the Council </w:t>
      </w:r>
      <w:r w:rsidR="00D058D2">
        <w:rPr>
          <w:noProof/>
          <w:lang w:val="en-IE"/>
        </w:rPr>
        <w:t>*</w:t>
      </w:r>
      <w:r w:rsidRPr="00FF67ED">
        <w:rPr>
          <w:noProof/>
          <w:lang w:val="en-IE"/>
        </w:rPr>
        <w:t xml:space="preserve">, or on a reciprocal basis from 2031 to a facility with a valid permit for geological storage in a third country with a greenhouse gas emissions trading system which is linked to the EU ETS pursuant to Article 25 </w:t>
      </w:r>
      <w:r w:rsidR="0062459D">
        <w:rPr>
          <w:noProof/>
          <w:lang w:val="en-IE"/>
        </w:rPr>
        <w:t xml:space="preserve">of this Directive </w:t>
      </w:r>
      <w:r w:rsidRPr="00FF67ED">
        <w:rPr>
          <w:noProof/>
          <w:lang w:val="en-IE"/>
        </w:rPr>
        <w:t>and in respect of which the Commission adopts an implementing decision confirming sufficient safeguards with respect to the rules set out in Directive 2009/31/EC are in place and provided the facility is not used for enhanced oil or gas recovery.</w:t>
      </w:r>
    </w:p>
    <w:p w14:paraId="45DCB3B7" w14:textId="77777777" w:rsidR="00F159D5" w:rsidRPr="00F159D5" w:rsidRDefault="00F159D5" w:rsidP="009D06CA">
      <w:pPr>
        <w:pStyle w:val="Text2"/>
        <w:rPr>
          <w:noProof/>
          <w:lang w:val="en-IE"/>
        </w:rPr>
      </w:pPr>
      <w:r w:rsidRPr="00F159D5">
        <w:rPr>
          <w:noProof/>
          <w:lang w:val="en-IE"/>
        </w:rPr>
        <w:t>_______</w:t>
      </w:r>
    </w:p>
    <w:p w14:paraId="3EE75F74" w14:textId="77777777" w:rsidR="00FF67ED" w:rsidRPr="00FF67ED" w:rsidRDefault="00F159D5" w:rsidP="009D06CA">
      <w:pPr>
        <w:pStyle w:val="Text2"/>
        <w:rPr>
          <w:noProof/>
          <w:lang w:val="en-IE"/>
        </w:rPr>
      </w:pPr>
      <w:r w:rsidRPr="00F159D5">
        <w:rPr>
          <w:noProof/>
          <w:lang w:val="en-IE"/>
        </w:rPr>
        <w:t xml:space="preserve">* </w:t>
      </w:r>
      <w:r w:rsidR="0062459D" w:rsidRPr="0062459D">
        <w:rPr>
          <w:noProof/>
          <w:lang w:val="en-IE"/>
        </w:rPr>
        <w:t>Directive 2009/31/EC of the European Parliament and of the Council of 23 April 2009 on the geological storage of carbon dioxide and amending Council Directive 85/337/EEC, European Parliament and Council Directives 2000/60/EC, 2001/80/EC, 2004/35/EC, 2006/12/EC, 2008/1/EC and Regulation (EC) No 1013/2006 (OJ L 140, 5.6.2009, p</w:t>
      </w:r>
      <w:r w:rsidR="0062459D">
        <w:rPr>
          <w:noProof/>
          <w:lang w:val="en-IE"/>
        </w:rPr>
        <w:t>. 114).</w:t>
      </w:r>
      <w:r w:rsidR="00FF67ED" w:rsidRPr="00FF67ED">
        <w:rPr>
          <w:noProof/>
          <w:lang w:val="en-IE"/>
        </w:rPr>
        <w:t>’</w:t>
      </w:r>
    </w:p>
    <w:p w14:paraId="4D45B52A" w14:textId="340E1F97" w:rsidR="00FF67ED" w:rsidRPr="009D06CA" w:rsidRDefault="00FF67ED" w:rsidP="009D06CA">
      <w:pPr>
        <w:pStyle w:val="Point1"/>
        <w:rPr>
          <w:noProof/>
        </w:rPr>
      </w:pPr>
      <w:r>
        <w:rPr>
          <w:noProof/>
        </w:rPr>
        <w:t>(d)</w:t>
      </w:r>
      <w:r>
        <w:rPr>
          <w:noProof/>
        </w:rPr>
        <w:tab/>
      </w:r>
      <w:r w:rsidRPr="009D06CA">
        <w:rPr>
          <w:noProof/>
        </w:rPr>
        <w:t xml:space="preserve">paragraph 3b is replaced by the following: </w:t>
      </w:r>
    </w:p>
    <w:p w14:paraId="0643E5CD" w14:textId="77777777" w:rsidR="00FF67ED" w:rsidRPr="00FF67ED" w:rsidRDefault="00FF67ED" w:rsidP="00FF67ED">
      <w:pPr>
        <w:pStyle w:val="Text2"/>
        <w:rPr>
          <w:noProof/>
          <w:lang w:val="en-IE"/>
        </w:rPr>
      </w:pPr>
      <w:r w:rsidRPr="00FF67ED">
        <w:rPr>
          <w:noProof/>
          <w:lang w:val="en-IE"/>
        </w:rPr>
        <w:t xml:space="preserve">‘3b. An obligation to surrender allowances shall not arise in respect of carbon dioxide emissions which are considered to have been captured and utilised in such a way that they have become: </w:t>
      </w:r>
    </w:p>
    <w:p w14:paraId="75D39F45" w14:textId="77777777" w:rsidR="00FF67ED" w:rsidRPr="00D208CF" w:rsidRDefault="00FF67ED">
      <w:pPr>
        <w:pStyle w:val="Point2"/>
        <w:rPr>
          <w:noProof/>
          <w:lang w:val="en-IE"/>
        </w:rPr>
      </w:pPr>
      <w:r>
        <w:rPr>
          <w:noProof/>
        </w:rPr>
        <w:t>(a)</w:t>
      </w:r>
      <w:r>
        <w:rPr>
          <w:noProof/>
        </w:rPr>
        <w:tab/>
      </w:r>
      <w:r w:rsidRPr="00D208CF">
        <w:rPr>
          <w:noProof/>
          <w:lang w:val="en-IE"/>
        </w:rPr>
        <w:t xml:space="preserve">permanently chemically bound so that they do not enter the atmosphere under normal use, including any normal activity taking place after the end of the life of the product, or </w:t>
      </w:r>
    </w:p>
    <w:p w14:paraId="529203F0" w14:textId="77777777" w:rsidR="00FF67ED" w:rsidRPr="00D208CF" w:rsidRDefault="00FF67ED">
      <w:pPr>
        <w:pStyle w:val="Point2"/>
        <w:rPr>
          <w:noProof/>
          <w:lang w:val="en-IE"/>
        </w:rPr>
      </w:pPr>
      <w:r>
        <w:rPr>
          <w:noProof/>
        </w:rPr>
        <w:t>(b)</w:t>
      </w:r>
      <w:r>
        <w:rPr>
          <w:noProof/>
        </w:rPr>
        <w:tab/>
      </w:r>
      <w:r w:rsidRPr="00D208CF">
        <w:rPr>
          <w:noProof/>
          <w:lang w:val="en-IE"/>
        </w:rPr>
        <w:t xml:space="preserve">chemically bound so that they will be primarily emitted in activities listed in Annex I and subject to a surrender obligation under Article 12(3). </w:t>
      </w:r>
    </w:p>
    <w:p w14:paraId="46AE015A" w14:textId="77777777" w:rsidR="00FF67ED" w:rsidRPr="00FF67ED" w:rsidRDefault="00FF67ED" w:rsidP="00FF67ED">
      <w:pPr>
        <w:pStyle w:val="Text2"/>
        <w:rPr>
          <w:noProof/>
          <w:lang w:val="en-IE"/>
        </w:rPr>
      </w:pPr>
      <w:r w:rsidRPr="00FF67ED">
        <w:rPr>
          <w:noProof/>
          <w:lang w:val="en-IE"/>
        </w:rPr>
        <w:t>The Commission shall adopt delegated acts in accordance with Article 23 to supplement this Directive concerning the requirements for considering that greenhouse gases have become permanently chemically bound or chemically bound as referred to in the first subparagraph of this paragraph</w:t>
      </w:r>
      <w:r w:rsidR="00AD07C9">
        <w:rPr>
          <w:noProof/>
          <w:lang w:val="en-IE"/>
        </w:rPr>
        <w:t>,</w:t>
      </w:r>
      <w:r w:rsidR="00382B5E">
        <w:rPr>
          <w:noProof/>
          <w:lang w:val="en-IE"/>
        </w:rPr>
        <w:t xml:space="preserve"> </w:t>
      </w:r>
      <w:r w:rsidR="00382B5E" w:rsidRPr="00382B5E">
        <w:rPr>
          <w:noProof/>
          <w:lang w:val="en-IE"/>
        </w:rPr>
        <w:t xml:space="preserve">and list the </w:t>
      </w:r>
      <w:r w:rsidR="00AD07C9">
        <w:rPr>
          <w:noProof/>
          <w:lang w:val="en-IE"/>
        </w:rPr>
        <w:t>types of</w:t>
      </w:r>
      <w:r w:rsidR="00382B5E" w:rsidRPr="00382B5E">
        <w:rPr>
          <w:noProof/>
          <w:lang w:val="en-IE"/>
        </w:rPr>
        <w:t xml:space="preserve"> utilisation that are considered to meet or not to meet these requirements. </w:t>
      </w:r>
      <w:r w:rsidR="00A46D2B">
        <w:rPr>
          <w:noProof/>
          <w:lang w:val="en-IE"/>
        </w:rPr>
        <w:t>T</w:t>
      </w:r>
      <w:r w:rsidR="00382B5E" w:rsidRPr="00382B5E">
        <w:rPr>
          <w:noProof/>
          <w:lang w:val="en-IE"/>
        </w:rPr>
        <w:t xml:space="preserve">hose delegated acts may determine de minimis thresholds for the risk of not meeting </w:t>
      </w:r>
      <w:r w:rsidR="00542E92">
        <w:rPr>
          <w:noProof/>
          <w:lang w:val="en-IE"/>
        </w:rPr>
        <w:t>those</w:t>
      </w:r>
      <w:r w:rsidR="00382B5E" w:rsidRPr="00382B5E">
        <w:rPr>
          <w:noProof/>
          <w:lang w:val="en-IE"/>
        </w:rPr>
        <w:t xml:space="preserve"> requirements and may introduce measures, such as </w:t>
      </w:r>
      <w:r w:rsidR="00325244">
        <w:rPr>
          <w:noProof/>
          <w:lang w:val="en-IE"/>
        </w:rPr>
        <w:t>partial surrender requirements</w:t>
      </w:r>
      <w:r w:rsidR="00382B5E" w:rsidRPr="00382B5E">
        <w:rPr>
          <w:noProof/>
          <w:lang w:val="en-IE"/>
        </w:rPr>
        <w:t>, to address carbon leakage risks when these thresholds are exceeded.</w:t>
      </w:r>
      <w:r w:rsidRPr="00FF67ED">
        <w:rPr>
          <w:noProof/>
          <w:lang w:val="en-IE"/>
        </w:rPr>
        <w:t>’</w:t>
      </w:r>
    </w:p>
    <w:p w14:paraId="1C76BA81" w14:textId="1CDEC1E5" w:rsidR="00FF67ED" w:rsidRPr="009D06CA" w:rsidRDefault="00FF67ED" w:rsidP="009D06CA">
      <w:pPr>
        <w:pStyle w:val="Point1"/>
        <w:rPr>
          <w:noProof/>
        </w:rPr>
      </w:pPr>
      <w:r>
        <w:rPr>
          <w:noProof/>
        </w:rPr>
        <w:t>(e)</w:t>
      </w:r>
      <w:r>
        <w:rPr>
          <w:noProof/>
        </w:rPr>
        <w:tab/>
      </w:r>
      <w:r w:rsidRPr="009D06CA">
        <w:rPr>
          <w:noProof/>
        </w:rPr>
        <w:t xml:space="preserve">paragraph (9) is replaced by the following: </w:t>
      </w:r>
    </w:p>
    <w:p w14:paraId="11DDB46B" w14:textId="77777777" w:rsidR="00FF67ED" w:rsidRPr="00FF67ED" w:rsidRDefault="00FF67ED" w:rsidP="00FF67ED">
      <w:pPr>
        <w:pStyle w:val="Text2"/>
        <w:rPr>
          <w:noProof/>
          <w:lang w:val="en-IE"/>
        </w:rPr>
      </w:pPr>
      <w:r w:rsidRPr="00FF67ED">
        <w:rPr>
          <w:noProof/>
          <w:lang w:val="en-IE"/>
        </w:rPr>
        <w:t>‘9. Aircraft operators that hold an air operator certificate issued by a Member State or are registered in a Member State, including in the outermost regions, dependencies and territories of that Member State, shall cancel units referred to in Article 11a only in respect of the quantity notified by that Member State, in accordance with paragraph 6, in respect of the relevant CORSIA compliance period. The cancellation shall take place by 31 January 2025 for emissions in the period 2021 to 2023, by 31 January 2028 for emissions in the period 2024 to 2026, by 31 January 2031 for emissions in the period 2027 to 2029, by 31 January 2034 for emissions in the period 2030 to 2032 and by 31 January 20</w:t>
      </w:r>
      <w:r w:rsidR="00E348EB">
        <w:rPr>
          <w:noProof/>
          <w:lang w:val="en-IE"/>
        </w:rPr>
        <w:t>37</w:t>
      </w:r>
      <w:r w:rsidRPr="00FF67ED">
        <w:rPr>
          <w:noProof/>
          <w:lang w:val="en-IE"/>
        </w:rPr>
        <w:t xml:space="preserve"> for emissions in the period 2033 to 203</w:t>
      </w:r>
      <w:r w:rsidR="003525DC">
        <w:rPr>
          <w:noProof/>
          <w:lang w:val="en-IE"/>
        </w:rPr>
        <w:t>5</w:t>
      </w:r>
      <w:r w:rsidRPr="00FF67ED">
        <w:rPr>
          <w:noProof/>
          <w:lang w:val="en-IE"/>
        </w:rPr>
        <w:t>.’;</w:t>
      </w:r>
    </w:p>
    <w:p w14:paraId="015F2047" w14:textId="0230ACD8" w:rsidR="00FF67ED" w:rsidRPr="00B97C25" w:rsidRDefault="00FF67ED" w:rsidP="009D06CA">
      <w:pPr>
        <w:pStyle w:val="Point0"/>
        <w:rPr>
          <w:noProof/>
        </w:rPr>
      </w:pPr>
      <w:r>
        <w:rPr>
          <w:noProof/>
        </w:rPr>
        <w:t>(23)</w:t>
      </w:r>
      <w:r>
        <w:rPr>
          <w:noProof/>
        </w:rPr>
        <w:tab/>
      </w:r>
      <w:r w:rsidRPr="00B97C25">
        <w:rPr>
          <w:noProof/>
        </w:rPr>
        <w:t>the following article</w:t>
      </w:r>
      <w:r w:rsidR="005F2A37" w:rsidRPr="00B97C25">
        <w:rPr>
          <w:noProof/>
        </w:rPr>
        <w:t>s are</w:t>
      </w:r>
      <w:r w:rsidRPr="00B97C25">
        <w:rPr>
          <w:noProof/>
        </w:rPr>
        <w:t xml:space="preserve"> inserted:</w:t>
      </w:r>
    </w:p>
    <w:p w14:paraId="3965E822" w14:textId="77777777" w:rsidR="00FF67ED" w:rsidRPr="00FF67ED" w:rsidRDefault="00C6534E" w:rsidP="006109D5">
      <w:pPr>
        <w:pStyle w:val="Titrearticle"/>
        <w:rPr>
          <w:noProof/>
          <w:lang w:val="en-IE"/>
        </w:rPr>
      </w:pPr>
      <w:r>
        <w:rPr>
          <w:noProof/>
          <w:lang w:val="en-IE"/>
        </w:rPr>
        <w:t>‘</w:t>
      </w:r>
      <w:r w:rsidR="00FF67ED" w:rsidRPr="00FF67ED">
        <w:rPr>
          <w:noProof/>
          <w:lang w:val="en-IE"/>
        </w:rPr>
        <w:t>Article 12a</w:t>
      </w:r>
    </w:p>
    <w:p w14:paraId="15873DDE" w14:textId="77777777" w:rsidR="00FF67ED" w:rsidRPr="00FF67ED" w:rsidRDefault="00FF67ED" w:rsidP="00FF67ED">
      <w:pPr>
        <w:jc w:val="center"/>
        <w:rPr>
          <w:b/>
          <w:bCs/>
          <w:noProof/>
          <w:lang w:val="en-IE"/>
        </w:rPr>
      </w:pPr>
      <w:r w:rsidRPr="00FF67ED">
        <w:rPr>
          <w:b/>
          <w:bCs/>
          <w:noProof/>
          <w:lang w:val="en-IE"/>
        </w:rPr>
        <w:t>Phase-in of requirements for waste incineration and waste co-incineration</w:t>
      </w:r>
    </w:p>
    <w:p w14:paraId="005D209B" w14:textId="77777777" w:rsidR="00FF67ED" w:rsidRPr="00FF67ED" w:rsidRDefault="00FF67ED" w:rsidP="004B3708">
      <w:pPr>
        <w:pStyle w:val="LegalNumPar"/>
        <w:numPr>
          <w:ilvl w:val="0"/>
          <w:numId w:val="0"/>
        </w:numPr>
        <w:spacing w:line="240" w:lineRule="auto"/>
        <w:rPr>
          <w:noProof/>
          <w:lang w:val="en-IE"/>
        </w:rPr>
      </w:pPr>
      <w:r w:rsidRPr="00FF67ED">
        <w:rPr>
          <w:noProof/>
          <w:lang w:val="en-IE"/>
        </w:rPr>
        <w:t>Waste incineration and waste co-incineration installations </w:t>
      </w:r>
      <w:bookmarkStart w:id="12" w:name="_Hlk234242703"/>
      <w:r w:rsidRPr="00FF67ED">
        <w:rPr>
          <w:noProof/>
          <w:lang w:val="en-IE"/>
        </w:rPr>
        <w:t>that become subject to the system from 2031</w:t>
      </w:r>
      <w:bookmarkEnd w:id="12"/>
      <w:r w:rsidRPr="00FF67ED">
        <w:rPr>
          <w:noProof/>
          <w:lang w:val="en-IE"/>
        </w:rPr>
        <w:t xml:space="preserve"> shall be liable to surrender allowances according to the following schedule: </w:t>
      </w:r>
    </w:p>
    <w:p w14:paraId="0FB87B35" w14:textId="77777777" w:rsidR="68859483" w:rsidRPr="00D208CF" w:rsidRDefault="68859483">
      <w:pPr>
        <w:pStyle w:val="Point1"/>
        <w:rPr>
          <w:noProof/>
          <w:lang w:val="en-IE"/>
        </w:rPr>
      </w:pPr>
      <w:r>
        <w:rPr>
          <w:noProof/>
        </w:rPr>
        <w:t>(a)</w:t>
      </w:r>
      <w:r>
        <w:rPr>
          <w:noProof/>
        </w:rPr>
        <w:tab/>
      </w:r>
      <w:r w:rsidRPr="00D208CF">
        <w:rPr>
          <w:noProof/>
          <w:lang w:val="en-IE"/>
        </w:rPr>
        <w:t>25% of verified emissions reported for 2031 that would be subject to surrender requirements in accordance with Article 12; </w:t>
      </w:r>
    </w:p>
    <w:p w14:paraId="335B49C4" w14:textId="77777777" w:rsidR="00FF67ED" w:rsidRPr="00A31B26" w:rsidRDefault="2C7E6D8B" w:rsidP="00B97C25">
      <w:pPr>
        <w:pStyle w:val="Point1"/>
        <w:rPr>
          <w:noProof/>
          <w:lang w:val="en-IE"/>
        </w:rPr>
      </w:pPr>
      <w:r>
        <w:rPr>
          <w:noProof/>
        </w:rPr>
        <w:t>(b)</w:t>
      </w:r>
      <w:r>
        <w:rPr>
          <w:noProof/>
        </w:rPr>
        <w:tab/>
      </w:r>
      <w:r w:rsidRPr="00A31B26">
        <w:rPr>
          <w:noProof/>
          <w:lang w:val="en-IE"/>
        </w:rPr>
        <w:t>50</w:t>
      </w:r>
      <w:r w:rsidR="00FF67ED" w:rsidRPr="00A31B26">
        <w:rPr>
          <w:noProof/>
          <w:lang w:val="en-IE"/>
        </w:rPr>
        <w:t xml:space="preserve">% of verified emissions reported for </w:t>
      </w:r>
      <w:r w:rsidR="005554A2" w:rsidRPr="00A31B26">
        <w:rPr>
          <w:noProof/>
          <w:lang w:val="en-IE"/>
        </w:rPr>
        <w:t>2032 </w:t>
      </w:r>
      <w:r w:rsidR="4978F5FA" w:rsidRPr="00A31B26">
        <w:rPr>
          <w:noProof/>
          <w:lang w:val="en-IE"/>
        </w:rPr>
        <w:t>that</w:t>
      </w:r>
      <w:r w:rsidR="00FF67ED" w:rsidRPr="00A31B26">
        <w:rPr>
          <w:noProof/>
          <w:lang w:val="en-IE"/>
        </w:rPr>
        <w:t xml:space="preserve"> would be subject to surrender </w:t>
      </w:r>
      <w:r w:rsidR="4978F5FA" w:rsidRPr="00A31B26">
        <w:rPr>
          <w:noProof/>
          <w:lang w:val="en-IE"/>
        </w:rPr>
        <w:t>requirements in</w:t>
      </w:r>
      <w:r w:rsidR="00FF67ED" w:rsidRPr="00A31B26">
        <w:rPr>
          <w:noProof/>
          <w:lang w:val="en-IE"/>
        </w:rPr>
        <w:t xml:space="preserve"> accordance </w:t>
      </w:r>
      <w:r w:rsidR="4978F5FA" w:rsidRPr="00A31B26">
        <w:rPr>
          <w:noProof/>
          <w:lang w:val="en-IE"/>
        </w:rPr>
        <w:t>with Article 12</w:t>
      </w:r>
      <w:r w:rsidR="00FF67ED" w:rsidRPr="00A31B26">
        <w:rPr>
          <w:noProof/>
          <w:lang w:val="en-IE"/>
        </w:rPr>
        <w:t>;</w:t>
      </w:r>
      <w:r w:rsidR="4978F5FA" w:rsidRPr="00A31B26">
        <w:rPr>
          <w:noProof/>
          <w:lang w:val="en-IE"/>
        </w:rPr>
        <w:t> </w:t>
      </w:r>
    </w:p>
    <w:p w14:paraId="5029BE2C" w14:textId="77777777" w:rsidR="00FF67ED" w:rsidRPr="00FF67ED" w:rsidRDefault="4ED14231">
      <w:pPr>
        <w:pStyle w:val="Point1"/>
        <w:rPr>
          <w:noProof/>
          <w:lang w:val="en-IE"/>
        </w:rPr>
      </w:pPr>
      <w:r>
        <w:rPr>
          <w:noProof/>
        </w:rPr>
        <w:t>(c)</w:t>
      </w:r>
      <w:r>
        <w:rPr>
          <w:noProof/>
        </w:rPr>
        <w:tab/>
      </w:r>
      <w:r w:rsidRPr="6D69DDCE">
        <w:rPr>
          <w:noProof/>
          <w:lang w:val="en-IE"/>
        </w:rPr>
        <w:t>75</w:t>
      </w:r>
      <w:r w:rsidR="4978F5FA" w:rsidRPr="776B9CC1">
        <w:rPr>
          <w:noProof/>
          <w:lang w:val="en-IE"/>
        </w:rPr>
        <w:t> </w:t>
      </w:r>
      <w:r w:rsidR="00FF67ED" w:rsidRPr="00FF67ED">
        <w:rPr>
          <w:noProof/>
          <w:lang w:val="en-IE"/>
        </w:rPr>
        <w:t xml:space="preserve">% of verified emissions reported for </w:t>
      </w:r>
      <w:r w:rsidR="005554A2" w:rsidRPr="776B9CC1">
        <w:rPr>
          <w:noProof/>
          <w:lang w:val="en-IE"/>
        </w:rPr>
        <w:t>203</w:t>
      </w:r>
      <w:r w:rsidR="005554A2">
        <w:rPr>
          <w:noProof/>
          <w:lang w:val="en-IE"/>
        </w:rPr>
        <w:t>3</w:t>
      </w:r>
      <w:r w:rsidR="005554A2" w:rsidRPr="776B9CC1">
        <w:rPr>
          <w:noProof/>
          <w:lang w:val="en-IE"/>
        </w:rPr>
        <w:t> </w:t>
      </w:r>
      <w:r w:rsidR="4978F5FA" w:rsidRPr="776B9CC1">
        <w:rPr>
          <w:noProof/>
          <w:lang w:val="en-IE"/>
        </w:rPr>
        <w:t>that</w:t>
      </w:r>
      <w:r w:rsidR="00FF67ED" w:rsidRPr="00FF67ED">
        <w:rPr>
          <w:noProof/>
          <w:lang w:val="en-IE"/>
        </w:rPr>
        <w:t xml:space="preserve"> would be subject to surrender </w:t>
      </w:r>
      <w:r w:rsidR="4978F5FA" w:rsidRPr="776B9CC1">
        <w:rPr>
          <w:noProof/>
          <w:lang w:val="en-IE"/>
        </w:rPr>
        <w:t>requirements in</w:t>
      </w:r>
      <w:r w:rsidR="00FF67ED" w:rsidRPr="00FF67ED">
        <w:rPr>
          <w:noProof/>
          <w:lang w:val="en-IE"/>
        </w:rPr>
        <w:t xml:space="preserve"> accordance </w:t>
      </w:r>
      <w:r w:rsidR="4978F5FA" w:rsidRPr="776B9CC1">
        <w:rPr>
          <w:noProof/>
          <w:lang w:val="en-IE"/>
        </w:rPr>
        <w:t>with Article 12</w:t>
      </w:r>
      <w:r w:rsidR="00FF67ED" w:rsidRPr="00FF67ED">
        <w:rPr>
          <w:noProof/>
          <w:lang w:val="en-IE"/>
        </w:rPr>
        <w:t>;</w:t>
      </w:r>
      <w:r w:rsidR="4978F5FA" w:rsidRPr="776B9CC1">
        <w:rPr>
          <w:noProof/>
          <w:lang w:val="en-IE"/>
        </w:rPr>
        <w:t> </w:t>
      </w:r>
    </w:p>
    <w:p w14:paraId="6C718575" w14:textId="77777777" w:rsidR="00FF67ED" w:rsidRPr="00FF67ED" w:rsidRDefault="00FF67ED">
      <w:pPr>
        <w:pStyle w:val="Point1"/>
        <w:rPr>
          <w:noProof/>
          <w:lang w:val="en-IE"/>
        </w:rPr>
      </w:pPr>
      <w:r>
        <w:rPr>
          <w:noProof/>
        </w:rPr>
        <w:t>(d)</w:t>
      </w:r>
      <w:r>
        <w:rPr>
          <w:noProof/>
        </w:rPr>
        <w:tab/>
      </w:r>
      <w:r w:rsidRPr="00FF67ED">
        <w:rPr>
          <w:noProof/>
          <w:lang w:val="en-IE"/>
        </w:rPr>
        <w:t xml:space="preserve">100% of verified emissions reported for </w:t>
      </w:r>
      <w:r w:rsidR="005554A2" w:rsidRPr="776B9CC1">
        <w:rPr>
          <w:noProof/>
          <w:lang w:val="en-IE"/>
        </w:rPr>
        <w:t>203</w:t>
      </w:r>
      <w:r w:rsidR="005554A2">
        <w:rPr>
          <w:noProof/>
          <w:lang w:val="en-IE"/>
        </w:rPr>
        <w:t>4</w:t>
      </w:r>
      <w:r w:rsidR="005554A2" w:rsidRPr="00FF67ED">
        <w:rPr>
          <w:noProof/>
          <w:lang w:val="en-IE"/>
        </w:rPr>
        <w:t xml:space="preserve"> </w:t>
      </w:r>
      <w:r w:rsidRPr="00FF67ED">
        <w:rPr>
          <w:noProof/>
          <w:lang w:val="en-IE"/>
        </w:rPr>
        <w:t xml:space="preserve">and each year thereafter in accordance with Article 12. </w:t>
      </w:r>
    </w:p>
    <w:p w14:paraId="5A19D3C9" w14:textId="77777777" w:rsidR="005F2A37" w:rsidRDefault="007F171F" w:rsidP="004B3708">
      <w:pPr>
        <w:pStyle w:val="LegalNumPar"/>
        <w:numPr>
          <w:ilvl w:val="0"/>
          <w:numId w:val="0"/>
        </w:numPr>
        <w:spacing w:line="240" w:lineRule="auto"/>
        <w:rPr>
          <w:noProof/>
          <w:lang w:val="en-IE"/>
        </w:rPr>
      </w:pPr>
      <w:r w:rsidRPr="16031C1D">
        <w:rPr>
          <w:noProof/>
          <w:lang w:val="en-IE"/>
        </w:rPr>
        <w:t>By way of derogation</w:t>
      </w:r>
      <w:r w:rsidR="00D1377A">
        <w:rPr>
          <w:noProof/>
          <w:lang w:val="en-IE"/>
        </w:rPr>
        <w:t xml:space="preserve"> </w:t>
      </w:r>
      <w:r w:rsidR="00D1377A" w:rsidRPr="00D1377A">
        <w:rPr>
          <w:noProof/>
          <w:lang w:val="en-IE"/>
        </w:rPr>
        <w:t>from the first paragraph of this Article</w:t>
      </w:r>
      <w:r w:rsidRPr="16031C1D">
        <w:rPr>
          <w:noProof/>
          <w:lang w:val="en-IE"/>
        </w:rPr>
        <w:t xml:space="preserve">, </w:t>
      </w:r>
      <w:r w:rsidR="754EF3FE" w:rsidRPr="16031C1D">
        <w:rPr>
          <w:noProof/>
          <w:lang w:val="en-IE"/>
        </w:rPr>
        <w:t xml:space="preserve">Member States may exempt </w:t>
      </w:r>
      <w:r w:rsidRPr="16031C1D">
        <w:rPr>
          <w:noProof/>
          <w:lang w:val="en-IE"/>
        </w:rPr>
        <w:t>waste incineration and waste co-incineration installations located in outermost regions within the meaning of Article 349 TFEU from the obligation to surrender allowances until 31 December 2035.</w:t>
      </w:r>
    </w:p>
    <w:p w14:paraId="2BDEB0A5" w14:textId="77777777" w:rsidR="00A74753" w:rsidRPr="00F90D41" w:rsidRDefault="00A74753" w:rsidP="00B97C25">
      <w:pPr>
        <w:pStyle w:val="Titrearticle"/>
        <w:rPr>
          <w:noProof/>
          <w:lang w:val="en-IE"/>
        </w:rPr>
      </w:pPr>
      <w:r w:rsidRPr="00F90D41">
        <w:rPr>
          <w:noProof/>
          <w:lang w:val="en-IE"/>
        </w:rPr>
        <w:t>Article 12b</w:t>
      </w:r>
    </w:p>
    <w:p w14:paraId="192B6FA1" w14:textId="77777777" w:rsidR="00A74753" w:rsidRPr="00DE2C42" w:rsidRDefault="00A74753" w:rsidP="00DE2C42">
      <w:pPr>
        <w:jc w:val="center"/>
        <w:rPr>
          <w:b/>
          <w:bCs/>
          <w:noProof/>
          <w:lang w:val="en-IE"/>
        </w:rPr>
      </w:pPr>
      <w:r w:rsidRPr="00DE2C42">
        <w:rPr>
          <w:b/>
          <w:bCs/>
          <w:noProof/>
          <w:lang w:val="en-IE"/>
        </w:rPr>
        <w:t>Opt-out for waste incineration and co-incineration</w:t>
      </w:r>
    </w:p>
    <w:p w14:paraId="3266241E" w14:textId="77777777" w:rsidR="00A74753" w:rsidRPr="00DE2C42" w:rsidRDefault="00760134" w:rsidP="004830AF">
      <w:pPr>
        <w:pStyle w:val="LegalNumPar"/>
        <w:numPr>
          <w:ilvl w:val="0"/>
          <w:numId w:val="34"/>
        </w:numPr>
        <w:spacing w:before="0" w:after="0" w:line="240" w:lineRule="auto"/>
        <w:ind w:left="0" w:firstLine="0"/>
        <w:rPr>
          <w:noProof/>
        </w:rPr>
      </w:pPr>
      <w:r>
        <w:rPr>
          <w:noProof/>
        </w:rPr>
        <w:t>By way of derogation from Articles 12 and 12a</w:t>
      </w:r>
      <w:r w:rsidR="005D73D6">
        <w:rPr>
          <w:noProof/>
        </w:rPr>
        <w:t>,</w:t>
      </w:r>
      <w:r w:rsidR="00A74753" w:rsidRPr="00DE2C42">
        <w:rPr>
          <w:noProof/>
        </w:rPr>
        <w:t xml:space="preserve"> the competent authority of a Member State may exempt installations under the </w:t>
      </w:r>
      <w:r w:rsidR="00FF6518" w:rsidRPr="00DE2C42">
        <w:rPr>
          <w:noProof/>
        </w:rPr>
        <w:t>activity ‘Waste incineration and waste co-incineration’ referred to in</w:t>
      </w:r>
      <w:r w:rsidR="00A74753" w:rsidRPr="00DE2C42">
        <w:rPr>
          <w:noProof/>
        </w:rPr>
        <w:t xml:space="preserve"> Annex I</w:t>
      </w:r>
      <w:r w:rsidR="00FF6518" w:rsidRPr="00DE2C42">
        <w:rPr>
          <w:noProof/>
        </w:rPr>
        <w:t>,</w:t>
      </w:r>
      <w:r w:rsidR="00A74753" w:rsidRPr="00DE2C42">
        <w:rPr>
          <w:noProof/>
        </w:rPr>
        <w:t xml:space="preserve"> from the obligation to surrender allowances for </w:t>
      </w:r>
      <w:r w:rsidR="005D73D6">
        <w:rPr>
          <w:noProof/>
        </w:rPr>
        <w:t xml:space="preserve">the emissions of </w:t>
      </w:r>
      <w:r w:rsidR="00A74753" w:rsidRPr="00DE2C42">
        <w:rPr>
          <w:noProof/>
        </w:rPr>
        <w:t>a given reference year</w:t>
      </w:r>
      <w:r w:rsidR="005D73D6">
        <w:rPr>
          <w:noProof/>
        </w:rPr>
        <w:t xml:space="preserve"> up to 2035</w:t>
      </w:r>
      <w:r w:rsidR="00A74753" w:rsidRPr="00DE2C42">
        <w:rPr>
          <w:noProof/>
        </w:rPr>
        <w:t>, provided that the Member State demonstrates that at least two out of the following three conditions are met:</w:t>
      </w:r>
    </w:p>
    <w:p w14:paraId="13846852" w14:textId="77777777" w:rsidR="00A74753" w:rsidRPr="00AC272A" w:rsidRDefault="00A74753">
      <w:pPr>
        <w:pStyle w:val="Point1"/>
        <w:rPr>
          <w:noProof/>
          <w:lang w:val="en-IE"/>
        </w:rPr>
      </w:pPr>
      <w:r>
        <w:rPr>
          <w:noProof/>
        </w:rPr>
        <w:t>(a)</w:t>
      </w:r>
      <w:r>
        <w:rPr>
          <w:noProof/>
        </w:rPr>
        <w:tab/>
      </w:r>
      <w:r w:rsidRPr="00AC272A">
        <w:rPr>
          <w:noProof/>
          <w:lang w:val="en-IE"/>
        </w:rPr>
        <w:t>The Member State concerned has a national carbon tax in force for the emissions of the years 2031 to 2035, covering the activity referred to in in Annex I; the national law setting the tax rates applicable for the years 2031 to 2035 has, by the date of notification in accordance with 31July 2029, entered into force; for the reference year, the national carbon tax of the Member State concerned effectively paid by that regulated entity is higher than the average auction clearing price of the emissions trading system established under this Chapter, adjusted for the gradual phase-in for the sector in accordance with Article 12a; the Member State concerned shall notify the Commission of any subsequent change to the national carbon tax;</w:t>
      </w:r>
    </w:p>
    <w:p w14:paraId="59A2C7F6" w14:textId="77777777" w:rsidR="003D42A1" w:rsidRPr="00AC272A" w:rsidRDefault="00A74753">
      <w:pPr>
        <w:pStyle w:val="Point1"/>
        <w:rPr>
          <w:noProof/>
          <w:lang w:val="en-IE"/>
        </w:rPr>
      </w:pPr>
      <w:r>
        <w:rPr>
          <w:noProof/>
        </w:rPr>
        <w:t>(b)</w:t>
      </w:r>
      <w:r>
        <w:rPr>
          <w:noProof/>
        </w:rPr>
        <w:tab/>
      </w:r>
      <w:r w:rsidRPr="00AC272A">
        <w:rPr>
          <w:noProof/>
          <w:lang w:val="en-IE"/>
        </w:rPr>
        <w:t>The Member State concerned has the policies in place to achieve the targets under Article 11(2)(d) and (e) of Directive 2008/98/EC and is on track to meet those targets;</w:t>
      </w:r>
    </w:p>
    <w:p w14:paraId="54DE0EB8" w14:textId="77777777" w:rsidR="00A74753" w:rsidRPr="00AC272A" w:rsidRDefault="00A74753">
      <w:pPr>
        <w:pStyle w:val="Point1"/>
        <w:rPr>
          <w:noProof/>
          <w:lang w:val="en-IE"/>
        </w:rPr>
      </w:pPr>
      <w:r>
        <w:rPr>
          <w:noProof/>
        </w:rPr>
        <w:t>(c)</w:t>
      </w:r>
      <w:r>
        <w:rPr>
          <w:noProof/>
        </w:rPr>
        <w:tab/>
      </w:r>
      <w:r w:rsidRPr="00AC272A">
        <w:rPr>
          <w:noProof/>
          <w:lang w:val="en-IE"/>
        </w:rPr>
        <w:t>The Member State concerned has the policies in place to achieve the target under Article 5(5) of Directive 1999/31/EC and is on track to meet that target.</w:t>
      </w:r>
    </w:p>
    <w:p w14:paraId="65E78754" w14:textId="77777777" w:rsidR="00A74753" w:rsidRPr="00A74753" w:rsidRDefault="00A74753" w:rsidP="00F90D41">
      <w:pPr>
        <w:pStyle w:val="LegalNumPar"/>
        <w:spacing w:line="240" w:lineRule="auto"/>
        <w:ind w:left="0" w:firstLine="0"/>
        <w:rPr>
          <w:noProof/>
          <w:lang w:val="en-IE"/>
        </w:rPr>
      </w:pPr>
      <w:r w:rsidRPr="00A74753">
        <w:rPr>
          <w:noProof/>
          <w:lang w:val="en-IE"/>
        </w:rPr>
        <w:t xml:space="preserve">The Member State concerned shall cancel an amount of allowances from the total quantity of allowances to be auctioned by it, referred to in Article 10, for each reference year, which is equal to the verified emissions of the </w:t>
      </w:r>
      <w:r w:rsidR="008E4129">
        <w:rPr>
          <w:noProof/>
          <w:lang w:val="en-IE"/>
        </w:rPr>
        <w:t xml:space="preserve">relevant </w:t>
      </w:r>
      <w:r w:rsidRPr="00A74753">
        <w:rPr>
          <w:noProof/>
          <w:lang w:val="en-IE"/>
        </w:rPr>
        <w:t>installations for the reference year.</w:t>
      </w:r>
      <w:r w:rsidR="005D6218" w:rsidRPr="005D6218">
        <w:rPr>
          <w:noProof/>
          <w:lang w:val="en-IE"/>
        </w:rPr>
        <w:t xml:space="preserve"> </w:t>
      </w:r>
      <w:r w:rsidR="005D6218">
        <w:rPr>
          <w:noProof/>
          <w:lang w:val="en-IE"/>
        </w:rPr>
        <w:t>The allowances shall be cancelled in accordance with</w:t>
      </w:r>
      <w:r w:rsidR="005D6218" w:rsidRPr="00A74753">
        <w:rPr>
          <w:noProof/>
          <w:lang w:val="en-IE"/>
        </w:rPr>
        <w:t xml:space="preserve"> the delegated acts adopted pursuant to Article 10(4).</w:t>
      </w:r>
    </w:p>
    <w:p w14:paraId="7E3F7D39" w14:textId="77777777" w:rsidR="00A74753" w:rsidRPr="00A74753" w:rsidRDefault="003E57A9" w:rsidP="00F90D41">
      <w:pPr>
        <w:pStyle w:val="LegalNumPar"/>
        <w:spacing w:line="240" w:lineRule="auto"/>
        <w:ind w:left="0" w:firstLine="0"/>
        <w:rPr>
          <w:noProof/>
          <w:lang w:val="en-IE"/>
        </w:rPr>
      </w:pPr>
      <w:r>
        <w:rPr>
          <w:noProof/>
          <w:lang w:val="en-IE"/>
        </w:rPr>
        <w:t>B</w:t>
      </w:r>
      <w:r w:rsidRPr="00A74753">
        <w:rPr>
          <w:noProof/>
          <w:lang w:val="en-IE"/>
        </w:rPr>
        <w:t>y 31 July 2029</w:t>
      </w:r>
      <w:r>
        <w:rPr>
          <w:noProof/>
          <w:lang w:val="en-IE"/>
        </w:rPr>
        <w:t>, t</w:t>
      </w:r>
      <w:r w:rsidR="00A74753" w:rsidRPr="00A74753">
        <w:rPr>
          <w:noProof/>
          <w:lang w:val="en-IE"/>
        </w:rPr>
        <w:t>he Member State concerned shall notify the Commission of its request for the opt-out</w:t>
      </w:r>
      <w:r>
        <w:rPr>
          <w:noProof/>
          <w:lang w:val="en-IE"/>
        </w:rPr>
        <w:t>,</w:t>
      </w:r>
      <w:r w:rsidR="00A74753" w:rsidRPr="00A74753">
        <w:rPr>
          <w:noProof/>
          <w:lang w:val="en-IE"/>
        </w:rPr>
        <w:t xml:space="preserve"> demonstrat</w:t>
      </w:r>
      <w:r>
        <w:rPr>
          <w:noProof/>
          <w:lang w:val="en-IE"/>
        </w:rPr>
        <w:t>ing</w:t>
      </w:r>
      <w:r w:rsidR="00A74753" w:rsidRPr="00A74753">
        <w:rPr>
          <w:noProof/>
          <w:lang w:val="en-IE"/>
        </w:rPr>
        <w:t xml:space="preserve"> compliance with at least two out of the three conditions in paragraph </w:t>
      </w:r>
      <w:r w:rsidR="003D42A1">
        <w:rPr>
          <w:noProof/>
          <w:lang w:val="en-IE"/>
        </w:rPr>
        <w:t>1</w:t>
      </w:r>
      <w:r w:rsidR="00A74753" w:rsidRPr="00A74753">
        <w:rPr>
          <w:noProof/>
          <w:lang w:val="en-IE"/>
        </w:rPr>
        <w:t>, and</w:t>
      </w:r>
      <w:r>
        <w:rPr>
          <w:noProof/>
          <w:lang w:val="en-IE"/>
        </w:rPr>
        <w:t xml:space="preserve"> indicating</w:t>
      </w:r>
      <w:r w:rsidR="00A74753" w:rsidRPr="00A74753">
        <w:rPr>
          <w:noProof/>
          <w:lang w:val="en-IE"/>
        </w:rPr>
        <w:t xml:space="preserve"> the corresponding amount of allowances to be </w:t>
      </w:r>
      <w:r w:rsidR="005D6218" w:rsidRPr="00A74753">
        <w:rPr>
          <w:noProof/>
          <w:lang w:val="en-IE"/>
        </w:rPr>
        <w:t xml:space="preserve">cancelled in accordance with </w:t>
      </w:r>
      <w:r w:rsidR="005D6218">
        <w:rPr>
          <w:noProof/>
          <w:lang w:val="en-IE"/>
        </w:rPr>
        <w:t>paragraph 2.</w:t>
      </w:r>
    </w:p>
    <w:p w14:paraId="64B4007F" w14:textId="77777777" w:rsidR="00A74753" w:rsidRPr="00A74753" w:rsidRDefault="00A74753" w:rsidP="00F90D41">
      <w:pPr>
        <w:pStyle w:val="LegalNumPar"/>
        <w:spacing w:line="240" w:lineRule="auto"/>
        <w:ind w:left="0" w:firstLine="0"/>
        <w:rPr>
          <w:noProof/>
          <w:lang w:val="en-IE"/>
        </w:rPr>
      </w:pPr>
      <w:r w:rsidRPr="00A74753">
        <w:rPr>
          <w:noProof/>
          <w:lang w:val="en-IE"/>
        </w:rPr>
        <w:t>The derogation shall enter into force if the Commission does not raise an objection to the application of the derogation on the ground that the measure notified is not in conformity with the conditions set out in this paragraph, within three months of a notification under this paragraph.</w:t>
      </w:r>
    </w:p>
    <w:p w14:paraId="6883EDAA" w14:textId="77777777" w:rsidR="003D42A1" w:rsidRDefault="00A74753" w:rsidP="00F90D41">
      <w:pPr>
        <w:pStyle w:val="LegalNumPar"/>
        <w:spacing w:line="240" w:lineRule="auto"/>
        <w:ind w:left="0" w:firstLine="0"/>
        <w:rPr>
          <w:noProof/>
          <w:lang w:val="en-IE"/>
        </w:rPr>
      </w:pPr>
      <w:r w:rsidRPr="00A74753">
        <w:rPr>
          <w:noProof/>
          <w:lang w:val="en-IE"/>
        </w:rPr>
        <w:t xml:space="preserve">The amount of allowances to be cancelled under paragraph </w:t>
      </w:r>
      <w:r w:rsidR="003D42A1">
        <w:rPr>
          <w:noProof/>
          <w:lang w:val="en-IE"/>
        </w:rPr>
        <w:t xml:space="preserve">2 </w:t>
      </w:r>
      <w:r w:rsidRPr="00A74753">
        <w:rPr>
          <w:noProof/>
          <w:lang w:val="en-IE"/>
        </w:rPr>
        <w:t>shall not affect, where it has been established pursuant to Article 311, third paragraph, TFEU, the own resources of the Union budget pursuant to Council Decision (EU, Euratom) 2020/2053 from the revenues generated from auctioning of allowances in accordance with Article 10 of this Directive.</w:t>
      </w:r>
    </w:p>
    <w:p w14:paraId="28417152" w14:textId="77777777" w:rsidR="007F171F" w:rsidRPr="003E000A" w:rsidRDefault="00A74753" w:rsidP="00F90D41">
      <w:pPr>
        <w:pStyle w:val="LegalNumPar"/>
        <w:spacing w:line="240" w:lineRule="auto"/>
        <w:ind w:left="0" w:firstLine="0"/>
        <w:rPr>
          <w:noProof/>
          <w:lang w:val="en-IE"/>
        </w:rPr>
      </w:pPr>
      <w:r w:rsidRPr="003D42A1">
        <w:rPr>
          <w:noProof/>
          <w:lang w:val="en-IE"/>
        </w:rPr>
        <w:t>The installations concerned shall continue to fully comply with the obligations under Article 14 on monitoring and reporting of its emissions and Article 15 on verification and accreditation.</w:t>
      </w:r>
      <w:r w:rsidR="00C6534E" w:rsidRPr="003E000A">
        <w:rPr>
          <w:noProof/>
          <w:lang w:val="en-IE"/>
        </w:rPr>
        <w:t>’</w:t>
      </w:r>
    </w:p>
    <w:p w14:paraId="71A5131B" w14:textId="124AB1CC" w:rsidR="00FF67ED" w:rsidRPr="00B97C25" w:rsidRDefault="00FF67ED" w:rsidP="009D06CA">
      <w:pPr>
        <w:pStyle w:val="Point0"/>
        <w:rPr>
          <w:noProof/>
        </w:rPr>
      </w:pPr>
      <w:r>
        <w:rPr>
          <w:noProof/>
        </w:rPr>
        <w:t>(24)</w:t>
      </w:r>
      <w:r>
        <w:rPr>
          <w:noProof/>
        </w:rPr>
        <w:tab/>
      </w:r>
      <w:r w:rsidRPr="00B97C25">
        <w:rPr>
          <w:noProof/>
        </w:rPr>
        <w:t>Article 14 is amended as follows:</w:t>
      </w:r>
    </w:p>
    <w:p w14:paraId="64DAD51D" w14:textId="55218B6E" w:rsidR="00FF67ED" w:rsidRPr="009D06CA" w:rsidRDefault="00CC7655" w:rsidP="009D06CA">
      <w:pPr>
        <w:pStyle w:val="Point1"/>
      </w:pPr>
      <w:r w:rsidRPr="009D06CA">
        <w:t>(a)</w:t>
      </w:r>
      <w:r w:rsidRPr="009D06CA">
        <w:tab/>
        <w:t xml:space="preserve">in </w:t>
      </w:r>
      <w:r w:rsidR="00FF67ED" w:rsidRPr="009D06CA">
        <w:t xml:space="preserve">paragraph 1, </w:t>
      </w:r>
      <w:r w:rsidRPr="009D06CA">
        <w:t xml:space="preserve">the </w:t>
      </w:r>
      <w:r w:rsidR="00FF67ED" w:rsidRPr="009D06CA">
        <w:t>first subparagraph</w:t>
      </w:r>
      <w:r w:rsidRPr="009D06CA">
        <w:t xml:space="preserve"> is</w:t>
      </w:r>
      <w:r w:rsidR="00FF67ED" w:rsidRPr="009D06CA">
        <w:t xml:space="preserve"> replaced by the following:</w:t>
      </w:r>
    </w:p>
    <w:p w14:paraId="3A2E9F5D" w14:textId="77777777" w:rsidR="00FF67ED" w:rsidRPr="00FF67ED" w:rsidRDefault="00FF67ED" w:rsidP="00FF67ED">
      <w:pPr>
        <w:pStyle w:val="Text2"/>
        <w:rPr>
          <w:noProof/>
          <w:lang w:val="en-IE"/>
        </w:rPr>
      </w:pPr>
      <w:r w:rsidRPr="00FF67ED">
        <w:rPr>
          <w:noProof/>
          <w:lang w:val="en-IE"/>
        </w:rPr>
        <w:t>‘</w:t>
      </w:r>
      <w:r w:rsidR="008F33F1" w:rsidRPr="008F33F1">
        <w:rPr>
          <w:noProof/>
          <w:lang w:val="en-IE"/>
        </w:rPr>
        <w:t xml:space="preserve">The Commission </w:t>
      </w:r>
      <w:r w:rsidR="0040158B">
        <w:rPr>
          <w:noProof/>
          <w:lang w:val="en-IE"/>
        </w:rPr>
        <w:t>is empowered to</w:t>
      </w:r>
      <w:r w:rsidR="008F33F1" w:rsidRPr="008F33F1">
        <w:rPr>
          <w:noProof/>
          <w:lang w:val="en-IE"/>
        </w:rPr>
        <w:t xml:space="preserve"> adopt implementing acts concerning the detailed arrangements for the monitoring and reporting of emissions and, where relevant, activity data, from the activities listed in Annex I to this Directive, and non-CO</w:t>
      </w:r>
      <w:r w:rsidR="008F33F1" w:rsidRPr="00620F3F">
        <w:rPr>
          <w:noProof/>
          <w:vertAlign w:val="subscript"/>
          <w:lang w:val="en-IE"/>
        </w:rPr>
        <w:t>2</w:t>
      </w:r>
      <w:r w:rsidR="008F33F1" w:rsidRPr="008F33F1">
        <w:rPr>
          <w:noProof/>
          <w:lang w:val="en-IE"/>
        </w:rPr>
        <w:t xml:space="preserve"> aviation effects on routes for which emissions are reported under this Directive, which shall be based on the principles for monitoring and reporting set out in Annex IV to this Directive and the requirements set out in paragraphs 2 and 5 of this Article. Those implementing acts shall also specify the global warming potential of each greenhouse gas and take into account up-to-date scientific knowledge on the effects of non-CO</w:t>
      </w:r>
      <w:r w:rsidR="008F33F1" w:rsidRPr="00620F3F">
        <w:rPr>
          <w:noProof/>
          <w:vertAlign w:val="subscript"/>
          <w:lang w:val="en-IE"/>
        </w:rPr>
        <w:t>2</w:t>
      </w:r>
      <w:r w:rsidR="008F33F1" w:rsidRPr="008F33F1">
        <w:rPr>
          <w:noProof/>
          <w:lang w:val="en-IE"/>
        </w:rPr>
        <w:t xml:space="preserve"> aviation emissions in the requirements for monitoring and reporting of emissions and their effects, including non-CO</w:t>
      </w:r>
      <w:r w:rsidR="008F33F1" w:rsidRPr="00620F3F">
        <w:rPr>
          <w:noProof/>
          <w:vertAlign w:val="subscript"/>
          <w:lang w:val="en-IE"/>
        </w:rPr>
        <w:t>2</w:t>
      </w:r>
      <w:r w:rsidR="008F33F1" w:rsidRPr="008F33F1">
        <w:rPr>
          <w:noProof/>
          <w:lang w:val="en-IE"/>
        </w:rPr>
        <w:t xml:space="preserve"> aviation effects. </w:t>
      </w:r>
      <w:r w:rsidR="0040158B">
        <w:rPr>
          <w:noProof/>
          <w:lang w:val="en-IE"/>
        </w:rPr>
        <w:t>Such</w:t>
      </w:r>
      <w:r w:rsidR="008F33F1" w:rsidRPr="008F33F1">
        <w:rPr>
          <w:noProof/>
          <w:lang w:val="en-IE"/>
        </w:rPr>
        <w:t xml:space="preserve"> implementing acts shall provide for the application of the sustainability and greenhouse gas emission-saving criteria for the use of biomass established by Directive (EU) 2018/2001, with any necessary adjustments for application under this Directive, in order for such biomass to be zero-rated. </w:t>
      </w:r>
      <w:r w:rsidRPr="00FF67ED">
        <w:rPr>
          <w:noProof/>
          <w:lang w:val="en-IE"/>
        </w:rPr>
        <w:t>They shall specify the order of capture and how to account the emissions from captured CO</w:t>
      </w:r>
      <w:r w:rsidRPr="007F5BCA">
        <w:rPr>
          <w:noProof/>
          <w:vertAlign w:val="subscript"/>
          <w:lang w:val="en-IE"/>
        </w:rPr>
        <w:t>2</w:t>
      </w:r>
      <w:r w:rsidRPr="00FF67ED">
        <w:rPr>
          <w:noProof/>
          <w:lang w:val="en-IE"/>
        </w:rPr>
        <w:t xml:space="preserve"> from a mix of zero-rated and non-zero-rated sources. They shall also specify how to account for emissions from synthetic fuels, ensuring that such emissions are accounted for and that double counting is avoided. Carbon chemically bound in synthetic fuels shall be considered to be emitted by the activity of distribution of synthetic fuels established in Annex I.’</w:t>
      </w:r>
    </w:p>
    <w:p w14:paraId="29A486DB" w14:textId="77777777" w:rsidR="00FF67ED" w:rsidRPr="00FF67ED" w:rsidRDefault="00FF67ED" w:rsidP="00273134">
      <w:pPr>
        <w:pStyle w:val="Point1"/>
        <w:rPr>
          <w:noProof/>
          <w:lang w:val="en-IE"/>
        </w:rPr>
      </w:pPr>
      <w:r>
        <w:rPr>
          <w:noProof/>
        </w:rPr>
        <w:t>(b)</w:t>
      </w:r>
      <w:r>
        <w:rPr>
          <w:noProof/>
        </w:rPr>
        <w:tab/>
      </w:r>
      <w:r w:rsidRPr="00FF67ED">
        <w:rPr>
          <w:noProof/>
          <w:lang w:val="en-IE"/>
        </w:rPr>
        <w:t>the following paragraph is inserted:</w:t>
      </w:r>
    </w:p>
    <w:p w14:paraId="27D651C2" w14:textId="77777777" w:rsidR="00FF67ED" w:rsidRPr="00FF67ED" w:rsidRDefault="00C6534E" w:rsidP="00FF67ED">
      <w:pPr>
        <w:pStyle w:val="Text2"/>
        <w:rPr>
          <w:noProof/>
          <w:lang w:val="en-IE"/>
        </w:rPr>
      </w:pPr>
      <w:r>
        <w:rPr>
          <w:noProof/>
          <w:lang w:val="en-IE"/>
        </w:rPr>
        <w:t>‘</w:t>
      </w:r>
      <w:r w:rsidR="00FF67ED" w:rsidRPr="00FF67ED">
        <w:rPr>
          <w:noProof/>
          <w:lang w:val="en-IE"/>
        </w:rPr>
        <w:t>1a. The acts referred to in paragraph 1 shall provide for the possibility for operators, aircraft operators and shipping companies to compensate their fossil emissions with domestic permanent carbon removal units generated from the storage of their biogenic emissions under the scope of this Directive and certified under Regulation (EU) 2024/3012, while avoiding the double counting of th</w:t>
      </w:r>
      <w:r w:rsidR="008F33F1">
        <w:rPr>
          <w:noProof/>
          <w:lang w:val="en-IE"/>
        </w:rPr>
        <w:t>o</w:t>
      </w:r>
      <w:r w:rsidR="00FF67ED" w:rsidRPr="00FF67ED">
        <w:rPr>
          <w:noProof/>
          <w:lang w:val="en-IE"/>
        </w:rPr>
        <w:t>se negative emissions.</w:t>
      </w:r>
      <w:r>
        <w:rPr>
          <w:noProof/>
          <w:lang w:val="en-IE"/>
        </w:rPr>
        <w:t>’</w:t>
      </w:r>
    </w:p>
    <w:p w14:paraId="640B3CEA" w14:textId="2DAAE1EE" w:rsidR="00FF67ED" w:rsidRPr="00B97C25" w:rsidRDefault="00FF67ED" w:rsidP="009D06CA">
      <w:pPr>
        <w:pStyle w:val="Point0"/>
        <w:rPr>
          <w:noProof/>
        </w:rPr>
      </w:pPr>
      <w:r>
        <w:rPr>
          <w:noProof/>
        </w:rPr>
        <w:t>(25)</w:t>
      </w:r>
      <w:r>
        <w:rPr>
          <w:noProof/>
        </w:rPr>
        <w:tab/>
      </w:r>
      <w:r w:rsidRPr="00B97C25">
        <w:rPr>
          <w:noProof/>
        </w:rPr>
        <w:t xml:space="preserve">Article 19 is amended as follows: </w:t>
      </w:r>
    </w:p>
    <w:p w14:paraId="1E2CDB1D" w14:textId="223AED8E" w:rsidR="00FF67ED" w:rsidRPr="009D06CA" w:rsidRDefault="008F33F1" w:rsidP="009D06CA">
      <w:pPr>
        <w:pStyle w:val="Point1"/>
      </w:pPr>
      <w:r w:rsidRPr="009D06CA">
        <w:t>(a)</w:t>
      </w:r>
      <w:r w:rsidRPr="009D06CA">
        <w:tab/>
        <w:t xml:space="preserve">in paragraph 1, </w:t>
      </w:r>
      <w:r w:rsidR="00FF67ED" w:rsidRPr="009D06CA">
        <w:t xml:space="preserve">the second subparagraph is deleted; </w:t>
      </w:r>
    </w:p>
    <w:p w14:paraId="39DEB5E9" w14:textId="49B83748" w:rsidR="00FF67ED" w:rsidRPr="009D06CA" w:rsidRDefault="00FF67ED" w:rsidP="009D06CA">
      <w:pPr>
        <w:pStyle w:val="Point1"/>
      </w:pPr>
      <w:r>
        <w:t>(b)</w:t>
      </w:r>
      <w:r>
        <w:tab/>
      </w:r>
      <w:r w:rsidRPr="009D06CA">
        <w:t xml:space="preserve">the following paragraph is inserted after paragraph 1: </w:t>
      </w:r>
    </w:p>
    <w:p w14:paraId="2FF58556" w14:textId="77777777" w:rsidR="00FF67ED" w:rsidRPr="00FF67ED" w:rsidRDefault="00FF67ED" w:rsidP="00FF67ED">
      <w:pPr>
        <w:pStyle w:val="Text2"/>
        <w:rPr>
          <w:noProof/>
          <w:lang w:val="en-IE"/>
        </w:rPr>
      </w:pPr>
      <w:r w:rsidRPr="00FF67ED">
        <w:rPr>
          <w:noProof/>
          <w:lang w:val="en-IE"/>
        </w:rPr>
        <w:t xml:space="preserve">‘1a. In the period until 2040, the Commission shall use up to a maximum of </w:t>
      </w:r>
      <w:r w:rsidR="00697D55">
        <w:rPr>
          <w:noProof/>
          <w:lang w:val="en-IE"/>
        </w:rPr>
        <w:t>5</w:t>
      </w:r>
      <w:r w:rsidRPr="00FF67ED">
        <w:rPr>
          <w:noProof/>
          <w:lang w:val="en-IE"/>
        </w:rPr>
        <w:t xml:space="preserve"> million allowances from the Union-wide quantity of allowances referred to in Article 9 to cover expenses linked with the functioning and management of the EU ETS, including the financing of the operation of the Union Registry. </w:t>
      </w:r>
    </w:p>
    <w:p w14:paraId="7908F7F9" w14:textId="77777777" w:rsidR="00FF67ED" w:rsidRPr="00FF67ED" w:rsidRDefault="00FF67ED" w:rsidP="00FF67ED">
      <w:pPr>
        <w:pStyle w:val="Text2"/>
        <w:rPr>
          <w:noProof/>
          <w:lang w:val="en-IE"/>
        </w:rPr>
      </w:pPr>
      <w:r w:rsidRPr="00FF67ED">
        <w:rPr>
          <w:noProof/>
          <w:lang w:val="en-IE"/>
        </w:rPr>
        <w:t>These allowances shall be auctioned in accordance with Article 10(4)</w:t>
      </w:r>
      <w:r w:rsidR="005A3085">
        <w:rPr>
          <w:noProof/>
          <w:lang w:val="en-IE"/>
        </w:rPr>
        <w:t xml:space="preserve"> of this Directive</w:t>
      </w:r>
      <w:r w:rsidRPr="00FF67ED">
        <w:rPr>
          <w:noProof/>
          <w:lang w:val="en-IE"/>
        </w:rPr>
        <w:t xml:space="preserve">, with proceeds constituting external assigned revenue under Article 21(5) of Regulation (EU, Euratom) 2024/2509. </w:t>
      </w:r>
    </w:p>
    <w:p w14:paraId="681E1373" w14:textId="77777777" w:rsidR="00FF67ED" w:rsidRPr="00FF67ED" w:rsidRDefault="00FF67ED" w:rsidP="00FF67ED">
      <w:pPr>
        <w:pStyle w:val="Text2"/>
        <w:rPr>
          <w:noProof/>
          <w:lang w:val="en-IE"/>
        </w:rPr>
      </w:pPr>
      <w:r w:rsidRPr="00FF67ED">
        <w:rPr>
          <w:noProof/>
          <w:lang w:val="en-IE"/>
        </w:rPr>
        <w:t xml:space="preserve">In the event that the allowances set aside under </w:t>
      </w:r>
      <w:r w:rsidR="00906412">
        <w:rPr>
          <w:noProof/>
          <w:lang w:val="en-IE"/>
        </w:rPr>
        <w:t xml:space="preserve">the first </w:t>
      </w:r>
      <w:r w:rsidRPr="00FF67ED">
        <w:rPr>
          <w:noProof/>
          <w:lang w:val="en-IE"/>
        </w:rPr>
        <w:t xml:space="preserve">subparagraph </w:t>
      </w:r>
      <w:r w:rsidR="000E60A0">
        <w:rPr>
          <w:noProof/>
          <w:lang w:val="en-IE"/>
        </w:rPr>
        <w:t>of this paragraph</w:t>
      </w:r>
      <w:r w:rsidRPr="00FF67ED">
        <w:rPr>
          <w:noProof/>
          <w:lang w:val="en-IE"/>
        </w:rPr>
        <w:t xml:space="preserve"> are not auctioned for the purposes established in</w:t>
      </w:r>
      <w:r w:rsidR="00906412">
        <w:rPr>
          <w:noProof/>
          <w:lang w:val="en-IE"/>
        </w:rPr>
        <w:t xml:space="preserve"> the first</w:t>
      </w:r>
      <w:r w:rsidRPr="00FF67ED">
        <w:rPr>
          <w:noProof/>
          <w:lang w:val="en-IE"/>
        </w:rPr>
        <w:t xml:space="preserve"> subparagraph </w:t>
      </w:r>
      <w:r w:rsidR="00B35C0C">
        <w:rPr>
          <w:noProof/>
          <w:lang w:val="en-IE"/>
        </w:rPr>
        <w:t xml:space="preserve">of this paragraph </w:t>
      </w:r>
      <w:r w:rsidRPr="00FF67ED">
        <w:rPr>
          <w:noProof/>
          <w:lang w:val="en-IE"/>
        </w:rPr>
        <w:t>before 2041, they shall be used to increase the amount available for new entrants pursuant to Article 10a(7).</w:t>
      </w:r>
    </w:p>
    <w:p w14:paraId="64DD16B1" w14:textId="77777777" w:rsidR="00FF67ED" w:rsidRPr="00FF67ED" w:rsidRDefault="00FF67ED" w:rsidP="00FF67ED">
      <w:pPr>
        <w:pStyle w:val="Text2"/>
        <w:rPr>
          <w:noProof/>
          <w:lang w:val="en-IE"/>
        </w:rPr>
      </w:pPr>
      <w:r w:rsidRPr="00FF67ED">
        <w:rPr>
          <w:noProof/>
          <w:lang w:val="en-IE"/>
        </w:rPr>
        <w:t xml:space="preserve">The acts referred to in paragraph 3 </w:t>
      </w:r>
      <w:r w:rsidR="00B35C0C">
        <w:rPr>
          <w:noProof/>
          <w:lang w:val="en-IE"/>
        </w:rPr>
        <w:t xml:space="preserve">of this Article </w:t>
      </w:r>
      <w:r w:rsidRPr="00FF67ED">
        <w:rPr>
          <w:noProof/>
          <w:lang w:val="en-IE"/>
        </w:rPr>
        <w:t>shall specify the conditions, modalities and procedures under which the Central Administrator designated by the Commission pursuant to Article 20</w:t>
      </w:r>
      <w:r w:rsidR="00906412">
        <w:rPr>
          <w:noProof/>
          <w:lang w:val="en-IE"/>
        </w:rPr>
        <w:t>(1)</w:t>
      </w:r>
      <w:r w:rsidRPr="00FF67ED">
        <w:rPr>
          <w:noProof/>
          <w:lang w:val="en-IE"/>
        </w:rPr>
        <w:t xml:space="preserve"> shall make use of revenues from the auctioning of allowances pursuant to this paragraph.’;</w:t>
      </w:r>
    </w:p>
    <w:p w14:paraId="10BC5E11" w14:textId="3DA915D7" w:rsidR="00FF67ED" w:rsidRPr="00B97C25" w:rsidRDefault="00FF67ED" w:rsidP="009D06CA">
      <w:pPr>
        <w:pStyle w:val="Point0"/>
        <w:rPr>
          <w:noProof/>
        </w:rPr>
      </w:pPr>
      <w:r>
        <w:rPr>
          <w:noProof/>
        </w:rPr>
        <w:t>(26)</w:t>
      </w:r>
      <w:r>
        <w:rPr>
          <w:noProof/>
        </w:rPr>
        <w:tab/>
      </w:r>
      <w:r w:rsidRPr="00B97C25">
        <w:rPr>
          <w:noProof/>
        </w:rPr>
        <w:t xml:space="preserve">Article 20 is amended as follows: </w:t>
      </w:r>
    </w:p>
    <w:p w14:paraId="25717CE2" w14:textId="5ED4FE58" w:rsidR="00FF67ED" w:rsidRPr="009D06CA" w:rsidRDefault="00FF67ED" w:rsidP="009D06CA">
      <w:pPr>
        <w:pStyle w:val="Point1"/>
      </w:pPr>
      <w:r>
        <w:t>(a)</w:t>
      </w:r>
      <w:r>
        <w:tab/>
      </w:r>
      <w:r w:rsidRPr="009D06CA">
        <w:t xml:space="preserve">paragraph 1 is replaced by the following: </w:t>
      </w:r>
    </w:p>
    <w:p w14:paraId="0DD0A141" w14:textId="77777777" w:rsidR="00FF67ED" w:rsidRPr="00FF67ED" w:rsidRDefault="00FF67ED" w:rsidP="009D06CA">
      <w:pPr>
        <w:pStyle w:val="Text2"/>
        <w:rPr>
          <w:noProof/>
          <w:lang w:val="en-IE"/>
        </w:rPr>
      </w:pPr>
      <w:r w:rsidRPr="00FF67ED">
        <w:rPr>
          <w:noProof/>
          <w:lang w:val="en-IE"/>
        </w:rPr>
        <w:t>‘1. The Commission shall designate a Central Administrator to maintain a Union registry recording the issue, transfer and cancellation of allowances.’;</w:t>
      </w:r>
    </w:p>
    <w:p w14:paraId="17C6E21A" w14:textId="2C2E5BA6" w:rsidR="00FF67ED" w:rsidRPr="009D06CA" w:rsidRDefault="00FF67ED" w:rsidP="009D06CA">
      <w:pPr>
        <w:pStyle w:val="Point1"/>
      </w:pPr>
      <w:r>
        <w:t>(b)</w:t>
      </w:r>
      <w:r>
        <w:tab/>
      </w:r>
      <w:r w:rsidRPr="009D06CA">
        <w:t xml:space="preserve">paragraph 2 is replaced by the following: </w:t>
      </w:r>
    </w:p>
    <w:p w14:paraId="43DCCEB8" w14:textId="77777777" w:rsidR="00FF67ED" w:rsidRPr="00FF67ED" w:rsidRDefault="00FF67ED" w:rsidP="009D06CA">
      <w:pPr>
        <w:pStyle w:val="Text2"/>
        <w:rPr>
          <w:noProof/>
          <w:lang w:val="en-IE"/>
        </w:rPr>
      </w:pPr>
      <w:r w:rsidRPr="00FF67ED">
        <w:rPr>
          <w:noProof/>
          <w:lang w:val="en-IE"/>
        </w:rPr>
        <w:t>‘2. The Central Administrator shall conduct automated checks on each transaction in the Union registry to ensure there are no irregularities in the issue, transfer and cancellation of allowances.’;</w:t>
      </w:r>
    </w:p>
    <w:p w14:paraId="08F3496E" w14:textId="097EB571" w:rsidR="00FF67ED" w:rsidRPr="009D06CA" w:rsidRDefault="00FF67ED" w:rsidP="009D06CA">
      <w:pPr>
        <w:pStyle w:val="Point1"/>
      </w:pPr>
      <w:r>
        <w:t>(c)</w:t>
      </w:r>
      <w:r>
        <w:tab/>
      </w:r>
      <w:r w:rsidRPr="009D06CA">
        <w:t>paragraph 3 is deleted;</w:t>
      </w:r>
    </w:p>
    <w:p w14:paraId="360B6AA9" w14:textId="77777777" w:rsidR="00FF67ED" w:rsidRPr="00B97C25" w:rsidRDefault="00FF67ED" w:rsidP="009D06CA">
      <w:pPr>
        <w:pStyle w:val="Point0"/>
        <w:rPr>
          <w:noProof/>
        </w:rPr>
      </w:pPr>
      <w:r>
        <w:rPr>
          <w:noProof/>
        </w:rPr>
        <w:t>(27)</w:t>
      </w:r>
      <w:r>
        <w:rPr>
          <w:noProof/>
        </w:rPr>
        <w:tab/>
      </w:r>
      <w:r w:rsidRPr="00B97C25">
        <w:rPr>
          <w:noProof/>
        </w:rPr>
        <w:t xml:space="preserve">Article 21 is amended as follows: </w:t>
      </w:r>
    </w:p>
    <w:p w14:paraId="6561556F" w14:textId="662502AE" w:rsidR="00FF67ED" w:rsidRPr="009D06CA" w:rsidRDefault="00FF67ED" w:rsidP="009D06CA">
      <w:pPr>
        <w:pStyle w:val="Point1"/>
      </w:pPr>
      <w:r>
        <w:t>(a)</w:t>
      </w:r>
      <w:r>
        <w:tab/>
      </w:r>
      <w:r w:rsidRPr="009D06CA">
        <w:t xml:space="preserve">paragraph 1 is replaced by the following: </w:t>
      </w:r>
    </w:p>
    <w:p w14:paraId="62177357" w14:textId="77777777" w:rsidR="00FF67ED" w:rsidRPr="00FF67ED" w:rsidRDefault="00FF67ED" w:rsidP="00FF67ED">
      <w:pPr>
        <w:pStyle w:val="Text2"/>
        <w:rPr>
          <w:noProof/>
          <w:lang w:val="en-IE"/>
        </w:rPr>
      </w:pPr>
      <w:r w:rsidRPr="00FF67ED">
        <w:rPr>
          <w:noProof/>
          <w:lang w:val="en-IE"/>
        </w:rPr>
        <w:t>‘</w:t>
      </w:r>
      <w:r w:rsidR="009E6CE5">
        <w:rPr>
          <w:noProof/>
          <w:lang w:val="en-IE"/>
        </w:rPr>
        <w:t xml:space="preserve">1. </w:t>
      </w:r>
      <w:r w:rsidRPr="00FF67ED">
        <w:rPr>
          <w:noProof/>
          <w:lang w:val="en-IE"/>
        </w:rPr>
        <w:t xml:space="preserve">Each year the Member States shall submit to the Commission a report on the application of this Directive. That report shall pay particular attention to the arrangements for the allocation of allowances, the operation of registries, the application of the implementing measures on monitoring and reporting, verification and accreditation and issues relating to compliance with this Directive and on the fiscal treatment of allowances, if any. The first report shall be sent to the Commission by 30 June for every reporting year. The report shall be drawn up on the basis of a questionnaire or outline adopted by the Commission in the form of implementing acts. </w:t>
      </w:r>
      <w:r w:rsidR="004F778C">
        <w:rPr>
          <w:noProof/>
          <w:lang w:val="en-IE"/>
        </w:rPr>
        <w:t>Such</w:t>
      </w:r>
      <w:r w:rsidRPr="00FF67ED">
        <w:rPr>
          <w:noProof/>
          <w:lang w:val="en-IE"/>
        </w:rPr>
        <w:t xml:space="preserve"> implementing acts shall be adopted in accordance with the examination procedure referred to in Article 22a(2). The questionnaire or outline shall be made available to Member States at least six months before the deadline for the submission of the first report and as early as possible before the deadline for the submission of each annual report thereafter, following a consultation process on a revised questionnaire with Member States where applicable.’;</w:t>
      </w:r>
    </w:p>
    <w:p w14:paraId="38B0BFA6" w14:textId="34E4ABFF" w:rsidR="00FF67ED" w:rsidRPr="009D06CA" w:rsidRDefault="00FF67ED" w:rsidP="009D06CA">
      <w:pPr>
        <w:pStyle w:val="Point1"/>
      </w:pPr>
      <w:r>
        <w:t>(b)</w:t>
      </w:r>
      <w:r>
        <w:tab/>
      </w:r>
      <w:r w:rsidRPr="009D06CA">
        <w:t xml:space="preserve">paragraph 2 is deleted; </w:t>
      </w:r>
    </w:p>
    <w:p w14:paraId="6FB5247C" w14:textId="43A726DC" w:rsidR="00FF67ED" w:rsidRPr="009D06CA" w:rsidRDefault="00FF67ED" w:rsidP="009D06CA">
      <w:pPr>
        <w:pStyle w:val="Point1"/>
      </w:pPr>
      <w:r>
        <w:t>(c)</w:t>
      </w:r>
      <w:r>
        <w:tab/>
      </w:r>
      <w:r w:rsidRPr="009D06CA">
        <w:t xml:space="preserve">paragraph 3 is replaced by the following: </w:t>
      </w:r>
    </w:p>
    <w:p w14:paraId="13459971" w14:textId="77777777" w:rsidR="00FF67ED" w:rsidRPr="00FF67ED" w:rsidRDefault="00FF67ED" w:rsidP="00FF67ED">
      <w:pPr>
        <w:pStyle w:val="Text2"/>
        <w:rPr>
          <w:noProof/>
          <w:lang w:val="en-IE"/>
        </w:rPr>
      </w:pPr>
      <w:r w:rsidRPr="00FF67ED">
        <w:rPr>
          <w:noProof/>
          <w:lang w:val="en-IE"/>
        </w:rPr>
        <w:t>‘</w:t>
      </w:r>
      <w:r w:rsidR="00FB26AB">
        <w:rPr>
          <w:noProof/>
          <w:lang w:val="en-IE"/>
        </w:rPr>
        <w:t>3</w:t>
      </w:r>
      <w:r w:rsidRPr="00FF67ED">
        <w:rPr>
          <w:noProof/>
          <w:lang w:val="en-IE"/>
        </w:rPr>
        <w:t>. The Commission shall organise an exchange of information between the competent authorities of the Member States concerning developments relating to issues of allocation, the operation of registries, monitoring, reporting, verification, accreditation, information technology, and compliance with this Directive.’;</w:t>
      </w:r>
    </w:p>
    <w:p w14:paraId="701C4935" w14:textId="7E8A9BDC" w:rsidR="00FF67ED" w:rsidRPr="009D06CA" w:rsidRDefault="00FF67ED" w:rsidP="009D06CA">
      <w:pPr>
        <w:pStyle w:val="Point1"/>
      </w:pPr>
      <w:r>
        <w:t>(d)</w:t>
      </w:r>
      <w:r>
        <w:tab/>
      </w:r>
      <w:r w:rsidRPr="009D06CA">
        <w:t xml:space="preserve">paragraph 4 is replaced by the following: </w:t>
      </w:r>
    </w:p>
    <w:p w14:paraId="08316933" w14:textId="77777777" w:rsidR="00FF67ED" w:rsidRPr="00FF67ED" w:rsidRDefault="00FF67ED" w:rsidP="00FF67ED">
      <w:pPr>
        <w:pStyle w:val="Text2"/>
        <w:rPr>
          <w:noProof/>
          <w:lang w:val="en-IE"/>
        </w:rPr>
      </w:pPr>
      <w:r w:rsidRPr="00FF67ED">
        <w:rPr>
          <w:noProof/>
          <w:lang w:val="en-IE"/>
        </w:rPr>
        <w:t>‘</w:t>
      </w:r>
      <w:r w:rsidR="00FB26AB">
        <w:rPr>
          <w:noProof/>
          <w:lang w:val="en-IE"/>
        </w:rPr>
        <w:t>4</w:t>
      </w:r>
      <w:r w:rsidRPr="00FF67ED">
        <w:rPr>
          <w:noProof/>
          <w:lang w:val="en-IE"/>
        </w:rPr>
        <w:t>. Every three years, the report referred to in paragraph 1 shall also pay particular attention to the equivalent measures adopted for small installations excluded from the EU ETS. The issue of equivalent measures adopted for small installations shall also be considered in the exchange of information referred to in paragraph 2.’;</w:t>
      </w:r>
    </w:p>
    <w:p w14:paraId="6A9D6F37" w14:textId="384D9CD2" w:rsidR="00B86CB7" w:rsidRPr="00B97C25" w:rsidRDefault="00B86CB7" w:rsidP="009D06CA">
      <w:pPr>
        <w:pStyle w:val="Point0"/>
        <w:rPr>
          <w:noProof/>
        </w:rPr>
      </w:pPr>
      <w:r>
        <w:rPr>
          <w:noProof/>
        </w:rPr>
        <w:t>(28)</w:t>
      </w:r>
      <w:r>
        <w:rPr>
          <w:noProof/>
        </w:rPr>
        <w:tab/>
      </w:r>
      <w:r w:rsidRPr="00B97C25">
        <w:rPr>
          <w:noProof/>
        </w:rPr>
        <w:t>Article 23 is amended as follows:</w:t>
      </w:r>
    </w:p>
    <w:p w14:paraId="34C078D5" w14:textId="23CE71D1" w:rsidR="007F42FA" w:rsidRPr="009D06CA" w:rsidRDefault="007F42FA" w:rsidP="009D06CA">
      <w:pPr>
        <w:pStyle w:val="Point1"/>
      </w:pPr>
      <w:r>
        <w:t>(a)</w:t>
      </w:r>
      <w:r>
        <w:tab/>
      </w:r>
      <w:r w:rsidRPr="009D06CA">
        <w:t>paragraph 2 is replaced by the following</w:t>
      </w:r>
      <w:r w:rsidR="00757E34" w:rsidRPr="009D06CA">
        <w:t>:</w:t>
      </w:r>
    </w:p>
    <w:p w14:paraId="56E853C7" w14:textId="77777777" w:rsidR="007F42FA" w:rsidRDefault="007F42FA" w:rsidP="00D823DC">
      <w:pPr>
        <w:pStyle w:val="Text2"/>
        <w:rPr>
          <w:noProof/>
          <w:lang w:val="en-IE"/>
        </w:rPr>
      </w:pPr>
      <w:r>
        <w:rPr>
          <w:noProof/>
          <w:lang w:val="en-IE"/>
        </w:rPr>
        <w:t>‘</w:t>
      </w:r>
      <w:r w:rsidRPr="007F42FA">
        <w:rPr>
          <w:noProof/>
          <w:lang w:val="en-IE"/>
        </w:rPr>
        <w:t>2.</w:t>
      </w:r>
      <w:r w:rsidR="00757E34">
        <w:rPr>
          <w:noProof/>
          <w:lang w:val="en-IE"/>
        </w:rPr>
        <w:t xml:space="preserve"> </w:t>
      </w:r>
      <w:r w:rsidRPr="007F42FA">
        <w:rPr>
          <w:noProof/>
          <w:lang w:val="en-IE"/>
        </w:rPr>
        <w:t xml:space="preserve">The power to adopt delegated acts referred to in Article 3c(6), Article 3d(3), </w:t>
      </w:r>
      <w:r>
        <w:rPr>
          <w:noProof/>
          <w:lang w:val="en-IE"/>
        </w:rPr>
        <w:t xml:space="preserve">Article 3gaa, Article 3gab, Article 9c, </w:t>
      </w:r>
      <w:r w:rsidRPr="007F42FA">
        <w:rPr>
          <w:noProof/>
          <w:lang w:val="en-IE"/>
        </w:rPr>
        <w:t xml:space="preserve">Article 10(4), Article 10a(1), (8) and (8a), </w:t>
      </w:r>
      <w:r w:rsidR="006E4A59">
        <w:rPr>
          <w:noProof/>
          <w:lang w:val="en-IE"/>
        </w:rPr>
        <w:t>Article 10a(</w:t>
      </w:r>
      <w:r w:rsidR="00F451E7">
        <w:rPr>
          <w:noProof/>
          <w:lang w:val="en-IE"/>
        </w:rPr>
        <w:t>3e</w:t>
      </w:r>
      <w:r w:rsidR="006E4A59">
        <w:rPr>
          <w:noProof/>
          <w:lang w:val="en-IE"/>
        </w:rPr>
        <w:t xml:space="preserve">), Article </w:t>
      </w:r>
      <w:r w:rsidRPr="007F42FA">
        <w:rPr>
          <w:noProof/>
          <w:lang w:val="en-IE"/>
        </w:rPr>
        <w:t xml:space="preserve">10b(5), </w:t>
      </w:r>
      <w:r w:rsidR="006E4A59">
        <w:rPr>
          <w:noProof/>
          <w:lang w:val="en-IE"/>
        </w:rPr>
        <w:t>Article 10cb(9), Article 1</w:t>
      </w:r>
      <w:r>
        <w:rPr>
          <w:noProof/>
          <w:lang w:val="en-IE"/>
        </w:rPr>
        <w:t>0cc(</w:t>
      </w:r>
      <w:r w:rsidR="006E4A59">
        <w:rPr>
          <w:noProof/>
          <w:lang w:val="en-IE"/>
        </w:rPr>
        <w:t>6</w:t>
      </w:r>
      <w:r>
        <w:rPr>
          <w:noProof/>
          <w:lang w:val="en-IE"/>
        </w:rPr>
        <w:t xml:space="preserve">), </w:t>
      </w:r>
      <w:r w:rsidR="006E4A59">
        <w:rPr>
          <w:noProof/>
          <w:lang w:val="en-IE"/>
        </w:rPr>
        <w:t xml:space="preserve">Article </w:t>
      </w:r>
      <w:r>
        <w:rPr>
          <w:noProof/>
          <w:lang w:val="en-IE"/>
        </w:rPr>
        <w:t xml:space="preserve">10cd(7), </w:t>
      </w:r>
      <w:r w:rsidR="006E4A59">
        <w:rPr>
          <w:noProof/>
          <w:lang w:val="en-IE"/>
        </w:rPr>
        <w:t xml:space="preserve">Article </w:t>
      </w:r>
      <w:r>
        <w:rPr>
          <w:noProof/>
          <w:lang w:val="en-IE"/>
        </w:rPr>
        <w:t>10ce(9)</w:t>
      </w:r>
      <w:r w:rsidR="006E4A59">
        <w:rPr>
          <w:noProof/>
          <w:lang w:val="en-IE"/>
        </w:rPr>
        <w:t>,</w:t>
      </w:r>
      <w:r>
        <w:rPr>
          <w:noProof/>
          <w:lang w:val="en-IE"/>
        </w:rPr>
        <w:t xml:space="preserve"> </w:t>
      </w:r>
      <w:r w:rsidRPr="007F42FA">
        <w:rPr>
          <w:noProof/>
          <w:lang w:val="en-IE"/>
        </w:rPr>
        <w:t>Article 12(3b), Article 19(3), Article 22, Article 24(3), Article 24a(1), Article 25a(1)</w:t>
      </w:r>
      <w:r>
        <w:rPr>
          <w:noProof/>
          <w:lang w:val="en-IE"/>
        </w:rPr>
        <w:t>, 25b(6) 25b(7)</w:t>
      </w:r>
      <w:r w:rsidRPr="007F42FA">
        <w:rPr>
          <w:noProof/>
          <w:lang w:val="en-IE"/>
        </w:rPr>
        <w:t>, Article 28c and Article 30j(1) shall be conferred on the Commission for an indeterminate period of time from 8 April 2018.</w:t>
      </w:r>
      <w:r>
        <w:rPr>
          <w:noProof/>
          <w:lang w:val="en-IE"/>
        </w:rPr>
        <w:t>’</w:t>
      </w:r>
    </w:p>
    <w:p w14:paraId="29E2CF50" w14:textId="41F1279B" w:rsidR="007F42FA" w:rsidRPr="009D06CA" w:rsidRDefault="007F42FA" w:rsidP="009D06CA">
      <w:pPr>
        <w:pStyle w:val="Point1"/>
      </w:pPr>
      <w:r>
        <w:t>(b)</w:t>
      </w:r>
      <w:r>
        <w:tab/>
      </w:r>
      <w:r w:rsidRPr="009D06CA">
        <w:t>paragraph 3 is replaced by the following</w:t>
      </w:r>
      <w:r w:rsidR="00757E34" w:rsidRPr="009D06CA">
        <w:t>:</w:t>
      </w:r>
    </w:p>
    <w:p w14:paraId="7D37F79E" w14:textId="77777777" w:rsidR="007F42FA" w:rsidRPr="009D06CA" w:rsidRDefault="007F42FA" w:rsidP="00D823DC">
      <w:pPr>
        <w:pStyle w:val="Text2"/>
      </w:pPr>
      <w:r>
        <w:rPr>
          <w:noProof/>
          <w:lang w:val="en-IE"/>
        </w:rPr>
        <w:t>‘</w:t>
      </w:r>
      <w:r w:rsidRPr="007F42FA">
        <w:rPr>
          <w:noProof/>
          <w:lang w:val="en-IE"/>
        </w:rPr>
        <w:t>3.</w:t>
      </w:r>
      <w:r w:rsidR="00757E34">
        <w:rPr>
          <w:noProof/>
          <w:lang w:val="en-IE"/>
        </w:rPr>
        <w:t xml:space="preserve"> </w:t>
      </w:r>
      <w:r w:rsidRPr="007F42FA">
        <w:rPr>
          <w:noProof/>
          <w:lang w:val="en-IE"/>
        </w:rPr>
        <w:t xml:space="preserve">The delegation of power referred to </w:t>
      </w:r>
      <w:r w:rsidR="006E4A59">
        <w:rPr>
          <w:noProof/>
          <w:lang w:val="en-IE"/>
        </w:rPr>
        <w:t>paragraph 2</w:t>
      </w:r>
      <w:r w:rsidRPr="007F42FA">
        <w:rPr>
          <w:noProof/>
          <w:lang w:val="en-IE"/>
        </w:rPr>
        <w:t xml:space="preserve">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w:t>
      </w:r>
      <w:r w:rsidRPr="009D06CA">
        <w:t>validity of any delegated acts already in force.’</w:t>
      </w:r>
    </w:p>
    <w:p w14:paraId="67235425" w14:textId="5B89467D" w:rsidR="007F42FA" w:rsidRPr="009D06CA" w:rsidRDefault="007F42FA" w:rsidP="009D06CA">
      <w:pPr>
        <w:pStyle w:val="Point1"/>
      </w:pPr>
      <w:r>
        <w:t>(c)</w:t>
      </w:r>
      <w:r>
        <w:tab/>
      </w:r>
      <w:r w:rsidRPr="009D06CA">
        <w:t>paragraph 6 is replaced by the following</w:t>
      </w:r>
      <w:r w:rsidR="00757E34" w:rsidRPr="009D06CA">
        <w:t>:</w:t>
      </w:r>
    </w:p>
    <w:p w14:paraId="515FF112" w14:textId="77777777" w:rsidR="00B86CB7" w:rsidRDefault="00B86CB7" w:rsidP="00D823DC">
      <w:pPr>
        <w:pStyle w:val="Text2"/>
        <w:rPr>
          <w:noProof/>
          <w:lang w:val="en-IE"/>
        </w:rPr>
      </w:pPr>
      <w:r>
        <w:rPr>
          <w:noProof/>
          <w:lang w:val="en-IE"/>
        </w:rPr>
        <w:t>‘</w:t>
      </w:r>
      <w:r w:rsidR="007F42FA" w:rsidRPr="007F42FA">
        <w:rPr>
          <w:noProof/>
          <w:lang w:val="en-IE"/>
        </w:rPr>
        <w:t>6.</w:t>
      </w:r>
      <w:r w:rsidR="00757E34">
        <w:rPr>
          <w:noProof/>
          <w:lang w:val="en-IE"/>
        </w:rPr>
        <w:t xml:space="preserve"> </w:t>
      </w:r>
      <w:r w:rsidR="007F42FA" w:rsidRPr="007F42FA">
        <w:rPr>
          <w:noProof/>
          <w:lang w:val="en-IE"/>
        </w:rPr>
        <w:t xml:space="preserve">A delegated act adopted </w:t>
      </w:r>
      <w:r w:rsidR="006E4A59">
        <w:rPr>
          <w:noProof/>
          <w:lang w:val="en-IE"/>
        </w:rPr>
        <w:t>pursuant to the articles referred to in paragraph 2</w:t>
      </w:r>
      <w:r w:rsidR="007F42FA" w:rsidRPr="007F42FA">
        <w:rPr>
          <w:noProof/>
          <w:lang w:val="en-IE"/>
        </w:rPr>
        <w:t xml:space="preserve"> shall enter into force only if no objection has been expressed either by the European Parliament or by the Council within a period of two months of notification of that act to the European Parliament and to the Council or if, before the expiry of that period, the European Parliament and the Council have both informed the Commission that they will not object. That period shall be extended by two months at the initiative of the European Parliament or of the Council.</w:t>
      </w:r>
      <w:r>
        <w:rPr>
          <w:noProof/>
          <w:lang w:val="en-IE"/>
        </w:rPr>
        <w:t>’</w:t>
      </w:r>
    </w:p>
    <w:p w14:paraId="68B03360" w14:textId="5B4B1F7B" w:rsidR="00FF67ED" w:rsidRPr="00B97C25" w:rsidRDefault="00FF67ED" w:rsidP="009D06CA">
      <w:pPr>
        <w:pStyle w:val="Point0"/>
        <w:rPr>
          <w:noProof/>
        </w:rPr>
      </w:pPr>
      <w:r>
        <w:rPr>
          <w:noProof/>
        </w:rPr>
        <w:t>(29)</w:t>
      </w:r>
      <w:r>
        <w:rPr>
          <w:noProof/>
        </w:rPr>
        <w:tab/>
      </w:r>
      <w:r w:rsidRPr="00B97C25">
        <w:rPr>
          <w:noProof/>
        </w:rPr>
        <w:t>Article 25a is amended as follows:</w:t>
      </w:r>
    </w:p>
    <w:p w14:paraId="4AAFE309" w14:textId="1A84B8FF" w:rsidR="00FF67ED" w:rsidRPr="009D06CA" w:rsidRDefault="00FF67ED" w:rsidP="009D06CA">
      <w:pPr>
        <w:pStyle w:val="Point1"/>
      </w:pPr>
      <w:r>
        <w:t>(a)</w:t>
      </w:r>
      <w:r>
        <w:tab/>
      </w:r>
      <w:r w:rsidRPr="009D06CA">
        <w:t>paragraph 4 is replaced by the following:</w:t>
      </w:r>
    </w:p>
    <w:p w14:paraId="58A59F18" w14:textId="77777777" w:rsidR="00FF67ED" w:rsidRPr="00FF67ED" w:rsidRDefault="00FF67ED" w:rsidP="00FF67ED">
      <w:pPr>
        <w:pStyle w:val="Text2"/>
        <w:rPr>
          <w:noProof/>
          <w:lang w:val="en-IE"/>
        </w:rPr>
      </w:pPr>
      <w:r w:rsidRPr="00FF67ED">
        <w:rPr>
          <w:noProof/>
          <w:lang w:val="en-IE"/>
        </w:rPr>
        <w:t>‘4. In respect of emissions released until 31 December 2035 from flights to or from States that are listed in the implementing act adopted pursuant to paragraph 3 of this Article, aircraft operators shall not be required to surrender allowances in accordance with Article 12(3) in respect of those emissions.’;</w:t>
      </w:r>
    </w:p>
    <w:p w14:paraId="64D538DA" w14:textId="70B9DB36" w:rsidR="00FF67ED" w:rsidRPr="009D06CA" w:rsidRDefault="00FF67ED" w:rsidP="009D06CA">
      <w:pPr>
        <w:pStyle w:val="Point1"/>
      </w:pPr>
      <w:r>
        <w:t>(b)</w:t>
      </w:r>
      <w:r>
        <w:tab/>
      </w:r>
      <w:r w:rsidRPr="009D06CA">
        <w:t>paragraph 8 is replaced by the following:</w:t>
      </w:r>
    </w:p>
    <w:p w14:paraId="62F2FAEE" w14:textId="77777777" w:rsidR="00FF67ED" w:rsidRPr="00FF67ED" w:rsidRDefault="00FF67ED" w:rsidP="00FF67ED">
      <w:pPr>
        <w:pStyle w:val="Text2"/>
        <w:rPr>
          <w:noProof/>
          <w:lang w:val="en-IE"/>
        </w:rPr>
      </w:pPr>
      <w:r w:rsidRPr="00FF67ED">
        <w:rPr>
          <w:noProof/>
          <w:lang w:val="en-IE"/>
        </w:rPr>
        <w:t>‘8. Where aircraft operators that hold an air operator certificate issued by a Member State or are registered in a Member State, including in the outermost regions, dependencies and territories of that Member State, operate flights between a Member State and a State listed in the implementing act adopted pursuant to paragraph 3 of this Article, or a flight between two different States listed in that implementing act, including flights that take place between Switzerland, the United Kingdom and States listed in the implementing act adopted pursuant to paragraph 3 of this Article, and those States allow aircraft operators to use units other than those on the list adopted pursuant to Article 11a(8) and that could lead to a significant distortion of competition, the Commission shall be empowered to adopt implementing acts, on the request of a Member State, allowing those aircraft operators to use unit types additional to those on the list or not to be bound by the conditions of Article 11a(2) and (3) in respect of emissions from such flights. Those implementing acts shall be adopted in accordance with the examination procedure referred to in Article 22a(2).’;</w:t>
      </w:r>
    </w:p>
    <w:p w14:paraId="1E916058" w14:textId="7D54A7DB" w:rsidR="00FF67ED" w:rsidRPr="00B97C25" w:rsidRDefault="00FF67ED" w:rsidP="009D06CA">
      <w:pPr>
        <w:pStyle w:val="Point0"/>
        <w:rPr>
          <w:noProof/>
        </w:rPr>
      </w:pPr>
      <w:r>
        <w:rPr>
          <w:noProof/>
        </w:rPr>
        <w:t>(30)</w:t>
      </w:r>
      <w:r>
        <w:rPr>
          <w:noProof/>
        </w:rPr>
        <w:tab/>
      </w:r>
      <w:r w:rsidRPr="00B97C25">
        <w:rPr>
          <w:noProof/>
        </w:rPr>
        <w:t xml:space="preserve">the following Article 25b is inserted: </w:t>
      </w:r>
    </w:p>
    <w:p w14:paraId="4A29C851" w14:textId="77777777" w:rsidR="00FF67ED" w:rsidRPr="00FF67ED" w:rsidRDefault="00FF67ED" w:rsidP="006109D5">
      <w:pPr>
        <w:pStyle w:val="Titrearticle"/>
        <w:rPr>
          <w:noProof/>
          <w:lang w:val="en-IE"/>
        </w:rPr>
      </w:pPr>
      <w:r w:rsidRPr="00FF67ED">
        <w:rPr>
          <w:noProof/>
          <w:lang w:val="en-IE"/>
        </w:rPr>
        <w:t>‘Article 25b</w:t>
      </w:r>
    </w:p>
    <w:p w14:paraId="3FF695AE" w14:textId="77777777" w:rsidR="00FF67ED" w:rsidRPr="00FF67ED" w:rsidRDefault="00FF67ED" w:rsidP="00FF67ED">
      <w:pPr>
        <w:jc w:val="center"/>
        <w:rPr>
          <w:b/>
          <w:bCs/>
          <w:noProof/>
          <w:lang w:val="en-IE"/>
        </w:rPr>
      </w:pPr>
      <w:r w:rsidRPr="00FF67ED">
        <w:rPr>
          <w:b/>
          <w:bCs/>
          <w:noProof/>
          <w:lang w:val="en-IE"/>
        </w:rPr>
        <w:t>ETS as a service</w:t>
      </w:r>
    </w:p>
    <w:p w14:paraId="71D90E46" w14:textId="77777777" w:rsidR="00FF67ED" w:rsidRPr="004B3708" w:rsidRDefault="00FF67ED" w:rsidP="004830AF">
      <w:pPr>
        <w:pStyle w:val="LegalNumPar"/>
        <w:numPr>
          <w:ilvl w:val="0"/>
          <w:numId w:val="31"/>
        </w:numPr>
        <w:spacing w:line="240" w:lineRule="auto"/>
        <w:ind w:left="0" w:firstLine="0"/>
        <w:rPr>
          <w:noProof/>
          <w:lang w:val="en-IE"/>
        </w:rPr>
      </w:pPr>
      <w:r w:rsidRPr="004B3708">
        <w:rPr>
          <w:noProof/>
          <w:lang w:val="en-IE"/>
        </w:rPr>
        <w:t xml:space="preserve">Administrative and technical support and coordination </w:t>
      </w:r>
      <w:r w:rsidR="006C6051" w:rsidRPr="004B3708">
        <w:rPr>
          <w:noProof/>
          <w:lang w:val="en-IE"/>
        </w:rPr>
        <w:t>may</w:t>
      </w:r>
      <w:r w:rsidRPr="004B3708">
        <w:rPr>
          <w:noProof/>
          <w:lang w:val="en-IE"/>
        </w:rPr>
        <w:t xml:space="preserve"> be provided for third countries to facilitate greenhouse gas emissions pricing (‘ETS as a service’), in particular in respect of emissions released from the following activities: </w:t>
      </w:r>
    </w:p>
    <w:p w14:paraId="2F057A02" w14:textId="77777777" w:rsidR="00175EC9" w:rsidRPr="00AC272A" w:rsidRDefault="00FF67ED">
      <w:pPr>
        <w:pStyle w:val="Point1"/>
        <w:rPr>
          <w:noProof/>
          <w:lang w:val="en-IE"/>
        </w:rPr>
      </w:pPr>
      <w:r>
        <w:rPr>
          <w:noProof/>
        </w:rPr>
        <w:t>(a)</w:t>
      </w:r>
      <w:r>
        <w:rPr>
          <w:noProof/>
        </w:rPr>
        <w:tab/>
      </w:r>
      <w:r w:rsidRPr="00AC272A">
        <w:rPr>
          <w:noProof/>
          <w:lang w:val="en-IE"/>
        </w:rPr>
        <w:t xml:space="preserve">aviation as </w:t>
      </w:r>
      <w:r w:rsidR="00AD0B7F" w:rsidRPr="00AC272A">
        <w:rPr>
          <w:noProof/>
          <w:lang w:val="en-IE"/>
        </w:rPr>
        <w:t xml:space="preserve">set out </w:t>
      </w:r>
      <w:r w:rsidRPr="00AC272A">
        <w:rPr>
          <w:noProof/>
          <w:lang w:val="en-IE"/>
        </w:rPr>
        <w:t>in Annex I in respect of the emissions from flights between the EEA and the third country;</w:t>
      </w:r>
    </w:p>
    <w:p w14:paraId="00266BD5" w14:textId="77777777" w:rsidR="00FF67ED" w:rsidRPr="00AC272A" w:rsidRDefault="00FF67ED">
      <w:pPr>
        <w:pStyle w:val="Point1"/>
        <w:rPr>
          <w:noProof/>
          <w:lang w:val="en-IE"/>
        </w:rPr>
      </w:pPr>
      <w:r>
        <w:rPr>
          <w:noProof/>
        </w:rPr>
        <w:t>(b)</w:t>
      </w:r>
      <w:r>
        <w:rPr>
          <w:noProof/>
        </w:rPr>
        <w:tab/>
      </w:r>
      <w:r w:rsidRPr="00AC272A">
        <w:rPr>
          <w:noProof/>
          <w:lang w:val="en-IE"/>
        </w:rPr>
        <w:t xml:space="preserve">maritime transport as </w:t>
      </w:r>
      <w:r w:rsidR="00AD0B7F" w:rsidRPr="00AC272A">
        <w:rPr>
          <w:noProof/>
          <w:lang w:val="en-IE"/>
        </w:rPr>
        <w:t xml:space="preserve">set out </w:t>
      </w:r>
      <w:r w:rsidRPr="00AC272A">
        <w:rPr>
          <w:noProof/>
          <w:lang w:val="en-IE"/>
        </w:rPr>
        <w:t xml:space="preserve">in Annex I in respect of the remaining fifty percent (50%) of the emissions released during voyages between a port of call under the jurisdiction of a Member State and a port of call under the jurisdiction of the third country that fall outside the scope laid down in Article 3ga. </w:t>
      </w:r>
    </w:p>
    <w:p w14:paraId="5D037A55" w14:textId="77777777" w:rsidR="00FF67ED" w:rsidRPr="00FF67ED" w:rsidRDefault="00FF67ED" w:rsidP="004B3708">
      <w:pPr>
        <w:pStyle w:val="LegalNumPar"/>
        <w:numPr>
          <w:ilvl w:val="0"/>
          <w:numId w:val="0"/>
        </w:numPr>
        <w:spacing w:line="240" w:lineRule="auto"/>
        <w:rPr>
          <w:noProof/>
          <w:lang w:val="en-IE"/>
        </w:rPr>
      </w:pPr>
      <w:r w:rsidRPr="00FF67ED">
        <w:rPr>
          <w:noProof/>
          <w:lang w:val="en-IE"/>
        </w:rPr>
        <w:t xml:space="preserve">Such support shall be provided in respect of emissions from aviation from reporting year 2027 at the earliest, and in respect of emissions from maritime transport from reporting year 2029 at the earliest. </w:t>
      </w:r>
    </w:p>
    <w:p w14:paraId="6978F24F" w14:textId="77777777" w:rsidR="00FF67ED" w:rsidRPr="00FF67ED" w:rsidRDefault="00FF67ED" w:rsidP="00F90D41">
      <w:pPr>
        <w:pStyle w:val="LegalNumPar"/>
        <w:spacing w:line="240" w:lineRule="auto"/>
        <w:ind w:left="0" w:firstLine="0"/>
        <w:rPr>
          <w:noProof/>
          <w:lang w:val="en-IE"/>
        </w:rPr>
      </w:pPr>
      <w:r w:rsidRPr="00FF67ED">
        <w:rPr>
          <w:noProof/>
          <w:lang w:val="en-IE"/>
        </w:rPr>
        <w:t>Where aviation or maritime emissions are priced pursuant to paragraph</w:t>
      </w:r>
      <w:r w:rsidR="005F6CE2">
        <w:rPr>
          <w:noProof/>
          <w:lang w:val="en-IE"/>
        </w:rPr>
        <w:t xml:space="preserve"> 1</w:t>
      </w:r>
      <w:r w:rsidR="00BE4F41">
        <w:rPr>
          <w:noProof/>
          <w:lang w:val="en-IE"/>
        </w:rPr>
        <w:t xml:space="preserve"> of this Article</w:t>
      </w:r>
      <w:r w:rsidRPr="00FF67ED">
        <w:rPr>
          <w:noProof/>
          <w:lang w:val="en-IE"/>
        </w:rPr>
        <w:t xml:space="preserve">, with an absolute emissions cap, the third country shall benefit from revenues </w:t>
      </w:r>
      <w:r w:rsidR="00E936DD">
        <w:rPr>
          <w:noProof/>
          <w:lang w:val="en-IE"/>
        </w:rPr>
        <w:t>to tackle climate change</w:t>
      </w:r>
      <w:r w:rsidRPr="00FF67ED">
        <w:rPr>
          <w:noProof/>
          <w:lang w:val="en-IE"/>
        </w:rPr>
        <w:t xml:space="preserve"> as follows: </w:t>
      </w:r>
    </w:p>
    <w:p w14:paraId="5FF4AA59" w14:textId="77777777" w:rsidR="00FF67ED" w:rsidRPr="00AC272A" w:rsidRDefault="00FF67ED">
      <w:pPr>
        <w:pStyle w:val="Point1"/>
        <w:rPr>
          <w:noProof/>
          <w:lang w:val="en-IE"/>
        </w:rPr>
      </w:pPr>
      <w:r>
        <w:rPr>
          <w:noProof/>
        </w:rPr>
        <w:t>(a)</w:t>
      </w:r>
      <w:r>
        <w:rPr>
          <w:noProof/>
        </w:rPr>
        <w:tab/>
      </w:r>
      <w:r w:rsidRPr="00AC272A">
        <w:rPr>
          <w:noProof/>
          <w:lang w:val="en-IE"/>
        </w:rPr>
        <w:t>for aviation, for fifty percent (50%) of the aviation activity between the EEA and the third country;</w:t>
      </w:r>
    </w:p>
    <w:p w14:paraId="4837F684" w14:textId="77777777" w:rsidR="00FF67ED" w:rsidRPr="00AC272A" w:rsidRDefault="00FF67ED">
      <w:pPr>
        <w:pStyle w:val="Point1"/>
        <w:rPr>
          <w:noProof/>
          <w:lang w:val="en-IE"/>
        </w:rPr>
      </w:pPr>
      <w:r>
        <w:rPr>
          <w:noProof/>
        </w:rPr>
        <w:t>(b)</w:t>
      </w:r>
      <w:r>
        <w:rPr>
          <w:noProof/>
        </w:rPr>
        <w:tab/>
      </w:r>
      <w:r w:rsidRPr="00AC272A">
        <w:rPr>
          <w:noProof/>
          <w:lang w:val="en-IE"/>
        </w:rPr>
        <w:t xml:space="preserve">for maritime, for the remaining fifty percent (50%) of the emissions released during voyages between a port of call under the jurisdiction of a Member State and a port of call under the jurisdiction of the third country that fall outside of the scope laid down in Article 3ga. </w:t>
      </w:r>
    </w:p>
    <w:p w14:paraId="25F90C28" w14:textId="77777777" w:rsidR="00FF67ED" w:rsidRPr="00FF67ED" w:rsidRDefault="00FF67ED" w:rsidP="008E0D94">
      <w:pPr>
        <w:pStyle w:val="LegalNumPar"/>
        <w:numPr>
          <w:ilvl w:val="0"/>
          <w:numId w:val="0"/>
        </w:numPr>
        <w:spacing w:line="240" w:lineRule="auto"/>
        <w:rPr>
          <w:noProof/>
          <w:lang w:val="en-IE"/>
        </w:rPr>
      </w:pPr>
      <w:r w:rsidRPr="00FF67ED">
        <w:rPr>
          <w:noProof/>
          <w:lang w:val="en-IE"/>
        </w:rPr>
        <w:t xml:space="preserve">In the absence of national auctioning of allowances, these </w:t>
      </w:r>
      <w:r w:rsidR="00E936DD">
        <w:rPr>
          <w:noProof/>
          <w:lang w:val="en-IE"/>
        </w:rPr>
        <w:t>allowances</w:t>
      </w:r>
      <w:r w:rsidRPr="00FF67ED">
        <w:rPr>
          <w:noProof/>
          <w:lang w:val="en-IE"/>
        </w:rPr>
        <w:t xml:space="preserve"> shall be auctioned by the Union on the common auction platform appointed pursuant to the delegated act adopted in accordance with Article 10(4) </w:t>
      </w:r>
      <w:r w:rsidR="00BE4F41">
        <w:rPr>
          <w:noProof/>
          <w:lang w:val="en-IE"/>
        </w:rPr>
        <w:t xml:space="preserve">of this Directive </w:t>
      </w:r>
      <w:r w:rsidRPr="00FF67ED">
        <w:rPr>
          <w:noProof/>
          <w:lang w:val="en-IE"/>
        </w:rPr>
        <w:t>and in accordance with the principles and modalities referred to in Article 10(4)</w:t>
      </w:r>
      <w:r w:rsidR="00BE4F41">
        <w:rPr>
          <w:noProof/>
          <w:lang w:val="en-IE"/>
        </w:rPr>
        <w:t xml:space="preserve"> of this Directive</w:t>
      </w:r>
      <w:r w:rsidRPr="00FF67ED">
        <w:rPr>
          <w:noProof/>
          <w:lang w:val="en-IE"/>
        </w:rPr>
        <w:t xml:space="preserve">, with proceeds constituting external assigned revenue under Article 21(5) of Regulation (EU, Euratom) 2024/2509. The corresponding revenues generated from the auctioning of these allowances shall be transferred to the third country. </w:t>
      </w:r>
    </w:p>
    <w:p w14:paraId="5E542B14" w14:textId="77777777" w:rsidR="00FF67ED" w:rsidRPr="00FF67ED" w:rsidRDefault="00FF67ED" w:rsidP="00F90D41">
      <w:pPr>
        <w:pStyle w:val="LegalNumPar"/>
        <w:spacing w:line="240" w:lineRule="auto"/>
        <w:ind w:left="0" w:firstLine="0"/>
        <w:rPr>
          <w:noProof/>
          <w:lang w:val="en-IE"/>
        </w:rPr>
      </w:pPr>
      <w:r w:rsidRPr="00FF67ED">
        <w:rPr>
          <w:noProof/>
          <w:lang w:val="en-IE"/>
        </w:rPr>
        <w:t xml:space="preserve">Where allowances are auctioned by the Union in accordance with paragraph 2 of this Article, the Union-wide quantity of allowances referred to in Article 9 shall be increased to take into account the coverage of emissions from aviation and maritime transport referred to in this Article, </w:t>
      </w:r>
      <w:r w:rsidR="00BE4F41">
        <w:rPr>
          <w:noProof/>
          <w:lang w:val="en-IE"/>
        </w:rPr>
        <w:t xml:space="preserve">first paragraph, </w:t>
      </w:r>
      <w:r w:rsidRPr="00FF67ED">
        <w:rPr>
          <w:noProof/>
          <w:lang w:val="en-IE"/>
        </w:rPr>
        <w:t>based on their emissions for the most recent year for which data are available. The linear reduction factor shall also apply to these allowances.</w:t>
      </w:r>
    </w:p>
    <w:p w14:paraId="5E058238" w14:textId="77777777" w:rsidR="00FF67ED" w:rsidRPr="00FF67ED" w:rsidRDefault="00FF67ED" w:rsidP="00F90D41">
      <w:pPr>
        <w:pStyle w:val="LegalNumPar"/>
        <w:spacing w:line="240" w:lineRule="auto"/>
        <w:ind w:left="0" w:firstLine="0"/>
        <w:rPr>
          <w:noProof/>
          <w:lang w:val="en-IE"/>
        </w:rPr>
      </w:pPr>
      <w:r w:rsidRPr="00FF67ED">
        <w:rPr>
          <w:noProof/>
          <w:lang w:val="en-IE"/>
        </w:rPr>
        <w:t xml:space="preserve">In advance of national administration procedures being in place in the relevant third countries, Member States which administer relevant aircraft operators and shipping companies shall undertake administrative functions in their regard. Optimum interaction shall be ensured for the administration of </w:t>
      </w:r>
      <w:r w:rsidR="00931188">
        <w:rPr>
          <w:noProof/>
          <w:lang w:val="en-IE"/>
        </w:rPr>
        <w:t xml:space="preserve">aircraft </w:t>
      </w:r>
      <w:r w:rsidRPr="00FF67ED">
        <w:rPr>
          <w:noProof/>
          <w:lang w:val="en-IE"/>
        </w:rPr>
        <w:t xml:space="preserve">operators and </w:t>
      </w:r>
      <w:r w:rsidR="00931188">
        <w:rPr>
          <w:noProof/>
          <w:lang w:val="en-IE"/>
        </w:rPr>
        <w:t>shipping companies</w:t>
      </w:r>
      <w:r w:rsidRPr="00FF67ED">
        <w:rPr>
          <w:noProof/>
          <w:lang w:val="en-IE"/>
        </w:rPr>
        <w:t xml:space="preserve"> and for ensuring effective enforcement.</w:t>
      </w:r>
    </w:p>
    <w:p w14:paraId="14618406" w14:textId="77777777" w:rsidR="00FF67ED" w:rsidRPr="00FF67ED" w:rsidRDefault="00FF67ED" w:rsidP="00F90D41">
      <w:pPr>
        <w:pStyle w:val="LegalNumPar"/>
        <w:spacing w:line="240" w:lineRule="auto"/>
        <w:ind w:left="0" w:firstLine="0"/>
        <w:rPr>
          <w:noProof/>
          <w:lang w:val="en-IE"/>
        </w:rPr>
      </w:pPr>
      <w:r w:rsidRPr="00FF67ED">
        <w:rPr>
          <w:noProof/>
          <w:lang w:val="en-IE"/>
        </w:rPr>
        <w:t xml:space="preserve">The Commission, assisted by EMSA, shall endeavour to make available the tools and guidance referred to in Article 18b(2). </w:t>
      </w:r>
    </w:p>
    <w:p w14:paraId="7C12A04F" w14:textId="77777777" w:rsidR="00FF67ED" w:rsidRPr="00FF67ED" w:rsidRDefault="00FF67ED" w:rsidP="00F90D41">
      <w:pPr>
        <w:pStyle w:val="LegalNumPar"/>
        <w:spacing w:line="240" w:lineRule="auto"/>
        <w:ind w:left="0" w:firstLine="0"/>
        <w:rPr>
          <w:noProof/>
          <w:lang w:val="en-IE"/>
        </w:rPr>
      </w:pPr>
      <w:r w:rsidRPr="00FF67ED">
        <w:rPr>
          <w:noProof/>
          <w:lang w:val="en-IE"/>
        </w:rPr>
        <w:t>The Commission is empowered to adopt delegated acts in accordance with Article 23 to amend Article 3ga(1) concerning the coverage of the remaining emissions released during voyages between ports of call under the jurisdiction of a Member State and the ports of call of a third country to which support is provided in accordance with this Article.</w:t>
      </w:r>
    </w:p>
    <w:p w14:paraId="719CF780" w14:textId="77777777" w:rsidR="00FF67ED" w:rsidRDefault="00FF67ED" w:rsidP="00F90D41">
      <w:pPr>
        <w:pStyle w:val="LegalNumPar"/>
        <w:spacing w:line="240" w:lineRule="auto"/>
        <w:ind w:left="0" w:firstLine="0"/>
        <w:rPr>
          <w:noProof/>
          <w:lang w:val="en-IE"/>
        </w:rPr>
      </w:pPr>
      <w:r w:rsidRPr="00FF67ED">
        <w:rPr>
          <w:noProof/>
          <w:lang w:val="en-IE"/>
        </w:rPr>
        <w:t>The Commission is empowered to adopt delegated acts in accordance with Article 23 to supplement this Article with rules on the operation of ETS as a service, to ensure implementation of ETS as a service in accordance with this Article</w:t>
      </w:r>
      <w:r w:rsidR="00093297">
        <w:rPr>
          <w:noProof/>
          <w:lang w:val="en-IE"/>
        </w:rPr>
        <w:t>.</w:t>
      </w:r>
      <w:r w:rsidRPr="00FF67ED">
        <w:rPr>
          <w:noProof/>
          <w:lang w:val="en-IE"/>
        </w:rPr>
        <w:t>’;</w:t>
      </w:r>
    </w:p>
    <w:p w14:paraId="2DCFCCA2" w14:textId="0839EE64" w:rsidR="00FF67ED" w:rsidRPr="00B97C25" w:rsidRDefault="00FF67ED" w:rsidP="00047734">
      <w:pPr>
        <w:pStyle w:val="Point0"/>
        <w:rPr>
          <w:noProof/>
        </w:rPr>
      </w:pPr>
      <w:r>
        <w:rPr>
          <w:noProof/>
        </w:rPr>
        <w:t>(31)</w:t>
      </w:r>
      <w:r>
        <w:rPr>
          <w:noProof/>
        </w:rPr>
        <w:tab/>
      </w:r>
      <w:r w:rsidRPr="00B97C25">
        <w:rPr>
          <w:noProof/>
        </w:rPr>
        <w:t>Article 28a is amended as follows:</w:t>
      </w:r>
    </w:p>
    <w:p w14:paraId="17EA2252" w14:textId="543B81F7" w:rsidR="005A2024" w:rsidRPr="00047734" w:rsidRDefault="00FF67ED">
      <w:pPr>
        <w:pStyle w:val="Point1"/>
      </w:pPr>
      <w:r>
        <w:t>(a)</w:t>
      </w:r>
      <w:r>
        <w:tab/>
      </w:r>
      <w:r w:rsidRPr="00047734">
        <w:t>paragraph 1</w:t>
      </w:r>
      <w:r w:rsidR="005A2024" w:rsidRPr="00047734">
        <w:t xml:space="preserve"> </w:t>
      </w:r>
      <w:r w:rsidR="00180816" w:rsidRPr="00047734">
        <w:t>is amended as follows:</w:t>
      </w:r>
    </w:p>
    <w:p w14:paraId="0C335180" w14:textId="77777777" w:rsidR="00FF67ED" w:rsidRPr="00F90D41" w:rsidRDefault="00FF67ED" w:rsidP="00B97C25">
      <w:pPr>
        <w:pStyle w:val="Point2letter0"/>
        <w:ind w:left="2024"/>
      </w:pPr>
      <w:r w:rsidRPr="00F90D41">
        <w:t>point (a) is replaced by the following:</w:t>
      </w:r>
    </w:p>
    <w:p w14:paraId="27CA4756" w14:textId="77777777" w:rsidR="00FF67ED" w:rsidRPr="00FF67ED" w:rsidRDefault="00FF67ED" w:rsidP="00770B98">
      <w:pPr>
        <w:pStyle w:val="Text3"/>
        <w:rPr>
          <w:noProof/>
          <w:lang w:val="en-IE"/>
        </w:rPr>
      </w:pPr>
      <w:r w:rsidRPr="00FF67ED">
        <w:rPr>
          <w:noProof/>
          <w:lang w:val="en-IE"/>
        </w:rPr>
        <w:t xml:space="preserve">‘(a) all emissions </w:t>
      </w:r>
      <w:r w:rsidR="00685DD2">
        <w:rPr>
          <w:noProof/>
          <w:lang w:val="en-IE"/>
        </w:rPr>
        <w:t xml:space="preserve">from flights </w:t>
      </w:r>
      <w:r w:rsidR="00B9294F">
        <w:rPr>
          <w:noProof/>
          <w:lang w:val="en-IE"/>
        </w:rPr>
        <w:t xml:space="preserve">departing from </w:t>
      </w:r>
      <w:r w:rsidR="009B53C3" w:rsidRPr="009B53C3">
        <w:rPr>
          <w:noProof/>
          <w:lang w:val="en-IE"/>
        </w:rPr>
        <w:t xml:space="preserve">an aerodrome located in an outermost region of a Member State </w:t>
      </w:r>
      <w:r w:rsidR="003D2A33">
        <w:rPr>
          <w:noProof/>
          <w:lang w:val="en-IE"/>
        </w:rPr>
        <w:t xml:space="preserve">or in </w:t>
      </w:r>
      <w:r w:rsidR="00B9294F">
        <w:rPr>
          <w:noProof/>
          <w:lang w:val="en-IE"/>
        </w:rPr>
        <w:t xml:space="preserve">dependencies and territories to </w:t>
      </w:r>
      <w:r w:rsidR="008732DB">
        <w:rPr>
          <w:noProof/>
          <w:lang w:val="en-IE"/>
        </w:rPr>
        <w:t>States</w:t>
      </w:r>
      <w:r w:rsidR="00461013">
        <w:rPr>
          <w:noProof/>
          <w:lang w:val="en-IE"/>
        </w:rPr>
        <w:t xml:space="preserve"> outside the EEA</w:t>
      </w:r>
      <w:r w:rsidRPr="00FF67ED">
        <w:rPr>
          <w:noProof/>
          <w:lang w:val="en-IE"/>
        </w:rPr>
        <w:t>, with the exception of flights to aerodromes located in the United Kingdom or Switzerland</w:t>
      </w:r>
      <w:r w:rsidR="00DD7C9F">
        <w:rPr>
          <w:noProof/>
          <w:lang w:val="en-IE"/>
        </w:rPr>
        <w:t xml:space="preserve"> </w:t>
      </w:r>
      <w:r w:rsidR="00E525C7">
        <w:rPr>
          <w:noProof/>
          <w:lang w:val="en-IE"/>
        </w:rPr>
        <w:t>and</w:t>
      </w:r>
      <w:r w:rsidR="00DD7C9F" w:rsidRPr="00DD7C9F">
        <w:rPr>
          <w:noProof/>
          <w:lang w:val="en-IE"/>
        </w:rPr>
        <w:t xml:space="preserve"> to and from Gibraltar</w:t>
      </w:r>
      <w:r w:rsidRPr="00FF67ED">
        <w:rPr>
          <w:noProof/>
          <w:lang w:val="en-IE"/>
        </w:rPr>
        <w:t>, in each calendar year from 1 January 202</w:t>
      </w:r>
      <w:r w:rsidR="00937929">
        <w:rPr>
          <w:noProof/>
          <w:lang w:val="en-IE"/>
        </w:rPr>
        <w:t>9</w:t>
      </w:r>
      <w:r w:rsidRPr="00FF67ED">
        <w:rPr>
          <w:noProof/>
          <w:lang w:val="en-IE"/>
        </w:rPr>
        <w:t xml:space="preserve"> to 31 December 203</w:t>
      </w:r>
      <w:r w:rsidR="00937929">
        <w:rPr>
          <w:noProof/>
          <w:lang w:val="en-IE"/>
        </w:rPr>
        <w:t>2</w:t>
      </w:r>
      <w:r w:rsidRPr="00FF67ED">
        <w:rPr>
          <w:noProof/>
          <w:lang w:val="en-IE"/>
        </w:rPr>
        <w:t xml:space="preserve">, subject to the review referred to in Article 28b, </w:t>
      </w:r>
      <w:r w:rsidRPr="00D1298B">
        <w:rPr>
          <w:noProof/>
          <w:lang w:val="en-IE"/>
        </w:rPr>
        <w:t>except for</w:t>
      </w:r>
      <w:r w:rsidRPr="00FF67ED">
        <w:rPr>
          <w:noProof/>
          <w:lang w:val="en-IE"/>
        </w:rPr>
        <w:t xml:space="preserve"> aircraft operators operating flights between two different States with total annual emissions lower than 10 000 tonnes per year </w:t>
      </w:r>
      <w:r w:rsidR="003214F9">
        <w:rPr>
          <w:noProof/>
          <w:lang w:val="en-IE"/>
        </w:rPr>
        <w:t xml:space="preserve">calculated in accordance with </w:t>
      </w:r>
      <w:r w:rsidRPr="00FF67ED">
        <w:rPr>
          <w:noProof/>
          <w:lang w:val="en-IE"/>
        </w:rPr>
        <w:t>Annex I;’;</w:t>
      </w:r>
    </w:p>
    <w:p w14:paraId="161F6BB0" w14:textId="77777777" w:rsidR="006F3B45" w:rsidRPr="00F90D41" w:rsidRDefault="00BD43AA" w:rsidP="00B97C25">
      <w:pPr>
        <w:pStyle w:val="Point2letter0"/>
        <w:ind w:left="2024"/>
      </w:pPr>
      <w:r w:rsidRPr="00F90D41">
        <w:t>the following point</w:t>
      </w:r>
      <w:r w:rsidR="00B31AB9" w:rsidRPr="00F90D41">
        <w:t>s</w:t>
      </w:r>
      <w:r w:rsidRPr="00F90D41">
        <w:t xml:space="preserve"> </w:t>
      </w:r>
      <w:r w:rsidR="00B31AB9" w:rsidRPr="00F90D41">
        <w:t xml:space="preserve">are </w:t>
      </w:r>
      <w:r w:rsidRPr="00F90D41">
        <w:t>is added after point (b):</w:t>
      </w:r>
    </w:p>
    <w:p w14:paraId="4E72F051" w14:textId="77777777" w:rsidR="00B31AB9" w:rsidRDefault="0080594D" w:rsidP="00770B98">
      <w:pPr>
        <w:pStyle w:val="Text3"/>
        <w:rPr>
          <w:noProof/>
          <w:lang w:val="en-IE"/>
        </w:rPr>
      </w:pPr>
      <w:r>
        <w:rPr>
          <w:noProof/>
          <w:lang w:val="en-IE"/>
        </w:rPr>
        <w:t xml:space="preserve">’(c) </w:t>
      </w:r>
      <w:r w:rsidR="00506A1A">
        <w:rPr>
          <w:noProof/>
          <w:lang w:val="en-IE"/>
        </w:rPr>
        <w:t xml:space="preserve">all emissions from flights </w:t>
      </w:r>
      <w:r w:rsidR="00415C8C" w:rsidRPr="00415C8C">
        <w:rPr>
          <w:noProof/>
          <w:lang w:val="en-IE"/>
        </w:rPr>
        <w:t>to and from least developed countries and small island developing States as defined by the United Nations listed in the implementing act adopted pursuant to Article 25a(3), other than those States whose GDP per capita equals or exceeds the Union average</w:t>
      </w:r>
      <w:r w:rsidR="00EE43C1">
        <w:rPr>
          <w:noProof/>
          <w:lang w:val="en-IE"/>
        </w:rPr>
        <w:t>;</w:t>
      </w:r>
    </w:p>
    <w:p w14:paraId="2A7A21CD" w14:textId="77777777" w:rsidR="00166485" w:rsidRDefault="00A23042" w:rsidP="00A23042">
      <w:pPr>
        <w:pStyle w:val="Text3"/>
        <w:rPr>
          <w:noProof/>
          <w:lang w:val="en-IE"/>
        </w:rPr>
      </w:pPr>
      <w:r w:rsidRPr="00A23042">
        <w:rPr>
          <w:noProof/>
          <w:lang w:val="en-IE"/>
        </w:rPr>
        <w:t xml:space="preserve">(d) </w:t>
      </w:r>
      <w:r w:rsidR="00166485" w:rsidRPr="00A23042">
        <w:rPr>
          <w:noProof/>
          <w:lang w:val="en-IE"/>
        </w:rPr>
        <w:t xml:space="preserve">all emissions from flights to </w:t>
      </w:r>
      <w:r w:rsidR="00457F3A">
        <w:rPr>
          <w:noProof/>
          <w:lang w:val="en-IE"/>
        </w:rPr>
        <w:t xml:space="preserve">and from </w:t>
      </w:r>
      <w:r w:rsidR="00166485" w:rsidRPr="00A23042">
        <w:rPr>
          <w:noProof/>
          <w:lang w:val="en-IE"/>
        </w:rPr>
        <w:t>aerodromes located in States outside the EEA, with the exception of flights to aerodromes located in the United Kingdom or Switzerland and to and from Gibraltar, in each calendar year from 1 January 2027 to 31 December 2028</w:t>
      </w:r>
      <w:r w:rsidR="007348DA">
        <w:rPr>
          <w:noProof/>
          <w:lang w:val="en-IE"/>
        </w:rPr>
        <w:t xml:space="preserve">, </w:t>
      </w:r>
      <w:r w:rsidR="007348DA" w:rsidRPr="00D1298B">
        <w:rPr>
          <w:noProof/>
          <w:lang w:val="en-IE"/>
        </w:rPr>
        <w:t>except for</w:t>
      </w:r>
      <w:r w:rsidR="007348DA" w:rsidRPr="00FF67ED">
        <w:rPr>
          <w:noProof/>
          <w:lang w:val="en-IE"/>
        </w:rPr>
        <w:t xml:space="preserve"> aircraft operators operating flights between two different States with total annual emissions lower than 10 000 tonnes </w:t>
      </w:r>
      <w:r w:rsidR="007348DA">
        <w:rPr>
          <w:noProof/>
          <w:lang w:val="en-IE"/>
        </w:rPr>
        <w:t xml:space="preserve">calculated in accordance with </w:t>
      </w:r>
      <w:r w:rsidR="007348DA" w:rsidRPr="00FF67ED">
        <w:rPr>
          <w:noProof/>
          <w:lang w:val="en-IE"/>
        </w:rPr>
        <w:t>Annex I</w:t>
      </w:r>
      <w:r w:rsidR="001C737C">
        <w:rPr>
          <w:noProof/>
          <w:lang w:val="en-IE"/>
        </w:rPr>
        <w:t xml:space="preserve">, for whom </w:t>
      </w:r>
      <w:r w:rsidR="00AF4988">
        <w:rPr>
          <w:noProof/>
          <w:lang w:val="en-IE"/>
        </w:rPr>
        <w:t>i</w:t>
      </w:r>
      <w:r w:rsidR="006C486C">
        <w:rPr>
          <w:noProof/>
          <w:lang w:val="en-IE"/>
        </w:rPr>
        <w:t>n</w:t>
      </w:r>
      <w:r w:rsidR="006C486C" w:rsidRPr="006C486C">
        <w:rPr>
          <w:noProof/>
          <w:lang w:val="en-IE"/>
        </w:rPr>
        <w:t xml:space="preserve"> </w:t>
      </w:r>
      <w:r w:rsidR="006C486C" w:rsidRPr="00A23042">
        <w:rPr>
          <w:noProof/>
          <w:lang w:val="en-IE"/>
        </w:rPr>
        <w:t xml:space="preserve">each calendar year from 1 January 2027 to 31 December </w:t>
      </w:r>
      <w:r w:rsidR="00131918">
        <w:rPr>
          <w:noProof/>
          <w:lang w:val="en-IE"/>
        </w:rPr>
        <w:t>[</w:t>
      </w:r>
      <w:r w:rsidR="00C7498D">
        <w:rPr>
          <w:noProof/>
          <w:lang w:val="en-IE"/>
        </w:rPr>
        <w:t>2027</w:t>
      </w:r>
      <w:r w:rsidR="00131918" w:rsidRPr="00131918">
        <w:rPr>
          <w:noProof/>
          <w:lang w:val="en-IE"/>
        </w:rPr>
        <w:t xml:space="preserve">/ </w:t>
      </w:r>
      <w:r w:rsidR="00131918">
        <w:rPr>
          <w:noProof/>
          <w:lang w:val="en-IE"/>
        </w:rPr>
        <w:t xml:space="preserve">the </w:t>
      </w:r>
      <w:r w:rsidR="00131918" w:rsidRPr="00131918">
        <w:rPr>
          <w:noProof/>
          <w:lang w:val="en-IE"/>
        </w:rPr>
        <w:t xml:space="preserve">year </w:t>
      </w:r>
      <w:r w:rsidR="00131918">
        <w:rPr>
          <w:noProof/>
          <w:lang w:val="en-IE"/>
        </w:rPr>
        <w:t>before</w:t>
      </w:r>
      <w:r w:rsidR="00131918" w:rsidRPr="00131918">
        <w:rPr>
          <w:noProof/>
          <w:lang w:val="en-IE"/>
        </w:rPr>
        <w:t xml:space="preserve"> the entry into force of this </w:t>
      </w:r>
      <w:r w:rsidR="00AB18A9">
        <w:rPr>
          <w:noProof/>
          <w:lang w:val="en-IE"/>
        </w:rPr>
        <w:t>D</w:t>
      </w:r>
      <w:r w:rsidR="00131918" w:rsidRPr="00131918">
        <w:rPr>
          <w:noProof/>
          <w:lang w:val="en-IE"/>
        </w:rPr>
        <w:t>irective</w:t>
      </w:r>
      <w:r w:rsidR="00D250CF">
        <w:rPr>
          <w:noProof/>
          <w:lang w:val="en-IE"/>
        </w:rPr>
        <w:t>]</w:t>
      </w:r>
      <w:r w:rsidR="00CD1300">
        <w:rPr>
          <w:noProof/>
          <w:lang w:val="en-IE"/>
        </w:rPr>
        <w:t>;</w:t>
      </w:r>
    </w:p>
    <w:p w14:paraId="2A6F8F2A" w14:textId="77777777" w:rsidR="00BD43AA" w:rsidRDefault="00457F3A" w:rsidP="00770B98">
      <w:pPr>
        <w:pStyle w:val="Text3"/>
        <w:rPr>
          <w:noProof/>
          <w:lang w:val="en-IE"/>
        </w:rPr>
      </w:pPr>
      <w:r>
        <w:rPr>
          <w:noProof/>
          <w:lang w:val="en-IE"/>
        </w:rPr>
        <w:t xml:space="preserve">(e) </w:t>
      </w:r>
      <w:r w:rsidR="00A23042" w:rsidRPr="00A23042">
        <w:rPr>
          <w:noProof/>
          <w:lang w:val="en-IE"/>
        </w:rPr>
        <w:t>all emissions from flights to aerodromes that are more than 5 000 km from the aerodrome of Frankfurt and located in States outside the EEA</w:t>
      </w:r>
      <w:r w:rsidR="00F65BE3">
        <w:rPr>
          <w:noProof/>
          <w:lang w:val="en-IE"/>
        </w:rPr>
        <w:t xml:space="preserve"> </w:t>
      </w:r>
      <w:r w:rsidR="00A23042" w:rsidRPr="00A23042">
        <w:rPr>
          <w:noProof/>
          <w:lang w:val="en-IE"/>
        </w:rPr>
        <w:t>in each calendar year from 1 January 2029 to 31 December 2032</w:t>
      </w:r>
      <w:r w:rsidR="001A4CD4">
        <w:rPr>
          <w:noProof/>
          <w:lang w:val="en-IE"/>
        </w:rPr>
        <w:t>,</w:t>
      </w:r>
      <w:r w:rsidR="001A4CD4" w:rsidRPr="001A4CD4">
        <w:rPr>
          <w:noProof/>
          <w:lang w:val="en-IE"/>
        </w:rPr>
        <w:t xml:space="preserve"> </w:t>
      </w:r>
      <w:r w:rsidR="001A4CD4" w:rsidRPr="00D1298B">
        <w:rPr>
          <w:noProof/>
          <w:lang w:val="en-IE"/>
        </w:rPr>
        <w:t>except for</w:t>
      </w:r>
      <w:r w:rsidR="001A4CD4" w:rsidRPr="00FF67ED">
        <w:rPr>
          <w:noProof/>
          <w:lang w:val="en-IE"/>
        </w:rPr>
        <w:t xml:space="preserve"> aircraft operators operating flights between two different States with total annual emissions lower than 10 000 tonnes </w:t>
      </w:r>
      <w:r w:rsidR="001A4CD4">
        <w:rPr>
          <w:noProof/>
          <w:lang w:val="en-IE"/>
        </w:rPr>
        <w:t xml:space="preserve">calculated in accordance with </w:t>
      </w:r>
      <w:r w:rsidR="001A4CD4" w:rsidRPr="00FF67ED">
        <w:rPr>
          <w:noProof/>
          <w:lang w:val="en-IE"/>
        </w:rPr>
        <w:t>Annex I</w:t>
      </w:r>
      <w:r w:rsidR="00A23042" w:rsidRPr="00A23042">
        <w:rPr>
          <w:noProof/>
          <w:lang w:val="en-IE"/>
        </w:rPr>
        <w:t>.</w:t>
      </w:r>
      <w:r w:rsidR="000E55D4">
        <w:rPr>
          <w:noProof/>
          <w:lang w:val="en-IE"/>
        </w:rPr>
        <w:t xml:space="preserve"> This point shall </w:t>
      </w:r>
      <w:r w:rsidR="00855FAA">
        <w:rPr>
          <w:noProof/>
          <w:lang w:val="en-IE"/>
        </w:rPr>
        <w:t>also</w:t>
      </w:r>
      <w:r w:rsidR="000E55D4">
        <w:rPr>
          <w:noProof/>
          <w:lang w:val="en-IE"/>
        </w:rPr>
        <w:t xml:space="preserve"> apply in respect of aerodromes </w:t>
      </w:r>
      <w:r w:rsidR="00847889" w:rsidRPr="00A23042">
        <w:rPr>
          <w:noProof/>
          <w:lang w:val="en-IE"/>
        </w:rPr>
        <w:t xml:space="preserve">that are </w:t>
      </w:r>
      <w:r w:rsidR="00847889">
        <w:rPr>
          <w:noProof/>
          <w:lang w:val="en-IE"/>
        </w:rPr>
        <w:t>less</w:t>
      </w:r>
      <w:r w:rsidR="00847889" w:rsidRPr="00A23042">
        <w:rPr>
          <w:noProof/>
          <w:lang w:val="en-IE"/>
        </w:rPr>
        <w:t xml:space="preserve"> than 5 000 km from the aerodrome of Frankfurt</w:t>
      </w:r>
      <w:r w:rsidR="00EA345D">
        <w:rPr>
          <w:noProof/>
          <w:lang w:val="en-IE"/>
        </w:rPr>
        <w:t>, are</w:t>
      </w:r>
      <w:r w:rsidR="00847889" w:rsidRPr="00A23042">
        <w:rPr>
          <w:noProof/>
          <w:lang w:val="en-IE"/>
        </w:rPr>
        <w:t xml:space="preserve"> located in States outside the EEA</w:t>
      </w:r>
      <w:r w:rsidR="00EA345D">
        <w:rPr>
          <w:noProof/>
          <w:lang w:val="en-IE"/>
        </w:rPr>
        <w:t xml:space="preserve"> and</w:t>
      </w:r>
      <w:r w:rsidR="00436F1A">
        <w:rPr>
          <w:noProof/>
          <w:lang w:val="en-IE"/>
        </w:rPr>
        <w:t xml:space="preserve"> have</w:t>
      </w:r>
      <w:r w:rsidR="00847889">
        <w:rPr>
          <w:noProof/>
          <w:lang w:val="en-IE"/>
        </w:rPr>
        <w:t xml:space="preserve"> </w:t>
      </w:r>
      <w:r w:rsidR="00FC21AD">
        <w:rPr>
          <w:noProof/>
          <w:lang w:val="en-IE"/>
        </w:rPr>
        <w:t xml:space="preserve">less than 15 000 tonnes </w:t>
      </w:r>
      <w:r w:rsidR="00E142EC">
        <w:rPr>
          <w:noProof/>
          <w:lang w:val="en-IE"/>
        </w:rPr>
        <w:t>annual</w:t>
      </w:r>
      <w:r w:rsidR="006436D0">
        <w:rPr>
          <w:noProof/>
          <w:lang w:val="en-IE"/>
        </w:rPr>
        <w:t xml:space="preserve"> </w:t>
      </w:r>
      <w:r w:rsidR="000E55D4">
        <w:rPr>
          <w:noProof/>
          <w:lang w:val="en-IE"/>
        </w:rPr>
        <w:t>emissions from flights</w:t>
      </w:r>
      <w:r w:rsidR="00436F1A">
        <w:rPr>
          <w:noProof/>
          <w:lang w:val="en-IE"/>
        </w:rPr>
        <w:t xml:space="preserve"> from the EEA</w:t>
      </w:r>
      <w:r w:rsidR="000E55D4">
        <w:rPr>
          <w:noProof/>
          <w:lang w:val="en-IE"/>
        </w:rPr>
        <w:t xml:space="preserve"> </w:t>
      </w:r>
      <w:r w:rsidR="00234E4C">
        <w:rPr>
          <w:noProof/>
          <w:lang w:val="en-IE"/>
        </w:rPr>
        <w:t>to them</w:t>
      </w:r>
      <w:r w:rsidR="006436D0">
        <w:rPr>
          <w:noProof/>
          <w:lang w:val="en-IE"/>
        </w:rPr>
        <w:t>.</w:t>
      </w:r>
      <w:r w:rsidR="00415C8C">
        <w:rPr>
          <w:noProof/>
          <w:lang w:val="en-IE"/>
        </w:rPr>
        <w:t>’;</w:t>
      </w:r>
    </w:p>
    <w:p w14:paraId="14D401FF" w14:textId="77777777" w:rsidR="00FF67ED" w:rsidRPr="00F90D41" w:rsidRDefault="00FF67ED" w:rsidP="00B97C25">
      <w:pPr>
        <w:pStyle w:val="Point2letter0"/>
        <w:ind w:left="2024"/>
      </w:pPr>
      <w:r w:rsidRPr="00F90D41">
        <w:t>the following subparagraph is added:</w:t>
      </w:r>
    </w:p>
    <w:p w14:paraId="245D4EE8" w14:textId="18E741A3" w:rsidR="00FF67ED" w:rsidRPr="00FF67ED" w:rsidRDefault="00FF67ED" w:rsidP="00770B98">
      <w:pPr>
        <w:pStyle w:val="Text3"/>
        <w:rPr>
          <w:noProof/>
          <w:lang w:val="en-IE"/>
        </w:rPr>
      </w:pPr>
      <w:r w:rsidRPr="00FF67ED">
        <w:rPr>
          <w:noProof/>
          <w:lang w:val="en-IE"/>
        </w:rPr>
        <w:t xml:space="preserve">‘From 1 January 2027, the total quantity of allowances to be allocated in respect of aircraft operators as </w:t>
      </w:r>
      <w:r w:rsidR="000F179B">
        <w:rPr>
          <w:noProof/>
          <w:lang w:val="en-IE"/>
        </w:rPr>
        <w:t>laid down</w:t>
      </w:r>
      <w:r w:rsidR="000F179B" w:rsidRPr="00FF67ED">
        <w:rPr>
          <w:noProof/>
          <w:lang w:val="en-IE"/>
        </w:rPr>
        <w:t xml:space="preserve"> </w:t>
      </w:r>
      <w:r w:rsidRPr="00FF67ED">
        <w:rPr>
          <w:noProof/>
          <w:lang w:val="en-IE"/>
        </w:rPr>
        <w:t>in Article 3c(5) shall be increased</w:t>
      </w:r>
      <w:r w:rsidR="00944676">
        <w:rPr>
          <w:noProof/>
          <w:lang w:val="en-IE"/>
        </w:rPr>
        <w:t xml:space="preserve"> </w:t>
      </w:r>
      <w:r w:rsidR="00944676" w:rsidRPr="00944676">
        <w:rPr>
          <w:noProof/>
          <w:lang w:val="en-IE"/>
        </w:rPr>
        <w:t>annually whenever an extension of the coverage of flights subject to requirements pursuant to Article 12(3) takes place</w:t>
      </w:r>
      <w:r w:rsidRPr="00FF67ED">
        <w:rPr>
          <w:noProof/>
          <w:lang w:val="en-IE"/>
        </w:rPr>
        <w:t xml:space="preserve"> by the number of allowances equal to the emissions</w:t>
      </w:r>
      <w:r w:rsidR="00944676" w:rsidRPr="00944676">
        <w:rPr>
          <w:noProof/>
        </w:rPr>
        <w:t xml:space="preserve"> </w:t>
      </w:r>
      <w:r w:rsidR="00944676" w:rsidRPr="00944676">
        <w:rPr>
          <w:noProof/>
          <w:lang w:val="en-IE"/>
        </w:rPr>
        <w:t>from such flights</w:t>
      </w:r>
      <w:r w:rsidR="00944676">
        <w:rPr>
          <w:noProof/>
          <w:lang w:val="en-IE"/>
        </w:rPr>
        <w:t xml:space="preserve"> </w:t>
      </w:r>
      <w:r w:rsidR="00944676" w:rsidRPr="00944676">
        <w:rPr>
          <w:noProof/>
          <w:lang w:val="en-IE"/>
        </w:rPr>
        <w:t>two years before such extension becomes effective</w:t>
      </w:r>
      <w:r w:rsidRPr="00FF67ED">
        <w:rPr>
          <w:noProof/>
          <w:lang w:val="en-IE"/>
        </w:rPr>
        <w:t xml:space="preserve">, and from </w:t>
      </w:r>
      <w:r w:rsidR="00600508">
        <w:rPr>
          <w:noProof/>
          <w:lang w:val="en-IE"/>
        </w:rPr>
        <w:t xml:space="preserve">the subsequent year </w:t>
      </w:r>
      <w:r w:rsidRPr="00FF67ED">
        <w:rPr>
          <w:noProof/>
          <w:lang w:val="en-IE"/>
        </w:rPr>
        <w:t>shall be subject to the application of the linear factor referred to in Article 9. Th</w:t>
      </w:r>
      <w:r w:rsidR="00A1709C">
        <w:rPr>
          <w:noProof/>
          <w:lang w:val="en-IE"/>
        </w:rPr>
        <w:t>at</w:t>
      </w:r>
      <w:r w:rsidRPr="00FF67ED">
        <w:rPr>
          <w:noProof/>
          <w:lang w:val="en-IE"/>
        </w:rPr>
        <w:t xml:space="preserve"> amount should be reduced by the amount equal to the total reductions of the surrender obligations pursuant </w:t>
      </w:r>
      <w:r w:rsidR="00B72E30">
        <w:rPr>
          <w:noProof/>
          <w:lang w:val="en-IE"/>
        </w:rPr>
        <w:t xml:space="preserve">to </w:t>
      </w:r>
      <w:r w:rsidRPr="00FF67ED">
        <w:rPr>
          <w:noProof/>
          <w:lang w:val="en-IE"/>
        </w:rPr>
        <w:t>Article 12(3)</w:t>
      </w:r>
      <w:r w:rsidR="00A1709C">
        <w:rPr>
          <w:noProof/>
          <w:lang w:val="en-IE"/>
        </w:rPr>
        <w:t xml:space="preserve">, point </w:t>
      </w:r>
      <w:r w:rsidRPr="00FF67ED">
        <w:rPr>
          <w:noProof/>
          <w:lang w:val="en-IE"/>
        </w:rPr>
        <w:t>(b) resulting from an offsetting obligation pursuant to Article 12(6).’;</w:t>
      </w:r>
    </w:p>
    <w:p w14:paraId="2AA8E7C2" w14:textId="09F5B1E2" w:rsidR="00FF67ED" w:rsidRPr="00047734" w:rsidRDefault="00FF67ED" w:rsidP="00047734">
      <w:pPr>
        <w:pStyle w:val="Point1"/>
      </w:pPr>
      <w:r>
        <w:t>(b)</w:t>
      </w:r>
      <w:r>
        <w:tab/>
      </w:r>
      <w:r w:rsidRPr="00047734">
        <w:t>paragraph 2 is replaced by the following:</w:t>
      </w:r>
    </w:p>
    <w:p w14:paraId="2CCFD046" w14:textId="77777777" w:rsidR="00FF67ED" w:rsidRPr="00FF67ED" w:rsidRDefault="00FF67ED" w:rsidP="00FF67ED">
      <w:pPr>
        <w:pStyle w:val="Text2"/>
        <w:rPr>
          <w:noProof/>
          <w:lang w:val="en-IE"/>
        </w:rPr>
      </w:pPr>
      <w:r w:rsidRPr="00FF67ED">
        <w:rPr>
          <w:noProof/>
          <w:lang w:val="en-IE"/>
        </w:rPr>
        <w:t>‘2. By way of derogation from Article 3d(3), the quantity of allowances to be auctioned by each Member State in respect of the period from 1 January 2027 to 31 December 203</w:t>
      </w:r>
      <w:r w:rsidR="00712401">
        <w:rPr>
          <w:noProof/>
          <w:lang w:val="en-IE"/>
        </w:rPr>
        <w:t>2</w:t>
      </w:r>
      <w:r w:rsidRPr="00FF67ED">
        <w:rPr>
          <w:noProof/>
          <w:lang w:val="en-IE"/>
        </w:rPr>
        <w:t xml:space="preserve"> shall be reduced to correspond to its share of attributed aviation emissions from flights which are not subject to the derogations provided for in Article 3c(8) and in paragraph 1</w:t>
      </w:r>
      <w:r w:rsidR="003214F9">
        <w:rPr>
          <w:noProof/>
          <w:lang w:val="en-IE"/>
        </w:rPr>
        <w:t xml:space="preserve">, points (a) </w:t>
      </w:r>
      <w:r w:rsidR="00924D4D">
        <w:rPr>
          <w:noProof/>
          <w:lang w:val="en-IE"/>
        </w:rPr>
        <w:t xml:space="preserve">to </w:t>
      </w:r>
      <w:r w:rsidR="003214F9">
        <w:rPr>
          <w:noProof/>
          <w:lang w:val="en-IE"/>
        </w:rPr>
        <w:t>(</w:t>
      </w:r>
      <w:r w:rsidR="00924D4D">
        <w:rPr>
          <w:noProof/>
          <w:lang w:val="en-IE"/>
        </w:rPr>
        <w:t>e</w:t>
      </w:r>
      <w:r w:rsidR="003214F9">
        <w:rPr>
          <w:noProof/>
          <w:lang w:val="en-IE"/>
        </w:rPr>
        <w:t>)</w:t>
      </w:r>
      <w:r w:rsidRPr="00FF67ED">
        <w:rPr>
          <w:noProof/>
          <w:lang w:val="en-IE"/>
        </w:rPr>
        <w:t xml:space="preserve"> of this Article.’;</w:t>
      </w:r>
    </w:p>
    <w:p w14:paraId="3B75DC41" w14:textId="31B5D3B7" w:rsidR="00FF67ED" w:rsidRPr="00047734" w:rsidRDefault="00FF67ED" w:rsidP="00047734">
      <w:pPr>
        <w:pStyle w:val="Point1"/>
      </w:pPr>
      <w:r>
        <w:t>(c)</w:t>
      </w:r>
      <w:r>
        <w:tab/>
      </w:r>
      <w:r w:rsidRPr="00047734">
        <w:t>paragraph 4 is replaced by the following:</w:t>
      </w:r>
    </w:p>
    <w:p w14:paraId="338F86C0" w14:textId="77777777" w:rsidR="00FF67ED" w:rsidRPr="00FF67ED" w:rsidRDefault="00FF67ED" w:rsidP="00FF67ED">
      <w:pPr>
        <w:pStyle w:val="Text2"/>
        <w:rPr>
          <w:noProof/>
          <w:lang w:val="en-IE"/>
        </w:rPr>
      </w:pPr>
      <w:r w:rsidRPr="00FF67ED">
        <w:rPr>
          <w:noProof/>
          <w:lang w:val="en-IE"/>
        </w:rPr>
        <w:t>‘4. By way of derogation from Articles 3g, 12, 15 and 18a</w:t>
      </w:r>
      <w:r w:rsidR="28C50BB0" w:rsidRPr="367AE953">
        <w:rPr>
          <w:noProof/>
          <w:lang w:val="en-IE"/>
        </w:rPr>
        <w:t xml:space="preserve"> of this Directive</w:t>
      </w:r>
      <w:r w:rsidRPr="00FF67ED">
        <w:rPr>
          <w:noProof/>
          <w:lang w:val="en-IE"/>
        </w:rPr>
        <w:t>, where an aircraft operator has total annual emissions lower than 25 000 tonnes of CO</w:t>
      </w:r>
      <w:r w:rsidRPr="007F5BCA">
        <w:rPr>
          <w:noProof/>
          <w:vertAlign w:val="subscript"/>
          <w:lang w:val="en-IE"/>
        </w:rPr>
        <w:t>2</w:t>
      </w:r>
      <w:r w:rsidRPr="00FF67ED">
        <w:rPr>
          <w:noProof/>
          <w:lang w:val="en-IE"/>
        </w:rPr>
        <w:t xml:space="preserve">, calculated in accordance with </w:t>
      </w:r>
      <w:r w:rsidR="00FA2496">
        <w:rPr>
          <w:noProof/>
          <w:lang w:val="en-IE"/>
        </w:rPr>
        <w:t>‘</w:t>
      </w:r>
      <w:r w:rsidRPr="00FF67ED">
        <w:rPr>
          <w:noProof/>
          <w:lang w:val="en-IE"/>
        </w:rPr>
        <w:t>Aviation</w:t>
      </w:r>
      <w:r w:rsidR="003A32D6">
        <w:rPr>
          <w:noProof/>
          <w:lang w:val="en-IE"/>
        </w:rPr>
        <w:t>’, point (j</w:t>
      </w:r>
      <w:r w:rsidR="003A32D6" w:rsidRPr="367AE953">
        <w:rPr>
          <w:noProof/>
          <w:lang w:val="en-IE"/>
        </w:rPr>
        <w:t>)</w:t>
      </w:r>
      <w:r w:rsidR="320E6127" w:rsidRPr="367AE953">
        <w:rPr>
          <w:noProof/>
          <w:lang w:val="en-IE"/>
        </w:rPr>
        <w:t>,</w:t>
      </w:r>
      <w:r w:rsidRPr="00FF67ED">
        <w:rPr>
          <w:noProof/>
          <w:lang w:val="en-IE"/>
        </w:rPr>
        <w:t xml:space="preserve"> of Annex I</w:t>
      </w:r>
      <w:r w:rsidR="77D5424F" w:rsidRPr="367AE953">
        <w:rPr>
          <w:noProof/>
          <w:lang w:val="en-IE"/>
        </w:rPr>
        <w:t xml:space="preserve"> to this Directive</w:t>
      </w:r>
      <w:r w:rsidRPr="00FF67ED">
        <w:rPr>
          <w:noProof/>
          <w:lang w:val="en-IE"/>
        </w:rPr>
        <w:t xml:space="preserve">, or where an aircraft operator has total annual emissions lower than  </w:t>
      </w:r>
      <w:r w:rsidR="1493E334" w:rsidRPr="367AE953">
        <w:rPr>
          <w:noProof/>
          <w:lang w:val="en-IE"/>
        </w:rPr>
        <w:t>10</w:t>
      </w:r>
      <w:r w:rsidRPr="00FF67ED">
        <w:rPr>
          <w:noProof/>
          <w:lang w:val="en-IE"/>
        </w:rPr>
        <w:t xml:space="preserve"> 000 tonnes of CO</w:t>
      </w:r>
      <w:r w:rsidRPr="007F5BCA">
        <w:rPr>
          <w:noProof/>
          <w:vertAlign w:val="subscript"/>
          <w:lang w:val="en-IE"/>
        </w:rPr>
        <w:t>2</w:t>
      </w:r>
      <w:r w:rsidRPr="00FF67ED">
        <w:rPr>
          <w:noProof/>
          <w:lang w:val="en-IE"/>
        </w:rPr>
        <w:t xml:space="preserve"> subject to surrender obligation pursuant to Article 12(3</w:t>
      </w:r>
      <w:r w:rsidRPr="367AE953">
        <w:rPr>
          <w:noProof/>
          <w:lang w:val="en-IE"/>
        </w:rPr>
        <w:t>)</w:t>
      </w:r>
      <w:r w:rsidR="5AEC3094" w:rsidRPr="367AE953">
        <w:rPr>
          <w:noProof/>
          <w:lang w:val="en-IE"/>
        </w:rPr>
        <w:t xml:space="preserve"> of this Directive</w:t>
      </w:r>
      <w:r w:rsidR="003A32D6" w:rsidRPr="367AE953">
        <w:rPr>
          <w:noProof/>
          <w:lang w:val="en-IE"/>
        </w:rPr>
        <w:t>,</w:t>
      </w:r>
      <w:r w:rsidR="003A32D6">
        <w:rPr>
          <w:noProof/>
          <w:lang w:val="en-IE"/>
        </w:rPr>
        <w:t xml:space="preserve"> point </w:t>
      </w:r>
      <w:r w:rsidRPr="00FF67ED">
        <w:rPr>
          <w:noProof/>
          <w:lang w:val="en-IE"/>
        </w:rPr>
        <w:t>(b), not taking into account emissions for which the surrender obligation is considered to be satisfied under Article 3c(8) or Article 28a(1)</w:t>
      </w:r>
      <w:r w:rsidR="0040158B">
        <w:rPr>
          <w:noProof/>
          <w:lang w:val="en-IE"/>
        </w:rPr>
        <w:t xml:space="preserve"> of this Directive</w:t>
      </w:r>
      <w:r w:rsidRPr="00FF67ED">
        <w:rPr>
          <w:noProof/>
          <w:lang w:val="en-IE"/>
        </w:rPr>
        <w:t xml:space="preserve">, its emissions shall be considered to be verified emissions if determined by using the small emitters tool approved under Commission Regulation (EU) No 606/2010 * and populated by Eurocontrol with data from its ETS support facility. Member States may implement simplified procedures for non-commercial aircraft operators as long as such procedures provide no less accuracy than the small emitters tool provides. </w:t>
      </w:r>
    </w:p>
    <w:p w14:paraId="24314520" w14:textId="77777777" w:rsidR="00FF67ED" w:rsidRPr="00FF67ED" w:rsidRDefault="00FF67ED" w:rsidP="00FF67ED">
      <w:pPr>
        <w:pStyle w:val="Text2"/>
        <w:rPr>
          <w:noProof/>
          <w:lang w:val="en-IE"/>
        </w:rPr>
      </w:pPr>
      <w:r w:rsidRPr="00FF67ED">
        <w:rPr>
          <w:noProof/>
          <w:lang w:val="en-IE"/>
        </w:rPr>
        <w:t>_____________</w:t>
      </w:r>
    </w:p>
    <w:p w14:paraId="11359A25" w14:textId="77777777" w:rsidR="00FF67ED" w:rsidRPr="00FF67ED" w:rsidRDefault="00FF67ED" w:rsidP="00FF67ED">
      <w:pPr>
        <w:pStyle w:val="Text2"/>
        <w:rPr>
          <w:noProof/>
          <w:lang w:val="en-IE"/>
        </w:rPr>
      </w:pPr>
      <w:r w:rsidRPr="00FF67ED">
        <w:rPr>
          <w:noProof/>
          <w:lang w:val="en-IE"/>
        </w:rPr>
        <w:t xml:space="preserve">* Commission Regulation (EU) No 606/2010 of 9 July 2010 on the approval of a simplified tool developed by the European organisation for air safety navigation (Eurocontrol) to estimate the fuel consumption of certain small emitting aircraft operators (OJ L 175, 10.7.2010, p. </w:t>
      </w:r>
      <w:r w:rsidRPr="357D6FEE">
        <w:rPr>
          <w:noProof/>
          <w:lang w:val="en-IE"/>
        </w:rPr>
        <w:t xml:space="preserve">25 ELI: </w:t>
      </w:r>
      <w:hyperlink r:id="rId32">
        <w:r w:rsidR="006933C1" w:rsidRPr="357D6FEE">
          <w:rPr>
            <w:rStyle w:val="Hyperlink"/>
            <w:noProof/>
            <w:lang w:val="en-IE"/>
          </w:rPr>
          <w:t>http://data.europa.eu/eli/reg/2010/606/oj</w:t>
        </w:r>
      </w:hyperlink>
      <w:r w:rsidRPr="357D6FEE">
        <w:rPr>
          <w:noProof/>
          <w:lang w:val="en-IE"/>
        </w:rPr>
        <w:t>.</w:t>
      </w:r>
      <w:r w:rsidR="4B152837" w:rsidRPr="357D6FEE">
        <w:rPr>
          <w:noProof/>
          <w:lang w:val="en-IE"/>
        </w:rPr>
        <w:t>)</w:t>
      </w:r>
      <w:r w:rsidRPr="357D6FEE">
        <w:rPr>
          <w:noProof/>
          <w:lang w:val="en-IE"/>
        </w:rPr>
        <w:t>’;</w:t>
      </w:r>
    </w:p>
    <w:p w14:paraId="506735C9" w14:textId="2787D831" w:rsidR="00FF67ED" w:rsidRPr="00FF67ED" w:rsidRDefault="00FF67ED">
      <w:pPr>
        <w:pStyle w:val="Point1"/>
        <w:ind w:firstLine="0"/>
        <w:rPr>
          <w:noProof/>
          <w:lang w:val="en-IE"/>
        </w:rPr>
      </w:pPr>
      <w:r>
        <w:rPr>
          <w:noProof/>
        </w:rPr>
        <w:t>(d)</w:t>
      </w:r>
      <w:r>
        <w:rPr>
          <w:noProof/>
        </w:rPr>
        <w:tab/>
      </w:r>
      <w:r w:rsidRPr="00FF67ED">
        <w:rPr>
          <w:noProof/>
          <w:lang w:val="en-IE"/>
        </w:rPr>
        <w:t>the following paragraph is added:</w:t>
      </w:r>
    </w:p>
    <w:p w14:paraId="228750A4" w14:textId="77777777" w:rsidR="00993675" w:rsidRDefault="00FF67ED" w:rsidP="00FF67ED">
      <w:pPr>
        <w:pStyle w:val="Text2"/>
        <w:rPr>
          <w:noProof/>
          <w:lang w:val="en-IE"/>
        </w:rPr>
      </w:pPr>
      <w:r w:rsidRPr="00FF67ED">
        <w:rPr>
          <w:noProof/>
          <w:lang w:val="en-IE"/>
        </w:rPr>
        <w:t xml:space="preserve">‘6. In addition to the amount reserved for the use of eligible aviation fuels and electricity pursuant to Article 3c(6), </w:t>
      </w:r>
      <w:r w:rsidR="004A7610">
        <w:rPr>
          <w:noProof/>
          <w:lang w:val="en-IE"/>
        </w:rPr>
        <w:t xml:space="preserve">taking into account the </w:t>
      </w:r>
      <w:r w:rsidR="00645013">
        <w:rPr>
          <w:noProof/>
          <w:lang w:val="en-IE"/>
        </w:rPr>
        <w:t xml:space="preserve">provisional restriction of the geographical scope pursuant to </w:t>
      </w:r>
      <w:r w:rsidR="008758DA">
        <w:rPr>
          <w:noProof/>
          <w:lang w:val="en-IE"/>
        </w:rPr>
        <w:t>Article 28a(1)</w:t>
      </w:r>
      <w:r w:rsidR="00635C3D">
        <w:rPr>
          <w:noProof/>
          <w:lang w:val="en-IE"/>
        </w:rPr>
        <w:t>,</w:t>
      </w:r>
      <w:r w:rsidR="008758DA">
        <w:rPr>
          <w:noProof/>
          <w:lang w:val="en-IE"/>
        </w:rPr>
        <w:t xml:space="preserve"> point</w:t>
      </w:r>
      <w:r w:rsidR="00635C3D">
        <w:rPr>
          <w:noProof/>
          <w:lang w:val="en-IE"/>
        </w:rPr>
        <w:t xml:space="preserve"> (d),</w:t>
      </w:r>
      <w:r w:rsidR="00645013">
        <w:rPr>
          <w:noProof/>
          <w:lang w:val="en-IE"/>
        </w:rPr>
        <w:t xml:space="preserve"> </w:t>
      </w:r>
      <w:r w:rsidRPr="00FF67ED">
        <w:rPr>
          <w:noProof/>
          <w:lang w:val="en-IE"/>
        </w:rPr>
        <w:t xml:space="preserve">a further maximum </w:t>
      </w:r>
      <w:r w:rsidR="00EB1995">
        <w:rPr>
          <w:noProof/>
          <w:lang w:val="en-IE"/>
        </w:rPr>
        <w:t>110</w:t>
      </w:r>
      <w:r w:rsidRPr="00FF67ED">
        <w:rPr>
          <w:noProof/>
          <w:lang w:val="en-IE"/>
        </w:rPr>
        <w:t xml:space="preserve"> million allowances of the allowances referred to in </w:t>
      </w:r>
      <w:r w:rsidR="0063735A">
        <w:rPr>
          <w:noProof/>
          <w:lang w:val="en-IE"/>
        </w:rPr>
        <w:t xml:space="preserve">third subparagraph of </w:t>
      </w:r>
      <w:r w:rsidR="00C4361B">
        <w:rPr>
          <w:noProof/>
          <w:lang w:val="en-IE"/>
        </w:rPr>
        <w:t>paragraph 1</w:t>
      </w:r>
      <w:r w:rsidRPr="00FF67ED">
        <w:rPr>
          <w:noProof/>
          <w:lang w:val="en-IE"/>
        </w:rPr>
        <w:t xml:space="preserve"> shall be reserved for the purposes laid down in Article 3c(6) until 31 December 20</w:t>
      </w:r>
      <w:r w:rsidR="00EB1995">
        <w:rPr>
          <w:noProof/>
          <w:lang w:val="en-IE"/>
        </w:rPr>
        <w:t>40</w:t>
      </w:r>
      <w:r w:rsidRPr="00FF67ED">
        <w:rPr>
          <w:noProof/>
          <w:lang w:val="en-IE"/>
        </w:rPr>
        <w:t>.</w:t>
      </w:r>
    </w:p>
    <w:p w14:paraId="3C2D5747" w14:textId="77777777" w:rsidR="00FF67ED" w:rsidRPr="00FF67ED" w:rsidRDefault="006319A6" w:rsidP="00FF67ED">
      <w:pPr>
        <w:pStyle w:val="Text2"/>
        <w:rPr>
          <w:noProof/>
          <w:lang w:val="en-IE"/>
        </w:rPr>
      </w:pPr>
      <w:r>
        <w:rPr>
          <w:noProof/>
          <w:lang w:val="en-IE"/>
        </w:rPr>
        <w:t>From 1 January 2029</w:t>
      </w:r>
      <w:r w:rsidR="003A044D">
        <w:rPr>
          <w:noProof/>
          <w:lang w:val="en-IE"/>
        </w:rPr>
        <w:t>,</w:t>
      </w:r>
      <w:r>
        <w:rPr>
          <w:noProof/>
          <w:lang w:val="en-IE"/>
        </w:rPr>
        <w:t xml:space="preserve"> the amount shall be available for all flights</w:t>
      </w:r>
      <w:r w:rsidR="00033BC9">
        <w:rPr>
          <w:noProof/>
          <w:lang w:val="en-IE"/>
        </w:rPr>
        <w:t xml:space="preserve"> </w:t>
      </w:r>
      <w:r w:rsidR="00850367">
        <w:rPr>
          <w:noProof/>
          <w:lang w:val="en-IE"/>
        </w:rPr>
        <w:t xml:space="preserve">departing from an </w:t>
      </w:r>
      <w:r w:rsidR="00590D39">
        <w:rPr>
          <w:noProof/>
          <w:lang w:val="en-IE"/>
        </w:rPr>
        <w:t>aerodrome loacted in the EEA</w:t>
      </w:r>
      <w:r w:rsidR="002B087F">
        <w:rPr>
          <w:noProof/>
          <w:lang w:val="en-IE"/>
        </w:rPr>
        <w:t xml:space="preserve">, with the </w:t>
      </w:r>
      <w:r w:rsidR="00AB6E4C">
        <w:rPr>
          <w:noProof/>
          <w:lang w:val="en-IE"/>
        </w:rPr>
        <w:t>restriction</w:t>
      </w:r>
      <w:r w:rsidR="00B27B6F">
        <w:rPr>
          <w:noProof/>
          <w:lang w:val="en-IE"/>
        </w:rPr>
        <w:t>s</w:t>
      </w:r>
      <w:r w:rsidR="00AB6E4C">
        <w:rPr>
          <w:noProof/>
          <w:lang w:val="en-IE"/>
        </w:rPr>
        <w:t xml:space="preserve"> </w:t>
      </w:r>
      <w:r w:rsidR="002B087F">
        <w:rPr>
          <w:noProof/>
          <w:lang w:val="en-IE"/>
        </w:rPr>
        <w:t>f</w:t>
      </w:r>
      <w:r w:rsidR="00AB6E4C">
        <w:rPr>
          <w:noProof/>
          <w:lang w:val="en-IE"/>
        </w:rPr>
        <w:t>or</w:t>
      </w:r>
      <w:r w:rsidR="002B087F">
        <w:rPr>
          <w:noProof/>
          <w:lang w:val="en-IE"/>
        </w:rPr>
        <w:t xml:space="preserve"> business flights</w:t>
      </w:r>
      <w:r w:rsidR="00AB6E4C">
        <w:rPr>
          <w:noProof/>
          <w:lang w:val="en-IE"/>
        </w:rPr>
        <w:t xml:space="preserve"> pursuant to Article 3c(6)</w:t>
      </w:r>
      <w:r w:rsidR="00033BC9">
        <w:rPr>
          <w:noProof/>
          <w:lang w:val="en-IE"/>
        </w:rPr>
        <w:t xml:space="preserve">. </w:t>
      </w:r>
      <w:r w:rsidR="00154192">
        <w:rPr>
          <w:noProof/>
          <w:lang w:val="en-IE"/>
        </w:rPr>
        <w:t>From this date</w:t>
      </w:r>
      <w:r w:rsidR="00F30A29">
        <w:rPr>
          <w:noProof/>
          <w:lang w:val="en-IE"/>
        </w:rPr>
        <w:t>,</w:t>
      </w:r>
      <w:r w:rsidR="00154192">
        <w:rPr>
          <w:noProof/>
          <w:lang w:val="en-IE"/>
        </w:rPr>
        <w:t xml:space="preserve"> the two last sentences of Article 3c(6), first subparagraph, shall not apply</w:t>
      </w:r>
      <w:r w:rsidR="00B27B6F">
        <w:rPr>
          <w:noProof/>
          <w:lang w:val="en-IE"/>
        </w:rPr>
        <w:t xml:space="preserve"> for the allocation </w:t>
      </w:r>
      <w:r w:rsidR="00F6284D">
        <w:rPr>
          <w:noProof/>
          <w:lang w:val="en-IE"/>
        </w:rPr>
        <w:t>of allowances pursuant to that Article</w:t>
      </w:r>
      <w:r w:rsidR="00192B6A">
        <w:rPr>
          <w:noProof/>
          <w:lang w:val="en-IE"/>
        </w:rPr>
        <w:t>.</w:t>
      </w:r>
      <w:r w:rsidR="00FF67ED" w:rsidRPr="00FF67ED">
        <w:rPr>
          <w:noProof/>
          <w:lang w:val="en-IE"/>
        </w:rPr>
        <w:t>’;</w:t>
      </w:r>
    </w:p>
    <w:p w14:paraId="327A255F" w14:textId="73F07CB0" w:rsidR="0019190A" w:rsidRDefault="0019190A" w:rsidP="00047734">
      <w:pPr>
        <w:pStyle w:val="Point0"/>
        <w:rPr>
          <w:noProof/>
        </w:rPr>
      </w:pPr>
      <w:r>
        <w:rPr>
          <w:noProof/>
        </w:rPr>
        <w:t>(32)</w:t>
      </w:r>
      <w:r>
        <w:rPr>
          <w:noProof/>
        </w:rPr>
        <w:tab/>
        <w:t>In Article 28b, the following paragraph is added:</w:t>
      </w:r>
    </w:p>
    <w:p w14:paraId="12F87A8B" w14:textId="77777777" w:rsidR="0019190A" w:rsidRDefault="0019190A" w:rsidP="0019190A">
      <w:pPr>
        <w:pStyle w:val="Point0"/>
        <w:ind w:firstLine="0"/>
        <w:rPr>
          <w:noProof/>
        </w:rPr>
      </w:pPr>
      <w:r>
        <w:rPr>
          <w:noProof/>
        </w:rPr>
        <w:t>‘(4) By 1 July 2032, the Commission shall submit to the European Parliament and to the Council a report in which it shall assess the environmental integrity of ICAO’s global market-based measure, including its general ambition in relation to targets under the Paris Agreement, the level of participation in offsetting under CORSIA, its enforceability, transparency, the penalties for non-compliance, the processes for public input, the quality of offset credits, monitoring, reporting and verification of emissions, registries, accountability as well as rules on the use of biofuels, with special regard to the developments happened since 2027. The Commission shall also publish that report by 1 July 2032.</w:t>
      </w:r>
    </w:p>
    <w:p w14:paraId="6181CF7B" w14:textId="77777777" w:rsidR="0019190A" w:rsidRDefault="0019190A" w:rsidP="0019190A">
      <w:pPr>
        <w:pStyle w:val="Point0"/>
        <w:ind w:firstLine="0"/>
        <w:rPr>
          <w:noProof/>
        </w:rPr>
      </w:pPr>
      <w:r>
        <w:rPr>
          <w:noProof/>
        </w:rPr>
        <w:t>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shall, as appropriate, restrict the application of the EU ETS to flights between two aerodromes located in States in the EEA</w:t>
      </w:r>
      <w:r w:rsidR="00C33E7E">
        <w:rPr>
          <w:noProof/>
        </w:rPr>
        <w:t>,</w:t>
      </w:r>
      <w:r>
        <w:rPr>
          <w:noProof/>
        </w:rPr>
        <w:t xml:space="preserve"> to aerodromes located in Switzerland</w:t>
      </w:r>
      <w:r w:rsidR="00C33E7E">
        <w:rPr>
          <w:noProof/>
        </w:rPr>
        <w:t xml:space="preserve"> and</w:t>
      </w:r>
      <w:r>
        <w:rPr>
          <w:noProof/>
        </w:rPr>
        <w:t xml:space="preserve"> the UK </w:t>
      </w:r>
      <w:r w:rsidR="00C33E7E">
        <w:rPr>
          <w:noProof/>
        </w:rPr>
        <w:t xml:space="preserve">and </w:t>
      </w:r>
      <w:r>
        <w:rPr>
          <w:noProof/>
        </w:rPr>
        <w:t>to and from Gibraltar</w:t>
      </w:r>
      <w:r w:rsidR="0030474C" w:rsidRPr="0030474C">
        <w:rPr>
          <w:noProof/>
        </w:rPr>
        <w:t xml:space="preserve"> </w:t>
      </w:r>
      <w:r>
        <w:rPr>
          <w:noProof/>
        </w:rPr>
        <w:t xml:space="preserve">where the report shows that: </w:t>
      </w:r>
    </w:p>
    <w:p w14:paraId="4C01893C" w14:textId="3C8BAAF3" w:rsidR="0019190A" w:rsidRDefault="0019190A">
      <w:pPr>
        <w:pStyle w:val="Point2"/>
        <w:rPr>
          <w:noProof/>
        </w:rPr>
      </w:pPr>
      <w:r>
        <w:rPr>
          <w:noProof/>
        </w:rPr>
        <w:t>(a)</w:t>
      </w:r>
      <w:r>
        <w:rPr>
          <w:noProof/>
        </w:rPr>
        <w:tab/>
        <w:t>CORSIA has been strengthened in line with achieving its long-term global aspirational goal, towards meeting the Paris Agreement goals; and</w:t>
      </w:r>
    </w:p>
    <w:p w14:paraId="71FA9DAF" w14:textId="4F827A9F" w:rsidR="00FF0D0B" w:rsidRDefault="0019190A">
      <w:pPr>
        <w:pStyle w:val="Point2"/>
        <w:rPr>
          <w:noProof/>
        </w:rPr>
      </w:pPr>
      <w:r>
        <w:rPr>
          <w:noProof/>
        </w:rPr>
        <w:t>(b)</w:t>
      </w:r>
      <w:r>
        <w:rPr>
          <w:noProof/>
        </w:rPr>
        <w:tab/>
        <w:t>States listed in the implementing act adopted pursuant to Article 25a(3) represent more than 70% of international aviation emissions using the most recent available data.’;</w:t>
      </w:r>
    </w:p>
    <w:p w14:paraId="36802914" w14:textId="4BA747B0" w:rsidR="0040158B" w:rsidRPr="00B97C25" w:rsidRDefault="00314A40" w:rsidP="00047734">
      <w:pPr>
        <w:pStyle w:val="Point0"/>
        <w:rPr>
          <w:noProof/>
        </w:rPr>
      </w:pPr>
      <w:r>
        <w:rPr>
          <w:noProof/>
        </w:rPr>
        <w:t>(33)</w:t>
      </w:r>
      <w:r>
        <w:rPr>
          <w:noProof/>
        </w:rPr>
        <w:tab/>
      </w:r>
      <w:r w:rsidRPr="00B97C25">
        <w:rPr>
          <w:noProof/>
        </w:rPr>
        <w:t>in Article 30</w:t>
      </w:r>
      <w:r w:rsidR="0040158B" w:rsidRPr="00B97C25">
        <w:rPr>
          <w:noProof/>
        </w:rPr>
        <w:t xml:space="preserve"> is amended as follows;</w:t>
      </w:r>
    </w:p>
    <w:p w14:paraId="6DB4AA52" w14:textId="49C77FE5" w:rsidR="00314A40" w:rsidRDefault="0040158B" w:rsidP="00297CDD">
      <w:pPr>
        <w:pStyle w:val="Point1"/>
        <w:rPr>
          <w:noProof/>
          <w:lang w:val="en-IE"/>
        </w:rPr>
      </w:pPr>
      <w:r>
        <w:rPr>
          <w:noProof/>
        </w:rPr>
        <w:t>(a)</w:t>
      </w:r>
      <w:r>
        <w:rPr>
          <w:noProof/>
        </w:rPr>
        <w:tab/>
      </w:r>
      <w:r>
        <w:rPr>
          <w:noProof/>
          <w:lang w:val="en-IE"/>
        </w:rPr>
        <w:t>in</w:t>
      </w:r>
      <w:r w:rsidR="00D23D47">
        <w:rPr>
          <w:noProof/>
          <w:lang w:val="en-IE"/>
        </w:rPr>
        <w:t xml:space="preserve"> paragraph 7, </w:t>
      </w:r>
      <w:r>
        <w:rPr>
          <w:noProof/>
          <w:lang w:val="en-IE"/>
        </w:rPr>
        <w:t>first subparagraph, the sole</w:t>
      </w:r>
      <w:r w:rsidR="00D23D47">
        <w:rPr>
          <w:noProof/>
          <w:lang w:val="en-IE"/>
        </w:rPr>
        <w:t xml:space="preserve"> footnote is </w:t>
      </w:r>
      <w:r w:rsidR="00D23D47" w:rsidRPr="00D1298B">
        <w:rPr>
          <w:noProof/>
          <w:lang w:val="en-IE"/>
        </w:rPr>
        <w:t>deleted</w:t>
      </w:r>
      <w:r w:rsidR="004B3708" w:rsidRPr="00D1298B">
        <w:rPr>
          <w:noProof/>
          <w:lang w:val="en-IE"/>
        </w:rPr>
        <w:t>;</w:t>
      </w:r>
    </w:p>
    <w:p w14:paraId="46F7059F" w14:textId="726B80EA" w:rsidR="00FF67ED" w:rsidRPr="00FF67ED" w:rsidRDefault="00FF67ED" w:rsidP="00297CDD">
      <w:pPr>
        <w:pStyle w:val="Point1"/>
        <w:rPr>
          <w:noProof/>
          <w:lang w:val="en-IE"/>
        </w:rPr>
      </w:pPr>
      <w:r>
        <w:rPr>
          <w:noProof/>
        </w:rPr>
        <w:t>(b)</w:t>
      </w:r>
      <w:r>
        <w:rPr>
          <w:noProof/>
        </w:rPr>
        <w:tab/>
      </w:r>
      <w:r w:rsidRPr="00FF67ED">
        <w:rPr>
          <w:noProof/>
          <w:lang w:val="en-IE"/>
        </w:rPr>
        <w:t>the following paragraph</w:t>
      </w:r>
      <w:r w:rsidR="00B85687">
        <w:rPr>
          <w:noProof/>
          <w:lang w:val="en-IE"/>
        </w:rPr>
        <w:t xml:space="preserve"> is</w:t>
      </w:r>
      <w:r w:rsidRPr="00FF67ED">
        <w:rPr>
          <w:noProof/>
          <w:lang w:val="en-IE"/>
        </w:rPr>
        <w:t xml:space="preserve"> added:</w:t>
      </w:r>
    </w:p>
    <w:p w14:paraId="0D9F8C17" w14:textId="77777777" w:rsidR="00FF67ED" w:rsidRPr="00FF67ED" w:rsidRDefault="00FF67ED" w:rsidP="00297CDD">
      <w:pPr>
        <w:pStyle w:val="Text2"/>
        <w:rPr>
          <w:noProof/>
          <w:lang w:val="en-IE"/>
        </w:rPr>
      </w:pPr>
      <w:r w:rsidRPr="00FF67ED">
        <w:rPr>
          <w:noProof/>
          <w:lang w:val="en-IE"/>
        </w:rPr>
        <w:t xml:space="preserve">‘9. By 31 December 2034, the Commission shall present a report to the European Parliament and to the Council in which it shall assess the appropriateness of including in the EU ETS emissions from landfills. In that regard, the Commission shall take into account any potential evidence of diversion of waste towards disposal by landfilling. The Commission may, where appropriate, accompany that report with a legislative proposal to include </w:t>
      </w:r>
      <w:r w:rsidR="00996D71">
        <w:rPr>
          <w:noProof/>
          <w:lang w:val="en-IE"/>
        </w:rPr>
        <w:t>landfills</w:t>
      </w:r>
      <w:r w:rsidRPr="00FF67ED">
        <w:rPr>
          <w:noProof/>
          <w:lang w:val="en-IE"/>
        </w:rPr>
        <w:t xml:space="preserve"> in the EU ETS.’</w:t>
      </w:r>
      <w:r w:rsidR="00083CE7">
        <w:rPr>
          <w:noProof/>
          <w:lang w:val="en-IE"/>
        </w:rPr>
        <w:t>;</w:t>
      </w:r>
      <w:r w:rsidRPr="00FF67ED">
        <w:rPr>
          <w:noProof/>
          <w:lang w:val="en-IE"/>
        </w:rPr>
        <w:t> </w:t>
      </w:r>
    </w:p>
    <w:p w14:paraId="3CCE1457" w14:textId="4079A797" w:rsidR="00FF67ED" w:rsidRPr="00B97C25" w:rsidRDefault="00FF67ED" w:rsidP="00047734">
      <w:pPr>
        <w:pStyle w:val="Point0"/>
        <w:rPr>
          <w:noProof/>
        </w:rPr>
      </w:pPr>
      <w:r>
        <w:rPr>
          <w:noProof/>
        </w:rPr>
        <w:t>(34)</w:t>
      </w:r>
      <w:r>
        <w:rPr>
          <w:noProof/>
        </w:rPr>
        <w:tab/>
      </w:r>
      <w:r w:rsidRPr="00B97C25">
        <w:rPr>
          <w:noProof/>
        </w:rPr>
        <w:t>in Article 30m, paragraph 3 is replaced by the following:</w:t>
      </w:r>
    </w:p>
    <w:p w14:paraId="48EF1A1B" w14:textId="77777777" w:rsidR="00FF67ED" w:rsidRPr="00FF67ED" w:rsidRDefault="00FF67ED" w:rsidP="00297CDD">
      <w:pPr>
        <w:pStyle w:val="Text1"/>
        <w:rPr>
          <w:noProof/>
          <w:lang w:val="en-IE"/>
        </w:rPr>
      </w:pPr>
      <w:r w:rsidRPr="00FF67ED">
        <w:rPr>
          <w:noProof/>
          <w:lang w:val="en-IE"/>
        </w:rPr>
        <w:t>‘Member States shall ensure the visibility of the source of the funding of actions or projects funded from the EU ETS auctioning revenues of which they determine the use in accordance with Article 3d(4), Article 10(3)</w:t>
      </w:r>
      <w:r w:rsidR="00684B0C">
        <w:rPr>
          <w:noProof/>
          <w:lang w:val="en-IE"/>
        </w:rPr>
        <w:t xml:space="preserve"> </w:t>
      </w:r>
      <w:r w:rsidRPr="00FF67ED">
        <w:rPr>
          <w:noProof/>
          <w:lang w:val="en-IE"/>
        </w:rPr>
        <w:t>and Article 30d(6), corresponding to what is referred to in paragraph 1, points (a) and (b), of this Article.’</w:t>
      </w:r>
      <w:r w:rsidR="00083CE7">
        <w:rPr>
          <w:noProof/>
          <w:lang w:val="en-IE"/>
        </w:rPr>
        <w:t>;</w:t>
      </w:r>
    </w:p>
    <w:p w14:paraId="17C9691C" w14:textId="7ACDBF69" w:rsidR="00FF67ED" w:rsidRPr="00B97C25" w:rsidRDefault="00FF67ED" w:rsidP="00047734">
      <w:pPr>
        <w:pStyle w:val="Point0"/>
        <w:rPr>
          <w:noProof/>
        </w:rPr>
      </w:pPr>
      <w:r>
        <w:rPr>
          <w:noProof/>
        </w:rPr>
        <w:t>(35)</w:t>
      </w:r>
      <w:r>
        <w:rPr>
          <w:noProof/>
        </w:rPr>
        <w:tab/>
      </w:r>
      <w:r w:rsidRPr="00B97C25">
        <w:rPr>
          <w:noProof/>
        </w:rPr>
        <w:t xml:space="preserve">Annexes </w:t>
      </w:r>
      <w:r w:rsidR="00313E70" w:rsidRPr="00B97C25">
        <w:rPr>
          <w:noProof/>
        </w:rPr>
        <w:t xml:space="preserve">I to </w:t>
      </w:r>
      <w:r w:rsidR="00451962" w:rsidRPr="005043C4">
        <w:rPr>
          <w:noProof/>
        </w:rPr>
        <w:t>V</w:t>
      </w:r>
      <w:r w:rsidR="00451962" w:rsidRPr="00B97C25">
        <w:rPr>
          <w:noProof/>
        </w:rPr>
        <w:t xml:space="preserve"> </w:t>
      </w:r>
      <w:r w:rsidRPr="00B97C25">
        <w:rPr>
          <w:noProof/>
        </w:rPr>
        <w:t>are amended as set out in the Annexes to this Directive</w:t>
      </w:r>
      <w:r w:rsidR="00083CE7" w:rsidRPr="00B97C25">
        <w:rPr>
          <w:noProof/>
        </w:rPr>
        <w:t>;</w:t>
      </w:r>
    </w:p>
    <w:p w14:paraId="29904CBC" w14:textId="77777777" w:rsidR="00FF67ED" w:rsidRPr="003E5224" w:rsidRDefault="00FF67ED" w:rsidP="006109D5">
      <w:pPr>
        <w:pStyle w:val="Titrearticle"/>
        <w:rPr>
          <w:noProof/>
        </w:rPr>
      </w:pPr>
      <w:r w:rsidRPr="003E5224">
        <w:rPr>
          <w:noProof/>
        </w:rPr>
        <w:t>Article 2</w:t>
      </w:r>
    </w:p>
    <w:p w14:paraId="1FDCA117" w14:textId="77777777" w:rsidR="00FF67ED" w:rsidRPr="00D1298B" w:rsidRDefault="00FF67ED" w:rsidP="00D1298B">
      <w:pPr>
        <w:jc w:val="center"/>
        <w:rPr>
          <w:b/>
          <w:bCs/>
          <w:noProof/>
        </w:rPr>
      </w:pPr>
      <w:r w:rsidRPr="00D1298B">
        <w:rPr>
          <w:b/>
          <w:bCs/>
          <w:noProof/>
        </w:rPr>
        <w:t>Amendments to Decision (EU) 2015/1814</w:t>
      </w:r>
    </w:p>
    <w:p w14:paraId="6E1CAC32" w14:textId="77777777" w:rsidR="00FF67ED" w:rsidRPr="00FF67ED" w:rsidRDefault="00FF67ED" w:rsidP="00FF67ED">
      <w:pPr>
        <w:rPr>
          <w:noProof/>
        </w:rPr>
      </w:pPr>
      <w:r w:rsidRPr="00FF67ED">
        <w:rPr>
          <w:noProof/>
        </w:rPr>
        <w:t>Article 1 of Decision (EU) 2015/1814 is amended as follows:</w:t>
      </w:r>
    </w:p>
    <w:p w14:paraId="5D06E6E2" w14:textId="30DA02BC" w:rsidR="00186A4C" w:rsidRPr="009564BE" w:rsidRDefault="00186A4C">
      <w:pPr>
        <w:pStyle w:val="Point0"/>
        <w:rPr>
          <w:noProof/>
          <w:lang w:val="en-IE"/>
        </w:rPr>
      </w:pPr>
      <w:r>
        <w:rPr>
          <w:noProof/>
        </w:rPr>
        <w:t>(1)</w:t>
      </w:r>
      <w:r>
        <w:rPr>
          <w:noProof/>
        </w:rPr>
        <w:tab/>
      </w:r>
      <w:r w:rsidRPr="009564BE">
        <w:rPr>
          <w:noProof/>
          <w:lang w:val="en-IE"/>
        </w:rPr>
        <w:t>i</w:t>
      </w:r>
      <w:r w:rsidR="00FF67ED" w:rsidRPr="009564BE">
        <w:rPr>
          <w:noProof/>
          <w:lang w:val="en-IE"/>
        </w:rPr>
        <w:t xml:space="preserve">n paragraph 4a, </w:t>
      </w:r>
      <w:r w:rsidRPr="009564BE">
        <w:rPr>
          <w:noProof/>
          <w:lang w:val="en-IE"/>
        </w:rPr>
        <w:t>the first subparagraph is replaced by the following:</w:t>
      </w:r>
    </w:p>
    <w:p w14:paraId="6CD45B84" w14:textId="77777777" w:rsidR="0093053B" w:rsidRPr="00FF67ED" w:rsidRDefault="00912953" w:rsidP="001241CC">
      <w:pPr>
        <w:pStyle w:val="Text1"/>
        <w:rPr>
          <w:noProof/>
          <w:lang w:val="en-IE"/>
        </w:rPr>
      </w:pPr>
      <w:r>
        <w:rPr>
          <w:noProof/>
          <w:lang w:val="en-IE"/>
        </w:rPr>
        <w:t>‘</w:t>
      </w:r>
      <w:r w:rsidRPr="00912953">
        <w:rPr>
          <w:noProof/>
          <w:lang w:val="en-IE"/>
        </w:rPr>
        <w:t>As from 2024, the calculation of the total number of allowances in circulation in any given year shall include the cumulative number of allowances issued in respect of aviation and the cumulative tonnes of verified emissions from aviation under the EU ETS, excluding emissions from flights on routes covered by offsetting calculated pursuant to Article 12(6) of Directive 2003/87/EC, between 1 January 2024 and 31 December of that same given year. That calculation shall also cover the cumulative number of allowances issued in respect of aviation and the cumulative tonnes of verified emissions from aviation under the EU ETS, excluding emissions from flights on routes covered by offsetting calculated pursuant to Article 12(6) of Directive 2003/87/EC, over the period between 1 January 2012 and 31 December 2023</w:t>
      </w:r>
      <w:r w:rsidR="0093053B" w:rsidRPr="00FF67ED">
        <w:rPr>
          <w:noProof/>
          <w:lang w:val="en-IE"/>
        </w:rPr>
        <w:t>’</w:t>
      </w:r>
      <w:r w:rsidR="0093053B">
        <w:rPr>
          <w:noProof/>
          <w:lang w:val="en-IE"/>
        </w:rPr>
        <w:t>;</w:t>
      </w:r>
    </w:p>
    <w:p w14:paraId="29C7DAFA" w14:textId="36A7AE74" w:rsidR="002B026C" w:rsidRPr="002B026C" w:rsidRDefault="00502517">
      <w:pPr>
        <w:pStyle w:val="Point0"/>
        <w:rPr>
          <w:noProof/>
          <w:lang w:val="en-IE"/>
        </w:rPr>
      </w:pPr>
      <w:r>
        <w:rPr>
          <w:noProof/>
        </w:rPr>
        <w:t>(2)</w:t>
      </w:r>
      <w:r>
        <w:rPr>
          <w:noProof/>
        </w:rPr>
        <w:tab/>
      </w:r>
      <w:r>
        <w:rPr>
          <w:noProof/>
          <w:lang w:val="en-IE"/>
        </w:rPr>
        <w:t xml:space="preserve">in </w:t>
      </w:r>
      <w:r w:rsidR="00FF67ED" w:rsidRPr="002B026C">
        <w:rPr>
          <w:noProof/>
          <w:lang w:val="en-IE"/>
        </w:rPr>
        <w:t>paragraph 5</w:t>
      </w:r>
      <w:r w:rsidR="00FF67ED" w:rsidRPr="002B026C" w:rsidDel="002B026C">
        <w:rPr>
          <w:noProof/>
          <w:lang w:val="en-IE"/>
        </w:rPr>
        <w:t xml:space="preserve">, the </w:t>
      </w:r>
      <w:r w:rsidRPr="0030098F">
        <w:rPr>
          <w:noProof/>
          <w:lang w:val="en-IE"/>
        </w:rPr>
        <w:t xml:space="preserve">first subparagraph is replaced by the following: </w:t>
      </w:r>
    </w:p>
    <w:p w14:paraId="732884C1" w14:textId="68470A8D" w:rsidR="00FF67ED" w:rsidRPr="00FF67ED" w:rsidRDefault="002B026C" w:rsidP="001241CC">
      <w:pPr>
        <w:pStyle w:val="Text1"/>
        <w:rPr>
          <w:noProof/>
          <w:lang w:val="en-IE"/>
        </w:rPr>
      </w:pPr>
      <w:r w:rsidRPr="002B026C">
        <w:rPr>
          <w:noProof/>
          <w:lang w:val="en-IE"/>
        </w:rPr>
        <w:t>‘</w:t>
      </w:r>
      <w:r w:rsidR="00912953" w:rsidRPr="00912953">
        <w:rPr>
          <w:noProof/>
          <w:lang w:val="en-IE"/>
        </w:rPr>
        <w:t xml:space="preserve">In any given year, if the total number of allowances in circulation is between 833 million and 947 million, a number of allowances equal to the difference between the total number of allowances in circulation, as set out in the most recent publication as referred to in paragraph 4 of this Article, and 833 million shall be deducted from the quantity of allowances to be auctioned by the Member States 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12 % of the total number of allowances in circulation. From 2029, the thresholds of 833 and 947 million under this paragraph shall decrease annually by </w:t>
      </w:r>
      <w:r w:rsidR="00D91863">
        <w:rPr>
          <w:noProof/>
          <w:lang w:val="en-IE"/>
        </w:rPr>
        <w:t>4</w:t>
      </w:r>
      <w:r w:rsidR="00912953" w:rsidRPr="00912953">
        <w:rPr>
          <w:noProof/>
          <w:lang w:val="en-IE"/>
        </w:rPr>
        <w:t xml:space="preserve">%, rounded to the nearest million, as specified in </w:t>
      </w:r>
      <w:r w:rsidR="00730045">
        <w:rPr>
          <w:noProof/>
          <w:lang w:val="en-IE"/>
        </w:rPr>
        <w:t xml:space="preserve">the </w:t>
      </w:r>
      <w:r w:rsidR="00912953" w:rsidRPr="00912953">
        <w:rPr>
          <w:noProof/>
          <w:lang w:val="en-IE"/>
        </w:rPr>
        <w:t>Annex</w:t>
      </w:r>
      <w:r w:rsidR="00FF67ED" w:rsidRPr="0030098F" w:rsidDel="0030098F">
        <w:rPr>
          <w:noProof/>
          <w:lang w:val="en-IE"/>
        </w:rPr>
        <w:t>’.</w:t>
      </w:r>
    </w:p>
    <w:p w14:paraId="7479DB71" w14:textId="59DC6EE8" w:rsidR="00FF67ED" w:rsidRPr="00FF67ED" w:rsidRDefault="002B026C">
      <w:pPr>
        <w:pStyle w:val="Point0"/>
        <w:rPr>
          <w:noProof/>
          <w:lang w:val="en-IE"/>
        </w:rPr>
      </w:pPr>
      <w:r>
        <w:rPr>
          <w:noProof/>
        </w:rPr>
        <w:t>(3)</w:t>
      </w:r>
      <w:r>
        <w:rPr>
          <w:noProof/>
        </w:rPr>
        <w:tab/>
      </w:r>
      <w:r>
        <w:rPr>
          <w:noProof/>
          <w:lang w:val="en-IE"/>
        </w:rPr>
        <w:t>p</w:t>
      </w:r>
      <w:r w:rsidR="00FF67ED" w:rsidRPr="00FF67ED">
        <w:rPr>
          <w:noProof/>
          <w:lang w:val="en-IE"/>
        </w:rPr>
        <w:t xml:space="preserve">aragraph 6 is replaced by the following: </w:t>
      </w:r>
    </w:p>
    <w:p w14:paraId="01E47DA8" w14:textId="77777777" w:rsidR="00912953" w:rsidRPr="00912953" w:rsidRDefault="00FF67ED" w:rsidP="001241CC">
      <w:pPr>
        <w:pStyle w:val="Text1"/>
        <w:rPr>
          <w:noProof/>
          <w:lang w:val="en-IE"/>
        </w:rPr>
      </w:pPr>
      <w:r w:rsidRPr="00FF67ED">
        <w:rPr>
          <w:noProof/>
          <w:lang w:val="en-IE"/>
        </w:rPr>
        <w:t>‘</w:t>
      </w:r>
      <w:r w:rsidR="00912953" w:rsidRPr="00912953">
        <w:rPr>
          <w:noProof/>
          <w:lang w:val="en-IE"/>
        </w:rPr>
        <w:t xml:space="preserve">6. In any year, if the total number of allowances in circulation is between 300 million and 400 million, a number of allowances equal to the difference between 400 million and the total number of allowances in circulation shall be released from the reserve. If the total number of allowances in circulation is less than 300 million, an amount of 100 million allowances shall be released from the reserve. </w:t>
      </w:r>
    </w:p>
    <w:p w14:paraId="35B55665" w14:textId="0CBF304B" w:rsidR="00C44FA8" w:rsidRDefault="00912953" w:rsidP="001241CC">
      <w:pPr>
        <w:pStyle w:val="Text1"/>
        <w:rPr>
          <w:noProof/>
          <w:lang w:val="en-IE"/>
        </w:rPr>
      </w:pPr>
      <w:r w:rsidRPr="00912953">
        <w:rPr>
          <w:noProof/>
          <w:lang w:val="en-IE"/>
        </w:rPr>
        <w:t xml:space="preserve">From 2029, the thresholds of 400 million and of 300 million and the amount of 100 million allowances to be released from the reserve, set out in the previous subparagraph, shall decrease annually by </w:t>
      </w:r>
      <w:r w:rsidR="00D91863">
        <w:rPr>
          <w:noProof/>
          <w:lang w:val="en-IE"/>
        </w:rPr>
        <w:t>4 %</w:t>
      </w:r>
      <w:r w:rsidRPr="00912953">
        <w:rPr>
          <w:noProof/>
          <w:lang w:val="en-IE"/>
        </w:rPr>
        <w:t xml:space="preserve">, rounded to the nearest million, as specified in </w:t>
      </w:r>
      <w:r w:rsidR="00730045">
        <w:rPr>
          <w:noProof/>
          <w:lang w:val="en-IE"/>
        </w:rPr>
        <w:t xml:space="preserve">the </w:t>
      </w:r>
      <w:r w:rsidRPr="00912953">
        <w:rPr>
          <w:noProof/>
          <w:lang w:val="en-IE"/>
        </w:rPr>
        <w:t xml:space="preserve">Annex. </w:t>
      </w:r>
    </w:p>
    <w:p w14:paraId="08C03BA9" w14:textId="77777777" w:rsidR="00912953" w:rsidRPr="00912953" w:rsidRDefault="00912953" w:rsidP="001241CC">
      <w:pPr>
        <w:pStyle w:val="Text1"/>
        <w:rPr>
          <w:noProof/>
          <w:lang w:val="en-IE"/>
        </w:rPr>
      </w:pPr>
      <w:r w:rsidRPr="00912953">
        <w:rPr>
          <w:noProof/>
          <w:lang w:val="en-IE"/>
        </w:rPr>
        <w:t>Where fewer allowances are in the reserve than must be released in accordance with this paragraph, the release shall be equal to the allowances that remain in the reserve.</w:t>
      </w:r>
    </w:p>
    <w:p w14:paraId="51BD7A24" w14:textId="77777777" w:rsidR="001E7DAD" w:rsidRDefault="00912953" w:rsidP="001241CC">
      <w:pPr>
        <w:pStyle w:val="Text1"/>
        <w:rPr>
          <w:noProof/>
          <w:lang w:val="en-IE"/>
        </w:rPr>
      </w:pPr>
      <w:r w:rsidRPr="00912953">
        <w:rPr>
          <w:noProof/>
          <w:lang w:val="en-IE"/>
        </w:rPr>
        <w:t>The amount of allowances released from the reserve under this paragraph shall be added to the volume of allowances to be auctioned by the Member States under Article 10(2) of Directive 2003/87/EC</w:t>
      </w:r>
      <w:r w:rsidR="00FF67ED" w:rsidRPr="00FF67ED">
        <w:rPr>
          <w:noProof/>
          <w:lang w:val="en-IE"/>
        </w:rPr>
        <w:t>.’</w:t>
      </w:r>
    </w:p>
    <w:p w14:paraId="6D03964F" w14:textId="77777777" w:rsidR="006052EE" w:rsidRPr="0051558B" w:rsidRDefault="006052EE" w:rsidP="006109D5">
      <w:pPr>
        <w:pStyle w:val="Titrearticle"/>
        <w:rPr>
          <w:noProof/>
        </w:rPr>
      </w:pPr>
      <w:r w:rsidRPr="0051558B">
        <w:rPr>
          <w:noProof/>
        </w:rPr>
        <w:t>Article</w:t>
      </w:r>
      <w:r w:rsidR="00144C65" w:rsidRPr="0051558B">
        <w:rPr>
          <w:noProof/>
        </w:rPr>
        <w:t xml:space="preserve"> </w:t>
      </w:r>
      <w:r w:rsidR="00BA0C11">
        <w:rPr>
          <w:noProof/>
        </w:rPr>
        <w:t>3</w:t>
      </w:r>
    </w:p>
    <w:p w14:paraId="3DAA4FBB" w14:textId="77777777" w:rsidR="0051558B" w:rsidRPr="0051558B" w:rsidRDefault="0051558B" w:rsidP="0051558B">
      <w:pPr>
        <w:jc w:val="center"/>
        <w:rPr>
          <w:b/>
          <w:bCs/>
          <w:noProof/>
        </w:rPr>
      </w:pPr>
      <w:r w:rsidRPr="0051558B">
        <w:rPr>
          <w:b/>
          <w:bCs/>
          <w:noProof/>
        </w:rPr>
        <w:t>Tran</w:t>
      </w:r>
      <w:r w:rsidR="003E1789">
        <w:rPr>
          <w:b/>
          <w:bCs/>
          <w:noProof/>
        </w:rPr>
        <w:t>s</w:t>
      </w:r>
      <w:r w:rsidRPr="0051558B">
        <w:rPr>
          <w:b/>
          <w:bCs/>
          <w:noProof/>
        </w:rPr>
        <w:t>position</w:t>
      </w:r>
    </w:p>
    <w:p w14:paraId="49C19CAA" w14:textId="77777777" w:rsidR="001241CC" w:rsidRDefault="009D53E0" w:rsidP="004830AF">
      <w:pPr>
        <w:pStyle w:val="LegalNumPar"/>
        <w:numPr>
          <w:ilvl w:val="0"/>
          <w:numId w:val="32"/>
        </w:numPr>
        <w:spacing w:line="240" w:lineRule="auto"/>
        <w:ind w:left="0" w:firstLine="0"/>
        <w:rPr>
          <w:noProof/>
        </w:rPr>
      </w:pPr>
      <w:r>
        <w:rPr>
          <w:noProof/>
        </w:rPr>
        <w:t xml:space="preserve">Member States shall adopt and publish, by </w:t>
      </w:r>
      <w:r w:rsidRPr="00144C65">
        <w:rPr>
          <w:noProof/>
        </w:rPr>
        <w:t>31 December 2028</w:t>
      </w:r>
      <w:r>
        <w:rPr>
          <w:noProof/>
        </w:rPr>
        <w:t xml:space="preserve"> at the latest, the laws, regulations and administrative provisions necessary to comply with this Directive. They shall forthwith communicate to the Commission the text of those provisions.</w:t>
      </w:r>
    </w:p>
    <w:p w14:paraId="23A3F688" w14:textId="77777777" w:rsidR="009D53E0" w:rsidRDefault="009D53E0" w:rsidP="009564BE">
      <w:pPr>
        <w:pStyle w:val="LegalNumPar"/>
        <w:numPr>
          <w:ilvl w:val="0"/>
          <w:numId w:val="0"/>
        </w:numPr>
        <w:spacing w:line="240" w:lineRule="auto"/>
        <w:rPr>
          <w:noProof/>
        </w:rPr>
      </w:pPr>
      <w:r>
        <w:rPr>
          <w:noProof/>
        </w:rPr>
        <w:t>They shall apply those provisions from 1 January 2029.</w:t>
      </w:r>
    </w:p>
    <w:p w14:paraId="643591E7" w14:textId="77777777" w:rsidR="00BE2368" w:rsidRDefault="00144C65" w:rsidP="009564BE">
      <w:pPr>
        <w:pStyle w:val="LegalNumPar"/>
        <w:numPr>
          <w:ilvl w:val="0"/>
          <w:numId w:val="0"/>
        </w:numPr>
        <w:spacing w:line="240" w:lineRule="auto"/>
        <w:rPr>
          <w:noProof/>
        </w:rPr>
      </w:pPr>
      <w:r>
        <w:rPr>
          <w:noProof/>
        </w:rPr>
        <w:t xml:space="preserve">However, Member States shall apply </w:t>
      </w:r>
      <w:r w:rsidR="003D644D">
        <w:rPr>
          <w:noProof/>
        </w:rPr>
        <w:t>those provisions necessary</w:t>
      </w:r>
      <w:r>
        <w:rPr>
          <w:noProof/>
        </w:rPr>
        <w:t xml:space="preserve"> to comply with the following provisions from </w:t>
      </w:r>
      <w:r w:rsidR="00BE2368">
        <w:rPr>
          <w:noProof/>
        </w:rPr>
        <w:t>the following dates</w:t>
      </w:r>
    </w:p>
    <w:p w14:paraId="762B243B" w14:textId="77777777" w:rsidR="00144C65" w:rsidRDefault="00BE2368">
      <w:pPr>
        <w:pStyle w:val="Point1"/>
        <w:rPr>
          <w:noProof/>
        </w:rPr>
      </w:pPr>
      <w:r>
        <w:rPr>
          <w:noProof/>
        </w:rPr>
        <w:t>(a)</w:t>
      </w:r>
      <w:r>
        <w:rPr>
          <w:noProof/>
        </w:rPr>
        <w:tab/>
        <w:t xml:space="preserve">from </w:t>
      </w:r>
      <w:r w:rsidR="00144C65">
        <w:rPr>
          <w:noProof/>
        </w:rPr>
        <w:t>1 January 2031:</w:t>
      </w:r>
    </w:p>
    <w:p w14:paraId="7019D90D" w14:textId="77777777" w:rsidR="00144C65" w:rsidRDefault="00144C65" w:rsidP="004830AF">
      <w:pPr>
        <w:pStyle w:val="Point2letter0"/>
        <w:numPr>
          <w:ilvl w:val="0"/>
          <w:numId w:val="36"/>
        </w:numPr>
      </w:pPr>
      <w:r>
        <w:t>Article 1, point (</w:t>
      </w:r>
      <w:r w:rsidR="00D279F1">
        <w:t>5</w:t>
      </w:r>
      <w:r>
        <w:t xml:space="preserve">), [as regards the new second paragraph of Article 3ga(1) of Directive 2003/87/EC] [N.B.: date of application may need to be changed to ensure it starts 2 years after </w:t>
      </w:r>
      <w:r w:rsidR="00D30565">
        <w:t>MRV</w:t>
      </w:r>
      <w:r>
        <w:t xml:space="preserve"> Maritime application in 2029];</w:t>
      </w:r>
    </w:p>
    <w:p w14:paraId="2AA8BE09" w14:textId="027D7975" w:rsidR="00144C65" w:rsidRDefault="00144C65" w:rsidP="00B97C25">
      <w:pPr>
        <w:pStyle w:val="Point2letter0"/>
        <w:numPr>
          <w:ilvl w:val="0"/>
          <w:numId w:val="0"/>
        </w:numPr>
        <w:ind w:left="2137"/>
      </w:pPr>
    </w:p>
    <w:p w14:paraId="268F31EB" w14:textId="4F9978AB" w:rsidR="0035603C" w:rsidRDefault="00571A13">
      <w:pPr>
        <w:pStyle w:val="Point2letter0"/>
      </w:pPr>
      <w:r>
        <w:t xml:space="preserve">Annex I, point 1(c)(iii) to (v) </w:t>
      </w:r>
      <w:r w:rsidR="00144C65">
        <w:t xml:space="preserve">regarding the amendments to the activities on capture of carbon dioxide, transport of carbon dioxide, utilisation of carbon dioxide, processing of carbon dioxide and distribution of synthetic fuels in rows </w:t>
      </w:r>
      <w:r w:rsidR="00E65A94" w:rsidRPr="00E65A94">
        <w:t>twenty-six</w:t>
      </w:r>
      <w:r w:rsidR="00E65A94">
        <w:t xml:space="preserve">, </w:t>
      </w:r>
      <w:r w:rsidR="00E65A94" w:rsidRPr="00E65A94">
        <w:t>twenty-s</w:t>
      </w:r>
      <w:r w:rsidR="00E65A94">
        <w:t xml:space="preserve">even, and the rows inserted after </w:t>
      </w:r>
      <w:r w:rsidR="00E65A94" w:rsidRPr="00E65A94">
        <w:t>the twenty-eight row</w:t>
      </w:r>
      <w:r w:rsidR="00144C65">
        <w:t xml:space="preserve"> in Annex I to Directive 2003/87/EC; </w:t>
      </w:r>
    </w:p>
    <w:p w14:paraId="04E5F8B3" w14:textId="77777777" w:rsidR="008A50D4" w:rsidRDefault="00093712" w:rsidP="005C5947">
      <w:pPr>
        <w:pStyle w:val="Point1"/>
        <w:rPr>
          <w:noProof/>
        </w:rPr>
      </w:pPr>
      <w:r>
        <w:rPr>
          <w:noProof/>
        </w:rPr>
        <w:t>(a)</w:t>
      </w:r>
      <w:r>
        <w:rPr>
          <w:noProof/>
        </w:rPr>
        <w:tab/>
        <w:t>from 1 January 2029</w:t>
      </w:r>
      <w:r w:rsidR="00661CC9">
        <w:rPr>
          <w:noProof/>
        </w:rPr>
        <w:t>:</w:t>
      </w:r>
      <w:r>
        <w:rPr>
          <w:noProof/>
        </w:rPr>
        <w:t xml:space="preserve"> A</w:t>
      </w:r>
      <w:r w:rsidRPr="00093712">
        <w:rPr>
          <w:noProof/>
        </w:rPr>
        <w:t>nnex I, point (1)(c)(vi), as regards the entry ‘Maritime transport’ in the table in Annex I to Directive 2003/87/EC</w:t>
      </w:r>
      <w:r>
        <w:rPr>
          <w:noProof/>
        </w:rPr>
        <w:t>;</w:t>
      </w:r>
    </w:p>
    <w:p w14:paraId="5E7AC542" w14:textId="31804DF6" w:rsidR="00144C65" w:rsidRPr="009564BE" w:rsidRDefault="009062EF">
      <w:pPr>
        <w:pStyle w:val="Point1"/>
        <w:rPr>
          <w:noProof/>
        </w:rPr>
      </w:pPr>
      <w:r>
        <w:rPr>
          <w:noProof/>
        </w:rPr>
        <w:t>(b)</w:t>
      </w:r>
      <w:r>
        <w:rPr>
          <w:noProof/>
        </w:rPr>
        <w:tab/>
      </w:r>
      <w:r w:rsidRPr="009564BE">
        <w:rPr>
          <w:noProof/>
        </w:rPr>
        <w:t>f</w:t>
      </w:r>
      <w:r w:rsidR="008407D7" w:rsidRPr="009564BE">
        <w:rPr>
          <w:noProof/>
        </w:rPr>
        <w:t xml:space="preserve">rom 30 September 2029:  </w:t>
      </w:r>
      <w:r w:rsidR="00144C65" w:rsidRPr="009564BE">
        <w:rPr>
          <w:noProof/>
        </w:rPr>
        <w:t>Article 1</w:t>
      </w:r>
      <w:r w:rsidR="004B49C5" w:rsidRPr="009564BE">
        <w:rPr>
          <w:noProof/>
        </w:rPr>
        <w:t>, point (</w:t>
      </w:r>
      <w:r>
        <w:rPr>
          <w:noProof/>
        </w:rPr>
        <w:t>17)(d</w:t>
      </w:r>
      <w:r w:rsidR="004B49C5" w:rsidRPr="009564BE">
        <w:rPr>
          <w:noProof/>
        </w:rPr>
        <w:t>),</w:t>
      </w:r>
      <w:r w:rsidR="00144C65" w:rsidRPr="009564BE">
        <w:rPr>
          <w:noProof/>
        </w:rPr>
        <w:t xml:space="preserve"> regarding Article 10a(</w:t>
      </w:r>
      <w:r w:rsidR="007130B9" w:rsidRPr="009564BE">
        <w:rPr>
          <w:noProof/>
        </w:rPr>
        <w:t>3b</w:t>
      </w:r>
      <w:r w:rsidR="00144C65" w:rsidRPr="009564BE">
        <w:rPr>
          <w:noProof/>
        </w:rPr>
        <w:t>), Article 10a(</w:t>
      </w:r>
      <w:r w:rsidR="007130B9" w:rsidRPr="009564BE">
        <w:rPr>
          <w:noProof/>
        </w:rPr>
        <w:t>3c</w:t>
      </w:r>
      <w:r w:rsidR="00144C65" w:rsidRPr="009564BE">
        <w:rPr>
          <w:noProof/>
        </w:rPr>
        <w:t>), Article 10a(</w:t>
      </w:r>
      <w:r w:rsidR="007130B9" w:rsidRPr="009564BE">
        <w:rPr>
          <w:noProof/>
        </w:rPr>
        <w:t>3d</w:t>
      </w:r>
      <w:r w:rsidR="00144C65" w:rsidRPr="009564BE">
        <w:rPr>
          <w:noProof/>
        </w:rPr>
        <w:t>)</w:t>
      </w:r>
      <w:r w:rsidR="00C60777" w:rsidRPr="009564BE">
        <w:rPr>
          <w:noProof/>
        </w:rPr>
        <w:t xml:space="preserve"> of Directive 2003/87/EC as regards the five-year period for free allocation starting in 2031.</w:t>
      </w:r>
    </w:p>
    <w:p w14:paraId="26EE5A5B" w14:textId="4D629684" w:rsidR="00144C65" w:rsidRPr="009564BE" w:rsidRDefault="009062EF">
      <w:pPr>
        <w:pStyle w:val="Point1"/>
        <w:rPr>
          <w:noProof/>
        </w:rPr>
      </w:pPr>
      <w:r>
        <w:rPr>
          <w:noProof/>
        </w:rPr>
        <w:t>(c)</w:t>
      </w:r>
      <w:r>
        <w:rPr>
          <w:noProof/>
        </w:rPr>
        <w:tab/>
      </w:r>
      <w:r w:rsidRPr="009564BE">
        <w:rPr>
          <w:noProof/>
        </w:rPr>
        <w:t>f</w:t>
      </w:r>
      <w:r w:rsidR="001903A5" w:rsidRPr="009564BE">
        <w:rPr>
          <w:noProof/>
        </w:rPr>
        <w:t>rom [date of application of MRV provisions related to offshore]:</w:t>
      </w:r>
      <w:r w:rsidR="001903A5" w:rsidRPr="009564BE" w:rsidDel="001903A5">
        <w:rPr>
          <w:noProof/>
        </w:rPr>
        <w:t xml:space="preserve"> </w:t>
      </w:r>
      <w:r w:rsidR="00144C65" w:rsidRPr="009564BE">
        <w:rPr>
          <w:noProof/>
        </w:rPr>
        <w:t>Article 1, point (</w:t>
      </w:r>
      <w:r w:rsidR="00975ECB">
        <w:rPr>
          <w:noProof/>
        </w:rPr>
        <w:t>3</w:t>
      </w:r>
      <w:r w:rsidR="00144C65" w:rsidRPr="009564BE">
        <w:rPr>
          <w:noProof/>
        </w:rPr>
        <w:t>)(</w:t>
      </w:r>
      <w:r w:rsidR="00975ECB">
        <w:rPr>
          <w:noProof/>
        </w:rPr>
        <w:t>e</w:t>
      </w:r>
      <w:r w:rsidR="00144C65" w:rsidRPr="009564BE">
        <w:rPr>
          <w:noProof/>
        </w:rPr>
        <w:t>), as regards Article 3, point (z)</w:t>
      </w:r>
      <w:r w:rsidR="00231E6E" w:rsidRPr="009564BE">
        <w:rPr>
          <w:noProof/>
        </w:rPr>
        <w:t xml:space="preserve"> </w:t>
      </w:r>
      <w:r w:rsidR="00144C65" w:rsidRPr="009564BE">
        <w:rPr>
          <w:noProof/>
        </w:rPr>
        <w:t>‘port of call’ of Directive 2003/87/EC</w:t>
      </w:r>
      <w:r w:rsidR="001903A5" w:rsidRPr="009564BE">
        <w:rPr>
          <w:noProof/>
        </w:rPr>
        <w:t>.</w:t>
      </w:r>
    </w:p>
    <w:p w14:paraId="210D25AF" w14:textId="77777777" w:rsidR="0052314F" w:rsidRPr="00144C65" w:rsidRDefault="0052314F" w:rsidP="009564BE">
      <w:pPr>
        <w:pStyle w:val="LegalNumPar"/>
        <w:numPr>
          <w:ilvl w:val="0"/>
          <w:numId w:val="0"/>
        </w:numPr>
        <w:spacing w:line="240" w:lineRule="auto"/>
        <w:rPr>
          <w:noProof/>
        </w:rPr>
      </w:pPr>
      <w:r>
        <w:rPr>
          <w:noProof/>
        </w:rPr>
        <w:t>When Member States adopt those provisions, they shall contain a reference to this Directive or be accompanied by such a reference on the occasion of their official publication. Member States shall determine how such reference is to be made.</w:t>
      </w:r>
    </w:p>
    <w:p w14:paraId="106B6F23" w14:textId="6587E292" w:rsidR="00144C65" w:rsidRPr="00AC7E92" w:rsidRDefault="00144C65" w:rsidP="00F90D41">
      <w:pPr>
        <w:pStyle w:val="LegalNumPar"/>
        <w:spacing w:line="240" w:lineRule="auto"/>
        <w:ind w:left="0" w:firstLine="0"/>
        <w:rPr>
          <w:noProof/>
        </w:rPr>
      </w:pPr>
      <w:r w:rsidRPr="00144C65">
        <w:rPr>
          <w:noProof/>
        </w:rPr>
        <w:t xml:space="preserve">By way of derogation from paragraph 1, Member States </w:t>
      </w:r>
      <w:r w:rsidR="009062EF">
        <w:rPr>
          <w:noProof/>
        </w:rPr>
        <w:t>shall adopt and publish,</w:t>
      </w:r>
      <w:r w:rsidRPr="00144C65">
        <w:rPr>
          <w:noProof/>
        </w:rPr>
        <w:t xml:space="preserve"> </w:t>
      </w:r>
      <w:r w:rsidR="009D53E0" w:rsidRPr="009D53E0">
        <w:rPr>
          <w:noProof/>
        </w:rPr>
        <w:t xml:space="preserve">by </w:t>
      </w:r>
      <w:r w:rsidR="009D53E0" w:rsidRPr="00144C65">
        <w:rPr>
          <w:noProof/>
        </w:rPr>
        <w:t xml:space="preserve">31 December 2027 </w:t>
      </w:r>
      <w:r w:rsidR="009D53E0" w:rsidRPr="009D53E0">
        <w:rPr>
          <w:noProof/>
        </w:rPr>
        <w:t xml:space="preserve">at the latest, the laws, regulations and administrative provisions necessary to comply with </w:t>
      </w:r>
      <w:r w:rsidRPr="00144C65">
        <w:rPr>
          <w:noProof/>
        </w:rPr>
        <w:t>Article 1, points (</w:t>
      </w:r>
      <w:r w:rsidR="00B02F70">
        <w:rPr>
          <w:noProof/>
        </w:rPr>
        <w:t>3</w:t>
      </w:r>
      <w:r w:rsidRPr="00144C65">
        <w:rPr>
          <w:noProof/>
        </w:rPr>
        <w:t>)</w:t>
      </w:r>
      <w:r w:rsidR="00B02F70">
        <w:rPr>
          <w:noProof/>
        </w:rPr>
        <w:t>(b)</w:t>
      </w:r>
      <w:r w:rsidR="00115AC7">
        <w:rPr>
          <w:noProof/>
        </w:rPr>
        <w:t>, (</w:t>
      </w:r>
      <w:r>
        <w:rPr>
          <w:noProof/>
        </w:rPr>
        <w:t>12</w:t>
      </w:r>
      <w:r w:rsidR="00115AC7">
        <w:rPr>
          <w:noProof/>
        </w:rPr>
        <w:t>)</w:t>
      </w:r>
      <w:r w:rsidRPr="00144C65">
        <w:rPr>
          <w:noProof/>
        </w:rPr>
        <w:t xml:space="preserve"> and (</w:t>
      </w:r>
      <w:r>
        <w:rPr>
          <w:noProof/>
        </w:rPr>
        <w:t>17)(e</w:t>
      </w:r>
      <w:r w:rsidR="00B02F70">
        <w:rPr>
          <w:noProof/>
        </w:rPr>
        <w:t>)</w:t>
      </w:r>
      <w:r w:rsidRPr="00144C65">
        <w:rPr>
          <w:noProof/>
        </w:rPr>
        <w:t xml:space="preserve"> </w:t>
      </w:r>
      <w:r w:rsidR="00605C3A">
        <w:rPr>
          <w:noProof/>
        </w:rPr>
        <w:t xml:space="preserve">of this Directive </w:t>
      </w:r>
      <w:r w:rsidRPr="00144C65">
        <w:rPr>
          <w:noProof/>
        </w:rPr>
        <w:t xml:space="preserve">regarding the amendment to Article 3(h) and the introduction of </w:t>
      </w:r>
      <w:r w:rsidR="00115AC7">
        <w:rPr>
          <w:noProof/>
        </w:rPr>
        <w:t>Article 6(4) and</w:t>
      </w:r>
      <w:r w:rsidR="0028454A">
        <w:rPr>
          <w:noProof/>
        </w:rPr>
        <w:t xml:space="preserve"> </w:t>
      </w:r>
      <w:r w:rsidRPr="00144C65">
        <w:rPr>
          <w:noProof/>
        </w:rPr>
        <w:t>Article 10a(</w:t>
      </w:r>
      <w:r w:rsidR="007130B9">
        <w:rPr>
          <w:noProof/>
        </w:rPr>
        <w:t>3f</w:t>
      </w:r>
      <w:r w:rsidRPr="00144C65">
        <w:rPr>
          <w:noProof/>
        </w:rPr>
        <w:t>)</w:t>
      </w:r>
      <w:r w:rsidR="00E34864">
        <w:rPr>
          <w:noProof/>
        </w:rPr>
        <w:t xml:space="preserve"> of Directive 2003/87/EC</w:t>
      </w:r>
      <w:r w:rsidRPr="00144C65">
        <w:rPr>
          <w:noProof/>
        </w:rPr>
        <w:t>. They shall apply those measures from 1 January 2028.</w:t>
      </w:r>
    </w:p>
    <w:p w14:paraId="04934CEA" w14:textId="77777777" w:rsidR="008B4A1D" w:rsidRPr="00AC7E92" w:rsidRDefault="008B4A1D" w:rsidP="009564BE">
      <w:pPr>
        <w:pStyle w:val="LegalNumPar"/>
        <w:numPr>
          <w:ilvl w:val="0"/>
          <w:numId w:val="0"/>
        </w:numPr>
        <w:spacing w:line="240" w:lineRule="auto"/>
        <w:rPr>
          <w:noProof/>
        </w:rPr>
      </w:pPr>
      <w:r w:rsidRPr="008B4A1D">
        <w:rPr>
          <w:noProof/>
        </w:rPr>
        <w:t>When Member States adopt those provisions, they shall contain a reference to this Directive or be accompanied by such a reference on the occasion of their official publication. Member States shall determine how such reference is to be made</w:t>
      </w:r>
      <w:r w:rsidR="007130B9">
        <w:rPr>
          <w:noProof/>
        </w:rPr>
        <w:t>.</w:t>
      </w:r>
    </w:p>
    <w:p w14:paraId="21FA4D27" w14:textId="77777777" w:rsidR="00144C65" w:rsidRPr="00144C65" w:rsidRDefault="00144C65" w:rsidP="009564BE">
      <w:pPr>
        <w:pStyle w:val="LegalNumPar"/>
        <w:numPr>
          <w:ilvl w:val="0"/>
          <w:numId w:val="0"/>
        </w:numPr>
        <w:spacing w:line="240" w:lineRule="auto"/>
        <w:rPr>
          <w:noProof/>
        </w:rPr>
      </w:pPr>
      <w:r>
        <w:rPr>
          <w:noProof/>
        </w:rPr>
        <w:t>Member States shall communicate to the Commission the text of the main measures of national law which they adopt i</w:t>
      </w:r>
      <w:r w:rsidRPr="00144C65">
        <w:rPr>
          <w:noProof/>
        </w:rPr>
        <w:t>n the field covered by this Directive.</w:t>
      </w:r>
    </w:p>
    <w:p w14:paraId="1A6EA816" w14:textId="77777777" w:rsidR="00144C65" w:rsidRPr="00F90D41" w:rsidRDefault="00144C65" w:rsidP="00B97C25">
      <w:pPr>
        <w:pStyle w:val="Titrearticle"/>
        <w:rPr>
          <w:noProof/>
        </w:rPr>
      </w:pPr>
      <w:r w:rsidRPr="00F90D41">
        <w:rPr>
          <w:noProof/>
        </w:rPr>
        <w:t xml:space="preserve">Article </w:t>
      </w:r>
      <w:r w:rsidR="00BA0C11" w:rsidRPr="00F90D41">
        <w:rPr>
          <w:noProof/>
        </w:rPr>
        <w:t>4</w:t>
      </w:r>
    </w:p>
    <w:p w14:paraId="22332272" w14:textId="77777777" w:rsidR="00144C65" w:rsidRPr="00144C65" w:rsidRDefault="00144C65" w:rsidP="00144C65">
      <w:pPr>
        <w:jc w:val="center"/>
        <w:rPr>
          <w:b/>
          <w:bCs/>
          <w:noProof/>
        </w:rPr>
      </w:pPr>
      <w:r w:rsidRPr="00144C65">
        <w:rPr>
          <w:b/>
          <w:bCs/>
          <w:noProof/>
        </w:rPr>
        <w:t>Transitional provisions</w:t>
      </w:r>
    </w:p>
    <w:p w14:paraId="1EBD29B6" w14:textId="77777777" w:rsidR="00144C65" w:rsidRPr="00144C65" w:rsidRDefault="00144C65" w:rsidP="00B97C25">
      <w:pPr>
        <w:pStyle w:val="LegalNumPar"/>
        <w:numPr>
          <w:ilvl w:val="0"/>
          <w:numId w:val="0"/>
        </w:numPr>
        <w:spacing w:line="240" w:lineRule="auto"/>
        <w:rPr>
          <w:noProof/>
        </w:rPr>
      </w:pPr>
      <w:r w:rsidRPr="00144C65">
        <w:rPr>
          <w:noProof/>
        </w:rPr>
        <w:t>The list contained in the Annex to Delegated Decision (EU) 2019/708 shall continue to apply until 31 December 2040.</w:t>
      </w:r>
    </w:p>
    <w:p w14:paraId="59F5EABB" w14:textId="77777777" w:rsidR="006052EE" w:rsidRDefault="006052EE" w:rsidP="00445C9D">
      <w:pPr>
        <w:pStyle w:val="Titrearticle"/>
        <w:rPr>
          <w:noProof/>
        </w:rPr>
      </w:pPr>
      <w:r w:rsidRPr="00AC7E92">
        <w:rPr>
          <w:noProof/>
        </w:rPr>
        <w:t>Article</w:t>
      </w:r>
      <w:r w:rsidR="00144C65">
        <w:rPr>
          <w:noProof/>
        </w:rPr>
        <w:t xml:space="preserve"> </w:t>
      </w:r>
      <w:r w:rsidR="00BA0C11">
        <w:rPr>
          <w:noProof/>
        </w:rPr>
        <w:t>5</w:t>
      </w:r>
    </w:p>
    <w:p w14:paraId="4A3AE9F1" w14:textId="77777777" w:rsidR="00D81562" w:rsidRPr="00D81562" w:rsidRDefault="00D81562" w:rsidP="00D81562">
      <w:pPr>
        <w:jc w:val="center"/>
        <w:rPr>
          <w:b/>
          <w:bCs/>
          <w:noProof/>
        </w:rPr>
      </w:pPr>
      <w:r w:rsidRPr="00D81562">
        <w:rPr>
          <w:b/>
          <w:bCs/>
          <w:noProof/>
        </w:rPr>
        <w:t>Entry into force and application</w:t>
      </w:r>
    </w:p>
    <w:p w14:paraId="512D8C81" w14:textId="77777777" w:rsidR="006052EE" w:rsidRPr="00144C65" w:rsidRDefault="006052EE" w:rsidP="004830AF">
      <w:pPr>
        <w:pStyle w:val="LegalNumPar"/>
        <w:numPr>
          <w:ilvl w:val="0"/>
          <w:numId w:val="33"/>
        </w:numPr>
        <w:spacing w:line="240" w:lineRule="auto"/>
        <w:ind w:left="0" w:firstLine="0"/>
        <w:rPr>
          <w:noProof/>
        </w:rPr>
      </w:pPr>
      <w:r w:rsidRPr="00144C65">
        <w:rPr>
          <w:noProof/>
        </w:rPr>
        <w:t>This Directive shall enter into force on the</w:t>
      </w:r>
      <w:r w:rsidR="00144C65" w:rsidRPr="00144C65">
        <w:rPr>
          <w:noProof/>
        </w:rPr>
        <w:t xml:space="preserve"> twentieth </w:t>
      </w:r>
      <w:r w:rsidRPr="00144C65">
        <w:rPr>
          <w:noProof/>
        </w:rPr>
        <w:t>day following that of its publication in the Official Journal of the European Union.</w:t>
      </w:r>
    </w:p>
    <w:p w14:paraId="5B74156A" w14:textId="77777777" w:rsidR="00144C65" w:rsidRDefault="00144C65" w:rsidP="00F90D41">
      <w:pPr>
        <w:pStyle w:val="LegalNumPar"/>
        <w:spacing w:line="240" w:lineRule="auto"/>
        <w:ind w:left="0" w:firstLine="0"/>
        <w:rPr>
          <w:noProof/>
        </w:rPr>
      </w:pPr>
      <w:r>
        <w:rPr>
          <w:noProof/>
        </w:rPr>
        <w:t>The following articles shall apply from 30 September 2027:</w:t>
      </w:r>
    </w:p>
    <w:p w14:paraId="0F667A92" w14:textId="4B9E2C1A" w:rsidR="00144C65" w:rsidRDefault="00366F1D">
      <w:pPr>
        <w:pStyle w:val="Point1"/>
        <w:rPr>
          <w:noProof/>
        </w:rPr>
      </w:pPr>
      <w:r>
        <w:rPr>
          <w:noProof/>
        </w:rPr>
        <w:t>(a)</w:t>
      </w:r>
      <w:r>
        <w:rPr>
          <w:noProof/>
        </w:rPr>
        <w:tab/>
        <w:t>Article 1(</w:t>
      </w:r>
      <w:r w:rsidR="00B02F70">
        <w:rPr>
          <w:noProof/>
        </w:rPr>
        <w:t>1</w:t>
      </w:r>
      <w:r w:rsidR="000200E0">
        <w:rPr>
          <w:noProof/>
        </w:rPr>
        <w:t>5</w:t>
      </w:r>
      <w:r>
        <w:rPr>
          <w:noProof/>
        </w:rPr>
        <w:t>)(b)(i),</w:t>
      </w:r>
      <w:r w:rsidR="0056023A">
        <w:rPr>
          <w:noProof/>
        </w:rPr>
        <w:t xml:space="preserve"> </w:t>
      </w:r>
      <w:r>
        <w:rPr>
          <w:noProof/>
        </w:rPr>
        <w:t>and (ii) regarding the amendments to Article 10a(1a) of Directive 2003/87/EC</w:t>
      </w:r>
      <w:r w:rsidR="00144C65">
        <w:rPr>
          <w:noProof/>
        </w:rPr>
        <w:t>;</w:t>
      </w:r>
    </w:p>
    <w:p w14:paraId="6978FE91" w14:textId="64B56264" w:rsidR="00144C65" w:rsidRDefault="00144C65">
      <w:pPr>
        <w:pStyle w:val="Point1"/>
        <w:rPr>
          <w:noProof/>
        </w:rPr>
      </w:pPr>
      <w:r>
        <w:rPr>
          <w:noProof/>
        </w:rPr>
        <w:t>(b)</w:t>
      </w:r>
      <w:r>
        <w:rPr>
          <w:noProof/>
        </w:rPr>
        <w:tab/>
        <w:t>Article 1(</w:t>
      </w:r>
      <w:r w:rsidR="00B02F70">
        <w:rPr>
          <w:noProof/>
        </w:rPr>
        <w:t>1</w:t>
      </w:r>
      <w:r w:rsidR="00410173">
        <w:rPr>
          <w:noProof/>
        </w:rPr>
        <w:t>5</w:t>
      </w:r>
      <w:r>
        <w:rPr>
          <w:noProof/>
        </w:rPr>
        <w:t>)</w:t>
      </w:r>
      <w:r w:rsidR="00B02F70">
        <w:rPr>
          <w:noProof/>
        </w:rPr>
        <w:t>(</w:t>
      </w:r>
      <w:r>
        <w:rPr>
          <w:noProof/>
        </w:rPr>
        <w:t>g</w:t>
      </w:r>
      <w:r w:rsidR="005A7DE7">
        <w:rPr>
          <w:noProof/>
        </w:rPr>
        <w:t>) and (</w:t>
      </w:r>
      <w:r>
        <w:rPr>
          <w:noProof/>
        </w:rPr>
        <w:t>i</w:t>
      </w:r>
      <w:r w:rsidR="005A7DE7">
        <w:rPr>
          <w:noProof/>
        </w:rPr>
        <w:t xml:space="preserve">) </w:t>
      </w:r>
      <w:r>
        <w:rPr>
          <w:noProof/>
        </w:rPr>
        <w:t>regarding the amendments to Article 10a(5</w:t>
      </w:r>
      <w:r w:rsidR="00B02F70">
        <w:rPr>
          <w:noProof/>
        </w:rPr>
        <w:t>b</w:t>
      </w:r>
      <w:r>
        <w:rPr>
          <w:noProof/>
        </w:rPr>
        <w:t xml:space="preserve">) and 10a(7) of Directive 2003/87/EC; </w:t>
      </w:r>
    </w:p>
    <w:p w14:paraId="61CADE1C" w14:textId="48D5C1FC" w:rsidR="00144C65" w:rsidRDefault="00144C65">
      <w:pPr>
        <w:pStyle w:val="Point1"/>
        <w:rPr>
          <w:noProof/>
        </w:rPr>
      </w:pPr>
      <w:r>
        <w:rPr>
          <w:noProof/>
        </w:rPr>
        <w:t>(c)</w:t>
      </w:r>
      <w:r>
        <w:rPr>
          <w:noProof/>
        </w:rPr>
        <w:tab/>
        <w:t>Article 1(</w:t>
      </w:r>
      <w:r w:rsidR="00E65A94">
        <w:rPr>
          <w:noProof/>
        </w:rPr>
        <w:t>17</w:t>
      </w:r>
      <w:r>
        <w:rPr>
          <w:noProof/>
        </w:rPr>
        <w:t xml:space="preserve">) regarding the introduction of Articles </w:t>
      </w:r>
      <w:r w:rsidR="00565443">
        <w:rPr>
          <w:noProof/>
        </w:rPr>
        <w:t>10cc</w:t>
      </w:r>
      <w:r>
        <w:rPr>
          <w:noProof/>
        </w:rPr>
        <w:t xml:space="preserve">, </w:t>
      </w:r>
      <w:r w:rsidR="00565443">
        <w:rPr>
          <w:noProof/>
        </w:rPr>
        <w:t>10cd</w:t>
      </w:r>
      <w:r>
        <w:rPr>
          <w:noProof/>
        </w:rPr>
        <w:t xml:space="preserve"> and </w:t>
      </w:r>
      <w:r w:rsidR="00565443">
        <w:rPr>
          <w:noProof/>
        </w:rPr>
        <w:t>10ce</w:t>
      </w:r>
      <w:r>
        <w:rPr>
          <w:noProof/>
        </w:rPr>
        <w:t xml:space="preserve"> of Directive 2003/87/EC; </w:t>
      </w:r>
    </w:p>
    <w:p w14:paraId="3EB7C56B" w14:textId="4B7FC241" w:rsidR="00144C65" w:rsidRDefault="00144C65">
      <w:pPr>
        <w:pStyle w:val="Point1"/>
        <w:rPr>
          <w:noProof/>
        </w:rPr>
      </w:pPr>
      <w:r>
        <w:rPr>
          <w:noProof/>
        </w:rPr>
        <w:t>(d)</w:t>
      </w:r>
      <w:r>
        <w:rPr>
          <w:noProof/>
        </w:rPr>
        <w:tab/>
        <w:t>Article 1(</w:t>
      </w:r>
      <w:r w:rsidR="00B02F70">
        <w:rPr>
          <w:noProof/>
        </w:rPr>
        <w:t>25</w:t>
      </w:r>
      <w:r>
        <w:rPr>
          <w:noProof/>
        </w:rPr>
        <w:t>)</w:t>
      </w:r>
      <w:r w:rsidR="00B02F70">
        <w:rPr>
          <w:noProof/>
        </w:rPr>
        <w:t>(b)</w:t>
      </w:r>
      <w:r>
        <w:rPr>
          <w:noProof/>
        </w:rPr>
        <w:t xml:space="preserve"> regarding the amendments inserting paragraph 1a in Article 19 of Directive 2003/87/EC; </w:t>
      </w:r>
    </w:p>
    <w:p w14:paraId="2B1D6D45" w14:textId="1D8C7ABC" w:rsidR="00B02F70" w:rsidRDefault="00B02F70">
      <w:pPr>
        <w:pStyle w:val="Point1"/>
        <w:rPr>
          <w:noProof/>
        </w:rPr>
      </w:pPr>
      <w:r>
        <w:rPr>
          <w:noProof/>
        </w:rPr>
        <w:t>(e)</w:t>
      </w:r>
      <w:r>
        <w:rPr>
          <w:noProof/>
        </w:rPr>
        <w:tab/>
        <w:t>Article 1(15)(c)(i) regarding the amendment inserting a new suparagraph after Article 10a(2), second subparagraph;</w:t>
      </w:r>
    </w:p>
    <w:p w14:paraId="22F5A9EA" w14:textId="77777777" w:rsidR="00144C65" w:rsidRDefault="00144C65" w:rsidP="00D1298B">
      <w:pPr>
        <w:pStyle w:val="LegalNumPar"/>
        <w:spacing w:line="240" w:lineRule="auto"/>
        <w:rPr>
          <w:noProof/>
        </w:rPr>
      </w:pPr>
      <w:r>
        <w:rPr>
          <w:noProof/>
        </w:rPr>
        <w:t xml:space="preserve">The following articles shall apply from 1 January 2029: </w:t>
      </w:r>
    </w:p>
    <w:p w14:paraId="4584322D" w14:textId="314D410F" w:rsidR="00144C65" w:rsidRDefault="00144C65">
      <w:pPr>
        <w:pStyle w:val="Point1"/>
        <w:rPr>
          <w:noProof/>
        </w:rPr>
      </w:pPr>
      <w:r>
        <w:rPr>
          <w:noProof/>
        </w:rPr>
        <w:t>(a)</w:t>
      </w:r>
      <w:r>
        <w:rPr>
          <w:noProof/>
        </w:rPr>
        <w:tab/>
        <w:t>Article 1(</w:t>
      </w:r>
      <w:r w:rsidR="00E65A94">
        <w:rPr>
          <w:noProof/>
        </w:rPr>
        <w:t>14</w:t>
      </w:r>
      <w:r>
        <w:rPr>
          <w:noProof/>
        </w:rPr>
        <w:t>)</w:t>
      </w:r>
      <w:r w:rsidR="00E65A94">
        <w:rPr>
          <w:noProof/>
        </w:rPr>
        <w:t>(</w:t>
      </w:r>
      <w:r>
        <w:rPr>
          <w:noProof/>
        </w:rPr>
        <w:t>c</w:t>
      </w:r>
      <w:r w:rsidR="00E65A94">
        <w:rPr>
          <w:noProof/>
        </w:rPr>
        <w:t>)</w:t>
      </w:r>
      <w:r>
        <w:rPr>
          <w:noProof/>
        </w:rPr>
        <w:t xml:space="preserve"> regarding the amendments to Article 10(3); </w:t>
      </w:r>
    </w:p>
    <w:p w14:paraId="7B85BCB7" w14:textId="7BC5B037" w:rsidR="00144C65" w:rsidRDefault="00144C65">
      <w:pPr>
        <w:pStyle w:val="Point1"/>
        <w:rPr>
          <w:noProof/>
        </w:rPr>
      </w:pPr>
      <w:r>
        <w:rPr>
          <w:noProof/>
        </w:rPr>
        <w:t>(b)</w:t>
      </w:r>
      <w:r>
        <w:rPr>
          <w:noProof/>
        </w:rPr>
        <w:tab/>
        <w:t>Article 1(</w:t>
      </w:r>
      <w:r w:rsidR="00B02F70">
        <w:rPr>
          <w:noProof/>
        </w:rPr>
        <w:t>15</w:t>
      </w:r>
      <w:r>
        <w:rPr>
          <w:noProof/>
        </w:rPr>
        <w:t>)</w:t>
      </w:r>
      <w:r w:rsidR="00B02F70">
        <w:rPr>
          <w:noProof/>
        </w:rPr>
        <w:t>(</w:t>
      </w:r>
      <w:r>
        <w:rPr>
          <w:noProof/>
        </w:rPr>
        <w:t>c)(ii</w:t>
      </w:r>
      <w:r w:rsidR="00B02F70">
        <w:rPr>
          <w:noProof/>
        </w:rPr>
        <w:t>)</w:t>
      </w:r>
      <w:r>
        <w:rPr>
          <w:noProof/>
        </w:rPr>
        <w:t xml:space="preserve"> regarding the introduction of points (f) to (i) in the third subparagraph of Article 10a(2) of Directive 2003/87/EC; </w:t>
      </w:r>
    </w:p>
    <w:p w14:paraId="54A5A68D" w14:textId="0A93CDE9" w:rsidR="0051558B" w:rsidRDefault="00AA32F9" w:rsidP="00F90D41">
      <w:pPr>
        <w:pStyle w:val="LegalNumPar"/>
        <w:spacing w:line="240" w:lineRule="auto"/>
        <w:ind w:left="0" w:firstLine="0"/>
        <w:rPr>
          <w:noProof/>
        </w:rPr>
      </w:pPr>
      <w:r>
        <w:rPr>
          <w:noProof/>
        </w:rPr>
        <w:t xml:space="preserve">Article </w:t>
      </w:r>
      <w:r w:rsidR="00F95043">
        <w:rPr>
          <w:noProof/>
        </w:rPr>
        <w:t>1(15)(</w:t>
      </w:r>
      <w:r>
        <w:rPr>
          <w:noProof/>
        </w:rPr>
        <w:t>b)(iii) regarding the use of the allowances resulting from the reduction of free allocation, Article 1(15)(f</w:t>
      </w:r>
      <w:r w:rsidR="00975ECB">
        <w:rPr>
          <w:noProof/>
        </w:rPr>
        <w:t>)</w:t>
      </w:r>
      <w:r w:rsidR="00144C65">
        <w:rPr>
          <w:noProof/>
        </w:rPr>
        <w:t xml:space="preserve"> </w:t>
      </w:r>
      <w:r w:rsidR="00A809D0" w:rsidRPr="00B97C25">
        <w:rPr>
          <w:noProof/>
        </w:rPr>
        <w:t>regarding the replacement of Article 10a(5a</w:t>
      </w:r>
      <w:r>
        <w:rPr>
          <w:noProof/>
        </w:rPr>
        <w:t>), Article 1(15)(j)</w:t>
      </w:r>
      <w:r w:rsidR="00A809D0">
        <w:rPr>
          <w:noProof/>
        </w:rPr>
        <w:t xml:space="preserve"> </w:t>
      </w:r>
      <w:r w:rsidR="00144C65">
        <w:rPr>
          <w:noProof/>
        </w:rPr>
        <w:t>regarding the deletion of Article 10a(8) and 10a(8a) of Directive 2003/87/EC, Article 1(</w:t>
      </w:r>
      <w:r w:rsidR="00451962">
        <w:rPr>
          <w:noProof/>
        </w:rPr>
        <w:t>17</w:t>
      </w:r>
      <w:r w:rsidR="00144C65">
        <w:rPr>
          <w:noProof/>
        </w:rPr>
        <w:t xml:space="preserve">) regarding the </w:t>
      </w:r>
      <w:r w:rsidR="00451962">
        <w:rPr>
          <w:noProof/>
        </w:rPr>
        <w:t>insertion</w:t>
      </w:r>
      <w:r w:rsidR="00144C65">
        <w:rPr>
          <w:noProof/>
        </w:rPr>
        <w:t xml:space="preserve"> of Article </w:t>
      </w:r>
      <w:r w:rsidR="00565443">
        <w:rPr>
          <w:noProof/>
        </w:rPr>
        <w:t xml:space="preserve">10cb </w:t>
      </w:r>
      <w:r w:rsidR="00144C65">
        <w:rPr>
          <w:noProof/>
        </w:rPr>
        <w:t>of Directive 2003/87/EC, Article 1(</w:t>
      </w:r>
      <w:r w:rsidR="00451962">
        <w:rPr>
          <w:noProof/>
        </w:rPr>
        <w:t>18</w:t>
      </w:r>
      <w:r w:rsidR="00144C65">
        <w:rPr>
          <w:noProof/>
        </w:rPr>
        <w:t>) regarding the amendments to Article 10d of Directive 2003/87/EC, Article 1(</w:t>
      </w:r>
      <w:r w:rsidR="00451962">
        <w:rPr>
          <w:noProof/>
        </w:rPr>
        <w:t>20</w:t>
      </w:r>
      <w:r w:rsidR="00144C65">
        <w:rPr>
          <w:noProof/>
        </w:rPr>
        <w:t>) regarding the amendments to Article 10f of Directive 2003/87/EC, and Article 1(</w:t>
      </w:r>
      <w:r w:rsidR="00451962">
        <w:rPr>
          <w:noProof/>
        </w:rPr>
        <w:t>35</w:t>
      </w:r>
      <w:r w:rsidR="00144C65">
        <w:rPr>
          <w:noProof/>
        </w:rPr>
        <w:t xml:space="preserve">) regarding the amendments to Annex IIb of Directive 2003/87/EC, shall apply from 1 January 2031. </w:t>
      </w:r>
    </w:p>
    <w:p w14:paraId="71F3429D" w14:textId="77777777" w:rsidR="00144C65" w:rsidRDefault="00144C65" w:rsidP="00F90D41">
      <w:pPr>
        <w:pStyle w:val="LegalNumPar"/>
        <w:numPr>
          <w:ilvl w:val="0"/>
          <w:numId w:val="0"/>
        </w:numPr>
        <w:spacing w:line="240" w:lineRule="auto"/>
        <w:rPr>
          <w:noProof/>
        </w:rPr>
      </w:pPr>
      <w:r>
        <w:rPr>
          <w:noProof/>
        </w:rPr>
        <w:t xml:space="preserve">The Commission shall ensure that: </w:t>
      </w:r>
    </w:p>
    <w:p w14:paraId="1C4F879C" w14:textId="77777777" w:rsidR="00144C65" w:rsidRDefault="00144C65">
      <w:pPr>
        <w:pStyle w:val="Point1"/>
        <w:rPr>
          <w:noProof/>
        </w:rPr>
      </w:pPr>
      <w:r>
        <w:rPr>
          <w:noProof/>
        </w:rPr>
        <w:t>(c)</w:t>
      </w:r>
      <w:r>
        <w:rPr>
          <w:noProof/>
        </w:rPr>
        <w:tab/>
        <w:t xml:space="preserve">ongoing projects approved or selected for funding under Article 10a(8) before 1 January 2031 remain eligible for disbursement in accordance with the rules in force at the time of approval; </w:t>
      </w:r>
    </w:p>
    <w:p w14:paraId="321227D7" w14:textId="77777777" w:rsidR="00144C65" w:rsidRPr="00AC7E92" w:rsidRDefault="00144C65">
      <w:pPr>
        <w:pStyle w:val="Point1"/>
        <w:rPr>
          <w:noProof/>
        </w:rPr>
      </w:pPr>
      <w:r>
        <w:rPr>
          <w:noProof/>
        </w:rPr>
        <w:t>(d)</w:t>
      </w:r>
      <w:r>
        <w:rPr>
          <w:noProof/>
        </w:rPr>
        <w:tab/>
        <w:t xml:space="preserve">unallocated funds as of 31 December 2030 are transferred to Article </w:t>
      </w:r>
      <w:r w:rsidR="00565443">
        <w:rPr>
          <w:noProof/>
        </w:rPr>
        <w:t>10cc</w:t>
      </w:r>
      <w:r>
        <w:rPr>
          <w:noProof/>
        </w:rPr>
        <w:t xml:space="preserve">. </w:t>
      </w:r>
    </w:p>
    <w:p w14:paraId="7D8F3779" w14:textId="77777777" w:rsidR="006052EE" w:rsidRDefault="006052EE" w:rsidP="00445C9D">
      <w:pPr>
        <w:pStyle w:val="Titrearticle"/>
        <w:rPr>
          <w:noProof/>
        </w:rPr>
      </w:pPr>
      <w:r w:rsidRPr="00AC7E92">
        <w:rPr>
          <w:noProof/>
        </w:rPr>
        <w:t>Article</w:t>
      </w:r>
      <w:r w:rsidR="00144C65">
        <w:rPr>
          <w:noProof/>
        </w:rPr>
        <w:t xml:space="preserve"> </w:t>
      </w:r>
      <w:r w:rsidR="00BA0C11">
        <w:rPr>
          <w:noProof/>
        </w:rPr>
        <w:t>6</w:t>
      </w:r>
    </w:p>
    <w:p w14:paraId="7A500B06" w14:textId="77777777" w:rsidR="00D81562" w:rsidRPr="00D81562" w:rsidRDefault="00D81562" w:rsidP="00D81562">
      <w:pPr>
        <w:jc w:val="center"/>
        <w:rPr>
          <w:b/>
          <w:bCs/>
          <w:noProof/>
        </w:rPr>
      </w:pPr>
      <w:r w:rsidRPr="00D81562">
        <w:rPr>
          <w:b/>
          <w:bCs/>
          <w:noProof/>
        </w:rPr>
        <w:t>Ad</w:t>
      </w:r>
      <w:r w:rsidR="00940CB1">
        <w:rPr>
          <w:b/>
          <w:bCs/>
          <w:noProof/>
        </w:rPr>
        <w:t>d</w:t>
      </w:r>
      <w:r w:rsidRPr="00D81562">
        <w:rPr>
          <w:b/>
          <w:bCs/>
          <w:noProof/>
        </w:rPr>
        <w:t>ressees</w:t>
      </w:r>
    </w:p>
    <w:p w14:paraId="6BC3DEF0" w14:textId="77777777" w:rsidR="006052EE" w:rsidRDefault="006052EE" w:rsidP="00D1298B">
      <w:pPr>
        <w:pStyle w:val="LegalNumPar"/>
        <w:numPr>
          <w:ilvl w:val="0"/>
          <w:numId w:val="0"/>
        </w:numPr>
        <w:rPr>
          <w:noProof/>
        </w:rPr>
      </w:pPr>
      <w:r w:rsidRPr="00AC7E92">
        <w:rPr>
          <w:noProof/>
        </w:rPr>
        <w:t>This Directive is addressed to the Member States.</w:t>
      </w:r>
    </w:p>
    <w:p w14:paraId="544C7D78" w14:textId="768637B1" w:rsidR="006052EE" w:rsidRDefault="00843ACF" w:rsidP="006A05DB">
      <w:pPr>
        <w:pStyle w:val="Fait"/>
        <w:rPr>
          <w:noProof/>
        </w:rPr>
      </w:pPr>
      <w:r>
        <w:rPr>
          <w:noProof/>
        </w:rPr>
        <w:t>Done at Brussels,</w:t>
      </w:r>
    </w:p>
    <w:p w14:paraId="15764E2C" w14:textId="77777777" w:rsidR="006052EE" w:rsidRDefault="006052EE" w:rsidP="006A05DB">
      <w:pPr>
        <w:pStyle w:val="Institutionquisigne"/>
        <w:rPr>
          <w:noProof/>
        </w:rPr>
      </w:pPr>
      <w:r w:rsidRPr="006052EE">
        <w:rPr>
          <w:noProof/>
        </w:rPr>
        <w:t>For the European Parliament</w:t>
      </w:r>
      <w:r w:rsidRPr="006052EE">
        <w:rPr>
          <w:noProof/>
        </w:rPr>
        <w:tab/>
        <w:t>For the Council</w:t>
      </w:r>
    </w:p>
    <w:p w14:paraId="76A19ED6" w14:textId="77777777" w:rsidR="006052EE" w:rsidRDefault="006052EE" w:rsidP="00780EDF">
      <w:pPr>
        <w:pStyle w:val="Personnequisigne"/>
        <w:rPr>
          <w:noProof/>
        </w:rPr>
      </w:pPr>
      <w:r w:rsidRPr="006052EE">
        <w:rPr>
          <w:noProof/>
        </w:rPr>
        <w:t>The President</w:t>
      </w:r>
      <w:r w:rsidRPr="006052EE">
        <w:rPr>
          <w:noProof/>
        </w:rPr>
        <w:tab/>
        <w:t>The President</w:t>
      </w:r>
    </w:p>
    <w:p w14:paraId="31576211" w14:textId="77777777" w:rsidR="00D00717" w:rsidRDefault="00D00717" w:rsidP="00143125">
      <w:pPr>
        <w:spacing w:before="0" w:after="200" w:line="276" w:lineRule="auto"/>
        <w:jc w:val="left"/>
        <w:rPr>
          <w:noProof/>
        </w:rPr>
      </w:pPr>
      <w:r>
        <w:rPr>
          <w:noProof/>
        </w:rPr>
        <w:br w:type="page"/>
      </w:r>
    </w:p>
    <w:p w14:paraId="0059F66E" w14:textId="77777777" w:rsidR="00D00717" w:rsidRDefault="00D00717" w:rsidP="006052EE">
      <w:pPr>
        <w:rPr>
          <w:noProof/>
        </w:rPr>
        <w:sectPr w:rsidR="00D00717" w:rsidSect="00F14618">
          <w:footnotePr>
            <w:numRestart w:val="eachSect"/>
          </w:footnotePr>
          <w:pgSz w:w="11907" w:h="16839"/>
          <w:pgMar w:top="1134" w:right="1417" w:bottom="1134" w:left="1417" w:header="709" w:footer="709" w:gutter="0"/>
          <w:cols w:space="708"/>
          <w:docGrid w:linePitch="360"/>
        </w:sectPr>
      </w:pPr>
    </w:p>
    <w:p w14:paraId="164F7BAE" w14:textId="77777777" w:rsidR="006052EE" w:rsidRPr="009846D6" w:rsidRDefault="006052EE" w:rsidP="00445C9D">
      <w:pPr>
        <w:pStyle w:val="Fichefinanciretitre"/>
        <w:keepNext/>
        <w:rPr>
          <w:noProof/>
        </w:rPr>
      </w:pPr>
      <w:r w:rsidRPr="00732102">
        <w:rPr>
          <w:noProof/>
        </w:rPr>
        <w:t>LEGISLATIVE FINANCIAL AND DIGITAL STATEMENT</w:t>
      </w:r>
    </w:p>
    <w:p w14:paraId="02489204" w14:textId="77777777" w:rsidR="006052EE" w:rsidRDefault="006052EE" w:rsidP="00445C9D">
      <w:pPr>
        <w:pStyle w:val="TOC1"/>
        <w:rPr>
          <w:rFonts w:asciiTheme="minorHAnsi" w:eastAsiaTheme="minorEastAsia" w:hAnsiTheme="minorHAnsi" w:cstheme="minorBidi"/>
          <w:noProof/>
          <w:kern w:val="2"/>
          <w:sz w:val="22"/>
          <w:lang w:eastAsia="en-GB"/>
          <w14:ligatures w14:val="standardContextual"/>
        </w:rPr>
      </w:pPr>
      <w:r w:rsidRPr="00292B05">
        <w:rPr>
          <w:noProof/>
        </w:rPr>
        <w:t>1.</w:t>
      </w:r>
      <w:r>
        <w:rPr>
          <w:rFonts w:asciiTheme="minorHAnsi" w:eastAsiaTheme="minorEastAsia" w:hAnsiTheme="minorHAnsi" w:cstheme="minorBidi"/>
          <w:noProof/>
          <w:kern w:val="2"/>
          <w:sz w:val="22"/>
          <w:lang w:eastAsia="en-GB"/>
          <w14:ligatures w14:val="standardContextual"/>
        </w:rPr>
        <w:tab/>
      </w:r>
      <w:r w:rsidRPr="00292B05">
        <w:rPr>
          <w:noProof/>
        </w:rPr>
        <w:t>FRAMEWORK OF THE PROPOSAL/INITIATIVE</w:t>
      </w:r>
      <w:r>
        <w:rPr>
          <w:noProof/>
          <w:webHidden/>
        </w:rPr>
        <w:tab/>
        <w:t>3</w:t>
      </w:r>
    </w:p>
    <w:p w14:paraId="35165018"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1.1.</w:t>
      </w:r>
      <w:r>
        <w:rPr>
          <w:rFonts w:asciiTheme="minorHAnsi" w:eastAsiaTheme="minorEastAsia" w:hAnsiTheme="minorHAnsi" w:cstheme="minorBidi"/>
          <w:noProof/>
          <w:kern w:val="2"/>
          <w:sz w:val="22"/>
          <w:lang w:eastAsia="en-GB"/>
          <w14:ligatures w14:val="standardContextual"/>
        </w:rPr>
        <w:tab/>
      </w:r>
      <w:r w:rsidRPr="00292B05">
        <w:rPr>
          <w:noProof/>
        </w:rPr>
        <w:t>Title of the proposal/initiative</w:t>
      </w:r>
      <w:r>
        <w:rPr>
          <w:noProof/>
          <w:webHidden/>
        </w:rPr>
        <w:tab/>
        <w:t>3</w:t>
      </w:r>
    </w:p>
    <w:p w14:paraId="340B6DF0"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1.2.</w:t>
      </w:r>
      <w:r>
        <w:rPr>
          <w:rFonts w:asciiTheme="minorHAnsi" w:eastAsiaTheme="minorEastAsia" w:hAnsiTheme="minorHAnsi" w:cstheme="minorBidi"/>
          <w:noProof/>
          <w:kern w:val="2"/>
          <w:sz w:val="22"/>
          <w:lang w:eastAsia="en-GB"/>
          <w14:ligatures w14:val="standardContextual"/>
        </w:rPr>
        <w:tab/>
      </w:r>
      <w:r w:rsidRPr="00292B05">
        <w:rPr>
          <w:noProof/>
        </w:rPr>
        <w:t>Policy area(s) concerned</w:t>
      </w:r>
      <w:r>
        <w:rPr>
          <w:noProof/>
          <w:webHidden/>
        </w:rPr>
        <w:tab/>
        <w:t>3</w:t>
      </w:r>
    </w:p>
    <w:p w14:paraId="35855C34"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1.3.</w:t>
      </w:r>
      <w:r>
        <w:rPr>
          <w:rFonts w:asciiTheme="minorHAnsi" w:eastAsiaTheme="minorEastAsia" w:hAnsiTheme="minorHAnsi" w:cstheme="minorBidi"/>
          <w:noProof/>
          <w:kern w:val="2"/>
          <w:sz w:val="22"/>
          <w:lang w:eastAsia="en-GB"/>
          <w14:ligatures w14:val="standardContextual"/>
        </w:rPr>
        <w:tab/>
      </w:r>
      <w:r w:rsidRPr="00292B05">
        <w:rPr>
          <w:noProof/>
        </w:rPr>
        <w:t>Objective(s)</w:t>
      </w:r>
      <w:r>
        <w:rPr>
          <w:noProof/>
          <w:webHidden/>
        </w:rPr>
        <w:tab/>
        <w:t>3</w:t>
      </w:r>
    </w:p>
    <w:p w14:paraId="582F0813"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1.3.1.</w:t>
      </w:r>
      <w:r>
        <w:rPr>
          <w:rFonts w:asciiTheme="minorHAnsi" w:eastAsiaTheme="minorEastAsia" w:hAnsiTheme="minorHAnsi" w:cstheme="minorBidi"/>
          <w:noProof/>
          <w:kern w:val="2"/>
          <w:sz w:val="22"/>
          <w:lang w:eastAsia="en-GB"/>
          <w14:ligatures w14:val="standardContextual"/>
        </w:rPr>
        <w:tab/>
      </w:r>
      <w:r w:rsidRPr="00292B05">
        <w:rPr>
          <w:noProof/>
        </w:rPr>
        <w:t>General objective(s)</w:t>
      </w:r>
      <w:r>
        <w:rPr>
          <w:noProof/>
          <w:webHidden/>
        </w:rPr>
        <w:tab/>
        <w:t>3</w:t>
      </w:r>
    </w:p>
    <w:p w14:paraId="1F55A682"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1.3.2.</w:t>
      </w:r>
      <w:r>
        <w:rPr>
          <w:rFonts w:asciiTheme="minorHAnsi" w:eastAsiaTheme="minorEastAsia" w:hAnsiTheme="minorHAnsi" w:cstheme="minorBidi"/>
          <w:noProof/>
          <w:kern w:val="2"/>
          <w:sz w:val="22"/>
          <w:lang w:eastAsia="en-GB"/>
          <w14:ligatures w14:val="standardContextual"/>
        </w:rPr>
        <w:tab/>
      </w:r>
      <w:r w:rsidRPr="00292B05">
        <w:rPr>
          <w:noProof/>
        </w:rPr>
        <w:t>Specific objective(s)</w:t>
      </w:r>
      <w:r>
        <w:rPr>
          <w:noProof/>
          <w:webHidden/>
        </w:rPr>
        <w:tab/>
        <w:t>3</w:t>
      </w:r>
    </w:p>
    <w:p w14:paraId="33E18864"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1.3.3.</w:t>
      </w:r>
      <w:r>
        <w:rPr>
          <w:rFonts w:asciiTheme="minorHAnsi" w:eastAsiaTheme="minorEastAsia" w:hAnsiTheme="minorHAnsi" w:cstheme="minorBidi"/>
          <w:noProof/>
          <w:kern w:val="2"/>
          <w:sz w:val="22"/>
          <w:lang w:eastAsia="en-GB"/>
          <w14:ligatures w14:val="standardContextual"/>
        </w:rPr>
        <w:tab/>
      </w:r>
      <w:r w:rsidRPr="00292B05">
        <w:rPr>
          <w:noProof/>
        </w:rPr>
        <w:t>Expected result(s) and impact</w:t>
      </w:r>
      <w:r>
        <w:rPr>
          <w:noProof/>
          <w:webHidden/>
        </w:rPr>
        <w:tab/>
        <w:t>3</w:t>
      </w:r>
    </w:p>
    <w:p w14:paraId="6E3A42E3"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1.3.4.</w:t>
      </w:r>
      <w:r>
        <w:rPr>
          <w:rFonts w:asciiTheme="minorHAnsi" w:eastAsiaTheme="minorEastAsia" w:hAnsiTheme="minorHAnsi" w:cstheme="minorBidi"/>
          <w:noProof/>
          <w:kern w:val="2"/>
          <w:sz w:val="22"/>
          <w:lang w:eastAsia="en-GB"/>
          <w14:ligatures w14:val="standardContextual"/>
        </w:rPr>
        <w:tab/>
      </w:r>
      <w:r w:rsidRPr="00292B05">
        <w:rPr>
          <w:noProof/>
        </w:rPr>
        <w:t>Indicators of performance</w:t>
      </w:r>
      <w:r>
        <w:rPr>
          <w:noProof/>
          <w:webHidden/>
        </w:rPr>
        <w:tab/>
        <w:t>3</w:t>
      </w:r>
    </w:p>
    <w:p w14:paraId="4C24E125"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1.4.</w:t>
      </w:r>
      <w:r>
        <w:rPr>
          <w:rFonts w:asciiTheme="minorHAnsi" w:eastAsiaTheme="minorEastAsia" w:hAnsiTheme="minorHAnsi" w:cstheme="minorBidi"/>
          <w:noProof/>
          <w:kern w:val="2"/>
          <w:sz w:val="22"/>
          <w:lang w:eastAsia="en-GB"/>
          <w14:ligatures w14:val="standardContextual"/>
        </w:rPr>
        <w:tab/>
      </w:r>
      <w:r w:rsidRPr="00292B05">
        <w:rPr>
          <w:noProof/>
        </w:rPr>
        <w:t>The proposal/initiative relates to:</w:t>
      </w:r>
      <w:r>
        <w:rPr>
          <w:noProof/>
          <w:webHidden/>
        </w:rPr>
        <w:tab/>
        <w:t>4</w:t>
      </w:r>
    </w:p>
    <w:p w14:paraId="3DDE2AD3"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1.5.</w:t>
      </w:r>
      <w:r>
        <w:rPr>
          <w:rFonts w:asciiTheme="minorHAnsi" w:eastAsiaTheme="minorEastAsia" w:hAnsiTheme="minorHAnsi" w:cstheme="minorBidi"/>
          <w:noProof/>
          <w:kern w:val="2"/>
          <w:sz w:val="22"/>
          <w:lang w:eastAsia="en-GB"/>
          <w14:ligatures w14:val="standardContextual"/>
        </w:rPr>
        <w:tab/>
      </w:r>
      <w:r w:rsidRPr="00292B05">
        <w:rPr>
          <w:noProof/>
        </w:rPr>
        <w:t>Grounds for the proposal/initiative</w:t>
      </w:r>
      <w:r>
        <w:rPr>
          <w:noProof/>
          <w:webHidden/>
        </w:rPr>
        <w:tab/>
        <w:t>4</w:t>
      </w:r>
    </w:p>
    <w:p w14:paraId="0F1DA717"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1.5.1.</w:t>
      </w:r>
      <w:r>
        <w:rPr>
          <w:rFonts w:asciiTheme="minorHAnsi" w:eastAsiaTheme="minorEastAsia" w:hAnsiTheme="minorHAnsi" w:cstheme="minorBidi"/>
          <w:noProof/>
          <w:kern w:val="2"/>
          <w:sz w:val="22"/>
          <w:lang w:eastAsia="en-GB"/>
          <w14:ligatures w14:val="standardContextual"/>
        </w:rPr>
        <w:tab/>
      </w:r>
      <w:r w:rsidRPr="00292B05">
        <w:rPr>
          <w:noProof/>
        </w:rPr>
        <w:t>Requirement(s) to be met in the short or long term including a detailed timeline for roll-out of the implementation of the initiative</w:t>
      </w:r>
      <w:r>
        <w:rPr>
          <w:noProof/>
          <w:webHidden/>
        </w:rPr>
        <w:tab/>
        <w:t>4</w:t>
      </w:r>
    </w:p>
    <w:p w14:paraId="7F9FC6F0"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1.5.2.</w:t>
      </w:r>
      <w:r>
        <w:rPr>
          <w:rFonts w:asciiTheme="minorHAnsi" w:eastAsiaTheme="minorEastAsia" w:hAnsiTheme="minorHAnsi" w:cstheme="minorBidi"/>
          <w:noProof/>
          <w:kern w:val="2"/>
          <w:sz w:val="22"/>
          <w:lang w:eastAsia="en-GB"/>
          <w14:ligatures w14:val="standardContextual"/>
        </w:rPr>
        <w:tab/>
      </w:r>
      <w:r w:rsidRPr="00292B05">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w:t>
      </w:r>
    </w:p>
    <w:p w14:paraId="2F9FDE20"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1.5.3.</w:t>
      </w:r>
      <w:r>
        <w:rPr>
          <w:rFonts w:asciiTheme="minorHAnsi" w:eastAsiaTheme="minorEastAsia" w:hAnsiTheme="minorHAnsi" w:cstheme="minorBidi"/>
          <w:noProof/>
          <w:kern w:val="2"/>
          <w:sz w:val="22"/>
          <w:lang w:eastAsia="en-GB"/>
          <w14:ligatures w14:val="standardContextual"/>
        </w:rPr>
        <w:tab/>
      </w:r>
      <w:r w:rsidRPr="00292B05">
        <w:rPr>
          <w:noProof/>
        </w:rPr>
        <w:t>Lessons learned from similar experiences in the past</w:t>
      </w:r>
      <w:r>
        <w:rPr>
          <w:noProof/>
          <w:webHidden/>
        </w:rPr>
        <w:tab/>
        <w:t>4</w:t>
      </w:r>
    </w:p>
    <w:p w14:paraId="23192BB2"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1.5.4.</w:t>
      </w:r>
      <w:r>
        <w:rPr>
          <w:rFonts w:asciiTheme="minorHAnsi" w:eastAsiaTheme="minorEastAsia" w:hAnsiTheme="minorHAnsi" w:cstheme="minorBidi"/>
          <w:noProof/>
          <w:kern w:val="2"/>
          <w:sz w:val="22"/>
          <w:lang w:eastAsia="en-GB"/>
          <w14:ligatures w14:val="standardContextual"/>
        </w:rPr>
        <w:tab/>
      </w:r>
      <w:r w:rsidRPr="00292B05">
        <w:rPr>
          <w:noProof/>
        </w:rPr>
        <w:t>Compatibility with the multiannual financial framework and possible synergies with other appropriate instruments</w:t>
      </w:r>
      <w:r>
        <w:rPr>
          <w:noProof/>
          <w:webHidden/>
        </w:rPr>
        <w:tab/>
        <w:t>5</w:t>
      </w:r>
    </w:p>
    <w:p w14:paraId="17AE1CBD"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1.5.5.</w:t>
      </w:r>
      <w:r>
        <w:rPr>
          <w:rFonts w:asciiTheme="minorHAnsi" w:eastAsiaTheme="minorEastAsia" w:hAnsiTheme="minorHAnsi" w:cstheme="minorBidi"/>
          <w:noProof/>
          <w:kern w:val="2"/>
          <w:sz w:val="22"/>
          <w:lang w:eastAsia="en-GB"/>
          <w14:ligatures w14:val="standardContextual"/>
        </w:rPr>
        <w:tab/>
      </w:r>
      <w:r w:rsidRPr="00292B05">
        <w:rPr>
          <w:noProof/>
        </w:rPr>
        <w:t>Assessment of the different available financing options, including scope for redeployment</w:t>
      </w:r>
      <w:r>
        <w:rPr>
          <w:noProof/>
          <w:webHidden/>
        </w:rPr>
        <w:tab/>
        <w:t>5</w:t>
      </w:r>
    </w:p>
    <w:p w14:paraId="0D9146AB"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1.6.</w:t>
      </w:r>
      <w:r>
        <w:rPr>
          <w:rFonts w:asciiTheme="minorHAnsi" w:eastAsiaTheme="minorEastAsia" w:hAnsiTheme="minorHAnsi" w:cstheme="minorBidi"/>
          <w:noProof/>
          <w:kern w:val="2"/>
          <w:sz w:val="22"/>
          <w:lang w:eastAsia="en-GB"/>
          <w14:ligatures w14:val="standardContextual"/>
        </w:rPr>
        <w:tab/>
      </w:r>
      <w:r w:rsidRPr="00292B05">
        <w:rPr>
          <w:noProof/>
        </w:rPr>
        <w:t>Duration of the proposal/initiative and of its financial impact</w:t>
      </w:r>
      <w:r>
        <w:rPr>
          <w:noProof/>
          <w:webHidden/>
        </w:rPr>
        <w:tab/>
        <w:t>6</w:t>
      </w:r>
    </w:p>
    <w:p w14:paraId="1950D6F4"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1.7.</w:t>
      </w:r>
      <w:r>
        <w:rPr>
          <w:rFonts w:asciiTheme="minorHAnsi" w:eastAsiaTheme="minorEastAsia" w:hAnsiTheme="minorHAnsi" w:cstheme="minorBidi"/>
          <w:noProof/>
          <w:kern w:val="2"/>
          <w:sz w:val="22"/>
          <w:lang w:eastAsia="en-GB"/>
          <w14:ligatures w14:val="standardContextual"/>
        </w:rPr>
        <w:tab/>
      </w:r>
      <w:r w:rsidRPr="00292B05">
        <w:rPr>
          <w:noProof/>
        </w:rPr>
        <w:t>Method(s) of budget implementation planned</w:t>
      </w:r>
      <w:r>
        <w:rPr>
          <w:noProof/>
          <w:webHidden/>
        </w:rPr>
        <w:tab/>
        <w:t>6</w:t>
      </w:r>
    </w:p>
    <w:p w14:paraId="4D531765" w14:textId="77777777" w:rsidR="006052EE" w:rsidRDefault="006052EE" w:rsidP="00445C9D">
      <w:pPr>
        <w:pStyle w:val="TOC1"/>
        <w:rPr>
          <w:rFonts w:asciiTheme="minorHAnsi" w:eastAsiaTheme="minorEastAsia" w:hAnsiTheme="minorHAnsi" w:cstheme="minorBidi"/>
          <w:noProof/>
          <w:kern w:val="2"/>
          <w:sz w:val="22"/>
          <w:lang w:eastAsia="en-GB"/>
          <w14:ligatures w14:val="standardContextual"/>
        </w:rPr>
      </w:pPr>
      <w:r w:rsidRPr="00292B05">
        <w:rPr>
          <w:noProof/>
        </w:rPr>
        <w:t>2.</w:t>
      </w:r>
      <w:r>
        <w:rPr>
          <w:rFonts w:asciiTheme="minorHAnsi" w:eastAsiaTheme="minorEastAsia" w:hAnsiTheme="minorHAnsi" w:cstheme="minorBidi"/>
          <w:noProof/>
          <w:kern w:val="2"/>
          <w:sz w:val="22"/>
          <w:lang w:eastAsia="en-GB"/>
          <w14:ligatures w14:val="standardContextual"/>
        </w:rPr>
        <w:tab/>
      </w:r>
      <w:r w:rsidRPr="00292B05">
        <w:rPr>
          <w:noProof/>
        </w:rPr>
        <w:t>MANAGEMENT MEASURES</w:t>
      </w:r>
      <w:r>
        <w:rPr>
          <w:noProof/>
          <w:webHidden/>
        </w:rPr>
        <w:tab/>
        <w:t>8</w:t>
      </w:r>
    </w:p>
    <w:p w14:paraId="07B565D8"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2.1.</w:t>
      </w:r>
      <w:r>
        <w:rPr>
          <w:rFonts w:asciiTheme="minorHAnsi" w:eastAsiaTheme="minorEastAsia" w:hAnsiTheme="minorHAnsi" w:cstheme="minorBidi"/>
          <w:noProof/>
          <w:kern w:val="2"/>
          <w:sz w:val="22"/>
          <w:lang w:eastAsia="en-GB"/>
          <w14:ligatures w14:val="standardContextual"/>
        </w:rPr>
        <w:tab/>
      </w:r>
      <w:r w:rsidRPr="00292B05">
        <w:rPr>
          <w:noProof/>
        </w:rPr>
        <w:t>Monitoring and reporting rules</w:t>
      </w:r>
      <w:r>
        <w:rPr>
          <w:noProof/>
          <w:webHidden/>
        </w:rPr>
        <w:tab/>
        <w:t>8</w:t>
      </w:r>
    </w:p>
    <w:p w14:paraId="5510D560"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2.2.</w:t>
      </w:r>
      <w:r>
        <w:rPr>
          <w:rFonts w:asciiTheme="minorHAnsi" w:eastAsiaTheme="minorEastAsia" w:hAnsiTheme="minorHAnsi" w:cstheme="minorBidi"/>
          <w:noProof/>
          <w:kern w:val="2"/>
          <w:sz w:val="22"/>
          <w:lang w:eastAsia="en-GB"/>
          <w14:ligatures w14:val="standardContextual"/>
        </w:rPr>
        <w:tab/>
      </w:r>
      <w:r w:rsidRPr="00292B05">
        <w:rPr>
          <w:noProof/>
        </w:rPr>
        <w:t>Management and control system(s)</w:t>
      </w:r>
      <w:r>
        <w:rPr>
          <w:noProof/>
          <w:webHidden/>
        </w:rPr>
        <w:tab/>
        <w:t>8</w:t>
      </w:r>
    </w:p>
    <w:p w14:paraId="01D6AFC7"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2.2.1.</w:t>
      </w:r>
      <w:r>
        <w:rPr>
          <w:rFonts w:asciiTheme="minorHAnsi" w:eastAsiaTheme="minorEastAsia" w:hAnsiTheme="minorHAnsi" w:cstheme="minorBidi"/>
          <w:noProof/>
          <w:kern w:val="2"/>
          <w:sz w:val="22"/>
          <w:lang w:eastAsia="en-GB"/>
          <w14:ligatures w14:val="standardContextual"/>
        </w:rPr>
        <w:tab/>
      </w:r>
      <w:r w:rsidRPr="00292B05">
        <w:rPr>
          <w:noProof/>
        </w:rPr>
        <w:t>Justification of the budget implementation method(s), the funding implementation mechanism(s), the payment modalities and the control strategy proposed</w:t>
      </w:r>
      <w:r>
        <w:rPr>
          <w:noProof/>
          <w:webHidden/>
        </w:rPr>
        <w:tab/>
        <w:t>8</w:t>
      </w:r>
    </w:p>
    <w:p w14:paraId="242207FD"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2.2.2.</w:t>
      </w:r>
      <w:r>
        <w:rPr>
          <w:rFonts w:asciiTheme="minorHAnsi" w:eastAsiaTheme="minorEastAsia" w:hAnsiTheme="minorHAnsi" w:cstheme="minorBidi"/>
          <w:noProof/>
          <w:kern w:val="2"/>
          <w:sz w:val="22"/>
          <w:lang w:eastAsia="en-GB"/>
          <w14:ligatures w14:val="standardContextual"/>
        </w:rPr>
        <w:tab/>
      </w:r>
      <w:r w:rsidRPr="00292B05">
        <w:rPr>
          <w:noProof/>
        </w:rPr>
        <w:t>Information concerning the risks identified and the internal control system(s) set up to mitigate them</w:t>
      </w:r>
      <w:r>
        <w:rPr>
          <w:noProof/>
          <w:webHidden/>
        </w:rPr>
        <w:tab/>
        <w:t>8</w:t>
      </w:r>
    </w:p>
    <w:p w14:paraId="48992C36"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2.2.3.</w:t>
      </w:r>
      <w:r>
        <w:rPr>
          <w:rFonts w:asciiTheme="minorHAnsi" w:eastAsiaTheme="minorEastAsia" w:hAnsiTheme="minorHAnsi" w:cstheme="minorBidi"/>
          <w:noProof/>
          <w:kern w:val="2"/>
          <w:sz w:val="22"/>
          <w:lang w:eastAsia="en-GB"/>
          <w14:ligatures w14:val="standardContextual"/>
        </w:rPr>
        <w:tab/>
      </w:r>
      <w:r w:rsidRPr="00292B05">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14:paraId="3741E00B"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2.3.</w:t>
      </w:r>
      <w:r>
        <w:rPr>
          <w:rFonts w:asciiTheme="minorHAnsi" w:eastAsiaTheme="minorEastAsia" w:hAnsiTheme="minorHAnsi" w:cstheme="minorBidi"/>
          <w:noProof/>
          <w:kern w:val="2"/>
          <w:sz w:val="22"/>
          <w:lang w:eastAsia="en-GB"/>
          <w14:ligatures w14:val="standardContextual"/>
        </w:rPr>
        <w:tab/>
      </w:r>
      <w:r w:rsidRPr="00292B05">
        <w:rPr>
          <w:noProof/>
        </w:rPr>
        <w:t>Measures to prevent fraud and irregularities</w:t>
      </w:r>
      <w:r>
        <w:rPr>
          <w:noProof/>
          <w:webHidden/>
        </w:rPr>
        <w:tab/>
        <w:t>9</w:t>
      </w:r>
    </w:p>
    <w:p w14:paraId="753CEA52" w14:textId="77777777" w:rsidR="006052EE" w:rsidRDefault="006052EE" w:rsidP="00445C9D">
      <w:pPr>
        <w:pStyle w:val="TOC1"/>
        <w:rPr>
          <w:rFonts w:asciiTheme="minorHAnsi" w:eastAsiaTheme="minorEastAsia" w:hAnsiTheme="minorHAnsi" w:cstheme="minorBidi"/>
          <w:noProof/>
          <w:kern w:val="2"/>
          <w:sz w:val="22"/>
          <w:lang w:eastAsia="en-GB"/>
          <w14:ligatures w14:val="standardContextual"/>
        </w:rPr>
      </w:pPr>
      <w:r w:rsidRPr="00292B05">
        <w:rPr>
          <w:noProof/>
        </w:rPr>
        <w:t>3.</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PROPOSAL/INITIATIVE</w:t>
      </w:r>
      <w:r>
        <w:rPr>
          <w:noProof/>
          <w:webHidden/>
        </w:rPr>
        <w:tab/>
        <w:t>10</w:t>
      </w:r>
    </w:p>
    <w:p w14:paraId="3CF6544F"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3.1.</w:t>
      </w:r>
      <w:r>
        <w:rPr>
          <w:rFonts w:asciiTheme="minorHAnsi" w:eastAsiaTheme="minorEastAsia" w:hAnsiTheme="minorHAnsi" w:cstheme="minorBidi"/>
          <w:noProof/>
          <w:kern w:val="2"/>
          <w:sz w:val="22"/>
          <w:lang w:eastAsia="en-GB"/>
          <w14:ligatures w14:val="standardContextual"/>
        </w:rPr>
        <w:tab/>
      </w:r>
      <w:r w:rsidRPr="00292B05">
        <w:rPr>
          <w:noProof/>
        </w:rPr>
        <w:t>Heading(s) of the multiannual financial framework and expenditure budget line(s) affected</w:t>
      </w:r>
      <w:r>
        <w:rPr>
          <w:noProof/>
          <w:webHidden/>
        </w:rPr>
        <w:tab/>
        <w:t>10</w:t>
      </w:r>
    </w:p>
    <w:p w14:paraId="510D32BD"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3.2.</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 on appropriations</w:t>
      </w:r>
      <w:r>
        <w:rPr>
          <w:noProof/>
          <w:webHidden/>
        </w:rPr>
        <w:tab/>
        <w:t>12</w:t>
      </w:r>
    </w:p>
    <w:p w14:paraId="026066EA"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3.2.1.</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operational appropriations</w:t>
      </w:r>
      <w:r>
        <w:rPr>
          <w:noProof/>
          <w:webHidden/>
        </w:rPr>
        <w:tab/>
        <w:t>12</w:t>
      </w:r>
    </w:p>
    <w:p w14:paraId="4758C1D9"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3.2.1.1.</w:t>
      </w:r>
      <w:r>
        <w:rPr>
          <w:rFonts w:asciiTheme="minorHAnsi" w:eastAsiaTheme="minorEastAsia" w:hAnsiTheme="minorHAnsi" w:cstheme="minorBidi"/>
          <w:noProof/>
          <w:kern w:val="2"/>
          <w:sz w:val="22"/>
          <w:lang w:eastAsia="en-GB"/>
          <w14:ligatures w14:val="standardContextual"/>
        </w:rPr>
        <w:tab/>
      </w:r>
      <w:r w:rsidRPr="00292B05">
        <w:rPr>
          <w:noProof/>
        </w:rPr>
        <w:t>Appropriations from voted budget</w:t>
      </w:r>
      <w:r>
        <w:rPr>
          <w:noProof/>
          <w:webHidden/>
        </w:rPr>
        <w:tab/>
        <w:t>12</w:t>
      </w:r>
    </w:p>
    <w:p w14:paraId="33118D6F"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3.2.1.2.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17</w:t>
      </w:r>
    </w:p>
    <w:p w14:paraId="436B9F82"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3.2.2.</w:t>
      </w:r>
      <w:r>
        <w:rPr>
          <w:rFonts w:asciiTheme="minorHAnsi" w:eastAsiaTheme="minorEastAsia" w:hAnsiTheme="minorHAnsi" w:cstheme="minorBidi"/>
          <w:noProof/>
          <w:kern w:val="2"/>
          <w:sz w:val="22"/>
          <w:lang w:eastAsia="en-GB"/>
          <w14:ligatures w14:val="standardContextual"/>
        </w:rPr>
        <w:tab/>
      </w:r>
      <w:r w:rsidRPr="00292B05">
        <w:rPr>
          <w:noProof/>
        </w:rPr>
        <w:t>Estimated output funded from operational appropriations</w:t>
      </w:r>
      <w:r>
        <w:rPr>
          <w:noProof/>
          <w:webHidden/>
        </w:rPr>
        <w:tab/>
        <w:t>22</w:t>
      </w:r>
    </w:p>
    <w:p w14:paraId="12D3234F"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3.2.3.</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administrative appropriations</w:t>
      </w:r>
      <w:r>
        <w:rPr>
          <w:noProof/>
          <w:webHidden/>
        </w:rPr>
        <w:tab/>
        <w:t>24</w:t>
      </w:r>
    </w:p>
    <w:p w14:paraId="48FE4273"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 xml:space="preserve">3.2.3.1. Appropriations </w:t>
      </w:r>
      <w:r w:rsidRPr="00292B05">
        <w:rPr>
          <w:rFonts w:eastAsia="Calibri"/>
          <w:noProof/>
        </w:rPr>
        <w:t>from</w:t>
      </w:r>
      <w:r w:rsidRPr="00292B05">
        <w:rPr>
          <w:noProof/>
        </w:rPr>
        <w:t xml:space="preserve"> voted budget</w:t>
      </w:r>
      <w:r>
        <w:rPr>
          <w:noProof/>
          <w:webHidden/>
        </w:rPr>
        <w:tab/>
        <w:t>24</w:t>
      </w:r>
    </w:p>
    <w:p w14:paraId="5D480AD2"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3.2.3.2.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24</w:t>
      </w:r>
    </w:p>
    <w:p w14:paraId="2FD3FA59"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3.2.3.3.</w:t>
      </w:r>
      <w:r>
        <w:rPr>
          <w:rFonts w:asciiTheme="minorHAnsi" w:eastAsiaTheme="minorEastAsia" w:hAnsiTheme="minorHAnsi" w:cstheme="minorBidi"/>
          <w:noProof/>
          <w:kern w:val="2"/>
          <w:sz w:val="22"/>
          <w:lang w:eastAsia="en-GB"/>
          <w14:ligatures w14:val="standardContextual"/>
        </w:rPr>
        <w:tab/>
      </w:r>
      <w:r w:rsidRPr="00292B05">
        <w:rPr>
          <w:noProof/>
        </w:rPr>
        <w:t>Total appropriations</w:t>
      </w:r>
      <w:r>
        <w:rPr>
          <w:noProof/>
          <w:webHidden/>
        </w:rPr>
        <w:tab/>
        <w:t>24</w:t>
      </w:r>
    </w:p>
    <w:p w14:paraId="7237FCEC"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3.2.4.</w:t>
      </w:r>
      <w:r>
        <w:rPr>
          <w:rFonts w:asciiTheme="minorHAnsi" w:eastAsiaTheme="minorEastAsia" w:hAnsiTheme="minorHAnsi" w:cstheme="minorBidi"/>
          <w:noProof/>
          <w:kern w:val="2"/>
          <w:sz w:val="22"/>
          <w:lang w:eastAsia="en-GB"/>
          <w14:ligatures w14:val="standardContextual"/>
        </w:rPr>
        <w:tab/>
      </w:r>
      <w:r w:rsidRPr="00292B05">
        <w:rPr>
          <w:noProof/>
        </w:rPr>
        <w:t>Estimated requirements of human resources</w:t>
      </w:r>
      <w:r>
        <w:rPr>
          <w:noProof/>
          <w:webHidden/>
        </w:rPr>
        <w:tab/>
        <w:t>25</w:t>
      </w:r>
    </w:p>
    <w:p w14:paraId="68EEECB5"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3.2.4.1.</w:t>
      </w:r>
      <w:r>
        <w:rPr>
          <w:rFonts w:asciiTheme="minorHAnsi" w:eastAsiaTheme="minorEastAsia" w:hAnsiTheme="minorHAnsi" w:cstheme="minorBidi"/>
          <w:noProof/>
          <w:kern w:val="2"/>
          <w:sz w:val="22"/>
          <w:lang w:eastAsia="en-GB"/>
          <w14:ligatures w14:val="standardContextual"/>
        </w:rPr>
        <w:tab/>
      </w:r>
      <w:r w:rsidRPr="00292B05">
        <w:rPr>
          <w:noProof/>
        </w:rPr>
        <w:t>Financed from voted budget</w:t>
      </w:r>
      <w:r>
        <w:rPr>
          <w:noProof/>
          <w:webHidden/>
        </w:rPr>
        <w:tab/>
        <w:t>25</w:t>
      </w:r>
    </w:p>
    <w:p w14:paraId="30FBC913"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3.2.4.2.</w:t>
      </w:r>
      <w:r>
        <w:rPr>
          <w:rFonts w:asciiTheme="minorHAnsi" w:eastAsiaTheme="minorEastAsia" w:hAnsiTheme="minorHAnsi" w:cstheme="minorBidi"/>
          <w:noProof/>
          <w:kern w:val="2"/>
          <w:sz w:val="22"/>
          <w:lang w:eastAsia="en-GB"/>
          <w14:ligatures w14:val="standardContextual"/>
        </w:rPr>
        <w:tab/>
      </w:r>
      <w:r w:rsidRPr="00292B05">
        <w:rPr>
          <w:noProof/>
        </w:rPr>
        <w:t>Financed from external assigned revenues</w:t>
      </w:r>
      <w:r>
        <w:rPr>
          <w:noProof/>
          <w:webHidden/>
        </w:rPr>
        <w:tab/>
        <w:t>26</w:t>
      </w:r>
    </w:p>
    <w:p w14:paraId="465DB844"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3.2.4.3.</w:t>
      </w:r>
      <w:r>
        <w:rPr>
          <w:rFonts w:asciiTheme="minorHAnsi" w:eastAsiaTheme="minorEastAsia" w:hAnsiTheme="minorHAnsi" w:cstheme="minorBidi"/>
          <w:noProof/>
          <w:kern w:val="2"/>
          <w:sz w:val="22"/>
          <w:lang w:eastAsia="en-GB"/>
          <w14:ligatures w14:val="standardContextual"/>
        </w:rPr>
        <w:tab/>
      </w:r>
      <w:r w:rsidRPr="00292B05">
        <w:rPr>
          <w:noProof/>
        </w:rPr>
        <w:t>Total requirements of human resources</w:t>
      </w:r>
      <w:r>
        <w:rPr>
          <w:noProof/>
          <w:webHidden/>
        </w:rPr>
        <w:tab/>
        <w:t>26</w:t>
      </w:r>
    </w:p>
    <w:p w14:paraId="1472E4CB"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3.2.5.</w:t>
      </w:r>
      <w:r>
        <w:rPr>
          <w:rFonts w:asciiTheme="minorHAnsi" w:eastAsiaTheme="minorEastAsia" w:hAnsiTheme="minorHAnsi" w:cstheme="minorBidi"/>
          <w:noProof/>
          <w:kern w:val="2"/>
          <w:sz w:val="22"/>
          <w:lang w:eastAsia="en-GB"/>
          <w14:ligatures w14:val="standardContextual"/>
        </w:rPr>
        <w:tab/>
      </w:r>
      <w:r w:rsidRPr="00292B05">
        <w:rPr>
          <w:noProof/>
        </w:rPr>
        <w:t>Overview of estimated impact on digital technology-related investments</w:t>
      </w:r>
      <w:r>
        <w:rPr>
          <w:noProof/>
          <w:webHidden/>
        </w:rPr>
        <w:tab/>
        <w:t>28</w:t>
      </w:r>
    </w:p>
    <w:p w14:paraId="16BFFC4A"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3.2.6.</w:t>
      </w:r>
      <w:r>
        <w:rPr>
          <w:rFonts w:asciiTheme="minorHAnsi" w:eastAsiaTheme="minorEastAsia" w:hAnsiTheme="minorHAnsi" w:cstheme="minorBidi"/>
          <w:noProof/>
          <w:kern w:val="2"/>
          <w:sz w:val="22"/>
          <w:lang w:eastAsia="en-GB"/>
          <w14:ligatures w14:val="standardContextual"/>
        </w:rPr>
        <w:tab/>
      </w:r>
      <w:r w:rsidRPr="00292B05">
        <w:rPr>
          <w:noProof/>
        </w:rPr>
        <w:t>Compatibility with the current multiannual financial framework</w:t>
      </w:r>
      <w:r>
        <w:rPr>
          <w:noProof/>
          <w:webHidden/>
        </w:rPr>
        <w:tab/>
        <w:t>28</w:t>
      </w:r>
    </w:p>
    <w:p w14:paraId="5E3E73BB" w14:textId="77777777" w:rsidR="006052EE" w:rsidRDefault="006052EE" w:rsidP="00445C9D">
      <w:pPr>
        <w:pStyle w:val="TOC3"/>
        <w:rPr>
          <w:rFonts w:asciiTheme="minorHAnsi" w:eastAsiaTheme="minorEastAsia" w:hAnsiTheme="minorHAnsi" w:cstheme="minorBidi"/>
          <w:noProof/>
          <w:kern w:val="2"/>
          <w:sz w:val="22"/>
          <w:lang w:eastAsia="en-GB"/>
          <w14:ligatures w14:val="standardContextual"/>
        </w:rPr>
      </w:pPr>
      <w:r w:rsidRPr="00292B05">
        <w:rPr>
          <w:noProof/>
        </w:rPr>
        <w:t>3.2.7.</w:t>
      </w:r>
      <w:r>
        <w:rPr>
          <w:rFonts w:asciiTheme="minorHAnsi" w:eastAsiaTheme="minorEastAsia" w:hAnsiTheme="minorHAnsi" w:cstheme="minorBidi"/>
          <w:noProof/>
          <w:kern w:val="2"/>
          <w:sz w:val="22"/>
          <w:lang w:eastAsia="en-GB"/>
          <w14:ligatures w14:val="standardContextual"/>
        </w:rPr>
        <w:tab/>
      </w:r>
      <w:r w:rsidRPr="00292B05">
        <w:rPr>
          <w:noProof/>
        </w:rPr>
        <w:t>Third-party contributions</w:t>
      </w:r>
      <w:r>
        <w:rPr>
          <w:noProof/>
          <w:webHidden/>
        </w:rPr>
        <w:tab/>
        <w:t>28</w:t>
      </w:r>
    </w:p>
    <w:p w14:paraId="1CEAA667" w14:textId="77777777" w:rsidR="006052EE" w:rsidRPr="005F34F5"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3.3.</w:t>
      </w:r>
      <w:r w:rsidRPr="005F34F5">
        <w:rPr>
          <w:rFonts w:asciiTheme="minorHAnsi" w:eastAsiaTheme="minorEastAsia" w:hAnsiTheme="minorHAnsi" w:cstheme="minorBidi"/>
          <w:noProof/>
          <w:kern w:val="2"/>
          <w:sz w:val="22"/>
          <w:lang w:eastAsia="en-GB"/>
          <w14:ligatures w14:val="standardContextual"/>
        </w:rPr>
        <w:tab/>
      </w:r>
      <w:r w:rsidRPr="00292B05">
        <w:rPr>
          <w:noProof/>
        </w:rPr>
        <w:t>Estimated impact on revenue</w:t>
      </w:r>
      <w:r w:rsidRPr="005F34F5">
        <w:rPr>
          <w:noProof/>
          <w:webHidden/>
        </w:rPr>
        <w:tab/>
        <w:t>29</w:t>
      </w:r>
    </w:p>
    <w:p w14:paraId="70FE6C3F" w14:textId="77777777" w:rsidR="006052EE" w:rsidRDefault="006052EE" w:rsidP="00445C9D">
      <w:pPr>
        <w:pStyle w:val="TOC1"/>
        <w:rPr>
          <w:rFonts w:asciiTheme="minorHAnsi" w:eastAsiaTheme="minorEastAsia" w:hAnsiTheme="minorHAnsi" w:cstheme="minorBidi"/>
          <w:noProof/>
          <w:kern w:val="2"/>
          <w:sz w:val="22"/>
          <w:lang w:eastAsia="en-GB"/>
          <w14:ligatures w14:val="standardContextual"/>
        </w:rPr>
      </w:pPr>
      <w:r w:rsidRPr="00292B05">
        <w:rPr>
          <w:noProof/>
        </w:rPr>
        <w:t>4.</w:t>
      </w:r>
      <w:r>
        <w:rPr>
          <w:rFonts w:asciiTheme="minorHAnsi" w:eastAsiaTheme="minorEastAsia" w:hAnsiTheme="minorHAnsi" w:cstheme="minorBidi"/>
          <w:noProof/>
          <w:kern w:val="2"/>
          <w:sz w:val="22"/>
          <w:lang w:eastAsia="en-GB"/>
          <w14:ligatures w14:val="standardContextual"/>
        </w:rPr>
        <w:tab/>
      </w:r>
      <w:r w:rsidRPr="00292B05">
        <w:rPr>
          <w:caps/>
          <w:noProof/>
        </w:rPr>
        <w:t>Digital dimensions</w:t>
      </w:r>
      <w:r>
        <w:rPr>
          <w:noProof/>
          <w:webHidden/>
        </w:rPr>
        <w:tab/>
        <w:t>29</w:t>
      </w:r>
    </w:p>
    <w:p w14:paraId="6B8B9AE1"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4.1.</w:t>
      </w:r>
      <w:r>
        <w:rPr>
          <w:rFonts w:asciiTheme="minorHAnsi" w:eastAsiaTheme="minorEastAsia" w:hAnsiTheme="minorHAnsi" w:cstheme="minorBidi"/>
          <w:noProof/>
          <w:kern w:val="2"/>
          <w:sz w:val="22"/>
          <w:lang w:eastAsia="en-GB"/>
          <w14:ligatures w14:val="standardContextual"/>
        </w:rPr>
        <w:tab/>
      </w:r>
      <w:r w:rsidRPr="00292B05">
        <w:rPr>
          <w:noProof/>
        </w:rPr>
        <w:t>Requirements of digital relevance</w:t>
      </w:r>
      <w:r>
        <w:rPr>
          <w:noProof/>
          <w:webHidden/>
        </w:rPr>
        <w:tab/>
        <w:t>30</w:t>
      </w:r>
    </w:p>
    <w:p w14:paraId="65C19C74"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4.2.</w:t>
      </w:r>
      <w:r>
        <w:rPr>
          <w:rFonts w:asciiTheme="minorHAnsi" w:eastAsiaTheme="minorEastAsia" w:hAnsiTheme="minorHAnsi" w:cstheme="minorBidi"/>
          <w:noProof/>
          <w:kern w:val="2"/>
          <w:sz w:val="22"/>
          <w:lang w:eastAsia="en-GB"/>
          <w14:ligatures w14:val="standardContextual"/>
        </w:rPr>
        <w:tab/>
      </w:r>
      <w:r w:rsidRPr="00292B05">
        <w:rPr>
          <w:noProof/>
        </w:rPr>
        <w:t>Data</w:t>
      </w:r>
      <w:r>
        <w:rPr>
          <w:noProof/>
          <w:webHidden/>
        </w:rPr>
        <w:tab/>
        <w:t>30</w:t>
      </w:r>
    </w:p>
    <w:p w14:paraId="4F9BEB93"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4.3.</w:t>
      </w:r>
      <w:r>
        <w:rPr>
          <w:rFonts w:asciiTheme="minorHAnsi" w:eastAsiaTheme="minorEastAsia" w:hAnsiTheme="minorHAnsi" w:cstheme="minorBidi"/>
          <w:noProof/>
          <w:kern w:val="2"/>
          <w:sz w:val="22"/>
          <w:lang w:eastAsia="en-GB"/>
          <w14:ligatures w14:val="standardContextual"/>
        </w:rPr>
        <w:tab/>
      </w:r>
      <w:r w:rsidRPr="00292B05">
        <w:rPr>
          <w:noProof/>
        </w:rPr>
        <w:t>Digital solutions</w:t>
      </w:r>
      <w:r>
        <w:rPr>
          <w:noProof/>
          <w:webHidden/>
        </w:rPr>
        <w:tab/>
        <w:t>31</w:t>
      </w:r>
    </w:p>
    <w:p w14:paraId="2BA953A6"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bCs/>
          <w:noProof/>
        </w:rPr>
        <w:t>4.4.</w:t>
      </w:r>
      <w:r>
        <w:rPr>
          <w:rFonts w:asciiTheme="minorHAnsi" w:eastAsiaTheme="minorEastAsia" w:hAnsiTheme="minorHAnsi" w:cstheme="minorBidi"/>
          <w:noProof/>
          <w:kern w:val="2"/>
          <w:sz w:val="22"/>
          <w:lang w:eastAsia="en-GB"/>
          <w14:ligatures w14:val="standardContextual"/>
        </w:rPr>
        <w:tab/>
      </w:r>
      <w:r w:rsidRPr="00292B05">
        <w:rPr>
          <w:bCs/>
          <w:noProof/>
        </w:rPr>
        <w:t>Interoperability assessment</w:t>
      </w:r>
      <w:r>
        <w:rPr>
          <w:noProof/>
          <w:webHidden/>
        </w:rPr>
        <w:tab/>
        <w:t>31</w:t>
      </w:r>
    </w:p>
    <w:p w14:paraId="19FADAB4" w14:textId="77777777" w:rsidR="006052EE" w:rsidRDefault="006052EE" w:rsidP="00445C9D">
      <w:pPr>
        <w:pStyle w:val="TOC2"/>
        <w:rPr>
          <w:rFonts w:asciiTheme="minorHAnsi" w:eastAsiaTheme="minorEastAsia" w:hAnsiTheme="minorHAnsi" w:cstheme="minorBidi"/>
          <w:noProof/>
          <w:kern w:val="2"/>
          <w:sz w:val="22"/>
          <w:lang w:eastAsia="en-GB"/>
          <w14:ligatures w14:val="standardContextual"/>
        </w:rPr>
      </w:pPr>
      <w:r w:rsidRPr="00292B05">
        <w:rPr>
          <w:noProof/>
        </w:rPr>
        <w:t>4.5.</w:t>
      </w:r>
      <w:r>
        <w:rPr>
          <w:rFonts w:asciiTheme="minorHAnsi" w:eastAsiaTheme="minorEastAsia" w:hAnsiTheme="minorHAnsi" w:cstheme="minorBidi"/>
          <w:noProof/>
          <w:kern w:val="2"/>
          <w:sz w:val="22"/>
          <w:lang w:eastAsia="en-GB"/>
          <w14:ligatures w14:val="standardContextual"/>
        </w:rPr>
        <w:tab/>
      </w:r>
      <w:r w:rsidRPr="00292B05">
        <w:rPr>
          <w:noProof/>
        </w:rPr>
        <w:t>Measures to support digital implementation</w:t>
      </w:r>
      <w:r>
        <w:rPr>
          <w:noProof/>
          <w:webHidden/>
        </w:rPr>
        <w:tab/>
        <w:t>32</w:t>
      </w:r>
    </w:p>
    <w:p w14:paraId="47A4E53C" w14:textId="77777777" w:rsidR="006052EE" w:rsidRDefault="006052EE" w:rsidP="00445C9D">
      <w:pPr>
        <w:pStyle w:val="TOC1"/>
        <w:ind w:left="0" w:firstLine="0"/>
        <w:rPr>
          <w:noProof/>
        </w:rPr>
        <w:sectPr w:rsidR="006052EE" w:rsidSect="00F14618">
          <w:pgSz w:w="11907" w:h="16840" w:code="9"/>
          <w:pgMar w:top="1134" w:right="1418" w:bottom="1134" w:left="1418" w:header="709" w:footer="709" w:gutter="0"/>
          <w:pgNumType w:start="1"/>
          <w:cols w:space="720"/>
          <w:docGrid w:linePitch="360"/>
        </w:sectPr>
      </w:pPr>
    </w:p>
    <w:p w14:paraId="1BFB1155" w14:textId="77777777" w:rsidR="006052EE" w:rsidRDefault="006052EE" w:rsidP="00445C9D">
      <w:pPr>
        <w:pStyle w:val="ManualHeading1"/>
        <w:rPr>
          <w:noProof/>
        </w:rPr>
      </w:pPr>
      <w:bookmarkStart w:id="13" w:name="_Toc514938007"/>
      <w:bookmarkStart w:id="14" w:name="_Toc520485025"/>
      <w:bookmarkStart w:id="15" w:name="_Toc160804567"/>
      <w:bookmarkStart w:id="16" w:name="_Toc167220259"/>
      <w:bookmarkStart w:id="17" w:name="_Toc177548992"/>
      <w:r w:rsidRPr="0021790A">
        <w:rPr>
          <w:noProof/>
        </w:rPr>
        <w:t>1.</w:t>
      </w:r>
      <w:r w:rsidRPr="0021790A">
        <w:rPr>
          <w:noProof/>
        </w:rPr>
        <w:tab/>
      </w:r>
      <w:r>
        <w:rPr>
          <w:noProof/>
        </w:rPr>
        <w:t>FRAMEWORK OF THE PROPOSAL/INITIATIVE</w:t>
      </w:r>
      <w:bookmarkEnd w:id="13"/>
      <w:bookmarkEnd w:id="14"/>
      <w:bookmarkEnd w:id="15"/>
      <w:bookmarkEnd w:id="16"/>
      <w:bookmarkEnd w:id="17"/>
      <w:r>
        <w:rPr>
          <w:noProof/>
        </w:rPr>
        <w:t xml:space="preserve"> </w:t>
      </w:r>
    </w:p>
    <w:p w14:paraId="09D497E3" w14:textId="77777777" w:rsidR="006052EE" w:rsidRPr="008774EA" w:rsidRDefault="006052EE" w:rsidP="00445C9D">
      <w:pPr>
        <w:pStyle w:val="ManualHeading2"/>
        <w:rPr>
          <w:noProof/>
        </w:rPr>
      </w:pPr>
      <w:bookmarkStart w:id="18" w:name="_Toc514938008"/>
      <w:bookmarkStart w:id="19" w:name="_Toc520485026"/>
      <w:bookmarkStart w:id="20" w:name="_Toc160804568"/>
      <w:bookmarkStart w:id="21" w:name="_Toc167220260"/>
      <w:bookmarkStart w:id="22" w:name="_Toc177548993"/>
      <w:r w:rsidRPr="008774EA">
        <w:rPr>
          <w:noProof/>
        </w:rPr>
        <w:t>1.1.</w:t>
      </w:r>
      <w:r w:rsidRPr="008774EA">
        <w:rPr>
          <w:noProof/>
        </w:rPr>
        <w:tab/>
        <w:t>Title of the proposal/initiative</w:t>
      </w:r>
      <w:bookmarkEnd w:id="18"/>
      <w:bookmarkEnd w:id="19"/>
      <w:bookmarkEnd w:id="20"/>
      <w:bookmarkEnd w:id="21"/>
      <w:bookmarkEnd w:id="22"/>
    </w:p>
    <w:p w14:paraId="3BD3A72C" w14:textId="77777777" w:rsidR="00BD56F2" w:rsidRPr="008D5E26" w:rsidRDefault="00BD56F2" w:rsidP="00BD56F2">
      <w:pPr>
        <w:pStyle w:val="Text1"/>
        <w:pBdr>
          <w:top w:val="single" w:sz="4" w:space="1" w:color="auto"/>
          <w:left w:val="single" w:sz="4" w:space="4" w:color="auto"/>
          <w:bottom w:val="single" w:sz="4" w:space="1" w:color="auto"/>
          <w:right w:val="single" w:sz="4" w:space="4" w:color="auto"/>
        </w:pBdr>
        <w:rPr>
          <w:noProof/>
        </w:rPr>
      </w:pPr>
      <w:r w:rsidRPr="008D5E26">
        <w:rPr>
          <w:noProof/>
        </w:rPr>
        <w:t>Proposal for a Directive of the European Parliament and of the Council amending Directive 2003/87/EC, Decision (EU) 2015/1814, Regulation (EU) 2015/757 and Regulation (EU) 2023/1805, as regards driving competitiveness and cost-effective decarbonisation.</w:t>
      </w:r>
    </w:p>
    <w:p w14:paraId="41C1164E" w14:textId="77777777" w:rsidR="006052EE" w:rsidRDefault="006052EE" w:rsidP="00445C9D">
      <w:pPr>
        <w:pStyle w:val="ManualHeading2"/>
        <w:rPr>
          <w:i/>
          <w:noProof/>
        </w:rPr>
      </w:pPr>
      <w:bookmarkStart w:id="23" w:name="_Toc514938011"/>
      <w:bookmarkStart w:id="24" w:name="_Toc520485027"/>
      <w:bookmarkStart w:id="25" w:name="_Toc160804569"/>
      <w:bookmarkStart w:id="26" w:name="_Toc167220261"/>
      <w:bookmarkStart w:id="27" w:name="_Toc177548994"/>
      <w:r w:rsidRPr="0021790A">
        <w:rPr>
          <w:noProof/>
        </w:rPr>
        <w:t>1.2.</w:t>
      </w:r>
      <w:r w:rsidRPr="0021790A">
        <w:rPr>
          <w:noProof/>
        </w:rPr>
        <w:tab/>
      </w:r>
      <w:r>
        <w:rPr>
          <w:noProof/>
        </w:rPr>
        <w:t>Policy area(s) concerned</w:t>
      </w:r>
      <w:bookmarkEnd w:id="23"/>
      <w:bookmarkEnd w:id="24"/>
      <w:bookmarkEnd w:id="25"/>
      <w:bookmarkEnd w:id="26"/>
      <w:bookmarkEnd w:id="27"/>
      <w:r>
        <w:rPr>
          <w:i/>
          <w:noProof/>
        </w:rPr>
        <w:t xml:space="preserve"> </w:t>
      </w:r>
    </w:p>
    <w:p w14:paraId="27818794" w14:textId="77777777" w:rsidR="00BD56F2" w:rsidRPr="008D5E26" w:rsidRDefault="00BD56F2" w:rsidP="00BD56F2">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Climate Action </w:t>
      </w:r>
    </w:p>
    <w:p w14:paraId="2F3AF90E" w14:textId="77777777" w:rsidR="00BD56F2" w:rsidRPr="008D5E26" w:rsidRDefault="00BD56F2" w:rsidP="00BD56F2">
      <w:pPr>
        <w:pStyle w:val="Text1"/>
        <w:pBdr>
          <w:top w:val="single" w:sz="4" w:space="1" w:color="auto"/>
          <w:left w:val="single" w:sz="4" w:space="4" w:color="auto"/>
          <w:bottom w:val="single" w:sz="4" w:space="1" w:color="auto"/>
          <w:right w:val="single" w:sz="4" w:space="4" w:color="auto"/>
        </w:pBdr>
        <w:rPr>
          <w:noProof/>
        </w:rPr>
      </w:pPr>
      <w:r w:rsidRPr="008D5E26">
        <w:rPr>
          <w:noProof/>
        </w:rPr>
        <w:t>Heading 2 – Competitiveness, prosperity and security</w:t>
      </w:r>
    </w:p>
    <w:p w14:paraId="04716216" w14:textId="77777777" w:rsidR="006052EE" w:rsidRDefault="006052EE" w:rsidP="00445C9D">
      <w:pPr>
        <w:pStyle w:val="ManualHeading2"/>
        <w:rPr>
          <w:noProof/>
        </w:rPr>
      </w:pPr>
      <w:bookmarkStart w:id="28" w:name="_Toc514938015"/>
      <w:bookmarkStart w:id="29" w:name="_Toc520485029"/>
      <w:bookmarkStart w:id="30" w:name="_Toc160804571"/>
      <w:bookmarkStart w:id="31" w:name="_Toc167220263"/>
      <w:bookmarkStart w:id="32" w:name="_Toc177548995"/>
      <w:r>
        <w:rPr>
          <w:noProof/>
        </w:rPr>
        <w:t>1.3.</w:t>
      </w:r>
      <w:r>
        <w:rPr>
          <w:noProof/>
        </w:rPr>
        <w:tab/>
      </w:r>
      <w:r w:rsidRPr="7D67B65D">
        <w:rPr>
          <w:noProof/>
        </w:rPr>
        <w:t>Objective(s)</w:t>
      </w:r>
      <w:bookmarkEnd w:id="28"/>
      <w:bookmarkEnd w:id="29"/>
      <w:bookmarkEnd w:id="30"/>
      <w:bookmarkEnd w:id="31"/>
      <w:bookmarkEnd w:id="32"/>
    </w:p>
    <w:p w14:paraId="0CCC8ADC" w14:textId="77777777" w:rsidR="006052EE" w:rsidRPr="009B753E" w:rsidRDefault="006052EE" w:rsidP="00445C9D">
      <w:pPr>
        <w:pStyle w:val="ManualHeading3"/>
        <w:rPr>
          <w:noProof/>
        </w:rPr>
      </w:pPr>
      <w:bookmarkStart w:id="33" w:name="_Toc514938016"/>
      <w:bookmarkStart w:id="34" w:name="_Toc520485030"/>
      <w:bookmarkStart w:id="35" w:name="_Toc160804572"/>
      <w:bookmarkStart w:id="36" w:name="_Toc167220264"/>
      <w:bookmarkStart w:id="37" w:name="_Toc177548996"/>
      <w:r>
        <w:rPr>
          <w:noProof/>
        </w:rPr>
        <w:t>1.3.1.</w:t>
      </w:r>
      <w:r>
        <w:rPr>
          <w:noProof/>
        </w:rPr>
        <w:tab/>
      </w:r>
      <w:r w:rsidRPr="7D67B65D">
        <w:rPr>
          <w:noProof/>
        </w:rPr>
        <w:t>General objective(s)</w:t>
      </w:r>
      <w:bookmarkEnd w:id="33"/>
      <w:bookmarkEnd w:id="34"/>
      <w:bookmarkEnd w:id="35"/>
      <w:bookmarkEnd w:id="36"/>
      <w:bookmarkEnd w:id="37"/>
    </w:p>
    <w:p w14:paraId="1DF7DB7D" w14:textId="77777777" w:rsidR="00DC41DB" w:rsidRPr="008D5E26" w:rsidRDefault="00DC41DB" w:rsidP="00445C9D">
      <w:pPr>
        <w:pStyle w:val="Text1"/>
        <w:pBdr>
          <w:top w:val="single" w:sz="4" w:space="1" w:color="auto"/>
          <w:left w:val="single" w:sz="4" w:space="4" w:color="auto"/>
          <w:bottom w:val="single" w:sz="4" w:space="1" w:color="auto"/>
          <w:right w:val="single" w:sz="4" w:space="4" w:color="auto"/>
        </w:pBdr>
        <w:rPr>
          <w:noProof/>
        </w:rPr>
      </w:pPr>
      <w:r w:rsidRPr="008D5E26">
        <w:rPr>
          <w:noProof/>
        </w:rPr>
        <w:t>The objective of this proposal is to ensure that the EU ETS continues to contribute in the most cost-effective, economically efficient and secure manner to the overall goal of reaching economy-wide carbon neutrality by 2050 and to the 2040 target, taking into account the broader policy framework and the need for all sectors to contribute to the EU climate efforts, while growing our economy and preserving competitiveness.</w:t>
      </w:r>
    </w:p>
    <w:p w14:paraId="48ABFB6A" w14:textId="77777777" w:rsidR="006052EE" w:rsidRDefault="006052EE" w:rsidP="00445C9D">
      <w:pPr>
        <w:pStyle w:val="ManualHeading3"/>
        <w:rPr>
          <w:noProof/>
        </w:rPr>
      </w:pPr>
      <w:bookmarkStart w:id="38" w:name="_Toc514938018"/>
      <w:bookmarkStart w:id="39" w:name="_Toc520485031"/>
      <w:bookmarkStart w:id="40" w:name="_Toc160804573"/>
      <w:bookmarkStart w:id="41" w:name="_Toc167220265"/>
      <w:bookmarkStart w:id="42" w:name="_Toc177548997"/>
      <w:r>
        <w:rPr>
          <w:noProof/>
        </w:rPr>
        <w:t>1.3.2.</w:t>
      </w:r>
      <w:r>
        <w:rPr>
          <w:noProof/>
        </w:rPr>
        <w:tab/>
      </w:r>
      <w:r w:rsidRPr="7D67B65D">
        <w:rPr>
          <w:noProof/>
        </w:rPr>
        <w:t>Specific objective(s)</w:t>
      </w:r>
      <w:bookmarkEnd w:id="38"/>
      <w:bookmarkEnd w:id="39"/>
      <w:bookmarkEnd w:id="40"/>
      <w:bookmarkEnd w:id="41"/>
      <w:bookmarkEnd w:id="42"/>
    </w:p>
    <w:p w14:paraId="08D8E368"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 </w:t>
      </w:r>
      <w:r w:rsidRPr="008D5E26">
        <w:rPr>
          <w:noProof/>
          <w:u w:val="single"/>
        </w:rPr>
        <w:t xml:space="preserve">Objective 1.1 </w:t>
      </w:r>
      <w:r w:rsidRPr="008D5E26">
        <w:rPr>
          <w:noProof/>
        </w:rPr>
        <w:t>Incentivise further emission reductions: to ensure the EU ETS contributes cost-effectively to economy-wide efforts (including transport) of achieving emission reductions of the EU in line with climate neutrality and to contribute cost-effectively to the EU’s fair share of economy-wide emissions reductions. The following specific objectives have been identified for O1.1:</w:t>
      </w:r>
    </w:p>
    <w:p w14:paraId="0398D4B7" w14:textId="77777777" w:rsidR="00DC41DB" w:rsidRPr="008D5E26" w:rsidRDefault="00DC41DB" w:rsidP="008D5E26">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o </w:t>
      </w:r>
      <w:r w:rsidRPr="008D5E26">
        <w:rPr>
          <w:noProof/>
          <w:u w:val="single"/>
        </w:rPr>
        <w:t>Specific Objective 1.1.1</w:t>
      </w:r>
      <w:r w:rsidRPr="008D5E26">
        <w:rPr>
          <w:noProof/>
        </w:rPr>
        <w:t xml:space="preserve"> Enable investments in decarbonisation technologies (both innovative ones and those ready for scale-up/roll-out) that currently do not yet have the business case (i.e. most of the technologies needed to address the emissions in the energy intensive industries, and in particular investments in mature decarbonisation technologies in carbon-intensive, low-income Member States). </w:t>
      </w:r>
    </w:p>
    <w:p w14:paraId="19253258" w14:textId="77777777" w:rsidR="00DC41DB" w:rsidRPr="008D5E26" w:rsidRDefault="00DC41DB" w:rsidP="008D5E26">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o </w:t>
      </w:r>
      <w:r w:rsidRPr="008D5E26">
        <w:rPr>
          <w:noProof/>
          <w:u w:val="single"/>
        </w:rPr>
        <w:t>Specific Objective 1.1.2</w:t>
      </w:r>
      <w:r w:rsidRPr="008D5E26">
        <w:rPr>
          <w:noProof/>
        </w:rPr>
        <w:t xml:space="preserve"> Ensure full carbon price signal is applied to emissions sources which are currently not in the scope of the EU ETS but would be well suited for its coverage, and to sectors where currently the signal is dampened.</w:t>
      </w:r>
    </w:p>
    <w:p w14:paraId="430926D8" w14:textId="77777777" w:rsidR="00DC41DB" w:rsidRPr="008D5E26" w:rsidRDefault="00DC41DB" w:rsidP="008D5E26">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o </w:t>
      </w:r>
      <w:r w:rsidRPr="008D5E26">
        <w:rPr>
          <w:noProof/>
          <w:u w:val="single"/>
        </w:rPr>
        <w:t>Specific Objective 1.1.3</w:t>
      </w:r>
      <w:r w:rsidRPr="008D5E26">
        <w:rPr>
          <w:noProof/>
        </w:rPr>
        <w:t xml:space="preserve"> Address risk of carbon leakage. </w:t>
      </w:r>
    </w:p>
    <w:p w14:paraId="5124143E"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 </w:t>
      </w:r>
      <w:r w:rsidRPr="008D5E26">
        <w:rPr>
          <w:noProof/>
          <w:u w:val="single"/>
        </w:rPr>
        <w:t>Objective 1.2</w:t>
      </w:r>
      <w:r w:rsidRPr="008D5E26">
        <w:rPr>
          <w:noProof/>
        </w:rPr>
        <w:t xml:space="preserve"> Reach a pre-set emissions reduction target provided by the 2040 policy package and with a net emissions calculation: exploring if the EU ETS gross emissions could be increased without compromising the sectors’ contribution to economy-wide net emission reductions in line with climate neutrality, including exploring if the emission reduction efforts could be complemented with carbon removals. The following specific objectives have been identified for O1.2:</w:t>
      </w:r>
    </w:p>
    <w:p w14:paraId="70297E50" w14:textId="77777777" w:rsidR="00DC41DB" w:rsidRPr="008D5E26" w:rsidRDefault="00DC41DB" w:rsidP="008D5E26">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o </w:t>
      </w:r>
      <w:r w:rsidRPr="008D5E26">
        <w:rPr>
          <w:noProof/>
          <w:u w:val="single"/>
        </w:rPr>
        <w:t>Specific Objective 1.2.1</w:t>
      </w:r>
      <w:r w:rsidRPr="008D5E26">
        <w:rPr>
          <w:noProof/>
        </w:rPr>
        <w:t xml:space="preserve"> Consider how carbon removals can be integrated in the EU ETS with sufficient environmental safeguards while preserving cost efficiency in achieving the ETS/EU climate objectives.</w:t>
      </w:r>
    </w:p>
    <w:p w14:paraId="02DFC392" w14:textId="77777777" w:rsidR="00DC41DB" w:rsidRPr="008D5E26" w:rsidRDefault="00DC41DB" w:rsidP="008D5E26">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o </w:t>
      </w:r>
      <w:r w:rsidRPr="008D5E26">
        <w:rPr>
          <w:noProof/>
          <w:u w:val="single"/>
        </w:rPr>
        <w:t>Specific Objective 1.2.2</w:t>
      </w:r>
      <w:r w:rsidRPr="008D5E26">
        <w:rPr>
          <w:noProof/>
        </w:rPr>
        <w:t xml:space="preserve"> Adjust EU ETS cap in line with pre-set target. </w:t>
      </w:r>
    </w:p>
    <w:p w14:paraId="5D5E58EE" w14:textId="77777777" w:rsidR="00DC41DB" w:rsidRPr="00D30DDB" w:rsidRDefault="00DC41DB" w:rsidP="00DC41DB">
      <w:pPr>
        <w:pStyle w:val="Text1"/>
        <w:pBdr>
          <w:top w:val="single" w:sz="4" w:space="1" w:color="auto"/>
          <w:left w:val="single" w:sz="4" w:space="4" w:color="auto"/>
          <w:bottom w:val="single" w:sz="4" w:space="1" w:color="auto"/>
          <w:right w:val="single" w:sz="4" w:space="4" w:color="auto"/>
        </w:pBdr>
        <w:rPr>
          <w:noProof/>
          <w:lang w:val="fr-BE"/>
        </w:rPr>
      </w:pPr>
      <w:r w:rsidRPr="00D30DDB">
        <w:rPr>
          <w:noProof/>
          <w:lang w:val="fr-BE"/>
        </w:rPr>
        <w:t xml:space="preserve">• </w:t>
      </w:r>
      <w:r w:rsidRPr="00D30DDB">
        <w:rPr>
          <w:noProof/>
          <w:u w:val="single"/>
          <w:lang w:val="fr-BE"/>
        </w:rPr>
        <w:t>Objective 1.3</w:t>
      </w:r>
      <w:r w:rsidRPr="00D30DDB">
        <w:rPr>
          <w:noProof/>
          <w:lang w:val="fr-BE"/>
        </w:rPr>
        <w:t xml:space="preserve"> Ensure effective EU climate action on transport emissions. </w:t>
      </w:r>
    </w:p>
    <w:p w14:paraId="078698B4"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To ensure effective EU climate action means to ensure that there is a meaningful carbon price on the EU’s fair share of international transport emissions. </w:t>
      </w:r>
    </w:p>
    <w:p w14:paraId="519CEDA2"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For aviation, the objective is to ensure a meaningful carbon price on the EU’s fair share of international aviation emissions, which can be a complement to CORSIA.</w:t>
      </w:r>
    </w:p>
    <w:p w14:paraId="0C553B31"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For maritime, the objective is to ensure coherence between any IMO mid-term measures and the EU ETS while addressing possible risk of significant double burden when (and if) payments are made due to IMO regulations in relation to emissions already priced under the EU ETS maritime, in a way that prevents environmental backsliding.</w:t>
      </w:r>
    </w:p>
    <w:p w14:paraId="3CCC8A63"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Thefollowing specific objectives have been identified for O1.3:</w:t>
      </w:r>
    </w:p>
    <w:p w14:paraId="0DE5CBAA" w14:textId="77777777" w:rsidR="00DC41DB" w:rsidRPr="008D5E26" w:rsidRDefault="00DC41DB" w:rsidP="008D5E26">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o </w:t>
      </w:r>
      <w:r w:rsidRPr="008D5E26">
        <w:rPr>
          <w:noProof/>
          <w:u w:val="single"/>
        </w:rPr>
        <w:t>Specific Objective 1.3.1</w:t>
      </w:r>
      <w:r w:rsidRPr="008D5E26">
        <w:rPr>
          <w:noProof/>
        </w:rPr>
        <w:t xml:space="preserve"> Ensure effective action on EU’s fair share of aviation emissions</w:t>
      </w:r>
    </w:p>
    <w:p w14:paraId="43C2E81D" w14:textId="77777777" w:rsidR="00DC41DB" w:rsidRPr="008D5E26" w:rsidRDefault="00DC41DB" w:rsidP="008D5E26">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o </w:t>
      </w:r>
      <w:r w:rsidRPr="008D5E26">
        <w:rPr>
          <w:noProof/>
          <w:u w:val="single"/>
        </w:rPr>
        <w:t xml:space="preserve">Specific Objective 1.3.2 </w:t>
      </w:r>
      <w:r w:rsidRPr="008D5E26">
        <w:rPr>
          <w:noProof/>
        </w:rPr>
        <w:t>Preserve the effectiveness of the implementation of the EU ETS extension to maritime.</w:t>
      </w:r>
    </w:p>
    <w:p w14:paraId="274F7295"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 </w:t>
      </w:r>
      <w:r w:rsidRPr="008D5E26">
        <w:rPr>
          <w:noProof/>
          <w:u w:val="single"/>
        </w:rPr>
        <w:t>Objective 2.1</w:t>
      </w:r>
      <w:r w:rsidRPr="008D5E26">
        <w:rPr>
          <w:noProof/>
        </w:rPr>
        <w:t xml:space="preserve"> Ensure efficient market functioning: this means ensuring that, in spite of a decreasing market, there is sufficient liquidity in the market so as to prevent trading frictions and excessive price volatility. The following specific objectives have been identified for O2.1:</w:t>
      </w:r>
    </w:p>
    <w:p w14:paraId="2DEB9400" w14:textId="77777777" w:rsidR="00DC41DB" w:rsidRPr="008D5E26" w:rsidRDefault="00DC41DB" w:rsidP="008D5E26">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o </w:t>
      </w:r>
      <w:r w:rsidRPr="008D5E26">
        <w:rPr>
          <w:noProof/>
          <w:u w:val="single"/>
        </w:rPr>
        <w:t>Specific Objective 2.1.1</w:t>
      </w:r>
      <w:r w:rsidRPr="008D5E26">
        <w:rPr>
          <w:noProof/>
        </w:rPr>
        <w:t xml:space="preserve"> Increase size of the market. </w:t>
      </w:r>
    </w:p>
    <w:p w14:paraId="41997D9F" w14:textId="77777777" w:rsidR="00DC41DB" w:rsidRPr="008D5E26" w:rsidRDefault="00DC41DB" w:rsidP="008D5E26">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o </w:t>
      </w:r>
      <w:r w:rsidRPr="008D5E26">
        <w:rPr>
          <w:noProof/>
          <w:u w:val="single"/>
        </w:rPr>
        <w:t>Specific Objective 2.1.2</w:t>
      </w:r>
      <w:r w:rsidRPr="008D5E26">
        <w:rPr>
          <w:noProof/>
        </w:rPr>
        <w:t xml:space="preserve"> Adjust MSR parameters.</w:t>
      </w:r>
    </w:p>
    <w:p w14:paraId="38750A63"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 </w:t>
      </w:r>
      <w:r w:rsidRPr="008D5E26">
        <w:rPr>
          <w:noProof/>
          <w:u w:val="single"/>
        </w:rPr>
        <w:t>Objective 2.2</w:t>
      </w:r>
      <w:r w:rsidRPr="008D5E26">
        <w:rPr>
          <w:noProof/>
        </w:rPr>
        <w:t xml:space="preserve"> Ensure a secure and compliant operating model for an enhanced Union Registry and specifically the financing of it.</w:t>
      </w:r>
    </w:p>
    <w:p w14:paraId="7D1C58B2" w14:textId="77777777" w:rsidR="006052EE" w:rsidRPr="00BD0A20" w:rsidRDefault="006052EE" w:rsidP="00D30DDB">
      <w:pPr>
        <w:pStyle w:val="ManualHeading3"/>
        <w:rPr>
          <w:noProof/>
        </w:rPr>
      </w:pPr>
      <w:bookmarkStart w:id="43" w:name="_Toc514938019"/>
      <w:bookmarkStart w:id="44" w:name="_Toc520485032"/>
      <w:bookmarkStart w:id="45" w:name="_Toc160804574"/>
      <w:bookmarkStart w:id="46" w:name="_Toc167220266"/>
      <w:bookmarkStart w:id="47" w:name="_Toc177548998"/>
      <w:r>
        <w:rPr>
          <w:noProof/>
        </w:rPr>
        <w:t>1.3.3.</w:t>
      </w:r>
      <w:r>
        <w:rPr>
          <w:noProof/>
        </w:rPr>
        <w:tab/>
      </w:r>
      <w:r w:rsidRPr="7D67B65D">
        <w:rPr>
          <w:noProof/>
        </w:rPr>
        <w:t>Expected result(s) and impact</w:t>
      </w:r>
      <w:bookmarkEnd w:id="43"/>
      <w:bookmarkEnd w:id="44"/>
      <w:bookmarkEnd w:id="45"/>
      <w:bookmarkEnd w:id="46"/>
      <w:bookmarkEnd w:id="47"/>
    </w:p>
    <w:p w14:paraId="4383919C" w14:textId="77777777" w:rsidR="006052EE" w:rsidRDefault="006052EE" w:rsidP="00445C9D">
      <w:pPr>
        <w:pStyle w:val="Text1"/>
        <w:rPr>
          <w:i/>
          <w:noProof/>
          <w:sz w:val="20"/>
        </w:rPr>
      </w:pPr>
      <w:r>
        <w:rPr>
          <w:i/>
          <w:noProof/>
          <w:sz w:val="20"/>
        </w:rPr>
        <w:t>Specify the effects which the proposal/initiative should have on the beneficiaries/groups targeted.</w:t>
      </w:r>
    </w:p>
    <w:p w14:paraId="2975EBB5"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The current ETS legislation was revised in 2023 to deliver a 62% reduction in EU ETS emissions by 2030 compared to 2005. Since that revision, the EU has adopted a </w:t>
      </w:r>
      <w:r w:rsidR="00231E6E" w:rsidRPr="008D5E26">
        <w:rPr>
          <w:noProof/>
        </w:rPr>
        <w:t>legally binding</w:t>
      </w:r>
      <w:r w:rsidRPr="008D5E26">
        <w:rPr>
          <w:noProof/>
        </w:rPr>
        <w:t xml:space="preserve"> target of 90% reduction in net GHG emissions for 2040 compared to 1990 in order to stay on course for reaching climate neutrality by 2050. </w:t>
      </w:r>
    </w:p>
    <w:p w14:paraId="2BE05705"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The present initiative establishes the contribution of EU ETS to the post-2030 framework. Its main expected impacts are: </w:t>
      </w:r>
    </w:p>
    <w:p w14:paraId="5877339B"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aligning the ambition of the ETS to the 2040 target;</w:t>
      </w:r>
    </w:p>
    <w:p w14:paraId="7003A483" w14:textId="77777777" w:rsidR="00DC41DB" w:rsidRPr="008D5E26" w:rsidRDefault="00DC41DB" w:rsidP="00496D92">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 integrating </w:t>
      </w:r>
      <w:r w:rsidR="00F351F2" w:rsidRPr="008D5E26">
        <w:rPr>
          <w:noProof/>
        </w:rPr>
        <w:t>domestic</w:t>
      </w:r>
      <w:r w:rsidRPr="008D5E26">
        <w:rPr>
          <w:noProof/>
        </w:rPr>
        <w:t xml:space="preserve"> permanent carbon removals into EU ETS through a public facility, creating additional emission space for the hardest-to-abate sectors and supporting the scale-up of the carbon removals industry;</w:t>
      </w:r>
    </w:p>
    <w:p w14:paraId="56CB224F"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reforming the Market Stability Reserve to better equip it to deal with scarcity situations, supporting liquidity of the market;</w:t>
      </w:r>
    </w:p>
    <w:p w14:paraId="49F0201E"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DC41DB">
        <w:rPr>
          <w:noProof/>
          <w:lang w:val="en-IE"/>
        </w:rPr>
        <w:t xml:space="preserve">- </w:t>
      </w:r>
      <w:r w:rsidRPr="008D5E26">
        <w:rPr>
          <w:noProof/>
        </w:rPr>
        <w:t xml:space="preserve">extending free allocation and indirect cost compensation beyond the currently legislated period, while free allocation is progressively made conditional on submission of climate neutrality plans and implementation of investments; </w:t>
      </w:r>
    </w:p>
    <w:p w14:paraId="1C0CFC90"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 increasing financial support to innovation and investment for decarbonisation, including for the industry, so a higher share of EU ETS revenues is returned to businesses, in particular via the Industrial Decarbonisation Bank. </w:t>
      </w:r>
    </w:p>
    <w:p w14:paraId="3941D5BD"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continuing the Innovation Fund to support low-carbon innovation and enhance competitiveness</w:t>
      </w:r>
    </w:p>
    <w:p w14:paraId="2DB17AB2"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strengthening requirements on the of auction revenues going to Member States and enhance visibility</w:t>
      </w:r>
    </w:p>
    <w:p w14:paraId="0CBCB9A3"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continuing to support the modernisation of energy systems in lower income Member States. Enhancing</w:t>
      </w:r>
      <w:r w:rsidRPr="00DC41DB">
        <w:rPr>
          <w:noProof/>
          <w:lang w:val="en-IE"/>
        </w:rPr>
        <w:t xml:space="preserve"> </w:t>
      </w:r>
      <w:r w:rsidRPr="008D5E26">
        <w:rPr>
          <w:noProof/>
        </w:rPr>
        <w:t>the Modernisation Fund by updating eligibility criteria and distribution key, and continuing a redistribution of 10% of auction volume, ensuring effective carbon pricing of the EU’s fair share of international transport emissions through an appropriate application of the EU ETS to departing flights, including avoidance of double-pricing through a deduction mechanism of CORSIA offsetting costs.</w:t>
      </w:r>
    </w:p>
    <w:p w14:paraId="3F2A53D1"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establishing dedicated direct support for the uptake of EU-produced sustainable aviation and maritime fuels, clean technology and hydrogen.</w:t>
      </w:r>
    </w:p>
    <w:p w14:paraId="634F1A7D" w14:textId="77777777" w:rsidR="008A50D4"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extending the maritime ETS scope to specific categories of small vessels to address the risk of evasion.</w:t>
      </w:r>
    </w:p>
    <w:p w14:paraId="3F625AFD"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simplifying measures for maritime monitoring, reporting and verification</w:t>
      </w:r>
    </w:p>
    <w:p w14:paraId="3B4972FA"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introducing targeted simplification elements to benefit industry and public authorities by reducing administrative compliance costs and enhancing system implementation.</w:t>
      </w:r>
    </w:p>
    <w:p w14:paraId="0BCCBD36"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enabling a decarbonisation route for industries with hard-to-abate emissions by integrating municipal waste incineration into EU ETS and placing the CCU point of obligation downstream for products and at processor or distributor level for e-fuels.</w:t>
      </w:r>
    </w:p>
    <w:p w14:paraId="488372AB" w14:textId="77777777" w:rsidR="006052EE"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securing financial means to establish an enhanced Union Registry that will host implementation activities and securely manage the financial instruments.</w:t>
      </w:r>
    </w:p>
    <w:p w14:paraId="75D2F0D8" w14:textId="77777777" w:rsidR="006052EE" w:rsidRDefault="006052EE" w:rsidP="00445C9D">
      <w:pPr>
        <w:pStyle w:val="ManualHeading3"/>
        <w:rPr>
          <w:noProof/>
        </w:rPr>
      </w:pPr>
      <w:bookmarkStart w:id="48" w:name="_Toc514938023"/>
      <w:bookmarkStart w:id="49" w:name="_Toc520485033"/>
      <w:bookmarkStart w:id="50" w:name="_Toc160804575"/>
      <w:bookmarkStart w:id="51" w:name="_Toc167220267"/>
      <w:bookmarkStart w:id="52" w:name="_Toc177548999"/>
      <w:r>
        <w:rPr>
          <w:noProof/>
        </w:rPr>
        <w:t>1.3.4.</w:t>
      </w:r>
      <w:r>
        <w:rPr>
          <w:noProof/>
        </w:rPr>
        <w:tab/>
      </w:r>
      <w:r w:rsidRPr="7D67B65D">
        <w:rPr>
          <w:noProof/>
        </w:rPr>
        <w:t>Indicators of performance</w:t>
      </w:r>
      <w:bookmarkEnd w:id="48"/>
      <w:bookmarkEnd w:id="49"/>
      <w:bookmarkEnd w:id="50"/>
      <w:bookmarkEnd w:id="51"/>
      <w:bookmarkEnd w:id="52"/>
    </w:p>
    <w:p w14:paraId="386E8FCC" w14:textId="77777777" w:rsidR="006052EE" w:rsidRDefault="006052EE" w:rsidP="00445C9D">
      <w:pPr>
        <w:pStyle w:val="Text1"/>
        <w:rPr>
          <w:i/>
          <w:noProof/>
          <w:sz w:val="20"/>
        </w:rPr>
      </w:pPr>
      <w:r>
        <w:rPr>
          <w:i/>
          <w:noProof/>
          <w:sz w:val="20"/>
        </w:rPr>
        <w:t>Specify the indicators for monitoring progress and achievements.</w:t>
      </w:r>
    </w:p>
    <w:p w14:paraId="048F4C5F"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Indicator nr 1: level of reduction of greenhouse gas emissions in the EU in 2040 90% reduction target compared to 1990 with a contribution of up to five percentage points from high-quality international credits, as enshrined in the European Climate Law.</w:t>
      </w:r>
    </w:p>
    <w:p w14:paraId="08718207"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Indicator nr 2: level of reduction of greenhouse gas emissions for the sectors in the existing EU Emissions Trading System (ETS) in 2040 and level of </w:t>
      </w:r>
      <w:r w:rsidR="00F351F2" w:rsidRPr="008D5E26">
        <w:rPr>
          <w:noProof/>
        </w:rPr>
        <w:t xml:space="preserve">domestic </w:t>
      </w:r>
      <w:r w:rsidRPr="008D5E26">
        <w:rPr>
          <w:noProof/>
        </w:rPr>
        <w:t xml:space="preserve">permanent carbon removals </w:t>
      </w:r>
    </w:p>
    <w:p w14:paraId="0595EBC9"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The levels of reduction of greenhouse gas emissions in the EU are reported under Regulation (EU) 2018/1999 and other secondary legislation related to monitoring and reporting in the ETS.</w:t>
      </w:r>
    </w:p>
    <w:p w14:paraId="63833C0F" w14:textId="77777777" w:rsidR="00DC41DB" w:rsidRPr="008D5E26" w:rsidRDefault="00DC41DB" w:rsidP="00DC41DB">
      <w:pPr>
        <w:pStyle w:val="Text1"/>
        <w:pBdr>
          <w:top w:val="single" w:sz="4" w:space="1" w:color="auto"/>
          <w:left w:val="single" w:sz="4" w:space="4" w:color="auto"/>
          <w:bottom w:val="single" w:sz="4" w:space="1" w:color="auto"/>
          <w:right w:val="single" w:sz="4" w:space="4" w:color="auto"/>
        </w:pBdr>
        <w:rPr>
          <w:noProof/>
        </w:rPr>
      </w:pPr>
      <w:r w:rsidRPr="008D5E26">
        <w:rPr>
          <w:noProof/>
        </w:rPr>
        <w:t xml:space="preserve">Indicator nr 3: establishing and managing an enhanced operating model for the Union Registry </w:t>
      </w:r>
    </w:p>
    <w:p w14:paraId="3CA3F493" w14:textId="77777777" w:rsidR="006052EE" w:rsidRDefault="006052EE" w:rsidP="00445C9D">
      <w:pPr>
        <w:pStyle w:val="ManualHeading2"/>
        <w:rPr>
          <w:noProof/>
        </w:rPr>
      </w:pPr>
      <w:bookmarkStart w:id="53" w:name="_Toc177549000"/>
      <w:r>
        <w:rPr>
          <w:noProof/>
        </w:rPr>
        <w:t>1.4.</w:t>
      </w:r>
      <w:r>
        <w:rPr>
          <w:noProof/>
        </w:rPr>
        <w:tab/>
      </w:r>
      <w:r w:rsidRPr="7D67B65D">
        <w:rPr>
          <w:noProof/>
        </w:rPr>
        <w:t>The proposal/initiative relates to:</w:t>
      </w:r>
      <w:bookmarkEnd w:id="53"/>
      <w:r w:rsidRPr="7D67B65D">
        <w:rPr>
          <w:noProof/>
        </w:rPr>
        <w:t xml:space="preserve"> </w:t>
      </w:r>
    </w:p>
    <w:p w14:paraId="78EA7F2B" w14:textId="77777777" w:rsidR="006052EE" w:rsidRPr="003B4AA4" w:rsidRDefault="006052EE" w:rsidP="00445C9D">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w:t>
      </w:r>
      <w:r w:rsidRPr="003B4AA4">
        <w:rPr>
          <w:noProof/>
          <w:sz w:val="22"/>
        </w:rPr>
        <w:t xml:space="preserve"> </w:t>
      </w:r>
    </w:p>
    <w:p w14:paraId="571D97AB" w14:textId="77777777" w:rsidR="006052EE" w:rsidRPr="003B4AA4" w:rsidRDefault="006052EE" w:rsidP="00445C9D">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 following a pilot project / preparatory action</w:t>
      </w:r>
      <w:r w:rsidRPr="003B4AA4">
        <w:rPr>
          <w:rStyle w:val="FootnoteReference"/>
          <w:noProof/>
        </w:rPr>
        <w:footnoteReference w:id="77"/>
      </w:r>
      <w:r w:rsidRPr="003B4AA4">
        <w:rPr>
          <w:noProof/>
          <w:sz w:val="22"/>
        </w:rPr>
        <w:t xml:space="preserve"> </w:t>
      </w:r>
    </w:p>
    <w:p w14:paraId="25506F7D" w14:textId="77777777" w:rsidR="006052EE" w:rsidRPr="003B4AA4" w:rsidRDefault="00DC41DB" w:rsidP="00445C9D">
      <w:pPr>
        <w:pStyle w:val="Text1"/>
        <w:rPr>
          <w:noProof/>
          <w:sz w:val="22"/>
        </w:rPr>
      </w:pPr>
      <w:r>
        <w:rPr>
          <w:rFonts w:ascii="Wingdings" w:eastAsia="Wingdings" w:hAnsi="Wingdings" w:cs="Wingdings"/>
          <w:noProof/>
          <w:sz w:val="22"/>
        </w:rPr>
        <w:t></w:t>
      </w:r>
      <w:r w:rsidR="006052EE" w:rsidRPr="003B4AA4">
        <w:rPr>
          <w:i/>
          <w:iCs/>
          <w:noProof/>
          <w:sz w:val="22"/>
        </w:rPr>
        <w:t xml:space="preserve"> </w:t>
      </w:r>
      <w:r w:rsidR="006052EE" w:rsidRPr="003B4AA4">
        <w:rPr>
          <w:noProof/>
        </w:rPr>
        <w:t>the extension of an existing action</w:t>
      </w:r>
      <w:r w:rsidR="006052EE" w:rsidRPr="003B4AA4">
        <w:rPr>
          <w:noProof/>
          <w:sz w:val="22"/>
        </w:rPr>
        <w:t xml:space="preserve"> </w:t>
      </w:r>
    </w:p>
    <w:p w14:paraId="19D1C543" w14:textId="77777777" w:rsidR="006052EE" w:rsidRPr="003B4AA4" w:rsidRDefault="006052EE" w:rsidP="00445C9D">
      <w:pPr>
        <w:pStyle w:val="Text1"/>
        <w:rPr>
          <w:noProof/>
        </w:rPr>
      </w:pPr>
      <w:r w:rsidRPr="003B4AA4">
        <w:rPr>
          <w:rFonts w:ascii="Wingdings" w:eastAsia="Wingdings" w:hAnsi="Wingdings" w:cs="Wingdings"/>
          <w:noProof/>
          <w:sz w:val="22"/>
        </w:rPr>
        <w:t></w:t>
      </w:r>
      <w:r w:rsidRPr="003B4AA4">
        <w:rPr>
          <w:i/>
          <w:iCs/>
          <w:noProof/>
          <w:sz w:val="22"/>
        </w:rPr>
        <w:t xml:space="preserve"> </w:t>
      </w:r>
      <w:r w:rsidRPr="003B4AA4">
        <w:rPr>
          <w:noProof/>
        </w:rPr>
        <w:t>a merger or redirection of one or more actions towards another/a new action</w:t>
      </w:r>
    </w:p>
    <w:p w14:paraId="1F894D52" w14:textId="77777777" w:rsidR="006052EE" w:rsidRDefault="006052EE" w:rsidP="00445C9D">
      <w:pPr>
        <w:pStyle w:val="ManualHeading2"/>
        <w:rPr>
          <w:bCs/>
          <w:noProof/>
          <w:szCs w:val="24"/>
        </w:rPr>
      </w:pPr>
      <w:bookmarkStart w:id="54" w:name="_Toc514938025"/>
      <w:bookmarkStart w:id="55" w:name="_Toc520485034"/>
      <w:bookmarkStart w:id="56" w:name="_Toc160804576"/>
      <w:bookmarkStart w:id="57" w:name="_Toc167220268"/>
      <w:bookmarkStart w:id="58" w:name="_Toc177549001"/>
      <w:r w:rsidRPr="0021790A">
        <w:rPr>
          <w:noProof/>
        </w:rPr>
        <w:t>1.5.</w:t>
      </w:r>
      <w:r w:rsidRPr="0021790A">
        <w:rPr>
          <w:noProof/>
        </w:rPr>
        <w:tab/>
      </w:r>
      <w:r>
        <w:rPr>
          <w:noProof/>
        </w:rPr>
        <w:t>Grounds for the proposal/initiative</w:t>
      </w:r>
      <w:bookmarkEnd w:id="54"/>
      <w:bookmarkEnd w:id="55"/>
      <w:bookmarkEnd w:id="56"/>
      <w:bookmarkEnd w:id="57"/>
      <w:bookmarkEnd w:id="58"/>
      <w:r>
        <w:rPr>
          <w:noProof/>
        </w:rPr>
        <w:t xml:space="preserve"> </w:t>
      </w:r>
    </w:p>
    <w:p w14:paraId="7167FC2E" w14:textId="77777777" w:rsidR="006052EE" w:rsidRDefault="006052EE" w:rsidP="00445C9D">
      <w:pPr>
        <w:pStyle w:val="ManualHeading3"/>
        <w:rPr>
          <w:noProof/>
        </w:rPr>
      </w:pPr>
      <w:bookmarkStart w:id="59" w:name="_Toc514938026"/>
      <w:bookmarkStart w:id="60" w:name="_Toc520485035"/>
      <w:bookmarkStart w:id="61" w:name="_Toc160804577"/>
      <w:bookmarkStart w:id="62" w:name="_Toc167220269"/>
      <w:bookmarkStart w:id="63" w:name="_Toc177549002"/>
      <w:r w:rsidRPr="0021790A">
        <w:rPr>
          <w:noProof/>
        </w:rPr>
        <w:t>1.5.1.</w:t>
      </w:r>
      <w:r w:rsidRPr="0021790A">
        <w:rPr>
          <w:noProof/>
        </w:rPr>
        <w:tab/>
      </w:r>
      <w:r>
        <w:rPr>
          <w:noProof/>
        </w:rPr>
        <w:t>Requirement(s) to be met in the short or long term including a detailed timeline for roll-out of the implementation of the initiative</w:t>
      </w:r>
      <w:bookmarkEnd w:id="59"/>
      <w:bookmarkEnd w:id="60"/>
      <w:bookmarkEnd w:id="61"/>
      <w:bookmarkEnd w:id="62"/>
      <w:bookmarkEnd w:id="63"/>
    </w:p>
    <w:p w14:paraId="3D427629" w14:textId="77777777" w:rsidR="00DC41DB" w:rsidRPr="00DC41DB"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sidRPr="00DC41DB">
        <w:rPr>
          <w:noProof/>
          <w:lang w:val="en-IE"/>
        </w:rPr>
        <w:t xml:space="preserve">Member States shall bring into force the laws, regulations and administrative provisions necessary to comply with this Directive and the Commission is to develop the relevant implementing measures. </w:t>
      </w:r>
    </w:p>
    <w:p w14:paraId="39BBC9B4" w14:textId="77777777" w:rsidR="006052EE" w:rsidRPr="008D5E26"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sidRPr="00DC41DB">
        <w:rPr>
          <w:noProof/>
          <w:lang w:val="en-IE"/>
        </w:rPr>
        <w:t>Further measures to develop relevant implementing measures, starting after the adoption of the Directive, will include revising and adopting a number of secondary legislative acts. In particular, this will concern the secondary legislation setting out detailed rules on changes to the scope of EU ETS and the functioning of the funds, including Industrial Decarbonisation Bank and ETS investment booster, Innovation Fund and Modernisation Fund.</w:t>
      </w:r>
    </w:p>
    <w:p w14:paraId="7435CAD1" w14:textId="77777777" w:rsidR="006052EE" w:rsidRDefault="006052EE" w:rsidP="00445C9D">
      <w:pPr>
        <w:pStyle w:val="ManualHeading3"/>
        <w:rPr>
          <w:bCs/>
          <w:noProof/>
          <w:szCs w:val="24"/>
        </w:rPr>
      </w:pPr>
      <w:bookmarkStart w:id="64" w:name="_Toc514938029"/>
      <w:bookmarkStart w:id="65" w:name="_Toc520485036"/>
      <w:bookmarkStart w:id="66" w:name="_Toc160804578"/>
      <w:bookmarkStart w:id="67" w:name="_Toc167220270"/>
      <w:bookmarkStart w:id="68" w:name="_Toc177549003"/>
      <w:r w:rsidRPr="0021790A">
        <w:rPr>
          <w:noProof/>
        </w:rPr>
        <w:t>1.5.2.</w:t>
      </w:r>
      <w:r w:rsidRPr="0021790A">
        <w:rPr>
          <w:noProof/>
        </w:rPr>
        <w:tab/>
      </w:r>
      <w:r>
        <w:rPr>
          <w:noProof/>
        </w:rPr>
        <w:t xml:space="preserve">Added value of EU </w:t>
      </w:r>
      <w:r w:rsidRPr="00CD72BB">
        <w:rPr>
          <w:noProof/>
        </w:rPr>
        <w:t>involvement (it may result from different factors, e.g. coordination gains, legal certainty, great</w:t>
      </w:r>
      <w:r w:rsidRPr="004830A5">
        <w:rPr>
          <w:noProof/>
        </w:rPr>
        <w:t>er effectiveness or complementarities).</w:t>
      </w:r>
      <w:r>
        <w:rPr>
          <w:noProof/>
        </w:rPr>
        <w:t xml:space="preserve"> For the purposes of this section 'added value of EU involvement' is the value resulting from EU action, that is additional to the value that would have been otherwise created by Member States alone.</w:t>
      </w:r>
      <w:bookmarkEnd w:id="64"/>
      <w:bookmarkEnd w:id="65"/>
      <w:bookmarkEnd w:id="66"/>
      <w:bookmarkEnd w:id="67"/>
      <w:bookmarkEnd w:id="68"/>
    </w:p>
    <w:p w14:paraId="4EB29841" w14:textId="77777777" w:rsidR="00DC41DB" w:rsidRDefault="00DC41DB" w:rsidP="00DC41DB">
      <w:pPr>
        <w:pStyle w:val="Text1"/>
        <w:pBdr>
          <w:top w:val="single" w:sz="4" w:space="1" w:color="auto"/>
          <w:left w:val="single" w:sz="4" w:space="4" w:color="auto"/>
          <w:bottom w:val="single" w:sz="4" w:space="1" w:color="auto"/>
          <w:right w:val="single" w:sz="4" w:space="4" w:color="auto"/>
        </w:pBdr>
        <w:rPr>
          <w:noProof/>
        </w:rPr>
      </w:pPr>
      <w:r>
        <w:rPr>
          <w:noProof/>
        </w:rPr>
        <w:t xml:space="preserve">Climate change is a trans-boundary problem and both international and EU action can effectively complement and reinforce regional, national and local action. Adjusting the ETS to the 2040 target for EU GHG reductions will affect many sectors across the EU economy and coordinated action at the EU level is therefore indispensable and has a much bigger chance of leading to the necessary transformation, acting as a strong driver for cost-effective change and upward convergence. Furthermore, many of the policy elements assessed in this initiative have an important internal market dimension, in particular the options related to the carbon leakage protection and the low-carbon funding mechanisms. EU action can also inspire and promote the development of other market-based measures. </w:t>
      </w:r>
    </w:p>
    <w:p w14:paraId="3487D7D8" w14:textId="77777777" w:rsidR="006052EE" w:rsidRPr="008D5E26"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Pr>
          <w:noProof/>
        </w:rPr>
        <w:t>As a carbon market, the ETS incentivises emission reductions made by cost-effective solutions first across the activities it covers, achieving greater efficiency by virtue of its scale. Implementing a similar measure nationally would result in smaller, fragmented carbon markets, risking distortions of competition and likely lead to higher overall abatement costs. The same logic holds for the extension of carbon pricing to new sectors.</w:t>
      </w:r>
    </w:p>
    <w:p w14:paraId="5A705854" w14:textId="77777777" w:rsidR="006052EE" w:rsidRDefault="006052EE" w:rsidP="00445C9D">
      <w:pPr>
        <w:pStyle w:val="ManualHeading3"/>
        <w:rPr>
          <w:noProof/>
        </w:rPr>
      </w:pPr>
      <w:bookmarkStart w:id="69" w:name="_Toc514938030"/>
      <w:bookmarkStart w:id="70" w:name="_Toc520485037"/>
      <w:bookmarkStart w:id="71" w:name="_Toc160804579"/>
      <w:bookmarkStart w:id="72" w:name="_Toc167220271"/>
      <w:bookmarkStart w:id="73" w:name="_Toc177549004"/>
      <w:r w:rsidRPr="0021790A">
        <w:rPr>
          <w:noProof/>
        </w:rPr>
        <w:t>1.5.3.</w:t>
      </w:r>
      <w:r w:rsidRPr="0021790A">
        <w:rPr>
          <w:noProof/>
        </w:rPr>
        <w:tab/>
      </w:r>
      <w:r>
        <w:rPr>
          <w:noProof/>
        </w:rPr>
        <w:t>Lessons learned from similar experiences in the past</w:t>
      </w:r>
      <w:bookmarkEnd w:id="69"/>
      <w:bookmarkEnd w:id="70"/>
      <w:bookmarkEnd w:id="71"/>
      <w:bookmarkEnd w:id="72"/>
      <w:bookmarkEnd w:id="73"/>
    </w:p>
    <w:p w14:paraId="22F966B5" w14:textId="77777777" w:rsidR="00DC41DB" w:rsidRPr="00DC41DB"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sidRPr="00DC41DB">
        <w:rPr>
          <w:noProof/>
          <w:lang w:val="en-IE"/>
        </w:rPr>
        <w:t xml:space="preserve">The ETS Directive is an existing EU policy instrument adopted in 2003. The Commission has gained valuable experience during more than 20 years for which the EU ETS has been in operation. </w:t>
      </w:r>
    </w:p>
    <w:p w14:paraId="54E5FF93" w14:textId="77777777" w:rsidR="006052EE" w:rsidRPr="008D5E26"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sidRPr="00DC41DB">
        <w:rPr>
          <w:noProof/>
          <w:lang w:val="en-IE"/>
        </w:rPr>
        <w:t>This proposal builds upon experience gathered in the previous EU ETS revisions and initiatives, including the most recent revision concluded in 2023, the adoption of a legally binding climate target for 2040, the EU Competitiveness Compass, Clean Industrial Deal and AccelerateEU. The initiative also builds on the process based on integrated national energy and climate plans and the framework contained in the Governance Regulation.</w:t>
      </w:r>
    </w:p>
    <w:p w14:paraId="168A91BB" w14:textId="77777777" w:rsidR="006052EE" w:rsidRDefault="006052EE" w:rsidP="00445C9D">
      <w:pPr>
        <w:pStyle w:val="ManualHeading3"/>
        <w:rPr>
          <w:noProof/>
        </w:rPr>
      </w:pPr>
      <w:bookmarkStart w:id="74" w:name="_Toc514938033"/>
      <w:bookmarkStart w:id="75" w:name="_Toc520485038"/>
      <w:bookmarkStart w:id="76" w:name="_Toc160804580"/>
      <w:bookmarkStart w:id="77" w:name="_Toc167220272"/>
      <w:bookmarkStart w:id="78" w:name="_Toc177549005"/>
      <w:r w:rsidRPr="0021790A">
        <w:rPr>
          <w:noProof/>
        </w:rPr>
        <w:t>1.5.4.</w:t>
      </w:r>
      <w:r w:rsidRPr="0021790A">
        <w:rPr>
          <w:noProof/>
        </w:rPr>
        <w:tab/>
      </w:r>
      <w:r>
        <w:rPr>
          <w:noProof/>
        </w:rPr>
        <w:t>Compatibility with the multiannual financial framework and possible synergies with other appropriate instruments</w:t>
      </w:r>
      <w:bookmarkEnd w:id="74"/>
      <w:bookmarkEnd w:id="75"/>
      <w:bookmarkEnd w:id="76"/>
      <w:bookmarkEnd w:id="77"/>
      <w:bookmarkEnd w:id="78"/>
    </w:p>
    <w:p w14:paraId="5D0578EA" w14:textId="77777777" w:rsidR="00DC41DB" w:rsidRPr="00DC41DB"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sidRPr="00DC41DB">
        <w:rPr>
          <w:noProof/>
          <w:lang w:val="en-IE"/>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35FC9BE0" w14:textId="77777777" w:rsidR="00DC41DB" w:rsidRPr="00DC41DB"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sidRPr="00DC41DB">
        <w:rPr>
          <w:noProof/>
          <w:lang w:val="en-IE"/>
        </w:rPr>
        <w:t>This proposal is the first part of a package of measures to deliver the framework to deliver the new economy-wide 2040 target. The objective of this proposal is to ensure that the EU ETS continues to contribute in a cost-effective and economically efficient manner to the overall goal of reaching economy-wide carbon neutrality by 2050 and the 2040 target, taking into account the broader policy framework and the need for all sectors to contribute to the EU climate efforts, while growing our economy and preserving competitiveness.</w:t>
      </w:r>
    </w:p>
    <w:p w14:paraId="36F4A54F" w14:textId="77777777" w:rsidR="006052EE" w:rsidRPr="008D5E26"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sidRPr="00DC41DB">
        <w:rPr>
          <w:noProof/>
          <w:lang w:val="en-IE"/>
        </w:rPr>
        <w:t>This financial statement sets out how the Commission proposes to meet its resource requirements using a combination of external assigned revenues and EU funds (seeking funding from the European Competitiveness Fund for elements currently financed by the LIFE programme). See Section 3 for further details. The financial statement takes into account the EU ETS’s contribution to EU Own Resources, as per the Commission proposal for the next MFF, whereby 30% of auction revenues pertaining to Member States would be transferred to the Union budget for this purpose. The proposal limits additional administrative costs by using, where possible, existing structures used for the Directive.</w:t>
      </w:r>
    </w:p>
    <w:p w14:paraId="6276A5BC" w14:textId="77777777" w:rsidR="006052EE" w:rsidRDefault="006052EE" w:rsidP="00445C9D">
      <w:pPr>
        <w:pStyle w:val="ManualHeading3"/>
        <w:rPr>
          <w:noProof/>
        </w:rPr>
      </w:pPr>
      <w:bookmarkStart w:id="79" w:name="_Toc514938036"/>
      <w:bookmarkStart w:id="80" w:name="_Toc520485039"/>
      <w:bookmarkStart w:id="81" w:name="_Toc160804581"/>
      <w:bookmarkStart w:id="82" w:name="_Toc167220273"/>
      <w:bookmarkStart w:id="83" w:name="_Toc177549006"/>
      <w:r w:rsidRPr="0021790A">
        <w:rPr>
          <w:noProof/>
        </w:rPr>
        <w:t>1.5.5.</w:t>
      </w:r>
      <w:r w:rsidRPr="0021790A">
        <w:rPr>
          <w:noProof/>
        </w:rPr>
        <w:tab/>
      </w:r>
      <w:r>
        <w:rPr>
          <w:noProof/>
        </w:rPr>
        <w:t>Assessment of the different available financing options, including scope for redeployment</w:t>
      </w:r>
      <w:bookmarkEnd w:id="79"/>
      <w:bookmarkEnd w:id="80"/>
      <w:bookmarkEnd w:id="81"/>
      <w:bookmarkEnd w:id="82"/>
      <w:bookmarkEnd w:id="83"/>
    </w:p>
    <w:p w14:paraId="7CC0F58F" w14:textId="77777777" w:rsidR="00DC41DB" w:rsidRPr="00DC41DB"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sidRPr="00DC41DB">
        <w:rPr>
          <w:noProof/>
          <w:lang w:val="en-IE"/>
        </w:rPr>
        <w:t xml:space="preserve">The proposal involves making several changes to the scope of emissions (and removals) covered by the ETS as well as changes to its operation. </w:t>
      </w:r>
    </w:p>
    <w:p w14:paraId="11996E1B" w14:textId="77777777" w:rsidR="00DC41DB" w:rsidRPr="00DC41DB"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sidRPr="00DC41DB">
        <w:rPr>
          <w:noProof/>
          <w:lang w:val="en-IE"/>
        </w:rPr>
        <w:t>It proposes to cover the resource needs from a combination of external assigned revenues and EU budget funds (specifically the European Competitiveness Fund for elements currently covered by the LIFE programme).</w:t>
      </w:r>
    </w:p>
    <w:p w14:paraId="4621BEBA" w14:textId="77777777" w:rsidR="006052EE" w:rsidRPr="008D5E26" w:rsidRDefault="00DC41DB" w:rsidP="00DC41DB">
      <w:pPr>
        <w:pStyle w:val="Text1"/>
        <w:pBdr>
          <w:top w:val="single" w:sz="4" w:space="1" w:color="auto"/>
          <w:left w:val="single" w:sz="4" w:space="4" w:color="auto"/>
          <w:bottom w:val="single" w:sz="4" w:space="1" w:color="auto"/>
          <w:right w:val="single" w:sz="4" w:space="4" w:color="auto"/>
        </w:pBdr>
        <w:rPr>
          <w:noProof/>
          <w:lang w:val="en-IE"/>
        </w:rPr>
      </w:pPr>
      <w:r w:rsidRPr="00DC41DB">
        <w:rPr>
          <w:noProof/>
          <w:lang w:val="en-IE"/>
        </w:rPr>
        <w:t>See Section 3: estimated financial impact of the proposal.</w:t>
      </w:r>
    </w:p>
    <w:p w14:paraId="179EB2E6" w14:textId="77777777" w:rsidR="006052EE" w:rsidRDefault="006052EE" w:rsidP="00445C9D">
      <w:pPr>
        <w:pStyle w:val="ManualHeading2"/>
        <w:rPr>
          <w:bCs/>
          <w:noProof/>
          <w:szCs w:val="24"/>
        </w:rPr>
      </w:pPr>
      <w:r>
        <w:rPr>
          <w:noProof/>
        </w:rPr>
        <w:br w:type="page"/>
      </w:r>
      <w:bookmarkStart w:id="84" w:name="_Toc514938039"/>
      <w:bookmarkStart w:id="85" w:name="_Toc520485040"/>
      <w:bookmarkStart w:id="86" w:name="_Toc160804582"/>
      <w:bookmarkStart w:id="87" w:name="_Toc167220274"/>
      <w:bookmarkStart w:id="88" w:name="_Toc177549007"/>
      <w:r w:rsidRPr="0021790A">
        <w:rPr>
          <w:noProof/>
        </w:rPr>
        <w:t>1.6.</w:t>
      </w:r>
      <w:r w:rsidRPr="0021790A">
        <w:rPr>
          <w:noProof/>
        </w:rPr>
        <w:tab/>
      </w:r>
      <w:r>
        <w:rPr>
          <w:noProof/>
        </w:rPr>
        <w:t>Duration of the proposal/initiative</w:t>
      </w:r>
      <w:bookmarkEnd w:id="84"/>
      <w:bookmarkEnd w:id="85"/>
      <w:r>
        <w:rPr>
          <w:noProof/>
        </w:rPr>
        <w:t xml:space="preserve"> and of its financial impact</w:t>
      </w:r>
      <w:bookmarkEnd w:id="86"/>
      <w:bookmarkEnd w:id="87"/>
      <w:bookmarkEnd w:id="88"/>
    </w:p>
    <w:p w14:paraId="3E41E66A" w14:textId="77777777" w:rsidR="006052EE" w:rsidRDefault="006052EE" w:rsidP="00445C9D">
      <w:pPr>
        <w:pStyle w:val="Text1"/>
        <w:rPr>
          <w:noProof/>
        </w:rPr>
      </w:pPr>
      <w:r>
        <w:rPr>
          <w:rFonts w:ascii="Wingdings" w:eastAsia="Wingdings" w:hAnsi="Wingdings" w:cs="Wingdings"/>
          <w:noProof/>
        </w:rPr>
        <w:t></w:t>
      </w:r>
      <w:r>
        <w:rPr>
          <w:b/>
          <w:i/>
          <w:noProof/>
        </w:rPr>
        <w:t xml:space="preserve"> </w:t>
      </w:r>
      <w:r>
        <w:rPr>
          <w:b/>
          <w:noProof/>
        </w:rPr>
        <w:t xml:space="preserve">limited duration </w:t>
      </w:r>
    </w:p>
    <w:p w14:paraId="01314794" w14:textId="77777777" w:rsidR="006052EE" w:rsidRDefault="006052EE" w:rsidP="006052EE">
      <w:pPr>
        <w:pStyle w:val="ListDash2"/>
        <w:rPr>
          <w:noProof/>
        </w:rPr>
      </w:pPr>
      <w:r>
        <w:rPr>
          <w:rFonts w:ascii="Wingdings" w:eastAsia="Wingdings" w:hAnsi="Wingdings" w:cs="Wingdings"/>
          <w:noProof/>
        </w:rPr>
        <w:t></w:t>
      </w:r>
      <w:r>
        <w:rPr>
          <w:noProof/>
        </w:rPr>
        <w:tab/>
        <w:t xml:space="preserve">in effect from [DD/MM]YYYY to [DD/MM]YYYY </w:t>
      </w:r>
    </w:p>
    <w:p w14:paraId="5A93AECA" w14:textId="77777777" w:rsidR="006052EE" w:rsidRDefault="006052EE" w:rsidP="006052EE">
      <w:pPr>
        <w:pStyle w:val="ListDash2"/>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14:paraId="6EA553CC" w14:textId="77777777" w:rsidR="006052EE" w:rsidRDefault="00DC41DB" w:rsidP="00445C9D">
      <w:pPr>
        <w:pStyle w:val="Text1"/>
        <w:rPr>
          <w:noProof/>
        </w:rPr>
      </w:pPr>
      <w:r>
        <w:rPr>
          <w:rFonts w:ascii="Wingdings" w:eastAsia="Wingdings" w:hAnsi="Wingdings" w:cs="Wingdings"/>
          <w:noProof/>
        </w:rPr>
        <w:t></w:t>
      </w:r>
      <w:r w:rsidR="006052EE">
        <w:rPr>
          <w:b/>
          <w:i/>
          <w:noProof/>
        </w:rPr>
        <w:t xml:space="preserve"> </w:t>
      </w:r>
      <w:r w:rsidR="006052EE">
        <w:rPr>
          <w:b/>
          <w:noProof/>
        </w:rPr>
        <w:t>unlimited duration</w:t>
      </w:r>
    </w:p>
    <w:p w14:paraId="578CAB4D" w14:textId="77777777" w:rsidR="006052EE" w:rsidRDefault="006052EE" w:rsidP="006052EE">
      <w:pPr>
        <w:pStyle w:val="ListDash1"/>
        <w:rPr>
          <w:noProof/>
        </w:rPr>
      </w:pPr>
      <w:r>
        <w:rPr>
          <w:noProof/>
        </w:rPr>
        <w:t>Implementation with a start-up period from YYYY to YYYY,</w:t>
      </w:r>
    </w:p>
    <w:p w14:paraId="4A947BEB" w14:textId="77777777" w:rsidR="006052EE" w:rsidRDefault="006052EE" w:rsidP="006052EE">
      <w:pPr>
        <w:pStyle w:val="ListDash1"/>
        <w:rPr>
          <w:noProof/>
        </w:rPr>
      </w:pPr>
      <w:r>
        <w:rPr>
          <w:noProof/>
        </w:rPr>
        <w:t>followed by full-scale operation.</w:t>
      </w:r>
    </w:p>
    <w:p w14:paraId="3D62C322" w14:textId="77777777" w:rsidR="006052EE" w:rsidRDefault="006052EE" w:rsidP="00445C9D">
      <w:pPr>
        <w:pStyle w:val="ManualHeading2"/>
        <w:rPr>
          <w:bCs/>
          <w:noProof/>
          <w:szCs w:val="24"/>
        </w:rPr>
      </w:pPr>
      <w:bookmarkStart w:id="89" w:name="_Toc514938040"/>
      <w:bookmarkStart w:id="90" w:name="_Toc520485041"/>
      <w:bookmarkStart w:id="91" w:name="_Toc160804583"/>
      <w:bookmarkStart w:id="92" w:name="_Toc167220275"/>
      <w:bookmarkStart w:id="93" w:name="_Toc177549008"/>
      <w:r w:rsidRPr="0021790A">
        <w:rPr>
          <w:noProof/>
        </w:rPr>
        <w:t>1.7.</w:t>
      </w:r>
      <w:r w:rsidRPr="0021790A">
        <w:rPr>
          <w:noProof/>
        </w:rPr>
        <w:tab/>
      </w:r>
      <w:r>
        <w:rPr>
          <w:noProof/>
        </w:rPr>
        <w:t>Method(s) of budget implementation planned</w:t>
      </w:r>
      <w:bookmarkEnd w:id="89"/>
      <w:bookmarkEnd w:id="90"/>
      <w:bookmarkEnd w:id="91"/>
      <w:bookmarkEnd w:id="92"/>
      <w:bookmarkEnd w:id="93"/>
      <w:r>
        <w:rPr>
          <w:noProof/>
        </w:rPr>
        <w:t xml:space="preserve"> </w:t>
      </w:r>
    </w:p>
    <w:p w14:paraId="10E4C440" w14:textId="77777777" w:rsidR="006052EE" w:rsidRDefault="00DC41DB" w:rsidP="00445C9D">
      <w:pPr>
        <w:pStyle w:val="Text1"/>
        <w:rPr>
          <w:noProof/>
        </w:rPr>
      </w:pPr>
      <w:r>
        <w:rPr>
          <w:rFonts w:ascii="Wingdings" w:eastAsia="Wingdings" w:hAnsi="Wingdings" w:cs="Wingdings"/>
          <w:noProof/>
        </w:rPr>
        <w:t></w:t>
      </w:r>
      <w:r w:rsidR="006052EE">
        <w:rPr>
          <w:i/>
          <w:noProof/>
        </w:rPr>
        <w:t xml:space="preserve"> </w:t>
      </w:r>
      <w:r w:rsidR="006052EE">
        <w:rPr>
          <w:b/>
          <w:noProof/>
        </w:rPr>
        <w:t>Direct management</w:t>
      </w:r>
      <w:r w:rsidR="006052EE">
        <w:rPr>
          <w:noProof/>
        </w:rPr>
        <w:t xml:space="preserve"> by the Commission</w:t>
      </w:r>
    </w:p>
    <w:p w14:paraId="33497702" w14:textId="77777777" w:rsidR="006052EE" w:rsidRDefault="00DC41DB" w:rsidP="006052EE">
      <w:pPr>
        <w:pStyle w:val="ListDash2"/>
        <w:rPr>
          <w:rFonts w:cs="EUAlbertina"/>
          <w:noProof/>
        </w:rPr>
      </w:pPr>
      <w:r>
        <w:rPr>
          <w:rFonts w:ascii="Wingdings" w:eastAsia="Wingdings" w:hAnsi="Wingdings" w:cs="Wingdings"/>
          <w:noProof/>
        </w:rPr>
        <w:t></w:t>
      </w:r>
      <w:r w:rsidR="006052EE">
        <w:rPr>
          <w:noProof/>
        </w:rPr>
        <w:t xml:space="preserve"> by its departments, including by its staff in the Union delegations; </w:t>
      </w:r>
    </w:p>
    <w:p w14:paraId="24676491" w14:textId="77777777" w:rsidR="006052EE" w:rsidRDefault="00DC41DB" w:rsidP="006052EE">
      <w:pPr>
        <w:pStyle w:val="ListDash2"/>
        <w:rPr>
          <w:noProof/>
        </w:rPr>
      </w:pPr>
      <w:r>
        <w:rPr>
          <w:rFonts w:ascii="Wingdings" w:eastAsia="Wingdings" w:hAnsi="Wingdings" w:cs="Wingdings"/>
          <w:noProof/>
        </w:rPr>
        <w:t></w:t>
      </w:r>
      <w:r w:rsidR="006052EE">
        <w:rPr>
          <w:noProof/>
        </w:rPr>
        <w:tab/>
        <w:t xml:space="preserve">by the executive agencies </w:t>
      </w:r>
    </w:p>
    <w:p w14:paraId="2D89C42D" w14:textId="77777777" w:rsidR="006052EE" w:rsidRDefault="006052EE" w:rsidP="00445C9D">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14:paraId="1937C05A" w14:textId="77777777" w:rsidR="006052EE" w:rsidRDefault="00DC41DB" w:rsidP="00445C9D">
      <w:pPr>
        <w:pStyle w:val="Text1"/>
        <w:rPr>
          <w:noProof/>
        </w:rPr>
      </w:pPr>
      <w:r>
        <w:rPr>
          <w:rFonts w:ascii="Wingdings" w:eastAsia="Wingdings" w:hAnsi="Wingdings" w:cs="Wingdings"/>
          <w:noProof/>
        </w:rPr>
        <w:t></w:t>
      </w:r>
      <w:r w:rsidR="006052EE">
        <w:rPr>
          <w:i/>
          <w:noProof/>
        </w:rPr>
        <w:t xml:space="preserve"> </w:t>
      </w:r>
      <w:r w:rsidR="006052EE">
        <w:rPr>
          <w:b/>
          <w:noProof/>
        </w:rPr>
        <w:t>Indirect management</w:t>
      </w:r>
      <w:r w:rsidR="006052EE">
        <w:rPr>
          <w:noProof/>
        </w:rPr>
        <w:t xml:space="preserve"> by entrusting budget implementation tasks to:</w:t>
      </w:r>
    </w:p>
    <w:p w14:paraId="0ADAF38C" w14:textId="77777777" w:rsidR="006052EE" w:rsidRDefault="006052EE" w:rsidP="006052EE">
      <w:pPr>
        <w:pStyle w:val="ListDash2"/>
        <w:rPr>
          <w:noProof/>
        </w:rPr>
      </w:pPr>
      <w:r>
        <w:rPr>
          <w:rFonts w:ascii="Wingdings" w:eastAsia="Wingdings" w:hAnsi="Wingdings" w:cs="Wingdings"/>
          <w:noProof/>
        </w:rPr>
        <w:t></w:t>
      </w:r>
      <w:r>
        <w:rPr>
          <w:noProof/>
        </w:rPr>
        <w:t xml:space="preserve"> third countries or the bodies they have designated</w:t>
      </w:r>
    </w:p>
    <w:p w14:paraId="0CBDF3D7" w14:textId="77777777" w:rsidR="006052EE" w:rsidRDefault="006052EE" w:rsidP="006052EE">
      <w:pPr>
        <w:pStyle w:val="ListDash2"/>
        <w:rPr>
          <w:noProof/>
        </w:rPr>
      </w:pPr>
      <w:r>
        <w:rPr>
          <w:rFonts w:ascii="Wingdings" w:eastAsia="Wingdings" w:hAnsi="Wingdings" w:cs="Wingdings"/>
          <w:noProof/>
        </w:rPr>
        <w:t></w:t>
      </w:r>
      <w:r>
        <w:rPr>
          <w:noProof/>
        </w:rPr>
        <w:t xml:space="preserve"> international organisations and their agencies (to be specified)</w:t>
      </w:r>
    </w:p>
    <w:p w14:paraId="6E40387F" w14:textId="77777777" w:rsidR="006052EE" w:rsidRDefault="00DC41DB" w:rsidP="006052EE">
      <w:pPr>
        <w:pStyle w:val="ListDash2"/>
        <w:rPr>
          <w:noProof/>
        </w:rPr>
      </w:pPr>
      <w:r>
        <w:rPr>
          <w:rFonts w:ascii="Wingdings" w:eastAsia="Wingdings" w:hAnsi="Wingdings" w:cs="Wingdings"/>
          <w:noProof/>
        </w:rPr>
        <w:t></w:t>
      </w:r>
      <w:r w:rsidR="006052EE">
        <w:rPr>
          <w:noProof/>
        </w:rPr>
        <w:t xml:space="preserve"> the European Investment Bank and the European Investment Fund</w:t>
      </w:r>
    </w:p>
    <w:p w14:paraId="30C46596" w14:textId="77777777" w:rsidR="006052EE" w:rsidRDefault="00DC41DB" w:rsidP="006052EE">
      <w:pPr>
        <w:pStyle w:val="ListDash2"/>
        <w:rPr>
          <w:noProof/>
        </w:rPr>
      </w:pPr>
      <w:r>
        <w:rPr>
          <w:rFonts w:ascii="Wingdings" w:eastAsia="Wingdings" w:hAnsi="Wingdings" w:cs="Wingdings"/>
          <w:noProof/>
        </w:rPr>
        <w:t></w:t>
      </w:r>
      <w:r w:rsidR="006052EE">
        <w:rPr>
          <w:noProof/>
        </w:rPr>
        <w:t xml:space="preserve"> bodies referred to in Articles 70 and 71 of the Financial Regulation</w:t>
      </w:r>
    </w:p>
    <w:p w14:paraId="7979F24C" w14:textId="77777777" w:rsidR="006052EE" w:rsidRDefault="006052EE" w:rsidP="006052EE">
      <w:pPr>
        <w:pStyle w:val="ListDash2"/>
        <w:rPr>
          <w:noProof/>
        </w:rPr>
      </w:pPr>
      <w:r>
        <w:rPr>
          <w:rFonts w:ascii="Wingdings" w:eastAsia="Wingdings" w:hAnsi="Wingdings" w:cs="Wingdings"/>
          <w:noProof/>
        </w:rPr>
        <w:t></w:t>
      </w:r>
      <w:r>
        <w:rPr>
          <w:noProof/>
        </w:rPr>
        <w:t xml:space="preserve"> public law bodies</w:t>
      </w:r>
    </w:p>
    <w:p w14:paraId="56514066" w14:textId="77777777" w:rsidR="006052EE" w:rsidRDefault="006052EE" w:rsidP="006052EE">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14:paraId="06206D63" w14:textId="77777777" w:rsidR="006052EE" w:rsidRDefault="006052EE" w:rsidP="006052EE">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14:paraId="25112AC2" w14:textId="77777777" w:rsidR="006052EE" w:rsidRDefault="006052EE" w:rsidP="006052EE">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14:paraId="1EA22C5F" w14:textId="77777777" w:rsidR="006052EE" w:rsidRDefault="006052EE" w:rsidP="006052EE">
      <w:pPr>
        <w:pStyle w:val="ListDash2"/>
        <w:rPr>
          <w:noProof/>
        </w:rPr>
      </w:pPr>
      <w:r>
        <w:rPr>
          <w:rFonts w:ascii="Wingdings" w:eastAsia="Wingdings" w:hAnsi="Wingdings" w:cs="Wingdings"/>
          <w:noProof/>
        </w:rPr>
        <w:t></w:t>
      </w:r>
      <w:r>
        <w:rPr>
          <w:rFonts w:ascii="Wingdings" w:eastAsia="Wingdings" w:hAnsi="Wingdings" w:cs="Wingdings"/>
          <w:noProof/>
        </w:rPr>
        <w:t></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4E8CEE76" w14:textId="77777777" w:rsidR="006052EE" w:rsidRDefault="006052EE" w:rsidP="00445C9D">
      <w:pPr>
        <w:rPr>
          <w:noProof/>
        </w:rPr>
      </w:pPr>
      <w:r>
        <w:rPr>
          <w:noProof/>
        </w:rPr>
        <w:t xml:space="preserve">Comments </w:t>
      </w:r>
    </w:p>
    <w:p w14:paraId="0FA4F651" w14:textId="77777777" w:rsidR="00DC41DB" w:rsidRPr="00DC41DB" w:rsidRDefault="00DC41DB" w:rsidP="00DC41DB">
      <w:pPr>
        <w:pBdr>
          <w:top w:val="single" w:sz="4" w:space="1" w:color="auto"/>
          <w:left w:val="single" w:sz="4" w:space="4" w:color="auto"/>
          <w:bottom w:val="single" w:sz="4" w:space="1" w:color="auto"/>
          <w:right w:val="single" w:sz="4" w:space="4" w:color="auto"/>
        </w:pBdr>
        <w:rPr>
          <w:noProof/>
          <w:lang w:val="en-IE"/>
        </w:rPr>
      </w:pPr>
      <w:r w:rsidRPr="00DC41DB">
        <w:rPr>
          <w:noProof/>
          <w:lang w:val="en-IE"/>
        </w:rPr>
        <w:t>The management of EU ETS allowances is done through legislation for which the Commission departments are responsible.</w:t>
      </w:r>
    </w:p>
    <w:p w14:paraId="468A45E9" w14:textId="77777777" w:rsidR="00DC41DB" w:rsidRPr="00DC41DB" w:rsidRDefault="00DC41DB" w:rsidP="00DC41DB">
      <w:pPr>
        <w:pBdr>
          <w:top w:val="single" w:sz="4" w:space="1" w:color="auto"/>
          <w:left w:val="single" w:sz="4" w:space="4" w:color="auto"/>
          <w:bottom w:val="single" w:sz="4" w:space="1" w:color="auto"/>
          <w:right w:val="single" w:sz="4" w:space="4" w:color="auto"/>
        </w:pBdr>
        <w:rPr>
          <w:noProof/>
          <w:lang w:val="en-IE"/>
        </w:rPr>
      </w:pPr>
      <w:r w:rsidRPr="00DC41DB">
        <w:rPr>
          <w:noProof/>
          <w:lang w:val="en-IE"/>
        </w:rPr>
        <w:t>The Innovation Fund is largely implemented by European Climate, Infrastructure and Environment Executive Agency (CINEA). The proposal foresees additional responsibilities for CINEA in managing the Industrial Decarbonisation Bank, the facility for purchase of removals, as well as responsibilities for the European Maritime Safety Agency (EMSA) in implementing the MRV and ETS systems for maritime transport activities.</w:t>
      </w:r>
    </w:p>
    <w:p w14:paraId="41A8D63C" w14:textId="77777777" w:rsidR="00DC41DB" w:rsidRPr="008D5E26" w:rsidRDefault="00DC41DB" w:rsidP="00DC41DB">
      <w:pPr>
        <w:pBdr>
          <w:top w:val="single" w:sz="4" w:space="1" w:color="auto"/>
          <w:left w:val="single" w:sz="4" w:space="4" w:color="auto"/>
          <w:bottom w:val="single" w:sz="4" w:space="1" w:color="auto"/>
          <w:right w:val="single" w:sz="4" w:space="4" w:color="auto"/>
        </w:pBdr>
        <w:rPr>
          <w:noProof/>
          <w:lang w:val="en-IE"/>
        </w:rPr>
      </w:pPr>
      <w:r w:rsidRPr="00DC41DB">
        <w:rPr>
          <w:noProof/>
          <w:lang w:val="en-IE"/>
        </w:rPr>
        <w:t>The Modernisation Fund operates under the responsibility of the beneficiary Member States, who work in close cooperation with the European Investment Bank (EIB), the Investment Committee set up for the fund and the European Commission.</w:t>
      </w:r>
    </w:p>
    <w:p w14:paraId="052F866E" w14:textId="77777777" w:rsidR="00DC41DB" w:rsidRPr="008D5E26" w:rsidRDefault="00DC41DB" w:rsidP="00DC41DB">
      <w:pPr>
        <w:pBdr>
          <w:top w:val="single" w:sz="4" w:space="1" w:color="auto"/>
          <w:left w:val="single" w:sz="4" w:space="4" w:color="auto"/>
          <w:bottom w:val="single" w:sz="4" w:space="1" w:color="auto"/>
          <w:right w:val="single" w:sz="4" w:space="4" w:color="auto"/>
        </w:pBdr>
        <w:rPr>
          <w:noProof/>
          <w:lang w:val="en-IE"/>
        </w:rPr>
        <w:sectPr w:rsidR="00DC41DB" w:rsidRPr="008D5E26" w:rsidSect="00F14618">
          <w:pgSz w:w="11907" w:h="16840" w:code="9"/>
          <w:pgMar w:top="1134" w:right="1418" w:bottom="1134" w:left="1418" w:header="709" w:footer="709" w:gutter="0"/>
          <w:cols w:space="708"/>
          <w:docGrid w:linePitch="360"/>
        </w:sectPr>
      </w:pPr>
    </w:p>
    <w:p w14:paraId="0B44DA25" w14:textId="77777777" w:rsidR="006052EE" w:rsidRDefault="006052EE" w:rsidP="00445C9D">
      <w:pPr>
        <w:pStyle w:val="ManualHeading1"/>
        <w:rPr>
          <w:bCs/>
          <w:noProof/>
          <w:szCs w:val="24"/>
        </w:rPr>
      </w:pPr>
      <w:bookmarkStart w:id="94" w:name="_Toc514938041"/>
      <w:bookmarkStart w:id="95" w:name="_Toc520485042"/>
      <w:bookmarkStart w:id="96" w:name="_Toc160804584"/>
      <w:bookmarkStart w:id="97" w:name="_Toc167220276"/>
      <w:bookmarkStart w:id="98" w:name="_Toc177549009"/>
      <w:r w:rsidRPr="0021790A">
        <w:rPr>
          <w:noProof/>
        </w:rPr>
        <w:t>2.</w:t>
      </w:r>
      <w:r w:rsidRPr="0021790A">
        <w:rPr>
          <w:noProof/>
        </w:rPr>
        <w:tab/>
      </w:r>
      <w:r>
        <w:rPr>
          <w:noProof/>
        </w:rPr>
        <w:t>MANAGEMENT MEASURES</w:t>
      </w:r>
      <w:bookmarkEnd w:id="94"/>
      <w:bookmarkEnd w:id="95"/>
      <w:bookmarkEnd w:id="96"/>
      <w:bookmarkEnd w:id="97"/>
      <w:bookmarkEnd w:id="98"/>
      <w:r>
        <w:rPr>
          <w:noProof/>
        </w:rPr>
        <w:t xml:space="preserve"> </w:t>
      </w:r>
    </w:p>
    <w:p w14:paraId="6B71690C" w14:textId="77777777" w:rsidR="006052EE" w:rsidRDefault="006052EE" w:rsidP="00445C9D">
      <w:pPr>
        <w:pStyle w:val="ManualHeading2"/>
        <w:rPr>
          <w:noProof/>
        </w:rPr>
      </w:pPr>
      <w:bookmarkStart w:id="99" w:name="_Toc514938042"/>
      <w:bookmarkStart w:id="100" w:name="_Toc520485043"/>
      <w:bookmarkStart w:id="101" w:name="_Toc160804585"/>
      <w:bookmarkStart w:id="102" w:name="_Toc167220277"/>
      <w:bookmarkStart w:id="103" w:name="_Toc177549010"/>
      <w:r w:rsidRPr="0021790A">
        <w:rPr>
          <w:noProof/>
        </w:rPr>
        <w:t>2.1.</w:t>
      </w:r>
      <w:r w:rsidRPr="0021790A">
        <w:rPr>
          <w:noProof/>
        </w:rPr>
        <w:tab/>
      </w:r>
      <w:r>
        <w:rPr>
          <w:noProof/>
        </w:rPr>
        <w:t>Monitoring and reporting rules</w:t>
      </w:r>
      <w:bookmarkEnd w:id="99"/>
      <w:bookmarkEnd w:id="100"/>
      <w:bookmarkEnd w:id="101"/>
      <w:bookmarkEnd w:id="102"/>
      <w:bookmarkEnd w:id="103"/>
      <w:r>
        <w:rPr>
          <w:noProof/>
        </w:rPr>
        <w:t xml:space="preserve"> </w:t>
      </w:r>
    </w:p>
    <w:p w14:paraId="78D7E69E" w14:textId="77777777" w:rsidR="008D5E26" w:rsidRPr="008D5E26"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 xml:space="preserve">The Commission will continue to monitor and evaluate the functioning of the ETS in its annual Carbon Market Report, as foreseen under Article 10(5) of the ETS Directive. </w:t>
      </w:r>
    </w:p>
    <w:p w14:paraId="0DB745F2" w14:textId="77777777" w:rsidR="008D5E26" w:rsidRPr="008D5E26"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 xml:space="preserve">The Carbon Market Report and the overall evaluation of progress on the application of the ETS Directive is informed by Member State reports under Article 21, which requires Member States to submit to the Commission an annual report paying particular attention to issues including the allocation of allowances, operation of the Registry, application of monitoring and reporting, verification and accreditation and issues relating to compliance. </w:t>
      </w:r>
    </w:p>
    <w:p w14:paraId="4B0302D8" w14:textId="77777777" w:rsidR="008D5E26" w:rsidRPr="008D5E26"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Both the Carbon Market Report as well as the Member States’ reports cover also the impacts of the current revision of the ETS and shall also apply to the sectors to which emissions trading is extended. The MRV data obtained through the regulation of the new sectors will be a key source for information for the Commission to evaluate progress in the sectors concerned.</w:t>
      </w:r>
    </w:p>
    <w:p w14:paraId="4D90FF92" w14:textId="77777777" w:rsidR="006052EE" w:rsidRPr="00D30DDB"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Finally, the Commission regularly carries out studies on various pertinent aspects of EU climate policy.</w:t>
      </w:r>
    </w:p>
    <w:p w14:paraId="4EA95B7B" w14:textId="77777777" w:rsidR="006052EE" w:rsidRDefault="006052EE" w:rsidP="00445C9D">
      <w:pPr>
        <w:pStyle w:val="ManualHeading2"/>
        <w:rPr>
          <w:bCs/>
          <w:noProof/>
          <w:szCs w:val="24"/>
        </w:rPr>
      </w:pPr>
      <w:bookmarkStart w:id="104" w:name="_Toc514938045"/>
      <w:bookmarkStart w:id="105" w:name="_Toc520485044"/>
      <w:bookmarkStart w:id="106" w:name="_Toc160804586"/>
      <w:bookmarkStart w:id="107" w:name="_Toc167220278"/>
      <w:bookmarkStart w:id="108" w:name="_Toc177549011"/>
      <w:r w:rsidRPr="0021790A">
        <w:rPr>
          <w:noProof/>
        </w:rPr>
        <w:t>2.2.</w:t>
      </w:r>
      <w:r w:rsidRPr="0021790A">
        <w:rPr>
          <w:noProof/>
        </w:rPr>
        <w:tab/>
      </w:r>
      <w:r>
        <w:rPr>
          <w:noProof/>
        </w:rPr>
        <w:t>Management and control system(s)</w:t>
      </w:r>
      <w:bookmarkEnd w:id="104"/>
      <w:bookmarkEnd w:id="105"/>
      <w:bookmarkEnd w:id="106"/>
      <w:bookmarkEnd w:id="107"/>
      <w:bookmarkEnd w:id="108"/>
      <w:r>
        <w:rPr>
          <w:noProof/>
        </w:rPr>
        <w:t xml:space="preserve"> </w:t>
      </w:r>
    </w:p>
    <w:p w14:paraId="5227568C" w14:textId="77777777" w:rsidR="006052EE" w:rsidRPr="00721674" w:rsidRDefault="006052EE" w:rsidP="00445C9D">
      <w:pPr>
        <w:pStyle w:val="ManualHeading3"/>
        <w:rPr>
          <w:noProof/>
        </w:rPr>
      </w:pPr>
      <w:bookmarkStart w:id="109" w:name="_Toc514938046"/>
      <w:bookmarkStart w:id="110" w:name="_Toc520485045"/>
      <w:bookmarkStart w:id="111" w:name="_Toc160804587"/>
      <w:bookmarkStart w:id="112" w:name="_Toc167220279"/>
      <w:bookmarkStart w:id="113" w:name="_Toc177549012"/>
      <w:r w:rsidRPr="0021790A">
        <w:rPr>
          <w:noProof/>
        </w:rPr>
        <w:t>2.2.1.</w:t>
      </w:r>
      <w:r w:rsidRPr="0021790A">
        <w:rPr>
          <w:noProof/>
        </w:rPr>
        <w:tab/>
      </w:r>
      <w:r>
        <w:rPr>
          <w:noProof/>
        </w:rPr>
        <w:t>Justification of the budget implementation method(s), the funding implementation mechanism(s), the payment modalities and the control strategy proposed</w:t>
      </w:r>
      <w:bookmarkEnd w:id="109"/>
      <w:bookmarkEnd w:id="110"/>
      <w:bookmarkEnd w:id="111"/>
      <w:bookmarkEnd w:id="112"/>
      <w:bookmarkEnd w:id="113"/>
    </w:p>
    <w:p w14:paraId="4A302308" w14:textId="77777777" w:rsidR="008D5E26" w:rsidRPr="008D5E26"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Where applicable, the operational budget implementation mechanisms and payment modalities will be inspired by the existing arrangements for the Innovation Fund.</w:t>
      </w:r>
    </w:p>
    <w:p w14:paraId="33BCD282" w14:textId="77777777" w:rsidR="006052EE" w:rsidRPr="008D5E26"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The control strategy will apply the set of controls stemming from the Financial Regulation for direct management</w:t>
      </w:r>
    </w:p>
    <w:p w14:paraId="6DE48E94" w14:textId="77777777" w:rsidR="006052EE" w:rsidRDefault="006052EE" w:rsidP="00445C9D">
      <w:pPr>
        <w:pStyle w:val="ManualHeading3"/>
        <w:rPr>
          <w:bCs/>
          <w:noProof/>
          <w:szCs w:val="24"/>
        </w:rPr>
      </w:pPr>
      <w:bookmarkStart w:id="114" w:name="_Toc514938047"/>
      <w:bookmarkStart w:id="115" w:name="_Toc520485046"/>
      <w:bookmarkStart w:id="116" w:name="_Toc160804588"/>
      <w:bookmarkStart w:id="117" w:name="_Toc167220280"/>
      <w:bookmarkStart w:id="118" w:name="_Toc177549013"/>
      <w:r w:rsidRPr="0021790A">
        <w:rPr>
          <w:noProof/>
        </w:rPr>
        <w:t>2.2.2.</w:t>
      </w:r>
      <w:r w:rsidRPr="0021790A">
        <w:rPr>
          <w:noProof/>
        </w:rPr>
        <w:tab/>
      </w:r>
      <w:r>
        <w:rPr>
          <w:noProof/>
        </w:rPr>
        <w:t>Information concerning the risks identified and the internal control system(s) set up to mitigate them</w:t>
      </w:r>
      <w:bookmarkEnd w:id="114"/>
      <w:bookmarkEnd w:id="115"/>
      <w:bookmarkEnd w:id="116"/>
      <w:bookmarkEnd w:id="117"/>
      <w:bookmarkEnd w:id="118"/>
    </w:p>
    <w:p w14:paraId="743EBD4C" w14:textId="77777777" w:rsidR="008D5E26" w:rsidRPr="008D5E26"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The EU ETS is the flagship policy mechanism to achieve the EU</w:t>
      </w:r>
      <w:r w:rsidR="00175C25">
        <w:rPr>
          <w:noProof/>
          <w:lang w:val="en-IE"/>
        </w:rPr>
        <w:t>’</w:t>
      </w:r>
      <w:r w:rsidRPr="008D5E26">
        <w:rPr>
          <w:noProof/>
          <w:lang w:val="en-IE"/>
        </w:rPr>
        <w:t>s emission reductions from around half the economy. Since 2013, the Commission is tasked to provide a Union Registry, an online database that provides an accurate accounting for all allowances transaction, a common auctioning platform for the auctioning of Member States allowances and the relevant support infrastructure for both. The Union Registry in which allowances are held under the EU ETS is threatened by a risk of fraudulent cyber-attacks that could result in theft or misappropriation of allowances leading to significant financial loss (up to several billion euros), legal litigation and considerable impact on Commission</w:t>
      </w:r>
      <w:r w:rsidR="00175C25">
        <w:rPr>
          <w:noProof/>
          <w:lang w:val="en-IE"/>
        </w:rPr>
        <w:t>’</w:t>
      </w:r>
      <w:r w:rsidRPr="008D5E26">
        <w:rPr>
          <w:noProof/>
          <w:lang w:val="en-IE"/>
        </w:rPr>
        <w:t>s reputation and credibility. The risk is cross-cutting and, alongside DG CLIMA, involves DG DIGIT, HR-DS, BUDG and LS. Mitigating measures have been put in place. The financial risk would increase in line with increases in the value of the carbon market. The distribution of free allowances at a very high total value also requires strict policies on how these allowances can be distributed, and assurance of respect of the rules in place. This involves management and control system at the level of the Member States and at the level of the Commission. Finally, adding new scope to the ETS will increase its overall breadth and correspondingly the value of the market and associated risk.</w:t>
      </w:r>
    </w:p>
    <w:p w14:paraId="25F0FE6D" w14:textId="77777777" w:rsidR="008D5E26" w:rsidRPr="008D5E26"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A High-level Steering Committee involving the lead DG and associated DGs is in place since 2011. A fully-fledged risk assessment has been conducted in 2014 which has identified new IT security measures taken as from 2015. As a result of the recommendations put forward by the IAS in its audit report on the Union Registry (IT security), measures to further improve the security of the registry system as well as measures on governance, quality assurance and testing have been implemented. Additional mitigating actions are being implemented since 2014.</w:t>
      </w:r>
    </w:p>
    <w:p w14:paraId="295D7224" w14:textId="77777777" w:rsidR="008D5E26" w:rsidRPr="008D5E26"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In 2019, a new risk assessment was carried out for the Union Registry. DG CLIMA drafted a new security plan containing twelve security measures and implemented those in close collaboration with DIGIT.</w:t>
      </w:r>
    </w:p>
    <w:p w14:paraId="00F0A10E" w14:textId="77777777" w:rsidR="008D5E26" w:rsidRPr="008D5E26"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Since 2022, yearly risk assessments result in yearly security plans which shall further strengthen the security of the Union Registry. Nevertheless, the outcome every year reconfirms that the Registry is exposed to high non-acceptable risk levels resulting in a reservation in the annual activity report of DG CLIMA.</w:t>
      </w:r>
    </w:p>
    <w:p w14:paraId="2A5F3EA0" w14:textId="77777777" w:rsidR="006052EE" w:rsidRPr="008D5E26" w:rsidRDefault="008D5E26" w:rsidP="008D5E26">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The implementation is monitored at Senior Management level with regular Steering Committees between DG CLIMA and DIGIT.</w:t>
      </w:r>
    </w:p>
    <w:p w14:paraId="22F23DDF" w14:textId="77777777" w:rsidR="006052EE" w:rsidRDefault="006052EE" w:rsidP="00445C9D">
      <w:pPr>
        <w:pStyle w:val="ManualHeading3"/>
        <w:rPr>
          <w:noProof/>
        </w:rPr>
      </w:pPr>
      <w:bookmarkStart w:id="119" w:name="_Toc514938048"/>
      <w:bookmarkStart w:id="120" w:name="_Toc520485047"/>
      <w:bookmarkStart w:id="121" w:name="_Toc160804589"/>
      <w:bookmarkStart w:id="122" w:name="_Toc167220281"/>
      <w:bookmarkStart w:id="123" w:name="_Toc177549014"/>
      <w:r w:rsidRPr="0021790A">
        <w:rPr>
          <w:noProof/>
        </w:rPr>
        <w:t>2.2.3.</w:t>
      </w:r>
      <w:r w:rsidRPr="0021790A">
        <w:rPr>
          <w:noProof/>
        </w:rPr>
        <w:tab/>
      </w:r>
      <w:r>
        <w:rPr>
          <w:noProof/>
        </w:rPr>
        <w:t>Estimation and justification of the cost-effectiveness of the controls (ratio between the control costs and the value of the related funds managed), and assessment of the expected levels of risk of error (at payment &amp; at closure)</w:t>
      </w:r>
      <w:bookmarkEnd w:id="119"/>
      <w:bookmarkEnd w:id="120"/>
      <w:bookmarkEnd w:id="121"/>
      <w:bookmarkEnd w:id="122"/>
      <w:bookmarkEnd w:id="123"/>
      <w:r>
        <w:rPr>
          <w:noProof/>
        </w:rPr>
        <w:t xml:space="preserve"> </w:t>
      </w:r>
    </w:p>
    <w:p w14:paraId="423C4667" w14:textId="77777777" w:rsidR="006052EE" w:rsidRPr="008D5E26" w:rsidRDefault="008D5E26" w:rsidP="00445C9D">
      <w:pPr>
        <w:pStyle w:val="Text1"/>
        <w:pBdr>
          <w:top w:val="single" w:sz="4" w:space="1" w:color="auto"/>
          <w:left w:val="single" w:sz="4" w:space="4" w:color="auto"/>
          <w:bottom w:val="single" w:sz="4" w:space="1" w:color="auto"/>
          <w:right w:val="single" w:sz="4" w:space="4" w:color="auto"/>
        </w:pBdr>
        <w:rPr>
          <w:noProof/>
          <w:lang w:val="en-IE"/>
        </w:rPr>
      </w:pPr>
      <w:r w:rsidRPr="008D5E26">
        <w:rPr>
          <w:noProof/>
          <w:lang w:val="en-IE"/>
        </w:rPr>
        <w:t>This initiative does not bring about new significant controls/risks that would not be covered be an existing internal control framework. No specific measures beyond the application of the Financial Regulation have been envisaged.</w:t>
      </w:r>
    </w:p>
    <w:p w14:paraId="1D65A9F6" w14:textId="77777777" w:rsidR="006052EE" w:rsidRDefault="006052EE" w:rsidP="00445C9D">
      <w:pPr>
        <w:pStyle w:val="ManualHeading2"/>
        <w:rPr>
          <w:bCs/>
          <w:noProof/>
          <w:szCs w:val="24"/>
        </w:rPr>
      </w:pPr>
      <w:bookmarkStart w:id="124" w:name="_Toc514938049"/>
      <w:bookmarkStart w:id="125" w:name="_Toc520485048"/>
      <w:bookmarkStart w:id="126" w:name="_Toc160804590"/>
      <w:bookmarkStart w:id="127" w:name="_Toc167220282"/>
      <w:bookmarkStart w:id="128" w:name="_Toc177549015"/>
      <w:r w:rsidRPr="0021790A">
        <w:rPr>
          <w:noProof/>
        </w:rPr>
        <w:t>2.3.</w:t>
      </w:r>
      <w:r w:rsidRPr="0021790A">
        <w:rPr>
          <w:noProof/>
        </w:rPr>
        <w:tab/>
      </w:r>
      <w:r>
        <w:rPr>
          <w:noProof/>
        </w:rPr>
        <w:t>Measures to prevent fraud and irregularities</w:t>
      </w:r>
      <w:bookmarkEnd w:id="124"/>
      <w:bookmarkEnd w:id="125"/>
      <w:bookmarkEnd w:id="126"/>
      <w:bookmarkEnd w:id="127"/>
      <w:bookmarkEnd w:id="128"/>
      <w:r>
        <w:rPr>
          <w:noProof/>
        </w:rPr>
        <w:t xml:space="preserve"> </w:t>
      </w:r>
    </w:p>
    <w:p w14:paraId="6035F791" w14:textId="77777777" w:rsidR="006052EE" w:rsidRPr="00D30DDB" w:rsidRDefault="008D5E26" w:rsidP="008D5E26">
      <w:pPr>
        <w:pStyle w:val="Text1"/>
        <w:pBdr>
          <w:top w:val="single" w:sz="4" w:space="1" w:color="auto"/>
          <w:left w:val="single" w:sz="4" w:space="4" w:color="auto"/>
          <w:bottom w:val="single" w:sz="4" w:space="1" w:color="auto"/>
          <w:right w:val="single" w:sz="4" w:space="4" w:color="auto"/>
        </w:pBdr>
        <w:rPr>
          <w:noProof/>
          <w:lang w:val="en-IE"/>
        </w:rPr>
        <w:sectPr w:rsidR="006052EE" w:rsidRPr="00D30DDB" w:rsidSect="00F14618">
          <w:pgSz w:w="11907" w:h="16840" w:code="9"/>
          <w:pgMar w:top="1134" w:right="1418" w:bottom="1134" w:left="1418" w:header="709" w:footer="709" w:gutter="0"/>
          <w:cols w:space="708"/>
          <w:docGrid w:linePitch="360"/>
        </w:sectPr>
      </w:pPr>
      <w:r w:rsidRPr="008D5E26">
        <w:rPr>
          <w:noProof/>
          <w:lang w:val="en-IE"/>
        </w:rPr>
        <w:t>In response to the specific fraud risks for the EU ETS, DG CLIMA reinforced the Commission-wide guidelines regarding professional ethics and integrity by a dedicated "Code of Ethics and Conduct in relation to insider trading, fraud and disclosure of sensitive information", specific trainings, awareness raising initiatives. It also developed the EU ETS Sensitive Information Classification Policy and the related handling instructions with 3 levels of sensitivity. The related three ETS markings are approved by DG HR-DS (as referenced in Security Notice 1 in its revision 10). In 2019, DG HR-DS published security notice C(2019) 1904 updating Sensitive Non-Classifed (SNC) information policy. DG CLIMA, in alignment with this new policy, published new handling instructions for DG CLIMA SNC information. Appropriate training sessions for newcomers are organised on a regular basis.</w:t>
      </w:r>
    </w:p>
    <w:p w14:paraId="11674E2B" w14:textId="77777777" w:rsidR="006052EE" w:rsidRDefault="006052EE" w:rsidP="00445C9D">
      <w:pPr>
        <w:pStyle w:val="ManualHeading1"/>
        <w:rPr>
          <w:noProof/>
        </w:rPr>
      </w:pPr>
      <w:bookmarkStart w:id="129" w:name="_Toc514938050"/>
      <w:bookmarkStart w:id="130" w:name="_Toc520485049"/>
      <w:bookmarkStart w:id="131" w:name="_Toc160804591"/>
      <w:bookmarkStart w:id="132" w:name="_Toc167220283"/>
      <w:bookmarkStart w:id="133" w:name="_Toc177549016"/>
      <w:r w:rsidRPr="0021790A">
        <w:rPr>
          <w:noProof/>
        </w:rPr>
        <w:t>3.</w:t>
      </w:r>
      <w:r w:rsidRPr="0021790A">
        <w:rPr>
          <w:noProof/>
        </w:rPr>
        <w:tab/>
      </w:r>
      <w:r>
        <w:rPr>
          <w:noProof/>
        </w:rPr>
        <w:t>ESTIMATED FINANCIAL IMPACT OF THE PROPOSAL/INITIATIVE</w:t>
      </w:r>
      <w:bookmarkEnd w:id="129"/>
      <w:bookmarkEnd w:id="130"/>
      <w:bookmarkEnd w:id="131"/>
      <w:bookmarkEnd w:id="132"/>
      <w:bookmarkEnd w:id="133"/>
      <w:r>
        <w:rPr>
          <w:noProof/>
        </w:rPr>
        <w:t xml:space="preserve"> </w:t>
      </w:r>
    </w:p>
    <w:p w14:paraId="432E8EF4" w14:textId="51B0A552" w:rsidR="00D30DDB" w:rsidRDefault="00D30DDB" w:rsidP="00D30DDB">
      <w:pPr>
        <w:pStyle w:val="Text1"/>
        <w:rPr>
          <w:noProof/>
        </w:rPr>
      </w:pPr>
      <w:r>
        <w:rPr>
          <w:noProof/>
        </w:rPr>
        <w:t xml:space="preserve">The estimated impact on expenditure and staffing for </w:t>
      </w:r>
      <w:r w:rsidR="00961682">
        <w:rPr>
          <w:noProof/>
        </w:rPr>
        <w:t xml:space="preserve">2027 </w:t>
      </w:r>
      <w:r>
        <w:rPr>
          <w:noProof/>
        </w:rPr>
        <w:t>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are indicative.</w:t>
      </w:r>
    </w:p>
    <w:p w14:paraId="3E6A7F77" w14:textId="3BF9D3A5" w:rsidR="00961682" w:rsidRDefault="00961682" w:rsidP="00961682">
      <w:pPr>
        <w:pStyle w:val="Text1"/>
        <w:rPr>
          <w:noProof/>
        </w:rPr>
      </w:pPr>
      <w:r>
        <w:rPr>
          <w:noProof/>
        </w:rPr>
        <w:t>With regards to staff increases unless decided otherwise in the context of the staff allocation procedure, new tasks are expected to be covered by redeployments within the lead DG.</w:t>
      </w:r>
    </w:p>
    <w:p w14:paraId="6C2EFD7B" w14:textId="23ACFCC9" w:rsidR="00D30DDB" w:rsidRDefault="00D30DDB" w:rsidP="00D30DDB">
      <w:pPr>
        <w:pStyle w:val="Text1"/>
        <w:rPr>
          <w:noProof/>
        </w:rPr>
      </w:pPr>
      <w:r>
        <w:rPr>
          <w:noProof/>
        </w:rPr>
        <w:t>In case of any discrepancy, the legal proposal for amendments to the Directive 2003/87/EC, Decision (EU) 2015/1814, Regulation (EU) 2015/757 and Regulation (EU) 2023/1805 takes precedence over information presented in this section.</w:t>
      </w:r>
    </w:p>
    <w:p w14:paraId="61BF4587" w14:textId="77777777" w:rsidR="00D30DDB" w:rsidRPr="00D30DDB" w:rsidRDefault="00D30DDB" w:rsidP="00D30DDB">
      <w:pPr>
        <w:pStyle w:val="Text1"/>
        <w:rPr>
          <w:b/>
          <w:bCs/>
          <w:noProof/>
          <w:u w:val="single"/>
        </w:rPr>
      </w:pPr>
      <w:r w:rsidRPr="00D30DDB">
        <w:rPr>
          <w:b/>
          <w:bCs/>
          <w:noProof/>
          <w:u w:val="single"/>
        </w:rPr>
        <w:t>Thematic summary of financial impact</w:t>
      </w:r>
    </w:p>
    <w:p w14:paraId="01DB30FA" w14:textId="77777777" w:rsidR="00D30DDB" w:rsidRPr="00D30DDB" w:rsidRDefault="00D30DDB" w:rsidP="00D30DDB">
      <w:pPr>
        <w:pStyle w:val="Text1"/>
        <w:rPr>
          <w:b/>
          <w:bCs/>
          <w:i/>
          <w:iCs/>
          <w:noProof/>
        </w:rPr>
      </w:pPr>
      <w:r w:rsidRPr="00D30DDB">
        <w:rPr>
          <w:b/>
          <w:bCs/>
          <w:i/>
          <w:iCs/>
          <w:noProof/>
        </w:rPr>
        <w:t>Revenues</w:t>
      </w:r>
    </w:p>
    <w:p w14:paraId="50F28DA2" w14:textId="77777777" w:rsidR="00D30DDB" w:rsidRPr="00D30DDB" w:rsidRDefault="00D30DDB" w:rsidP="00D30DDB">
      <w:pPr>
        <w:pStyle w:val="Text1"/>
        <w:rPr>
          <w:i/>
          <w:iCs/>
          <w:noProof/>
        </w:rPr>
      </w:pPr>
      <w:r w:rsidRPr="00D30DDB">
        <w:rPr>
          <w:i/>
          <w:iCs/>
          <w:noProof/>
        </w:rPr>
        <w:t>Own resources</w:t>
      </w:r>
    </w:p>
    <w:p w14:paraId="04305D25" w14:textId="77777777" w:rsidR="00D30DDB" w:rsidRDefault="00D30DDB" w:rsidP="00D30DDB">
      <w:pPr>
        <w:pStyle w:val="Text1"/>
        <w:rPr>
          <w:noProof/>
        </w:rPr>
      </w:pPr>
      <w:r>
        <w:rPr>
          <w:noProof/>
        </w:rPr>
        <w:t xml:space="preserve">From 2013 to end of 2025, EU ETS auctions have raised over EUR 258 billion in revenue, with the majority being allocated directly to Member States, and the remainder distributed through EU-level funds. </w:t>
      </w:r>
    </w:p>
    <w:p w14:paraId="4E71FE07" w14:textId="77777777" w:rsidR="00D30DDB" w:rsidRDefault="00D30DDB" w:rsidP="00D30DDB">
      <w:pPr>
        <w:pStyle w:val="Text1"/>
        <w:rPr>
          <w:noProof/>
        </w:rPr>
      </w:pPr>
      <w:r>
        <w:rPr>
          <w:noProof/>
        </w:rPr>
        <w:t>Under the Commission proposal on the next Multiannual Financial Framework, the EU ETS will for the first time make a contribution to EU Own Resources</w:t>
      </w:r>
      <w:r>
        <w:rPr>
          <w:rStyle w:val="FootnoteReference"/>
          <w:noProof/>
        </w:rPr>
        <w:footnoteReference w:id="78"/>
      </w:r>
      <w:r>
        <w:rPr>
          <w:noProof/>
        </w:rPr>
        <w:t xml:space="preserve">, calling for 30% of Member States’ auction revenues to be transferred to the Union budget. </w:t>
      </w:r>
    </w:p>
    <w:p w14:paraId="062B251E" w14:textId="77777777" w:rsidR="00D30DDB" w:rsidRPr="00D30DDB" w:rsidRDefault="00D30DDB" w:rsidP="00D30DDB">
      <w:pPr>
        <w:pStyle w:val="Text1"/>
        <w:rPr>
          <w:i/>
          <w:iCs/>
          <w:noProof/>
        </w:rPr>
      </w:pPr>
      <w:r w:rsidRPr="00D30DDB">
        <w:rPr>
          <w:i/>
          <w:iCs/>
          <w:noProof/>
        </w:rPr>
        <w:t>External assigned revenue</w:t>
      </w:r>
    </w:p>
    <w:p w14:paraId="403BA9D1" w14:textId="77777777" w:rsidR="00D30DDB" w:rsidRDefault="00D30DDB" w:rsidP="00D30DDB">
      <w:pPr>
        <w:pStyle w:val="Text1"/>
        <w:rPr>
          <w:noProof/>
        </w:rPr>
      </w:pPr>
      <w:r w:rsidRPr="00D30DDB">
        <w:rPr>
          <w:b/>
          <w:bCs/>
          <w:noProof/>
        </w:rPr>
        <w:t>Fees: contribution from 3rd country linking</w:t>
      </w:r>
      <w:r>
        <w:rPr>
          <w:noProof/>
        </w:rPr>
        <w:t xml:space="preserve">: following provisional conclusion of the agreement linking the EU and UK emissions trading systems, it is foreseen that the UK will contribute to the aspects of EU ETS functioning. </w:t>
      </w:r>
    </w:p>
    <w:p w14:paraId="4BEEA06D" w14:textId="77777777" w:rsidR="00D30DDB" w:rsidRDefault="00D30DDB" w:rsidP="00D30DDB">
      <w:pPr>
        <w:pStyle w:val="Text1"/>
        <w:rPr>
          <w:noProof/>
        </w:rPr>
      </w:pPr>
      <w:r w:rsidRPr="00D30DDB">
        <w:rPr>
          <w:b/>
          <w:bCs/>
          <w:noProof/>
        </w:rPr>
        <w:t>Auctioning of allowances</w:t>
      </w:r>
      <w:r>
        <w:rPr>
          <w:noProof/>
        </w:rPr>
        <w:t xml:space="preserve">: the proposal includes amendments concerning the auctioning of ETS allowances and use of the proceeds as external assigned revenues for the following purposes: </w:t>
      </w:r>
    </w:p>
    <w:p w14:paraId="1C8D45D9" w14:textId="77777777" w:rsidR="00D30DDB" w:rsidRDefault="00D30DDB" w:rsidP="00D30DDB">
      <w:pPr>
        <w:pStyle w:val="Text1"/>
        <w:rPr>
          <w:noProof/>
        </w:rPr>
      </w:pPr>
      <w:r>
        <w:rPr>
          <w:noProof/>
        </w:rPr>
        <w:t>•</w:t>
      </w:r>
      <w:r>
        <w:rPr>
          <w:noProof/>
        </w:rPr>
        <w:tab/>
      </w:r>
      <w:r w:rsidRPr="00D30DDB">
        <w:rPr>
          <w:b/>
          <w:bCs/>
          <w:noProof/>
        </w:rPr>
        <w:t>Union Registry financing:</w:t>
      </w:r>
      <w:r>
        <w:rPr>
          <w:noProof/>
        </w:rPr>
        <w:t xml:space="preserve"> the proposal includes a provision to enable the Central Administrator (tasked with maintaining the Union Registry) to finance the functioning of the registry</w:t>
      </w:r>
      <w:r w:rsidR="00FC38B9">
        <w:rPr>
          <w:noProof/>
        </w:rPr>
        <w:t xml:space="preserve">, </w:t>
      </w:r>
      <w:r w:rsidR="00F557BF">
        <w:rPr>
          <w:noProof/>
        </w:rPr>
        <w:t>and the facility for</w:t>
      </w:r>
      <w:r w:rsidR="00AD0843">
        <w:rPr>
          <w:noProof/>
        </w:rPr>
        <w:t xml:space="preserve"> purchase of international credits foreseen in Article 9b of the legal proposal</w:t>
      </w:r>
      <w:r>
        <w:rPr>
          <w:noProof/>
        </w:rPr>
        <w:t xml:space="preserve">. </w:t>
      </w:r>
    </w:p>
    <w:p w14:paraId="72BD5DE9" w14:textId="77777777" w:rsidR="00D30DDB" w:rsidRDefault="00D30DDB" w:rsidP="00D30DDB">
      <w:pPr>
        <w:pStyle w:val="Text1"/>
        <w:rPr>
          <w:noProof/>
        </w:rPr>
      </w:pPr>
      <w:r>
        <w:rPr>
          <w:noProof/>
        </w:rPr>
        <w:t>•</w:t>
      </w:r>
      <w:r>
        <w:rPr>
          <w:noProof/>
        </w:rPr>
        <w:tab/>
        <w:t xml:space="preserve">Purchase of certified </w:t>
      </w:r>
      <w:r w:rsidRPr="00D30DDB">
        <w:rPr>
          <w:b/>
          <w:bCs/>
          <w:noProof/>
        </w:rPr>
        <w:t>permanent carbon removals</w:t>
      </w:r>
      <w:r>
        <w:rPr>
          <w:noProof/>
        </w:rPr>
        <w:t xml:space="preserve">, in view of the expected cost differential between ETS allowances and removals. </w:t>
      </w:r>
    </w:p>
    <w:p w14:paraId="65C8A9CE" w14:textId="77777777" w:rsidR="00D30DDB" w:rsidRDefault="00D30DDB" w:rsidP="00D30DDB">
      <w:pPr>
        <w:pStyle w:val="Text1"/>
        <w:rPr>
          <w:noProof/>
        </w:rPr>
      </w:pPr>
      <w:r>
        <w:rPr>
          <w:noProof/>
        </w:rPr>
        <w:t>•</w:t>
      </w:r>
      <w:r>
        <w:rPr>
          <w:noProof/>
        </w:rPr>
        <w:tab/>
        <w:t xml:space="preserve">Funding the activities of the </w:t>
      </w:r>
      <w:r w:rsidRPr="00D30DDB">
        <w:rPr>
          <w:b/>
          <w:bCs/>
          <w:noProof/>
        </w:rPr>
        <w:t>Industrial Decarbonisation Bank, Innovation Fund</w:t>
      </w:r>
      <w:r>
        <w:rPr>
          <w:noProof/>
        </w:rPr>
        <w:t xml:space="preserve"> and </w:t>
      </w:r>
      <w:r w:rsidRPr="00D30DDB">
        <w:rPr>
          <w:b/>
          <w:bCs/>
          <w:noProof/>
        </w:rPr>
        <w:t>Modernisation Fund</w:t>
      </w:r>
      <w:r>
        <w:rPr>
          <w:rStyle w:val="FootnoteReference"/>
          <w:b/>
          <w:bCs/>
          <w:noProof/>
        </w:rPr>
        <w:footnoteReference w:id="79"/>
      </w:r>
      <w:r>
        <w:rPr>
          <w:noProof/>
        </w:rPr>
        <w:t xml:space="preserve">, including the investment booster. </w:t>
      </w:r>
    </w:p>
    <w:p w14:paraId="5E272EE8" w14:textId="77777777" w:rsidR="00D30DDB" w:rsidRDefault="00D30DDB" w:rsidP="00D30DDB">
      <w:pPr>
        <w:pStyle w:val="Text1"/>
        <w:rPr>
          <w:noProof/>
        </w:rPr>
      </w:pPr>
      <w:r>
        <w:rPr>
          <w:noProof/>
        </w:rPr>
        <w:t>•</w:t>
      </w:r>
      <w:r>
        <w:rPr>
          <w:noProof/>
        </w:rPr>
        <w:tab/>
        <w:t xml:space="preserve">Funding activities aimed at facilitating pricing of greenhouse gas emissions in the </w:t>
      </w:r>
      <w:r w:rsidRPr="00D30DDB">
        <w:rPr>
          <w:b/>
          <w:bCs/>
          <w:noProof/>
        </w:rPr>
        <w:t>aviation</w:t>
      </w:r>
      <w:r>
        <w:rPr>
          <w:noProof/>
        </w:rPr>
        <w:t xml:space="preserve"> and </w:t>
      </w:r>
      <w:r w:rsidRPr="00D30DDB">
        <w:rPr>
          <w:b/>
          <w:bCs/>
          <w:noProof/>
        </w:rPr>
        <w:t>maritime</w:t>
      </w:r>
      <w:r>
        <w:rPr>
          <w:noProof/>
        </w:rPr>
        <w:t xml:space="preserve"> sectors in third countries.</w:t>
      </w:r>
    </w:p>
    <w:p w14:paraId="203F69C7" w14:textId="77777777" w:rsidR="00D30DDB" w:rsidRDefault="00D30DDB" w:rsidP="00D30DDB">
      <w:pPr>
        <w:pStyle w:val="Text1"/>
        <w:rPr>
          <w:noProof/>
        </w:rPr>
      </w:pPr>
      <w:r>
        <w:rPr>
          <w:noProof/>
        </w:rPr>
        <w:t xml:space="preserve">In addition to the resources mentioned above, the proposal will continue to generate auction revenues for use by Member States, and some allowances will continue to be allocated to installations for free to address the risk of carbon leakage. </w:t>
      </w:r>
    </w:p>
    <w:p w14:paraId="3BC9B58F" w14:textId="77777777" w:rsidR="00D30DDB" w:rsidRDefault="00D30DDB" w:rsidP="00D30DDB">
      <w:pPr>
        <w:pStyle w:val="Text1"/>
        <w:rPr>
          <w:noProof/>
        </w:rPr>
      </w:pPr>
      <w:r>
        <w:rPr>
          <w:noProof/>
        </w:rPr>
        <w:t>See Section 3.3 of this statement for further detail on revenues</w:t>
      </w:r>
    </w:p>
    <w:p w14:paraId="4447069E" w14:textId="77777777" w:rsidR="00D30DDB" w:rsidRPr="00D30DDB" w:rsidRDefault="00D30DDB" w:rsidP="00D30DDB">
      <w:pPr>
        <w:pStyle w:val="Text1"/>
        <w:rPr>
          <w:b/>
          <w:bCs/>
          <w:i/>
          <w:iCs/>
          <w:noProof/>
        </w:rPr>
      </w:pPr>
      <w:r w:rsidRPr="00D30DDB">
        <w:rPr>
          <w:b/>
          <w:bCs/>
          <w:i/>
          <w:iCs/>
          <w:noProof/>
        </w:rPr>
        <w:t>Resource needs</w:t>
      </w:r>
    </w:p>
    <w:p w14:paraId="73D5A2CD" w14:textId="77777777" w:rsidR="00D30DDB" w:rsidRDefault="00D30DDB" w:rsidP="00D30DDB">
      <w:pPr>
        <w:pStyle w:val="Text1"/>
        <w:rPr>
          <w:noProof/>
        </w:rPr>
      </w:pPr>
      <w:r>
        <w:rPr>
          <w:noProof/>
        </w:rPr>
        <w:t xml:space="preserve">The resource needs related to implementation of this proposal are summarised thematically below. Further details are contained in the tables in sections 3.1 and 3.2 of this statement. </w:t>
      </w:r>
    </w:p>
    <w:p w14:paraId="65D396A5" w14:textId="77777777" w:rsidR="00D30DDB" w:rsidRDefault="00D30DDB" w:rsidP="00D30DDB">
      <w:pPr>
        <w:pStyle w:val="Text1"/>
        <w:rPr>
          <w:noProof/>
        </w:rPr>
      </w:pPr>
      <w:r>
        <w:rPr>
          <w:noProof/>
        </w:rPr>
        <w:t xml:space="preserve">The Commission foresees making use of executive agencies for implementation of this proposal. Elements where this is foreseen are labelled p.m. (pro memoria) in the tables in Section 3.1, in keeping with Commission budgetary rules. </w:t>
      </w:r>
    </w:p>
    <w:p w14:paraId="014721AB" w14:textId="77777777" w:rsidR="00D30DDB" w:rsidRPr="00D30DDB" w:rsidRDefault="00D30DDB" w:rsidP="00D30DDB">
      <w:pPr>
        <w:pStyle w:val="Text1"/>
        <w:rPr>
          <w:b/>
          <w:bCs/>
          <w:noProof/>
        </w:rPr>
      </w:pPr>
      <w:r>
        <w:rPr>
          <w:noProof/>
        </w:rPr>
        <w:t>•</w:t>
      </w:r>
      <w:r>
        <w:rPr>
          <w:noProof/>
        </w:rPr>
        <w:tab/>
      </w:r>
      <w:r w:rsidRPr="00D30DDB">
        <w:rPr>
          <w:b/>
          <w:bCs/>
          <w:noProof/>
        </w:rPr>
        <w:t>Union Registry:</w:t>
      </w:r>
    </w:p>
    <w:p w14:paraId="20E35BEA" w14:textId="77777777" w:rsidR="00D30DDB" w:rsidRDefault="00D30DDB" w:rsidP="00D30DDB">
      <w:pPr>
        <w:pStyle w:val="Text1"/>
        <w:rPr>
          <w:noProof/>
        </w:rPr>
      </w:pPr>
      <w:r>
        <w:rPr>
          <w:noProof/>
        </w:rPr>
        <w:t>o</w:t>
      </w:r>
      <w:r>
        <w:rPr>
          <w:noProof/>
        </w:rPr>
        <w:tab/>
        <w:t xml:space="preserve">Registry management activity is currently financed from the EU budget. This proposal seeks to raise external assigned revenue to fund the activity, which is necessary for the functioning of EU ETS, in particular in the context of an increasing number of users and the increased coverage of the EU ETS, the growing value of allowances held in the Union Registry and the increased security challenges. The enhanced operating model of the Union Registry is expected to employ 100 FTE staff (including some tasks currently financed through the EU budget). </w:t>
      </w:r>
    </w:p>
    <w:p w14:paraId="4D49DBBA" w14:textId="77777777" w:rsidR="00D30DDB" w:rsidRDefault="00D30DDB" w:rsidP="00D30DDB">
      <w:pPr>
        <w:pStyle w:val="Text1"/>
        <w:rPr>
          <w:noProof/>
        </w:rPr>
      </w:pPr>
      <w:r>
        <w:rPr>
          <w:noProof/>
        </w:rPr>
        <w:t>o</w:t>
      </w:r>
      <w:r>
        <w:rPr>
          <w:noProof/>
        </w:rPr>
        <w:tab/>
        <w:t xml:space="preserve">Future delegated acts will detail the conditions, modalities and procedures concerning the use of external assigned revenues generated by auctioning of allowances intended for Union Registry financing. </w:t>
      </w:r>
    </w:p>
    <w:p w14:paraId="257F4AFF" w14:textId="77777777" w:rsidR="00D30DDB" w:rsidRDefault="00D30DDB" w:rsidP="00D30DDB">
      <w:pPr>
        <w:pStyle w:val="Text1"/>
        <w:rPr>
          <w:noProof/>
        </w:rPr>
      </w:pPr>
      <w:r>
        <w:rPr>
          <w:noProof/>
        </w:rPr>
        <w:t>•</w:t>
      </w:r>
      <w:r>
        <w:rPr>
          <w:noProof/>
        </w:rPr>
        <w:tab/>
      </w:r>
      <w:r w:rsidRPr="00D30DDB">
        <w:rPr>
          <w:b/>
          <w:bCs/>
          <w:noProof/>
        </w:rPr>
        <w:t>Permanent carbon removals</w:t>
      </w:r>
    </w:p>
    <w:p w14:paraId="1F6CE152" w14:textId="77777777" w:rsidR="00D30DDB" w:rsidRDefault="00D30DDB" w:rsidP="00D30DDB">
      <w:pPr>
        <w:pStyle w:val="Text1"/>
        <w:rPr>
          <w:noProof/>
        </w:rPr>
      </w:pPr>
      <w:r>
        <w:rPr>
          <w:noProof/>
        </w:rPr>
        <w:t>o</w:t>
      </w:r>
      <w:r>
        <w:rPr>
          <w:noProof/>
        </w:rPr>
        <w:tab/>
        <w:t xml:space="preserve">Preparation and implementation of a process for purchasing carbon removals, assessment of possible expansion to new removal types, integration of carbon removals into relevant systems including common auction platform, Union Registry and Carbon Removal Certification Framework registry. The administrative processes can build on the experiences from the Innovation Fund but will be lower due to a more limited number of technologies. </w:t>
      </w:r>
    </w:p>
    <w:p w14:paraId="2F0CC19C" w14:textId="77777777" w:rsidR="00D30DDB" w:rsidRDefault="00D30DDB" w:rsidP="00D30DDB">
      <w:pPr>
        <w:pStyle w:val="Text1"/>
        <w:rPr>
          <w:noProof/>
        </w:rPr>
      </w:pPr>
      <w:r>
        <w:rPr>
          <w:noProof/>
        </w:rPr>
        <w:t>o</w:t>
      </w:r>
      <w:r>
        <w:rPr>
          <w:noProof/>
        </w:rPr>
        <w:tab/>
        <w:t xml:space="preserve">Preparation of 2034 communication on progress regarding the purchase of domestic removals. </w:t>
      </w:r>
    </w:p>
    <w:p w14:paraId="176C47B4" w14:textId="77777777" w:rsidR="00D30DDB" w:rsidRPr="00D30DDB" w:rsidRDefault="00D30DDB" w:rsidP="00D30DDB">
      <w:pPr>
        <w:pStyle w:val="Text1"/>
        <w:rPr>
          <w:b/>
          <w:bCs/>
          <w:noProof/>
        </w:rPr>
      </w:pPr>
      <w:r>
        <w:rPr>
          <w:noProof/>
        </w:rPr>
        <w:t>•</w:t>
      </w:r>
      <w:r>
        <w:rPr>
          <w:noProof/>
        </w:rPr>
        <w:tab/>
      </w:r>
      <w:r w:rsidRPr="00D30DDB">
        <w:rPr>
          <w:b/>
          <w:bCs/>
          <w:noProof/>
        </w:rPr>
        <w:t>Industrial Decarbonisation Bank (both phase 1 – Investment Booster, 2027-30, and IDB phase 2, 2031-40)</w:t>
      </w:r>
    </w:p>
    <w:p w14:paraId="3007898D" w14:textId="77777777" w:rsidR="00D30DDB" w:rsidRDefault="00D30DDB" w:rsidP="00D30DDB">
      <w:pPr>
        <w:pStyle w:val="Text1"/>
        <w:rPr>
          <w:noProof/>
        </w:rPr>
      </w:pPr>
      <w:r>
        <w:rPr>
          <w:noProof/>
        </w:rPr>
        <w:t>o</w:t>
      </w:r>
      <w:r>
        <w:rPr>
          <w:noProof/>
        </w:rPr>
        <w:tab/>
        <w:t xml:space="preserve">Establishment of the Industrial Decarbonisation Bank and implementation of its activities set out in this proposal. The needs for operational and administrative expenditure are expected to comparable to the existing Innovation Fund, but are expected to be larger given the size of the fund, even once potential for synergies with existing activities is taken into account. </w:t>
      </w:r>
    </w:p>
    <w:p w14:paraId="2C34B2CD" w14:textId="77777777" w:rsidR="00D30DDB" w:rsidRPr="00D30DDB" w:rsidRDefault="00D30DDB" w:rsidP="00D30DDB">
      <w:pPr>
        <w:pStyle w:val="Text1"/>
        <w:rPr>
          <w:b/>
          <w:bCs/>
          <w:noProof/>
        </w:rPr>
      </w:pPr>
      <w:r>
        <w:rPr>
          <w:noProof/>
        </w:rPr>
        <w:t>•</w:t>
      </w:r>
      <w:r>
        <w:rPr>
          <w:noProof/>
        </w:rPr>
        <w:tab/>
      </w:r>
      <w:r w:rsidRPr="00D30DDB">
        <w:rPr>
          <w:b/>
          <w:bCs/>
          <w:noProof/>
        </w:rPr>
        <w:t>Innovation Fund</w:t>
      </w:r>
    </w:p>
    <w:p w14:paraId="7CBC2E5F" w14:textId="77777777" w:rsidR="00D30DDB" w:rsidRDefault="00D30DDB" w:rsidP="00D30DDB">
      <w:pPr>
        <w:pStyle w:val="Text1"/>
        <w:rPr>
          <w:noProof/>
        </w:rPr>
      </w:pPr>
      <w:r>
        <w:rPr>
          <w:noProof/>
        </w:rPr>
        <w:t>o</w:t>
      </w:r>
      <w:r>
        <w:rPr>
          <w:noProof/>
        </w:rPr>
        <w:tab/>
        <w:t xml:space="preserve">Extension of the Innovation Fund and implementation of improvements contained in this proposal. </w:t>
      </w:r>
    </w:p>
    <w:p w14:paraId="5A4BF2CA" w14:textId="77777777" w:rsidR="00D30DDB" w:rsidRPr="00D30DDB" w:rsidRDefault="00D30DDB" w:rsidP="00D30DDB">
      <w:pPr>
        <w:pStyle w:val="Text1"/>
        <w:rPr>
          <w:b/>
          <w:bCs/>
          <w:noProof/>
        </w:rPr>
      </w:pPr>
      <w:r>
        <w:rPr>
          <w:noProof/>
        </w:rPr>
        <w:t>•</w:t>
      </w:r>
      <w:r>
        <w:rPr>
          <w:noProof/>
        </w:rPr>
        <w:tab/>
      </w:r>
      <w:r w:rsidRPr="00D30DDB">
        <w:rPr>
          <w:b/>
          <w:bCs/>
          <w:noProof/>
        </w:rPr>
        <w:t>Modernisation Fund</w:t>
      </w:r>
    </w:p>
    <w:p w14:paraId="2EAE0806" w14:textId="77777777" w:rsidR="00D30DDB" w:rsidRDefault="00D30DDB" w:rsidP="00D30DDB">
      <w:pPr>
        <w:pStyle w:val="Text1"/>
        <w:rPr>
          <w:noProof/>
        </w:rPr>
      </w:pPr>
      <w:r>
        <w:rPr>
          <w:noProof/>
        </w:rPr>
        <w:t>o</w:t>
      </w:r>
      <w:r>
        <w:rPr>
          <w:noProof/>
        </w:rPr>
        <w:tab/>
        <w:t xml:space="preserve">Extension of the Modernisation Fund and implementation of improvements and simplifications contained in this proposal (modify eligibility criteria and distribution key, extend eligible investment areas). </w:t>
      </w:r>
    </w:p>
    <w:p w14:paraId="6576A372" w14:textId="77777777" w:rsidR="00D30DDB" w:rsidRDefault="00D30DDB" w:rsidP="00D30DDB">
      <w:pPr>
        <w:pStyle w:val="Text1"/>
        <w:rPr>
          <w:noProof/>
        </w:rPr>
      </w:pPr>
      <w:r>
        <w:rPr>
          <w:noProof/>
        </w:rPr>
        <w:t>•</w:t>
      </w:r>
      <w:r>
        <w:rPr>
          <w:noProof/>
        </w:rPr>
        <w:tab/>
      </w:r>
      <w:r w:rsidRPr="00D30DDB">
        <w:rPr>
          <w:b/>
          <w:bCs/>
          <w:noProof/>
        </w:rPr>
        <w:t>Aviation</w:t>
      </w:r>
    </w:p>
    <w:p w14:paraId="13694161" w14:textId="77777777" w:rsidR="00D30DDB" w:rsidRDefault="00D30DDB" w:rsidP="00D30DDB">
      <w:pPr>
        <w:pStyle w:val="Text1"/>
        <w:rPr>
          <w:noProof/>
        </w:rPr>
      </w:pPr>
      <w:r>
        <w:rPr>
          <w:noProof/>
        </w:rPr>
        <w:t>o</w:t>
      </w:r>
      <w:r>
        <w:rPr>
          <w:noProof/>
        </w:rPr>
        <w:tab/>
        <w:t xml:space="preserve">Implementation of changes to scope and coverage of aviation set out in this proposal (increased coverage of business jets, support to uptake of sustainable aviation fuel, electrification and reducing of overall climate impacts, support to pricing of aviation greenhouse gas emissions in third countries). </w:t>
      </w:r>
    </w:p>
    <w:p w14:paraId="47FDEE78" w14:textId="77777777" w:rsidR="00D30DDB" w:rsidRDefault="00D30DDB" w:rsidP="00D30DDB">
      <w:pPr>
        <w:pStyle w:val="Text1"/>
        <w:rPr>
          <w:noProof/>
        </w:rPr>
      </w:pPr>
      <w:r>
        <w:rPr>
          <w:noProof/>
        </w:rPr>
        <w:t>•</w:t>
      </w:r>
      <w:r>
        <w:rPr>
          <w:noProof/>
        </w:rPr>
        <w:tab/>
      </w:r>
      <w:r w:rsidRPr="00D30DDB">
        <w:rPr>
          <w:b/>
          <w:bCs/>
          <w:noProof/>
        </w:rPr>
        <w:t>Maritime</w:t>
      </w:r>
    </w:p>
    <w:p w14:paraId="73B24F54" w14:textId="77777777" w:rsidR="00D30DDB" w:rsidRDefault="00D30DDB" w:rsidP="00D30DDB">
      <w:pPr>
        <w:pStyle w:val="Text1"/>
        <w:rPr>
          <w:noProof/>
        </w:rPr>
      </w:pPr>
      <w:r>
        <w:rPr>
          <w:noProof/>
        </w:rPr>
        <w:t>o</w:t>
      </w:r>
      <w:r>
        <w:rPr>
          <w:noProof/>
        </w:rPr>
        <w:tab/>
        <w:t xml:space="preserve">Implementation of changes to scope and coverage of maritime transport set out in this proposal (MRV simplification and enhancement elements, expanded scope, expanded monitoring of the evasion risk, IMO adjustments, measures to increase uptake of sustainable maritime propulsion (SMAP), support to pricing of maritime greenhouse gas emissions in third countries). </w:t>
      </w:r>
    </w:p>
    <w:p w14:paraId="1A9A2C46" w14:textId="77777777" w:rsidR="00D30DDB" w:rsidRDefault="00D30DDB" w:rsidP="00D30DDB">
      <w:pPr>
        <w:pStyle w:val="Text1"/>
        <w:rPr>
          <w:noProof/>
        </w:rPr>
      </w:pPr>
      <w:r>
        <w:rPr>
          <w:noProof/>
        </w:rPr>
        <w:t>•</w:t>
      </w:r>
      <w:r>
        <w:rPr>
          <w:noProof/>
        </w:rPr>
        <w:tab/>
      </w:r>
      <w:r w:rsidRPr="00D30DDB">
        <w:rPr>
          <w:b/>
          <w:bCs/>
          <w:noProof/>
        </w:rPr>
        <w:t>Stationary: addressing the risk of carbon leakage</w:t>
      </w:r>
    </w:p>
    <w:p w14:paraId="27A13C7E" w14:textId="77777777" w:rsidR="00D30DDB" w:rsidRDefault="00D30DDB" w:rsidP="00D30DDB">
      <w:pPr>
        <w:pStyle w:val="Text1"/>
        <w:rPr>
          <w:noProof/>
        </w:rPr>
      </w:pPr>
      <w:r>
        <w:rPr>
          <w:noProof/>
        </w:rPr>
        <w:t>o</w:t>
      </w:r>
      <w:r>
        <w:rPr>
          <w:noProof/>
        </w:rPr>
        <w:tab/>
        <w:t>Implementation of post-2030 measures to address carbon leakage risk (establishment of new benchmark values, potentially taking into account benchmarks in linked systems, implementation of rules, processes, oversight and capacity building for conditional free allocation).</w:t>
      </w:r>
    </w:p>
    <w:p w14:paraId="6F9A770D" w14:textId="77777777" w:rsidR="00D30DDB" w:rsidRPr="00D30DDB" w:rsidRDefault="00D30DDB" w:rsidP="00D30DDB">
      <w:pPr>
        <w:pStyle w:val="Text1"/>
        <w:rPr>
          <w:b/>
          <w:bCs/>
          <w:noProof/>
        </w:rPr>
      </w:pPr>
      <w:r>
        <w:rPr>
          <w:noProof/>
        </w:rPr>
        <w:t>•</w:t>
      </w:r>
      <w:r>
        <w:rPr>
          <w:noProof/>
        </w:rPr>
        <w:tab/>
      </w:r>
      <w:r w:rsidRPr="00D30DDB">
        <w:rPr>
          <w:b/>
          <w:bCs/>
          <w:noProof/>
        </w:rPr>
        <w:t>Stationary: monitoring, reporting and verification of emissions</w:t>
      </w:r>
    </w:p>
    <w:p w14:paraId="13D6204B" w14:textId="77777777" w:rsidR="00D30DDB" w:rsidRDefault="00D30DDB" w:rsidP="00D30DDB">
      <w:pPr>
        <w:pStyle w:val="Text1"/>
        <w:rPr>
          <w:noProof/>
        </w:rPr>
      </w:pPr>
      <w:r>
        <w:rPr>
          <w:noProof/>
        </w:rPr>
        <w:t>o</w:t>
      </w:r>
      <w:r>
        <w:rPr>
          <w:noProof/>
        </w:rPr>
        <w:tab/>
        <w:t xml:space="preserve">Implementation of post-2030 measures to further develop the legal framework for monitoring and reporting of emissions concerning rules for carbon capture and usage (CCU), rules for the accounting of cross-border carbon capture and storage and rules for emissions from landfills. Similar adjusts are need to the framework for verification of emissions reports and the accreditation of verifiers. </w:t>
      </w:r>
    </w:p>
    <w:p w14:paraId="18A18662" w14:textId="77777777" w:rsidR="00D30DDB" w:rsidRDefault="00D30DDB" w:rsidP="00D30DDB">
      <w:pPr>
        <w:pStyle w:val="Text1"/>
        <w:rPr>
          <w:noProof/>
        </w:rPr>
      </w:pPr>
      <w:r>
        <w:rPr>
          <w:noProof/>
        </w:rPr>
        <w:t>•</w:t>
      </w:r>
      <w:r>
        <w:rPr>
          <w:noProof/>
        </w:rPr>
        <w:tab/>
      </w:r>
      <w:r w:rsidRPr="00D30DDB">
        <w:rPr>
          <w:b/>
          <w:bCs/>
          <w:noProof/>
        </w:rPr>
        <w:t>Stationary: waste and CCU</w:t>
      </w:r>
    </w:p>
    <w:p w14:paraId="07AD2CBB" w14:textId="77777777" w:rsidR="00D30DDB" w:rsidRDefault="00D30DDB" w:rsidP="00D30DDB">
      <w:pPr>
        <w:pStyle w:val="Text1"/>
        <w:rPr>
          <w:noProof/>
        </w:rPr>
      </w:pPr>
      <w:r>
        <w:rPr>
          <w:noProof/>
        </w:rPr>
        <w:t>o</w:t>
      </w:r>
      <w:r>
        <w:rPr>
          <w:noProof/>
        </w:rPr>
        <w:tab/>
        <w:t xml:space="preserve">Implementation of proposed inclusion of waste incineration in the EU ETS, assessment of inclusion of landfill (for review in 2034). </w:t>
      </w:r>
    </w:p>
    <w:p w14:paraId="1999AE38" w14:textId="77777777" w:rsidR="00D30DDB" w:rsidRDefault="00D30DDB" w:rsidP="00D30DDB">
      <w:pPr>
        <w:pStyle w:val="Text1"/>
        <w:rPr>
          <w:noProof/>
        </w:rPr>
      </w:pPr>
      <w:r>
        <w:rPr>
          <w:noProof/>
        </w:rPr>
        <w:t>o</w:t>
      </w:r>
      <w:r>
        <w:rPr>
          <w:noProof/>
        </w:rPr>
        <w:tab/>
        <w:t xml:space="preserve">Implementation of proposed inclusion of non-permanent CCU, development of secondary legislation and monitoring framework. </w:t>
      </w:r>
    </w:p>
    <w:p w14:paraId="37BD5B3C" w14:textId="77777777" w:rsidR="00D30DDB" w:rsidRPr="00D30DDB" w:rsidRDefault="00D30DDB" w:rsidP="00D30DDB">
      <w:pPr>
        <w:pStyle w:val="Text1"/>
        <w:rPr>
          <w:b/>
          <w:bCs/>
          <w:noProof/>
        </w:rPr>
      </w:pPr>
      <w:r>
        <w:rPr>
          <w:noProof/>
        </w:rPr>
        <w:t>•</w:t>
      </w:r>
      <w:r>
        <w:rPr>
          <w:noProof/>
        </w:rPr>
        <w:tab/>
      </w:r>
      <w:r w:rsidRPr="00D30DDB">
        <w:rPr>
          <w:b/>
          <w:bCs/>
          <w:noProof/>
        </w:rPr>
        <w:t>Linking with 3rd country emissions trading systems</w:t>
      </w:r>
    </w:p>
    <w:p w14:paraId="7661CBCF" w14:textId="77777777" w:rsidR="00D30DDB" w:rsidRDefault="00D30DDB" w:rsidP="00D30DDB">
      <w:pPr>
        <w:pStyle w:val="Text1"/>
        <w:rPr>
          <w:noProof/>
        </w:rPr>
      </w:pPr>
      <w:r>
        <w:rPr>
          <w:noProof/>
        </w:rPr>
        <w:t>o</w:t>
      </w:r>
      <w:r>
        <w:rPr>
          <w:noProof/>
        </w:rPr>
        <w:tab/>
        <w:t>Implementation of adaptations to EU ETS as a result of 3rd country linking agreements (including with UK).</w:t>
      </w:r>
    </w:p>
    <w:p w14:paraId="20D4BB30" w14:textId="77777777" w:rsidR="00D30DDB" w:rsidRPr="00D30DDB" w:rsidRDefault="00D30DDB" w:rsidP="00D30DDB">
      <w:pPr>
        <w:pStyle w:val="Text1"/>
        <w:rPr>
          <w:b/>
          <w:bCs/>
          <w:noProof/>
        </w:rPr>
      </w:pPr>
      <w:r>
        <w:rPr>
          <w:noProof/>
        </w:rPr>
        <w:t>•</w:t>
      </w:r>
      <w:r>
        <w:rPr>
          <w:noProof/>
        </w:rPr>
        <w:tab/>
      </w:r>
      <w:r w:rsidRPr="00D30DDB">
        <w:rPr>
          <w:b/>
          <w:bCs/>
          <w:noProof/>
        </w:rPr>
        <w:t>Development of single market for CO</w:t>
      </w:r>
      <w:r w:rsidRPr="007F5BCA">
        <w:rPr>
          <w:b/>
          <w:noProof/>
          <w:vertAlign w:val="subscript"/>
        </w:rPr>
        <w:t>2</w:t>
      </w:r>
      <w:r w:rsidRPr="00D30DDB">
        <w:rPr>
          <w:b/>
          <w:bCs/>
          <w:noProof/>
        </w:rPr>
        <w:t xml:space="preserve"> (CCS market)</w:t>
      </w:r>
    </w:p>
    <w:p w14:paraId="1C1DE500" w14:textId="77777777" w:rsidR="00D30DDB" w:rsidRPr="00D30DDB" w:rsidRDefault="00D30DDB" w:rsidP="00D30DDB">
      <w:pPr>
        <w:pStyle w:val="Text1"/>
        <w:rPr>
          <w:noProof/>
        </w:rPr>
      </w:pPr>
      <w:r>
        <w:rPr>
          <w:noProof/>
        </w:rPr>
        <w:t>o</w:t>
      </w:r>
      <w:r>
        <w:rPr>
          <w:noProof/>
        </w:rPr>
        <w:tab/>
        <w:t>Development of legislation, safeguards and implementation systems necessary to enable ETS exemption for CO</w:t>
      </w:r>
      <w:r w:rsidRPr="007F5BCA">
        <w:rPr>
          <w:noProof/>
          <w:vertAlign w:val="subscript"/>
        </w:rPr>
        <w:t>2</w:t>
      </w:r>
      <w:r>
        <w:rPr>
          <w:noProof/>
        </w:rPr>
        <w:t xml:space="preserve"> captured, transported and permanently stored, including in third countries with a linked ETS, as proposed in the legal text.</w:t>
      </w:r>
    </w:p>
    <w:p w14:paraId="41E6EC32" w14:textId="77777777" w:rsidR="006052EE" w:rsidRPr="00BD67DE" w:rsidRDefault="006052EE" w:rsidP="00D30DDB">
      <w:pPr>
        <w:pStyle w:val="ManualHeading2"/>
        <w:rPr>
          <w:noProof/>
        </w:rPr>
      </w:pPr>
      <w:bookmarkStart w:id="134" w:name="_Toc514938051"/>
      <w:bookmarkStart w:id="135" w:name="_Toc520485050"/>
      <w:bookmarkStart w:id="136" w:name="_Toc160804592"/>
      <w:bookmarkStart w:id="137" w:name="_Toc167220284"/>
      <w:bookmarkStart w:id="138" w:name="_Toc177549017"/>
      <w:r w:rsidRPr="00BD67DE">
        <w:rPr>
          <w:noProof/>
        </w:rPr>
        <w:t>3.1.</w:t>
      </w:r>
      <w:r w:rsidRPr="00BD67DE">
        <w:rPr>
          <w:noProof/>
        </w:rPr>
        <w:tab/>
        <w:t>Heading(s) of the multiannual financial framework and expenditure budget line(s) affected</w:t>
      </w:r>
      <w:bookmarkEnd w:id="134"/>
      <w:bookmarkEnd w:id="135"/>
      <w:bookmarkEnd w:id="136"/>
      <w:bookmarkEnd w:id="137"/>
      <w:bookmarkEnd w:id="138"/>
      <w:r w:rsidRPr="00BD67DE">
        <w:rPr>
          <w:noProof/>
        </w:rPr>
        <w:t xml:space="preserve"> </w:t>
      </w:r>
      <w:bookmarkStart w:id="139" w:name="_Hlk157691648"/>
    </w:p>
    <w:bookmarkEnd w:id="139"/>
    <w:p w14:paraId="530000AC" w14:textId="77777777" w:rsidR="006052EE" w:rsidRDefault="006052EE" w:rsidP="006052EE">
      <w:pPr>
        <w:pStyle w:val="ListBullet1"/>
        <w:rPr>
          <w:noProof/>
        </w:rPr>
      </w:pPr>
      <w:r>
        <w:rPr>
          <w:noProof/>
        </w:rPr>
        <w:t xml:space="preserve">Existing budget lines </w:t>
      </w:r>
    </w:p>
    <w:p w14:paraId="42269D67" w14:textId="77777777" w:rsidR="006052EE" w:rsidRDefault="006052EE" w:rsidP="00445C9D">
      <w:pPr>
        <w:pStyle w:val="Text1"/>
        <w:rPr>
          <w:i/>
          <w:noProof/>
        </w:rPr>
      </w:pPr>
      <w:r w:rsidRPr="009B753E">
        <w:rPr>
          <w:i/>
          <w:noProof/>
          <w:u w:val="single"/>
        </w:rPr>
        <w:t>In order</w:t>
      </w:r>
      <w:r w:rsidRPr="009B753E">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486288" w:rsidRPr="00486288" w14:paraId="7CB1247D" w14:textId="77777777" w:rsidTr="00445C9D">
        <w:trPr>
          <w:jc w:val="center"/>
        </w:trPr>
        <w:tc>
          <w:tcPr>
            <w:tcW w:w="1092" w:type="dxa"/>
            <w:vMerge w:val="restart"/>
            <w:vAlign w:val="center"/>
          </w:tcPr>
          <w:p w14:paraId="5E7146DE" w14:textId="77777777" w:rsidR="00486288" w:rsidRPr="00486288" w:rsidRDefault="00486288" w:rsidP="00486288">
            <w:pPr>
              <w:spacing w:before="60" w:after="60"/>
              <w:jc w:val="center"/>
              <w:rPr>
                <w:noProof/>
                <w:lang w:val="en-IE"/>
              </w:rPr>
            </w:pPr>
            <w:r w:rsidRPr="00486288">
              <w:rPr>
                <w:noProof/>
                <w:sz w:val="18"/>
                <w:lang w:val="en-IE"/>
              </w:rPr>
              <w:t>Heading of multiannual financial framework</w:t>
            </w:r>
          </w:p>
        </w:tc>
        <w:tc>
          <w:tcPr>
            <w:tcW w:w="4002" w:type="dxa"/>
            <w:vAlign w:val="center"/>
          </w:tcPr>
          <w:p w14:paraId="3AB8934E" w14:textId="77777777" w:rsidR="00486288" w:rsidRPr="00486288" w:rsidRDefault="00486288" w:rsidP="00486288">
            <w:pPr>
              <w:spacing w:before="60" w:after="60"/>
              <w:jc w:val="center"/>
              <w:rPr>
                <w:noProof/>
              </w:rPr>
            </w:pPr>
            <w:r w:rsidRPr="00486288">
              <w:rPr>
                <w:noProof/>
                <w:sz w:val="20"/>
              </w:rPr>
              <w:t>Budget line</w:t>
            </w:r>
          </w:p>
        </w:tc>
        <w:tc>
          <w:tcPr>
            <w:tcW w:w="1092" w:type="dxa"/>
            <w:vAlign w:val="center"/>
          </w:tcPr>
          <w:p w14:paraId="55F7FD50" w14:textId="77777777" w:rsidR="00486288" w:rsidRPr="00486288" w:rsidRDefault="00486288" w:rsidP="00486288">
            <w:pPr>
              <w:spacing w:before="60" w:after="60"/>
              <w:jc w:val="center"/>
              <w:rPr>
                <w:noProof/>
              </w:rPr>
            </w:pPr>
            <w:r w:rsidRPr="00486288">
              <w:rPr>
                <w:noProof/>
                <w:sz w:val="18"/>
              </w:rPr>
              <w:t>Type of expenditure</w:t>
            </w:r>
          </w:p>
        </w:tc>
        <w:tc>
          <w:tcPr>
            <w:tcW w:w="4487" w:type="dxa"/>
            <w:gridSpan w:val="4"/>
            <w:vAlign w:val="center"/>
          </w:tcPr>
          <w:p w14:paraId="25BDC812" w14:textId="77777777" w:rsidR="00486288" w:rsidRPr="00486288" w:rsidRDefault="00486288" w:rsidP="00486288">
            <w:pPr>
              <w:spacing w:before="60" w:after="60"/>
              <w:jc w:val="center"/>
              <w:rPr>
                <w:noProof/>
              </w:rPr>
            </w:pPr>
            <w:r w:rsidRPr="00486288">
              <w:rPr>
                <w:noProof/>
                <w:sz w:val="20"/>
              </w:rPr>
              <w:t xml:space="preserve">Contribution </w:t>
            </w:r>
          </w:p>
        </w:tc>
      </w:tr>
      <w:tr w:rsidR="00486288" w:rsidRPr="00486288" w14:paraId="1BA2C0C0" w14:textId="77777777" w:rsidTr="00445C9D">
        <w:trPr>
          <w:cantSplit/>
          <w:jc w:val="center"/>
        </w:trPr>
        <w:tc>
          <w:tcPr>
            <w:tcW w:w="1092" w:type="dxa"/>
            <w:vMerge/>
            <w:vAlign w:val="center"/>
          </w:tcPr>
          <w:p w14:paraId="32D1DA54" w14:textId="77777777" w:rsidR="00486288" w:rsidRPr="00486288" w:rsidRDefault="00486288" w:rsidP="00486288">
            <w:pPr>
              <w:jc w:val="center"/>
              <w:rPr>
                <w:noProof/>
              </w:rPr>
            </w:pPr>
          </w:p>
        </w:tc>
        <w:tc>
          <w:tcPr>
            <w:tcW w:w="4002" w:type="dxa"/>
            <w:vAlign w:val="center"/>
          </w:tcPr>
          <w:p w14:paraId="37B1995D" w14:textId="77777777" w:rsidR="00486288" w:rsidRPr="00486288" w:rsidRDefault="00486288" w:rsidP="00486288">
            <w:pPr>
              <w:rPr>
                <w:noProof/>
              </w:rPr>
            </w:pPr>
            <w:r w:rsidRPr="00486288">
              <w:rPr>
                <w:noProof/>
                <w:sz w:val="20"/>
              </w:rPr>
              <w:t xml:space="preserve">Number </w:t>
            </w:r>
            <w:r w:rsidRPr="00486288">
              <w:rPr>
                <w:noProof/>
                <w:sz w:val="22"/>
              </w:rPr>
              <w:br/>
            </w:r>
          </w:p>
        </w:tc>
        <w:tc>
          <w:tcPr>
            <w:tcW w:w="1092" w:type="dxa"/>
            <w:vAlign w:val="center"/>
          </w:tcPr>
          <w:p w14:paraId="33555E40" w14:textId="77777777" w:rsidR="00486288" w:rsidRPr="00486288" w:rsidRDefault="00486288" w:rsidP="00486288">
            <w:pPr>
              <w:jc w:val="center"/>
              <w:rPr>
                <w:noProof/>
              </w:rPr>
            </w:pPr>
            <w:r w:rsidRPr="1D5BA5BB">
              <w:rPr>
                <w:noProof/>
                <w:sz w:val="18"/>
                <w:szCs w:val="18"/>
              </w:rPr>
              <w:t>Diff./Non-diff.</w:t>
            </w:r>
            <w:r w:rsidR="00E67DD0" w:rsidRPr="1D5BA5BB">
              <w:rPr>
                <w:rStyle w:val="FootnoteReference"/>
                <w:noProof/>
                <w:sz w:val="18"/>
                <w:szCs w:val="18"/>
              </w:rPr>
              <w:footnoteReference w:id="80"/>
            </w:r>
            <w:r w:rsidR="00E67DD0">
              <w:rPr>
                <w:rStyle w:val="CommentReference"/>
                <w:noProof/>
              </w:rPr>
              <w:t xml:space="preserve"> </w:t>
            </w:r>
          </w:p>
        </w:tc>
        <w:tc>
          <w:tcPr>
            <w:tcW w:w="966" w:type="dxa"/>
            <w:vAlign w:val="center"/>
          </w:tcPr>
          <w:p w14:paraId="6D0D9271" w14:textId="77777777" w:rsidR="00486288" w:rsidRPr="00486288" w:rsidRDefault="00486288" w:rsidP="00486288">
            <w:pPr>
              <w:jc w:val="center"/>
              <w:rPr>
                <w:b/>
                <w:noProof/>
                <w:sz w:val="18"/>
              </w:rPr>
            </w:pPr>
            <w:r w:rsidRPr="1D5BA5BB">
              <w:rPr>
                <w:noProof/>
                <w:sz w:val="18"/>
                <w:szCs w:val="18"/>
              </w:rPr>
              <w:t>from EFTA countries</w:t>
            </w:r>
            <w:r w:rsidR="00E67DD0" w:rsidRPr="1D5BA5BB">
              <w:rPr>
                <w:rStyle w:val="FootnoteReference"/>
                <w:noProof/>
                <w:sz w:val="18"/>
                <w:szCs w:val="18"/>
              </w:rPr>
              <w:footnoteReference w:id="81"/>
            </w:r>
          </w:p>
        </w:tc>
        <w:tc>
          <w:tcPr>
            <w:tcW w:w="1092" w:type="dxa"/>
            <w:vAlign w:val="center"/>
          </w:tcPr>
          <w:p w14:paraId="3CB7E70C" w14:textId="77777777" w:rsidR="00486288" w:rsidRPr="00486288" w:rsidRDefault="00486288" w:rsidP="00486288">
            <w:pPr>
              <w:jc w:val="center"/>
              <w:rPr>
                <w:noProof/>
                <w:sz w:val="18"/>
                <w:lang w:val="en-IE"/>
              </w:rPr>
            </w:pPr>
            <w:r w:rsidRPr="1D5BA5BB">
              <w:rPr>
                <w:noProof/>
                <w:sz w:val="18"/>
                <w:szCs w:val="18"/>
                <w:lang w:val="en-IE"/>
              </w:rPr>
              <w:t>from candidate countries and potential candidates</w:t>
            </w:r>
            <w:r w:rsidR="00E67DD0" w:rsidRPr="1D5BA5BB">
              <w:rPr>
                <w:rStyle w:val="FootnoteReference"/>
                <w:noProof/>
                <w:sz w:val="18"/>
                <w:szCs w:val="18"/>
                <w:lang w:val="en-IE"/>
              </w:rPr>
              <w:footnoteReference w:id="82"/>
            </w:r>
          </w:p>
        </w:tc>
        <w:tc>
          <w:tcPr>
            <w:tcW w:w="966" w:type="dxa"/>
            <w:vAlign w:val="center"/>
          </w:tcPr>
          <w:p w14:paraId="762783B5" w14:textId="77777777" w:rsidR="00486288" w:rsidRPr="00486288" w:rsidRDefault="00486288" w:rsidP="00486288">
            <w:pPr>
              <w:jc w:val="center"/>
              <w:rPr>
                <w:noProof/>
                <w:sz w:val="18"/>
              </w:rPr>
            </w:pPr>
            <w:r w:rsidRPr="00486288">
              <w:rPr>
                <w:noProof/>
                <w:sz w:val="18"/>
              </w:rPr>
              <w:t>From other third countries</w:t>
            </w:r>
          </w:p>
        </w:tc>
        <w:tc>
          <w:tcPr>
            <w:tcW w:w="1463" w:type="dxa"/>
            <w:vAlign w:val="center"/>
          </w:tcPr>
          <w:p w14:paraId="64F4BA7A" w14:textId="77777777" w:rsidR="00486288" w:rsidRPr="00486288" w:rsidRDefault="00486288" w:rsidP="00486288">
            <w:pPr>
              <w:jc w:val="center"/>
              <w:rPr>
                <w:noProof/>
              </w:rPr>
            </w:pPr>
            <w:r w:rsidRPr="00486288">
              <w:rPr>
                <w:noProof/>
                <w:sz w:val="18"/>
                <w:szCs w:val="18"/>
                <w:lang w:val="en-IE"/>
              </w:rPr>
              <w:t>other assigned revenue</w:t>
            </w:r>
          </w:p>
        </w:tc>
      </w:tr>
      <w:tr w:rsidR="00486288" w:rsidRPr="00486288" w14:paraId="0A254C08" w14:textId="77777777" w:rsidTr="00445C9D">
        <w:trPr>
          <w:jc w:val="center"/>
        </w:trPr>
        <w:tc>
          <w:tcPr>
            <w:tcW w:w="1092" w:type="dxa"/>
          </w:tcPr>
          <w:p w14:paraId="4DC944D7" w14:textId="77777777" w:rsidR="00486288" w:rsidRPr="00486288" w:rsidRDefault="00486288" w:rsidP="00486288">
            <w:pPr>
              <w:spacing w:before="0" w:after="0"/>
              <w:jc w:val="center"/>
              <w:rPr>
                <w:noProof/>
                <w:color w:val="0000FF"/>
                <w:sz w:val="20"/>
                <w:szCs w:val="20"/>
              </w:rPr>
            </w:pPr>
            <w:r w:rsidRPr="00486288">
              <w:rPr>
                <w:noProof/>
                <w:sz w:val="20"/>
                <w:szCs w:val="20"/>
              </w:rPr>
              <w:t>2</w:t>
            </w:r>
          </w:p>
        </w:tc>
        <w:tc>
          <w:tcPr>
            <w:tcW w:w="4002" w:type="dxa"/>
          </w:tcPr>
          <w:p w14:paraId="3D62C3B2" w14:textId="77777777" w:rsidR="00486288" w:rsidRPr="00486288" w:rsidRDefault="00486288" w:rsidP="00486288">
            <w:pPr>
              <w:spacing w:before="0" w:after="0"/>
              <w:rPr>
                <w:noProof/>
                <w:sz w:val="20"/>
                <w:szCs w:val="20"/>
              </w:rPr>
            </w:pPr>
            <w:r w:rsidRPr="00486288">
              <w:rPr>
                <w:noProof/>
                <w:sz w:val="20"/>
                <w:szCs w:val="20"/>
              </w:rPr>
              <w:t>[XX.YY.YY.YY] successor of LIFE</w:t>
            </w:r>
          </w:p>
        </w:tc>
        <w:tc>
          <w:tcPr>
            <w:tcW w:w="1092" w:type="dxa"/>
          </w:tcPr>
          <w:p w14:paraId="10FA6A78" w14:textId="77777777" w:rsidR="00486288" w:rsidRPr="00486288" w:rsidRDefault="00486288" w:rsidP="00486288">
            <w:pPr>
              <w:spacing w:before="0" w:after="0"/>
              <w:jc w:val="center"/>
              <w:rPr>
                <w:noProof/>
                <w:sz w:val="20"/>
                <w:szCs w:val="20"/>
              </w:rPr>
            </w:pPr>
            <w:r w:rsidRPr="00486288">
              <w:rPr>
                <w:noProof/>
                <w:sz w:val="20"/>
                <w:szCs w:val="20"/>
              </w:rPr>
              <w:t>Diff.</w:t>
            </w:r>
          </w:p>
        </w:tc>
        <w:tc>
          <w:tcPr>
            <w:tcW w:w="966" w:type="dxa"/>
          </w:tcPr>
          <w:p w14:paraId="71D33929" w14:textId="77777777" w:rsidR="00486288" w:rsidRPr="00486288" w:rsidRDefault="00486288" w:rsidP="00486288">
            <w:pPr>
              <w:spacing w:before="0" w:after="0"/>
              <w:jc w:val="center"/>
              <w:rPr>
                <w:noProof/>
                <w:sz w:val="20"/>
                <w:szCs w:val="20"/>
              </w:rPr>
            </w:pPr>
            <w:r w:rsidRPr="00486288">
              <w:rPr>
                <w:noProof/>
                <w:sz w:val="20"/>
                <w:szCs w:val="20"/>
              </w:rPr>
              <w:t>YES</w:t>
            </w:r>
          </w:p>
        </w:tc>
        <w:tc>
          <w:tcPr>
            <w:tcW w:w="1092" w:type="dxa"/>
          </w:tcPr>
          <w:p w14:paraId="4F44C33E" w14:textId="77777777" w:rsidR="00486288" w:rsidRPr="00486288" w:rsidRDefault="00486288" w:rsidP="00486288">
            <w:pPr>
              <w:spacing w:before="0" w:after="0"/>
              <w:jc w:val="center"/>
              <w:rPr>
                <w:noProof/>
                <w:sz w:val="20"/>
                <w:szCs w:val="20"/>
              </w:rPr>
            </w:pPr>
            <w:r w:rsidRPr="00486288">
              <w:rPr>
                <w:noProof/>
                <w:sz w:val="20"/>
                <w:szCs w:val="20"/>
              </w:rPr>
              <w:t>YES</w:t>
            </w:r>
          </w:p>
        </w:tc>
        <w:tc>
          <w:tcPr>
            <w:tcW w:w="966" w:type="dxa"/>
          </w:tcPr>
          <w:p w14:paraId="1C030A5A"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463" w:type="dxa"/>
          </w:tcPr>
          <w:p w14:paraId="3BB0D698" w14:textId="77777777" w:rsidR="00486288" w:rsidRPr="00486288" w:rsidRDefault="00486288" w:rsidP="00486288">
            <w:pPr>
              <w:spacing w:before="0" w:after="0"/>
              <w:jc w:val="center"/>
              <w:rPr>
                <w:noProof/>
                <w:sz w:val="20"/>
                <w:szCs w:val="20"/>
              </w:rPr>
            </w:pPr>
            <w:r w:rsidRPr="00486288">
              <w:rPr>
                <w:noProof/>
                <w:sz w:val="20"/>
                <w:szCs w:val="20"/>
              </w:rPr>
              <w:t>YES</w:t>
            </w:r>
          </w:p>
        </w:tc>
      </w:tr>
      <w:tr w:rsidR="00486288" w:rsidRPr="00486288" w14:paraId="473C30A5" w14:textId="77777777" w:rsidTr="00445C9D">
        <w:trPr>
          <w:jc w:val="center"/>
        </w:trPr>
        <w:tc>
          <w:tcPr>
            <w:tcW w:w="1092" w:type="dxa"/>
          </w:tcPr>
          <w:p w14:paraId="53E274F8" w14:textId="77777777" w:rsidR="00486288" w:rsidRPr="00486288" w:rsidRDefault="00486288" w:rsidP="00486288">
            <w:pPr>
              <w:spacing w:before="0" w:after="0"/>
              <w:jc w:val="center"/>
              <w:rPr>
                <w:noProof/>
                <w:color w:val="0000FF"/>
                <w:sz w:val="20"/>
                <w:szCs w:val="20"/>
              </w:rPr>
            </w:pPr>
            <w:r w:rsidRPr="00486288">
              <w:rPr>
                <w:noProof/>
                <w:sz w:val="20"/>
                <w:szCs w:val="20"/>
              </w:rPr>
              <w:t>4</w:t>
            </w:r>
          </w:p>
        </w:tc>
        <w:tc>
          <w:tcPr>
            <w:tcW w:w="4002" w:type="dxa"/>
          </w:tcPr>
          <w:p w14:paraId="31AE326D" w14:textId="77777777" w:rsidR="00486288" w:rsidRPr="00486288" w:rsidRDefault="00486288" w:rsidP="00486288">
            <w:pPr>
              <w:spacing w:before="0" w:after="0"/>
              <w:rPr>
                <w:noProof/>
                <w:sz w:val="20"/>
                <w:szCs w:val="20"/>
              </w:rPr>
            </w:pPr>
            <w:r w:rsidRPr="00486288">
              <w:rPr>
                <w:noProof/>
                <w:sz w:val="20"/>
                <w:szCs w:val="20"/>
              </w:rPr>
              <w:t>[XX.YY.YY.YY] EMSA subsidy</w:t>
            </w:r>
          </w:p>
        </w:tc>
        <w:tc>
          <w:tcPr>
            <w:tcW w:w="1092" w:type="dxa"/>
          </w:tcPr>
          <w:p w14:paraId="02D13B65" w14:textId="77777777" w:rsidR="00486288" w:rsidRPr="00486288" w:rsidRDefault="00486288" w:rsidP="00486288">
            <w:pPr>
              <w:spacing w:before="0" w:after="0"/>
              <w:jc w:val="center"/>
              <w:rPr>
                <w:noProof/>
                <w:sz w:val="20"/>
                <w:szCs w:val="20"/>
              </w:rPr>
            </w:pPr>
            <w:r w:rsidRPr="00486288">
              <w:rPr>
                <w:noProof/>
                <w:sz w:val="20"/>
                <w:szCs w:val="20"/>
              </w:rPr>
              <w:t>Diff.</w:t>
            </w:r>
          </w:p>
        </w:tc>
        <w:tc>
          <w:tcPr>
            <w:tcW w:w="966" w:type="dxa"/>
          </w:tcPr>
          <w:p w14:paraId="2FE04338" w14:textId="77777777" w:rsidR="00486288" w:rsidRPr="00486288" w:rsidRDefault="00486288" w:rsidP="00486288">
            <w:pPr>
              <w:spacing w:before="0" w:after="0"/>
              <w:jc w:val="center"/>
              <w:rPr>
                <w:noProof/>
                <w:sz w:val="20"/>
                <w:szCs w:val="20"/>
              </w:rPr>
            </w:pPr>
            <w:r w:rsidRPr="00486288">
              <w:rPr>
                <w:noProof/>
                <w:sz w:val="20"/>
                <w:szCs w:val="20"/>
              </w:rPr>
              <w:t>YES</w:t>
            </w:r>
          </w:p>
        </w:tc>
        <w:tc>
          <w:tcPr>
            <w:tcW w:w="1092" w:type="dxa"/>
          </w:tcPr>
          <w:p w14:paraId="497F97A8" w14:textId="77777777" w:rsidR="00486288" w:rsidRPr="00486288" w:rsidRDefault="00486288" w:rsidP="00486288">
            <w:pPr>
              <w:spacing w:before="0" w:after="0"/>
              <w:jc w:val="center"/>
              <w:rPr>
                <w:noProof/>
                <w:sz w:val="20"/>
                <w:szCs w:val="20"/>
              </w:rPr>
            </w:pPr>
            <w:r w:rsidRPr="00486288">
              <w:rPr>
                <w:noProof/>
                <w:sz w:val="20"/>
                <w:szCs w:val="20"/>
              </w:rPr>
              <w:t>NO</w:t>
            </w:r>
          </w:p>
        </w:tc>
        <w:tc>
          <w:tcPr>
            <w:tcW w:w="966" w:type="dxa"/>
          </w:tcPr>
          <w:p w14:paraId="3EE9F07B"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463" w:type="dxa"/>
          </w:tcPr>
          <w:p w14:paraId="2FBB8077" w14:textId="77777777" w:rsidR="00486288" w:rsidRPr="00486288" w:rsidRDefault="00486288" w:rsidP="00486288">
            <w:pPr>
              <w:spacing w:before="0" w:after="0"/>
              <w:jc w:val="center"/>
              <w:rPr>
                <w:noProof/>
                <w:sz w:val="20"/>
                <w:szCs w:val="20"/>
              </w:rPr>
            </w:pPr>
            <w:r w:rsidRPr="00486288">
              <w:rPr>
                <w:noProof/>
                <w:sz w:val="20"/>
                <w:szCs w:val="20"/>
              </w:rPr>
              <w:t>YES</w:t>
            </w:r>
          </w:p>
        </w:tc>
      </w:tr>
      <w:tr w:rsidR="00486288" w:rsidRPr="00486288" w14:paraId="1E48EE64" w14:textId="77777777" w:rsidTr="00445C9D">
        <w:trPr>
          <w:jc w:val="center"/>
        </w:trPr>
        <w:tc>
          <w:tcPr>
            <w:tcW w:w="1092" w:type="dxa"/>
          </w:tcPr>
          <w:p w14:paraId="6B22F47E" w14:textId="77777777" w:rsidR="00486288" w:rsidRPr="00486288" w:rsidRDefault="00486288" w:rsidP="00486288">
            <w:pPr>
              <w:spacing w:before="0" w:after="0"/>
              <w:jc w:val="center"/>
              <w:rPr>
                <w:noProof/>
                <w:color w:val="0000FF"/>
                <w:sz w:val="20"/>
                <w:szCs w:val="20"/>
              </w:rPr>
            </w:pPr>
            <w:r w:rsidRPr="00486288">
              <w:rPr>
                <w:noProof/>
                <w:sz w:val="20"/>
                <w:szCs w:val="20"/>
              </w:rPr>
              <w:t>2</w:t>
            </w:r>
          </w:p>
        </w:tc>
        <w:tc>
          <w:tcPr>
            <w:tcW w:w="4002" w:type="dxa"/>
          </w:tcPr>
          <w:p w14:paraId="370A7BB6" w14:textId="77777777" w:rsidR="00486288" w:rsidRPr="00486288" w:rsidRDefault="00486288" w:rsidP="00486288">
            <w:pPr>
              <w:spacing w:before="0" w:after="0"/>
              <w:rPr>
                <w:noProof/>
                <w:sz w:val="20"/>
                <w:szCs w:val="20"/>
              </w:rPr>
            </w:pPr>
            <w:r w:rsidRPr="00486288">
              <w:rPr>
                <w:noProof/>
                <w:sz w:val="20"/>
                <w:szCs w:val="20"/>
              </w:rPr>
              <w:t>[XX.YY.YY.YY] Innovation fund - support expenditure</w:t>
            </w:r>
          </w:p>
        </w:tc>
        <w:tc>
          <w:tcPr>
            <w:tcW w:w="1092" w:type="dxa"/>
          </w:tcPr>
          <w:p w14:paraId="2838CB5D" w14:textId="77777777" w:rsidR="00486288" w:rsidRPr="00486288" w:rsidRDefault="00486288" w:rsidP="00486288">
            <w:pPr>
              <w:spacing w:before="0" w:after="0"/>
              <w:jc w:val="center"/>
              <w:rPr>
                <w:noProof/>
                <w:sz w:val="20"/>
                <w:szCs w:val="20"/>
              </w:rPr>
            </w:pPr>
            <w:r w:rsidRPr="00486288">
              <w:rPr>
                <w:noProof/>
                <w:sz w:val="20"/>
                <w:szCs w:val="20"/>
              </w:rPr>
              <w:t>Non Diff.</w:t>
            </w:r>
          </w:p>
        </w:tc>
        <w:tc>
          <w:tcPr>
            <w:tcW w:w="966" w:type="dxa"/>
          </w:tcPr>
          <w:p w14:paraId="25DE64E3"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092" w:type="dxa"/>
          </w:tcPr>
          <w:p w14:paraId="5FD1117C" w14:textId="77777777" w:rsidR="00486288" w:rsidRPr="00486288" w:rsidRDefault="00486288" w:rsidP="00486288">
            <w:pPr>
              <w:spacing w:before="0" w:after="0"/>
              <w:jc w:val="center"/>
              <w:rPr>
                <w:noProof/>
                <w:sz w:val="20"/>
                <w:szCs w:val="20"/>
              </w:rPr>
            </w:pPr>
            <w:r w:rsidRPr="00486288">
              <w:rPr>
                <w:noProof/>
                <w:sz w:val="20"/>
                <w:szCs w:val="20"/>
              </w:rPr>
              <w:t>NO</w:t>
            </w:r>
          </w:p>
        </w:tc>
        <w:tc>
          <w:tcPr>
            <w:tcW w:w="966" w:type="dxa"/>
          </w:tcPr>
          <w:p w14:paraId="7298A4A6"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463" w:type="dxa"/>
          </w:tcPr>
          <w:p w14:paraId="64F17601" w14:textId="77777777" w:rsidR="00486288" w:rsidRPr="00486288" w:rsidRDefault="00486288" w:rsidP="00486288">
            <w:pPr>
              <w:spacing w:before="0" w:after="0"/>
              <w:jc w:val="center"/>
              <w:rPr>
                <w:noProof/>
                <w:sz w:val="20"/>
                <w:szCs w:val="20"/>
              </w:rPr>
            </w:pPr>
            <w:r w:rsidRPr="00486288">
              <w:rPr>
                <w:noProof/>
                <w:sz w:val="20"/>
                <w:szCs w:val="20"/>
              </w:rPr>
              <w:t>YES</w:t>
            </w:r>
          </w:p>
        </w:tc>
      </w:tr>
      <w:tr w:rsidR="00486288" w:rsidRPr="00486288" w14:paraId="58368A5D" w14:textId="77777777" w:rsidTr="00445C9D">
        <w:trPr>
          <w:jc w:val="center"/>
        </w:trPr>
        <w:tc>
          <w:tcPr>
            <w:tcW w:w="1092" w:type="dxa"/>
          </w:tcPr>
          <w:p w14:paraId="6EEE26A0" w14:textId="77777777" w:rsidR="00486288" w:rsidRPr="00486288" w:rsidRDefault="00486288" w:rsidP="00486288">
            <w:pPr>
              <w:spacing w:before="0" w:after="0"/>
              <w:jc w:val="center"/>
              <w:rPr>
                <w:noProof/>
                <w:color w:val="0000FF"/>
                <w:sz w:val="20"/>
                <w:szCs w:val="20"/>
              </w:rPr>
            </w:pPr>
            <w:r w:rsidRPr="00486288">
              <w:rPr>
                <w:noProof/>
                <w:sz w:val="20"/>
                <w:szCs w:val="20"/>
              </w:rPr>
              <w:t>2</w:t>
            </w:r>
          </w:p>
        </w:tc>
        <w:tc>
          <w:tcPr>
            <w:tcW w:w="4002" w:type="dxa"/>
          </w:tcPr>
          <w:p w14:paraId="414CC016" w14:textId="77777777" w:rsidR="00486288" w:rsidRPr="00486288" w:rsidRDefault="00486288" w:rsidP="00486288">
            <w:pPr>
              <w:spacing w:before="0" w:after="0"/>
              <w:rPr>
                <w:noProof/>
                <w:sz w:val="20"/>
                <w:szCs w:val="20"/>
              </w:rPr>
            </w:pPr>
            <w:r w:rsidRPr="00486288">
              <w:rPr>
                <w:noProof/>
                <w:sz w:val="20"/>
                <w:szCs w:val="20"/>
              </w:rPr>
              <w:t>[XX.YY.YY.YY] - Innovation fund - subsidy executive agency</w:t>
            </w:r>
          </w:p>
        </w:tc>
        <w:tc>
          <w:tcPr>
            <w:tcW w:w="1092" w:type="dxa"/>
          </w:tcPr>
          <w:p w14:paraId="3871DE7D" w14:textId="77777777" w:rsidR="00486288" w:rsidRPr="00486288" w:rsidRDefault="00486288" w:rsidP="00486288">
            <w:pPr>
              <w:spacing w:before="0" w:after="0"/>
              <w:jc w:val="center"/>
              <w:rPr>
                <w:noProof/>
                <w:color w:val="0000FF"/>
                <w:sz w:val="20"/>
                <w:szCs w:val="20"/>
              </w:rPr>
            </w:pPr>
            <w:r w:rsidRPr="00486288">
              <w:rPr>
                <w:noProof/>
                <w:sz w:val="20"/>
                <w:szCs w:val="20"/>
              </w:rPr>
              <w:t>Non Diff.</w:t>
            </w:r>
          </w:p>
        </w:tc>
        <w:tc>
          <w:tcPr>
            <w:tcW w:w="966" w:type="dxa"/>
          </w:tcPr>
          <w:p w14:paraId="03713ABB"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092" w:type="dxa"/>
          </w:tcPr>
          <w:p w14:paraId="29E6B8D4" w14:textId="77777777" w:rsidR="00486288" w:rsidRPr="00486288" w:rsidRDefault="00486288" w:rsidP="00486288">
            <w:pPr>
              <w:spacing w:before="0" w:after="0"/>
              <w:jc w:val="center"/>
              <w:rPr>
                <w:noProof/>
                <w:sz w:val="20"/>
                <w:szCs w:val="20"/>
              </w:rPr>
            </w:pPr>
            <w:r w:rsidRPr="00486288">
              <w:rPr>
                <w:noProof/>
                <w:sz w:val="20"/>
                <w:szCs w:val="20"/>
              </w:rPr>
              <w:t>NO</w:t>
            </w:r>
          </w:p>
        </w:tc>
        <w:tc>
          <w:tcPr>
            <w:tcW w:w="966" w:type="dxa"/>
          </w:tcPr>
          <w:p w14:paraId="134D6CE4"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463" w:type="dxa"/>
          </w:tcPr>
          <w:p w14:paraId="1C57326F" w14:textId="77777777" w:rsidR="00486288" w:rsidRPr="00486288" w:rsidRDefault="00486288" w:rsidP="00486288">
            <w:pPr>
              <w:spacing w:before="0" w:after="0"/>
              <w:jc w:val="center"/>
              <w:rPr>
                <w:noProof/>
                <w:sz w:val="20"/>
                <w:szCs w:val="20"/>
              </w:rPr>
            </w:pPr>
            <w:r w:rsidRPr="00486288">
              <w:rPr>
                <w:noProof/>
                <w:sz w:val="20"/>
                <w:szCs w:val="20"/>
              </w:rPr>
              <w:t>YES</w:t>
            </w:r>
          </w:p>
        </w:tc>
      </w:tr>
      <w:tr w:rsidR="00486288" w:rsidRPr="00486288" w14:paraId="17368537" w14:textId="77777777" w:rsidTr="00445C9D">
        <w:trPr>
          <w:jc w:val="center"/>
        </w:trPr>
        <w:tc>
          <w:tcPr>
            <w:tcW w:w="1092" w:type="dxa"/>
          </w:tcPr>
          <w:p w14:paraId="3F66FAE9" w14:textId="77777777" w:rsidR="00486288" w:rsidRPr="00486288" w:rsidRDefault="00486288" w:rsidP="00486288">
            <w:pPr>
              <w:spacing w:before="0" w:after="0"/>
              <w:jc w:val="center"/>
              <w:rPr>
                <w:noProof/>
                <w:color w:val="0000FF"/>
                <w:sz w:val="20"/>
                <w:szCs w:val="20"/>
              </w:rPr>
            </w:pPr>
            <w:r w:rsidRPr="00486288">
              <w:rPr>
                <w:noProof/>
                <w:sz w:val="20"/>
                <w:szCs w:val="20"/>
              </w:rPr>
              <w:t>2</w:t>
            </w:r>
          </w:p>
        </w:tc>
        <w:tc>
          <w:tcPr>
            <w:tcW w:w="4002" w:type="dxa"/>
          </w:tcPr>
          <w:p w14:paraId="6CB49069" w14:textId="77777777" w:rsidR="00486288" w:rsidRPr="00486288" w:rsidRDefault="00486288" w:rsidP="00486288">
            <w:pPr>
              <w:spacing w:before="0" w:after="0"/>
              <w:jc w:val="left"/>
              <w:rPr>
                <w:noProof/>
                <w:sz w:val="20"/>
                <w:szCs w:val="20"/>
              </w:rPr>
            </w:pPr>
            <w:r w:rsidRPr="00486288">
              <w:rPr>
                <w:noProof/>
                <w:sz w:val="20"/>
                <w:szCs w:val="20"/>
              </w:rPr>
              <w:t>[XX.YY.YY.YY] - Innovation Fund - operational expenditure</w:t>
            </w:r>
          </w:p>
        </w:tc>
        <w:tc>
          <w:tcPr>
            <w:tcW w:w="1092" w:type="dxa"/>
          </w:tcPr>
          <w:p w14:paraId="66150F31" w14:textId="77777777" w:rsidR="00486288" w:rsidRPr="00486288" w:rsidRDefault="00486288" w:rsidP="00486288">
            <w:pPr>
              <w:spacing w:before="0" w:after="0"/>
              <w:jc w:val="center"/>
              <w:rPr>
                <w:noProof/>
                <w:color w:val="0000FF"/>
                <w:sz w:val="20"/>
                <w:szCs w:val="20"/>
              </w:rPr>
            </w:pPr>
            <w:r w:rsidRPr="00486288">
              <w:rPr>
                <w:noProof/>
                <w:sz w:val="20"/>
                <w:szCs w:val="20"/>
              </w:rPr>
              <w:t>Diff.</w:t>
            </w:r>
          </w:p>
        </w:tc>
        <w:tc>
          <w:tcPr>
            <w:tcW w:w="966" w:type="dxa"/>
          </w:tcPr>
          <w:p w14:paraId="50F4BF2A"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092" w:type="dxa"/>
          </w:tcPr>
          <w:p w14:paraId="58568B78" w14:textId="77777777" w:rsidR="00486288" w:rsidRPr="00486288" w:rsidRDefault="00486288" w:rsidP="00486288">
            <w:pPr>
              <w:spacing w:before="0" w:after="0"/>
              <w:jc w:val="center"/>
              <w:rPr>
                <w:noProof/>
                <w:sz w:val="20"/>
                <w:szCs w:val="20"/>
              </w:rPr>
            </w:pPr>
            <w:r w:rsidRPr="00486288">
              <w:rPr>
                <w:noProof/>
                <w:sz w:val="20"/>
                <w:szCs w:val="20"/>
              </w:rPr>
              <w:t>NO</w:t>
            </w:r>
          </w:p>
        </w:tc>
        <w:tc>
          <w:tcPr>
            <w:tcW w:w="966" w:type="dxa"/>
          </w:tcPr>
          <w:p w14:paraId="0B3152F0"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463" w:type="dxa"/>
          </w:tcPr>
          <w:p w14:paraId="7E477A94" w14:textId="77777777" w:rsidR="00486288" w:rsidRPr="00486288" w:rsidRDefault="00486288" w:rsidP="00486288">
            <w:pPr>
              <w:spacing w:before="0" w:after="0"/>
              <w:jc w:val="center"/>
              <w:rPr>
                <w:noProof/>
                <w:sz w:val="20"/>
                <w:szCs w:val="20"/>
              </w:rPr>
            </w:pPr>
            <w:r w:rsidRPr="00486288">
              <w:rPr>
                <w:noProof/>
                <w:sz w:val="20"/>
                <w:szCs w:val="20"/>
              </w:rPr>
              <w:t>YES</w:t>
            </w:r>
          </w:p>
        </w:tc>
      </w:tr>
      <w:tr w:rsidR="00486288" w:rsidRPr="00486288" w14:paraId="7CF90229" w14:textId="77777777" w:rsidTr="00445C9D">
        <w:trPr>
          <w:jc w:val="center"/>
        </w:trPr>
        <w:tc>
          <w:tcPr>
            <w:tcW w:w="1092" w:type="dxa"/>
          </w:tcPr>
          <w:p w14:paraId="21A155CA" w14:textId="77777777" w:rsidR="00486288" w:rsidRPr="00486288" w:rsidRDefault="00486288" w:rsidP="00486288">
            <w:pPr>
              <w:spacing w:before="0" w:after="0"/>
              <w:jc w:val="center"/>
              <w:rPr>
                <w:noProof/>
                <w:sz w:val="20"/>
                <w:szCs w:val="20"/>
              </w:rPr>
            </w:pPr>
            <w:r w:rsidRPr="00486288">
              <w:rPr>
                <w:noProof/>
                <w:sz w:val="20"/>
                <w:szCs w:val="20"/>
              </w:rPr>
              <w:t>4</w:t>
            </w:r>
          </w:p>
        </w:tc>
        <w:tc>
          <w:tcPr>
            <w:tcW w:w="4002" w:type="dxa"/>
          </w:tcPr>
          <w:p w14:paraId="4564F2CF" w14:textId="77777777" w:rsidR="00486288" w:rsidRPr="00486288" w:rsidRDefault="00486288" w:rsidP="00486288">
            <w:pPr>
              <w:spacing w:before="0" w:after="0"/>
              <w:rPr>
                <w:noProof/>
                <w:sz w:val="20"/>
                <w:szCs w:val="20"/>
              </w:rPr>
            </w:pPr>
            <w:r w:rsidRPr="00486288">
              <w:rPr>
                <w:noProof/>
                <w:sz w:val="20"/>
                <w:szCs w:val="20"/>
              </w:rPr>
              <w:t>[XX.YY.YY.YY] EMSA subsidy</w:t>
            </w:r>
          </w:p>
        </w:tc>
        <w:tc>
          <w:tcPr>
            <w:tcW w:w="1092" w:type="dxa"/>
          </w:tcPr>
          <w:p w14:paraId="4CC3D387" w14:textId="77777777" w:rsidR="00486288" w:rsidRPr="00486288" w:rsidRDefault="00486288" w:rsidP="00486288">
            <w:pPr>
              <w:spacing w:before="0" w:after="0"/>
              <w:jc w:val="center"/>
              <w:rPr>
                <w:noProof/>
                <w:sz w:val="20"/>
                <w:szCs w:val="20"/>
              </w:rPr>
            </w:pPr>
            <w:r w:rsidRPr="00486288">
              <w:rPr>
                <w:noProof/>
                <w:sz w:val="20"/>
                <w:szCs w:val="20"/>
              </w:rPr>
              <w:t>Diff.</w:t>
            </w:r>
          </w:p>
        </w:tc>
        <w:tc>
          <w:tcPr>
            <w:tcW w:w="966" w:type="dxa"/>
          </w:tcPr>
          <w:p w14:paraId="0F96C434" w14:textId="77777777" w:rsidR="00486288" w:rsidRPr="00486288" w:rsidRDefault="00486288" w:rsidP="00486288">
            <w:pPr>
              <w:spacing w:before="0" w:after="0"/>
              <w:jc w:val="center"/>
              <w:rPr>
                <w:noProof/>
                <w:sz w:val="20"/>
                <w:szCs w:val="20"/>
              </w:rPr>
            </w:pPr>
            <w:r w:rsidRPr="00486288">
              <w:rPr>
                <w:noProof/>
                <w:sz w:val="20"/>
                <w:szCs w:val="20"/>
              </w:rPr>
              <w:t>YES</w:t>
            </w:r>
          </w:p>
        </w:tc>
        <w:tc>
          <w:tcPr>
            <w:tcW w:w="1092" w:type="dxa"/>
          </w:tcPr>
          <w:p w14:paraId="25F1B06C" w14:textId="77777777" w:rsidR="00486288" w:rsidRPr="00486288" w:rsidRDefault="00486288" w:rsidP="00486288">
            <w:pPr>
              <w:spacing w:before="0" w:after="0"/>
              <w:jc w:val="center"/>
              <w:rPr>
                <w:noProof/>
                <w:sz w:val="20"/>
                <w:szCs w:val="20"/>
              </w:rPr>
            </w:pPr>
            <w:r w:rsidRPr="00486288">
              <w:rPr>
                <w:noProof/>
                <w:sz w:val="20"/>
                <w:szCs w:val="20"/>
              </w:rPr>
              <w:t>NO</w:t>
            </w:r>
          </w:p>
        </w:tc>
        <w:tc>
          <w:tcPr>
            <w:tcW w:w="966" w:type="dxa"/>
          </w:tcPr>
          <w:p w14:paraId="4409D52F"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463" w:type="dxa"/>
          </w:tcPr>
          <w:p w14:paraId="48443D85" w14:textId="77777777" w:rsidR="00486288" w:rsidRPr="00486288" w:rsidRDefault="00486288" w:rsidP="00486288">
            <w:pPr>
              <w:spacing w:before="0" w:after="0"/>
              <w:jc w:val="center"/>
              <w:rPr>
                <w:noProof/>
                <w:sz w:val="20"/>
                <w:szCs w:val="20"/>
              </w:rPr>
            </w:pPr>
            <w:r w:rsidRPr="00486288">
              <w:rPr>
                <w:noProof/>
                <w:sz w:val="20"/>
                <w:szCs w:val="20"/>
              </w:rPr>
              <w:t>YES</w:t>
            </w:r>
          </w:p>
        </w:tc>
      </w:tr>
      <w:tr w:rsidR="00486288" w:rsidRPr="00486288" w14:paraId="1ED6F5D3" w14:textId="77777777" w:rsidTr="00445C9D">
        <w:trPr>
          <w:jc w:val="center"/>
        </w:trPr>
        <w:tc>
          <w:tcPr>
            <w:tcW w:w="1092" w:type="dxa"/>
          </w:tcPr>
          <w:p w14:paraId="77D4DFD8" w14:textId="77777777" w:rsidR="00486288" w:rsidRPr="00486288" w:rsidRDefault="00486288" w:rsidP="00486288">
            <w:pPr>
              <w:spacing w:before="0" w:after="0"/>
              <w:jc w:val="center"/>
              <w:rPr>
                <w:noProof/>
                <w:color w:val="0000FF"/>
                <w:sz w:val="20"/>
                <w:szCs w:val="20"/>
              </w:rPr>
            </w:pPr>
            <w:r w:rsidRPr="00486288">
              <w:rPr>
                <w:noProof/>
                <w:sz w:val="20"/>
                <w:szCs w:val="20"/>
              </w:rPr>
              <w:t>4</w:t>
            </w:r>
          </w:p>
        </w:tc>
        <w:tc>
          <w:tcPr>
            <w:tcW w:w="4002" w:type="dxa"/>
          </w:tcPr>
          <w:p w14:paraId="3C9C5289" w14:textId="77777777" w:rsidR="00486288" w:rsidRPr="00486288" w:rsidRDefault="00486288" w:rsidP="00486288">
            <w:pPr>
              <w:spacing w:before="0" w:after="0"/>
              <w:rPr>
                <w:noProof/>
                <w:sz w:val="20"/>
                <w:szCs w:val="20"/>
              </w:rPr>
            </w:pPr>
            <w:r w:rsidRPr="00486288">
              <w:rPr>
                <w:noProof/>
                <w:sz w:val="20"/>
                <w:szCs w:val="20"/>
              </w:rPr>
              <w:t>20 01 02 01 - Headquarters and Representation offices</w:t>
            </w:r>
          </w:p>
        </w:tc>
        <w:tc>
          <w:tcPr>
            <w:tcW w:w="1092" w:type="dxa"/>
          </w:tcPr>
          <w:p w14:paraId="54172F5B" w14:textId="77777777" w:rsidR="00486288" w:rsidRPr="00486288" w:rsidRDefault="00486288" w:rsidP="00486288">
            <w:pPr>
              <w:spacing w:before="0" w:after="0"/>
              <w:jc w:val="center"/>
              <w:rPr>
                <w:noProof/>
                <w:color w:val="0000FF"/>
                <w:sz w:val="20"/>
                <w:szCs w:val="20"/>
              </w:rPr>
            </w:pPr>
            <w:r w:rsidRPr="00486288">
              <w:rPr>
                <w:noProof/>
                <w:sz w:val="20"/>
                <w:szCs w:val="20"/>
              </w:rPr>
              <w:t>Non Diff.</w:t>
            </w:r>
          </w:p>
        </w:tc>
        <w:tc>
          <w:tcPr>
            <w:tcW w:w="966" w:type="dxa"/>
          </w:tcPr>
          <w:p w14:paraId="18808AE1"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092" w:type="dxa"/>
          </w:tcPr>
          <w:p w14:paraId="165CA4E5" w14:textId="77777777" w:rsidR="00486288" w:rsidRPr="00486288" w:rsidRDefault="00486288" w:rsidP="00486288">
            <w:pPr>
              <w:spacing w:before="0" w:after="0"/>
              <w:jc w:val="center"/>
              <w:rPr>
                <w:noProof/>
                <w:sz w:val="20"/>
                <w:szCs w:val="20"/>
              </w:rPr>
            </w:pPr>
            <w:r w:rsidRPr="00486288">
              <w:rPr>
                <w:noProof/>
                <w:sz w:val="20"/>
                <w:szCs w:val="20"/>
              </w:rPr>
              <w:t>NO</w:t>
            </w:r>
          </w:p>
        </w:tc>
        <w:tc>
          <w:tcPr>
            <w:tcW w:w="966" w:type="dxa"/>
          </w:tcPr>
          <w:p w14:paraId="7B2E9FC8" w14:textId="77777777" w:rsidR="00486288" w:rsidRPr="00486288" w:rsidRDefault="00486288" w:rsidP="00486288">
            <w:pPr>
              <w:spacing w:before="0" w:after="0"/>
              <w:jc w:val="center"/>
              <w:rPr>
                <w:noProof/>
                <w:sz w:val="20"/>
                <w:szCs w:val="20"/>
              </w:rPr>
            </w:pPr>
            <w:r w:rsidRPr="00486288">
              <w:rPr>
                <w:noProof/>
                <w:sz w:val="20"/>
                <w:szCs w:val="20"/>
              </w:rPr>
              <w:t>NO</w:t>
            </w:r>
          </w:p>
        </w:tc>
        <w:tc>
          <w:tcPr>
            <w:tcW w:w="1463" w:type="dxa"/>
          </w:tcPr>
          <w:p w14:paraId="46B4BD82" w14:textId="77777777" w:rsidR="00486288" w:rsidRPr="00486288" w:rsidRDefault="00486288" w:rsidP="00486288">
            <w:pPr>
              <w:spacing w:before="0" w:after="0"/>
              <w:jc w:val="center"/>
              <w:rPr>
                <w:noProof/>
                <w:sz w:val="20"/>
                <w:szCs w:val="20"/>
              </w:rPr>
            </w:pPr>
            <w:r w:rsidRPr="00486288">
              <w:rPr>
                <w:noProof/>
                <w:sz w:val="20"/>
                <w:szCs w:val="20"/>
              </w:rPr>
              <w:t>NO</w:t>
            </w:r>
          </w:p>
        </w:tc>
      </w:tr>
      <w:tr w:rsidR="00486288" w:rsidRPr="00486288" w14:paraId="249D275B" w14:textId="77777777" w:rsidTr="00445C9D">
        <w:trPr>
          <w:jc w:val="center"/>
        </w:trPr>
        <w:tc>
          <w:tcPr>
            <w:tcW w:w="1092" w:type="dxa"/>
          </w:tcPr>
          <w:p w14:paraId="37A17213"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4</w:t>
            </w:r>
          </w:p>
        </w:tc>
        <w:tc>
          <w:tcPr>
            <w:tcW w:w="4002" w:type="dxa"/>
          </w:tcPr>
          <w:p w14:paraId="47A21540" w14:textId="77777777" w:rsidR="00486288" w:rsidRPr="00486288" w:rsidRDefault="00486288" w:rsidP="00486288">
            <w:pPr>
              <w:spacing w:before="0" w:after="0"/>
              <w:rPr>
                <w:rFonts w:ascii="Arial Narrow" w:eastAsia="Times New Roman" w:hAnsi="Arial Narrow" w:cs="Calibri"/>
                <w:noProof/>
                <w:color w:val="000000"/>
                <w:sz w:val="20"/>
                <w:szCs w:val="20"/>
                <w:lang w:eastAsia="en-GB"/>
              </w:rPr>
            </w:pPr>
            <w:r w:rsidRPr="00486288">
              <w:rPr>
                <w:noProof/>
                <w:sz w:val="20"/>
                <w:szCs w:val="20"/>
              </w:rPr>
              <w:t>20 02 01 01 - Contract staff</w:t>
            </w:r>
          </w:p>
        </w:tc>
        <w:tc>
          <w:tcPr>
            <w:tcW w:w="1092" w:type="dxa"/>
          </w:tcPr>
          <w:p w14:paraId="301603A1"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Non Diff.</w:t>
            </w:r>
          </w:p>
        </w:tc>
        <w:tc>
          <w:tcPr>
            <w:tcW w:w="966" w:type="dxa"/>
          </w:tcPr>
          <w:p w14:paraId="579606FC"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1092" w:type="dxa"/>
          </w:tcPr>
          <w:p w14:paraId="3196E709"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966" w:type="dxa"/>
          </w:tcPr>
          <w:p w14:paraId="052A16EB"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1463" w:type="dxa"/>
          </w:tcPr>
          <w:p w14:paraId="3ABDF642"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r>
      <w:tr w:rsidR="00486288" w:rsidRPr="00486288" w14:paraId="5BAC42E3" w14:textId="77777777" w:rsidTr="00445C9D">
        <w:trPr>
          <w:jc w:val="center"/>
        </w:trPr>
        <w:tc>
          <w:tcPr>
            <w:tcW w:w="1092" w:type="dxa"/>
          </w:tcPr>
          <w:p w14:paraId="3BFB9EAF"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4</w:t>
            </w:r>
          </w:p>
        </w:tc>
        <w:tc>
          <w:tcPr>
            <w:tcW w:w="4002" w:type="dxa"/>
          </w:tcPr>
          <w:p w14:paraId="3F036422" w14:textId="77777777" w:rsidR="00486288" w:rsidRPr="00486288" w:rsidRDefault="00486288" w:rsidP="00486288">
            <w:pPr>
              <w:spacing w:before="0" w:after="0"/>
              <w:rPr>
                <w:rFonts w:ascii="Arial Narrow" w:eastAsia="Times New Roman" w:hAnsi="Arial Narrow" w:cs="Calibri"/>
                <w:noProof/>
                <w:color w:val="000000"/>
                <w:sz w:val="20"/>
                <w:szCs w:val="20"/>
                <w:lang w:eastAsia="en-GB"/>
              </w:rPr>
            </w:pPr>
            <w:r w:rsidRPr="00486288">
              <w:rPr>
                <w:noProof/>
                <w:sz w:val="20"/>
                <w:szCs w:val="20"/>
              </w:rPr>
              <w:t>20 02 06 01 - Mission and representation expenses</w:t>
            </w:r>
          </w:p>
        </w:tc>
        <w:tc>
          <w:tcPr>
            <w:tcW w:w="1092" w:type="dxa"/>
          </w:tcPr>
          <w:p w14:paraId="00254DEA"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Non Diff.</w:t>
            </w:r>
          </w:p>
        </w:tc>
        <w:tc>
          <w:tcPr>
            <w:tcW w:w="966" w:type="dxa"/>
          </w:tcPr>
          <w:p w14:paraId="322AAA27"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1092" w:type="dxa"/>
          </w:tcPr>
          <w:p w14:paraId="29CE7117"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966" w:type="dxa"/>
          </w:tcPr>
          <w:p w14:paraId="6FD535D3"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1463" w:type="dxa"/>
          </w:tcPr>
          <w:p w14:paraId="617EE1E0"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r>
      <w:tr w:rsidR="00486288" w:rsidRPr="00486288" w14:paraId="24F349F3" w14:textId="77777777" w:rsidTr="00445C9D">
        <w:trPr>
          <w:jc w:val="center"/>
        </w:trPr>
        <w:tc>
          <w:tcPr>
            <w:tcW w:w="1092" w:type="dxa"/>
          </w:tcPr>
          <w:p w14:paraId="7A8EE99C"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4</w:t>
            </w:r>
          </w:p>
        </w:tc>
        <w:tc>
          <w:tcPr>
            <w:tcW w:w="4002" w:type="dxa"/>
          </w:tcPr>
          <w:p w14:paraId="57A4FC22" w14:textId="77777777" w:rsidR="00486288" w:rsidRPr="00486288" w:rsidRDefault="00486288" w:rsidP="00486288">
            <w:pPr>
              <w:spacing w:before="0" w:after="0"/>
              <w:rPr>
                <w:rFonts w:ascii="Arial Narrow" w:eastAsia="Times New Roman" w:hAnsi="Arial Narrow" w:cs="Calibri"/>
                <w:noProof/>
                <w:color w:val="000000"/>
                <w:sz w:val="20"/>
                <w:szCs w:val="20"/>
                <w:lang w:eastAsia="en-GB"/>
              </w:rPr>
            </w:pPr>
            <w:r w:rsidRPr="00486288">
              <w:rPr>
                <w:noProof/>
                <w:sz w:val="20"/>
                <w:szCs w:val="20"/>
              </w:rPr>
              <w:t>20 02 06 02 - Conference and meeting costs</w:t>
            </w:r>
          </w:p>
        </w:tc>
        <w:tc>
          <w:tcPr>
            <w:tcW w:w="1092" w:type="dxa"/>
          </w:tcPr>
          <w:p w14:paraId="6F6984EE"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Non Diff.</w:t>
            </w:r>
          </w:p>
        </w:tc>
        <w:tc>
          <w:tcPr>
            <w:tcW w:w="966" w:type="dxa"/>
          </w:tcPr>
          <w:p w14:paraId="3E1DA3D5"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1092" w:type="dxa"/>
          </w:tcPr>
          <w:p w14:paraId="12230882"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966" w:type="dxa"/>
          </w:tcPr>
          <w:p w14:paraId="650A2CCE"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1463" w:type="dxa"/>
          </w:tcPr>
          <w:p w14:paraId="5265C2E9" w14:textId="77777777" w:rsidR="00486288" w:rsidRPr="00486288" w:rsidRDefault="00486288"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r>
    </w:tbl>
    <w:p w14:paraId="2468B8EF" w14:textId="77777777" w:rsidR="006052EE" w:rsidRDefault="006052EE" w:rsidP="006052EE">
      <w:pPr>
        <w:pStyle w:val="ListBullet1"/>
        <w:rPr>
          <w:noProof/>
        </w:rPr>
      </w:pPr>
      <w:r>
        <w:rPr>
          <w:noProof/>
        </w:rPr>
        <w:t xml:space="preserve">New budget lines requested </w:t>
      </w:r>
    </w:p>
    <w:p w14:paraId="608B7181" w14:textId="77777777" w:rsidR="006052EE" w:rsidRDefault="006052EE" w:rsidP="00445C9D">
      <w:pPr>
        <w:pStyle w:val="Text1"/>
        <w:rPr>
          <w:i/>
          <w:noProof/>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486288" w:rsidRPr="00486288" w14:paraId="688AEAF6" w14:textId="77777777" w:rsidTr="00D80845">
        <w:trPr>
          <w:jc w:val="center"/>
        </w:trPr>
        <w:tc>
          <w:tcPr>
            <w:tcW w:w="1092" w:type="dxa"/>
            <w:vMerge w:val="restart"/>
            <w:vAlign w:val="center"/>
          </w:tcPr>
          <w:p w14:paraId="608E430B" w14:textId="77777777" w:rsidR="00486288" w:rsidRPr="00486288" w:rsidRDefault="00486288" w:rsidP="00486288">
            <w:pPr>
              <w:spacing w:before="60" w:after="60"/>
              <w:jc w:val="center"/>
              <w:rPr>
                <w:noProof/>
                <w:lang w:val="en-IE"/>
              </w:rPr>
            </w:pPr>
            <w:r w:rsidRPr="00486288">
              <w:rPr>
                <w:noProof/>
                <w:sz w:val="18"/>
                <w:lang w:val="en-IE"/>
              </w:rPr>
              <w:t>Heading of multiannual financial framework</w:t>
            </w:r>
          </w:p>
        </w:tc>
        <w:tc>
          <w:tcPr>
            <w:tcW w:w="4002" w:type="dxa"/>
            <w:vAlign w:val="center"/>
          </w:tcPr>
          <w:p w14:paraId="4CAEED63" w14:textId="77777777" w:rsidR="00486288" w:rsidRPr="00486288" w:rsidRDefault="00486288" w:rsidP="00486288">
            <w:pPr>
              <w:spacing w:before="60" w:after="60"/>
              <w:jc w:val="center"/>
              <w:rPr>
                <w:noProof/>
              </w:rPr>
            </w:pPr>
            <w:r w:rsidRPr="00486288">
              <w:rPr>
                <w:noProof/>
                <w:sz w:val="20"/>
              </w:rPr>
              <w:t>Budget line</w:t>
            </w:r>
          </w:p>
        </w:tc>
        <w:tc>
          <w:tcPr>
            <w:tcW w:w="1092" w:type="dxa"/>
            <w:vAlign w:val="center"/>
          </w:tcPr>
          <w:p w14:paraId="6DD5DA7C" w14:textId="77777777" w:rsidR="00486288" w:rsidRPr="00486288" w:rsidRDefault="00486288" w:rsidP="00486288">
            <w:pPr>
              <w:spacing w:before="60" w:after="60"/>
              <w:jc w:val="center"/>
              <w:rPr>
                <w:noProof/>
              </w:rPr>
            </w:pPr>
            <w:r w:rsidRPr="00486288">
              <w:rPr>
                <w:noProof/>
                <w:sz w:val="18"/>
              </w:rPr>
              <w:t>Type of expenditure</w:t>
            </w:r>
          </w:p>
        </w:tc>
        <w:tc>
          <w:tcPr>
            <w:tcW w:w="4487" w:type="dxa"/>
            <w:gridSpan w:val="4"/>
            <w:vAlign w:val="center"/>
          </w:tcPr>
          <w:p w14:paraId="402BB9FD" w14:textId="77777777" w:rsidR="00486288" w:rsidRPr="00486288" w:rsidRDefault="00486288" w:rsidP="00486288">
            <w:pPr>
              <w:spacing w:before="60" w:after="60"/>
              <w:jc w:val="center"/>
              <w:rPr>
                <w:noProof/>
              </w:rPr>
            </w:pPr>
            <w:r w:rsidRPr="00486288">
              <w:rPr>
                <w:noProof/>
                <w:sz w:val="20"/>
              </w:rPr>
              <w:t xml:space="preserve">Contribution </w:t>
            </w:r>
          </w:p>
        </w:tc>
      </w:tr>
      <w:tr w:rsidR="00486288" w:rsidRPr="00486288" w14:paraId="2750EA3F" w14:textId="77777777" w:rsidTr="00D80845">
        <w:trPr>
          <w:cantSplit/>
          <w:jc w:val="center"/>
        </w:trPr>
        <w:tc>
          <w:tcPr>
            <w:tcW w:w="1092" w:type="dxa"/>
            <w:vMerge/>
            <w:vAlign w:val="center"/>
          </w:tcPr>
          <w:p w14:paraId="3464C738" w14:textId="77777777" w:rsidR="00486288" w:rsidRPr="00486288" w:rsidRDefault="00486288" w:rsidP="00486288">
            <w:pPr>
              <w:jc w:val="center"/>
              <w:rPr>
                <w:noProof/>
              </w:rPr>
            </w:pPr>
          </w:p>
        </w:tc>
        <w:tc>
          <w:tcPr>
            <w:tcW w:w="4002" w:type="dxa"/>
            <w:vAlign w:val="center"/>
          </w:tcPr>
          <w:p w14:paraId="193B7FBF" w14:textId="77777777" w:rsidR="00486288" w:rsidRPr="00486288" w:rsidRDefault="00486288" w:rsidP="00486288">
            <w:pPr>
              <w:rPr>
                <w:noProof/>
              </w:rPr>
            </w:pPr>
            <w:r w:rsidRPr="00486288">
              <w:rPr>
                <w:noProof/>
                <w:sz w:val="20"/>
              </w:rPr>
              <w:t xml:space="preserve">Number </w:t>
            </w:r>
            <w:r w:rsidRPr="00486288">
              <w:rPr>
                <w:noProof/>
                <w:sz w:val="22"/>
              </w:rPr>
              <w:br/>
            </w:r>
          </w:p>
        </w:tc>
        <w:tc>
          <w:tcPr>
            <w:tcW w:w="1092" w:type="dxa"/>
            <w:vAlign w:val="center"/>
          </w:tcPr>
          <w:p w14:paraId="1AA0720B" w14:textId="77777777" w:rsidR="00486288" w:rsidRPr="00486288" w:rsidRDefault="00486288" w:rsidP="00486288">
            <w:pPr>
              <w:jc w:val="center"/>
              <w:rPr>
                <w:noProof/>
              </w:rPr>
            </w:pPr>
            <w:r w:rsidRPr="1D5BA5BB">
              <w:rPr>
                <w:noProof/>
                <w:sz w:val="18"/>
                <w:szCs w:val="18"/>
              </w:rPr>
              <w:t>Diff./Non-diff.</w:t>
            </w:r>
            <w:r w:rsidR="00E67DD0" w:rsidRPr="1D5BA5BB">
              <w:rPr>
                <w:rStyle w:val="FootnoteReference"/>
                <w:noProof/>
                <w:sz w:val="18"/>
                <w:szCs w:val="18"/>
              </w:rPr>
              <w:footnoteReference w:id="83"/>
            </w:r>
            <w:r w:rsidR="00E67DD0">
              <w:rPr>
                <w:rStyle w:val="CommentReference"/>
                <w:noProof/>
              </w:rPr>
              <w:t xml:space="preserve"> </w:t>
            </w:r>
          </w:p>
        </w:tc>
        <w:tc>
          <w:tcPr>
            <w:tcW w:w="966" w:type="dxa"/>
            <w:vAlign w:val="center"/>
          </w:tcPr>
          <w:p w14:paraId="1843D78E" w14:textId="77777777" w:rsidR="00486288" w:rsidRPr="00486288" w:rsidRDefault="00486288" w:rsidP="00486288">
            <w:pPr>
              <w:jc w:val="center"/>
              <w:rPr>
                <w:b/>
                <w:noProof/>
                <w:sz w:val="18"/>
              </w:rPr>
            </w:pPr>
            <w:r w:rsidRPr="1D5BA5BB">
              <w:rPr>
                <w:noProof/>
                <w:sz w:val="18"/>
                <w:szCs w:val="18"/>
              </w:rPr>
              <w:t>from EFTA countries</w:t>
            </w:r>
            <w:r w:rsidR="00E67DD0" w:rsidRPr="1D5BA5BB">
              <w:rPr>
                <w:rStyle w:val="FootnoteReference"/>
                <w:noProof/>
                <w:sz w:val="18"/>
                <w:szCs w:val="18"/>
              </w:rPr>
              <w:footnoteReference w:id="84"/>
            </w:r>
          </w:p>
        </w:tc>
        <w:tc>
          <w:tcPr>
            <w:tcW w:w="1092" w:type="dxa"/>
            <w:vAlign w:val="center"/>
          </w:tcPr>
          <w:p w14:paraId="7DB127F7" w14:textId="77777777" w:rsidR="00486288" w:rsidRPr="00486288" w:rsidRDefault="00486288" w:rsidP="00486288">
            <w:pPr>
              <w:jc w:val="center"/>
              <w:rPr>
                <w:noProof/>
                <w:sz w:val="18"/>
                <w:lang w:val="en-IE"/>
              </w:rPr>
            </w:pPr>
            <w:r w:rsidRPr="1D5BA5BB">
              <w:rPr>
                <w:noProof/>
                <w:sz w:val="18"/>
                <w:szCs w:val="18"/>
                <w:lang w:val="en-IE"/>
              </w:rPr>
              <w:t>from candidate countries and potential candidates</w:t>
            </w:r>
            <w:r w:rsidR="00E67DD0" w:rsidRPr="1D5BA5BB">
              <w:rPr>
                <w:rStyle w:val="FootnoteReference"/>
                <w:noProof/>
                <w:sz w:val="18"/>
                <w:szCs w:val="18"/>
                <w:lang w:val="en-IE"/>
              </w:rPr>
              <w:footnoteReference w:id="85"/>
            </w:r>
          </w:p>
        </w:tc>
        <w:tc>
          <w:tcPr>
            <w:tcW w:w="966" w:type="dxa"/>
            <w:vAlign w:val="center"/>
          </w:tcPr>
          <w:p w14:paraId="10573694" w14:textId="77777777" w:rsidR="00486288" w:rsidRPr="00486288" w:rsidRDefault="00486288" w:rsidP="00486288">
            <w:pPr>
              <w:jc w:val="center"/>
              <w:rPr>
                <w:noProof/>
                <w:sz w:val="18"/>
              </w:rPr>
            </w:pPr>
            <w:r w:rsidRPr="00486288">
              <w:rPr>
                <w:noProof/>
                <w:sz w:val="18"/>
              </w:rPr>
              <w:t>From other third countries</w:t>
            </w:r>
          </w:p>
        </w:tc>
        <w:tc>
          <w:tcPr>
            <w:tcW w:w="1463" w:type="dxa"/>
            <w:vAlign w:val="center"/>
          </w:tcPr>
          <w:p w14:paraId="7CD58B60" w14:textId="77777777" w:rsidR="00486288" w:rsidRPr="00486288" w:rsidRDefault="00486288" w:rsidP="00486288">
            <w:pPr>
              <w:jc w:val="center"/>
              <w:rPr>
                <w:noProof/>
              </w:rPr>
            </w:pPr>
            <w:r w:rsidRPr="00486288">
              <w:rPr>
                <w:noProof/>
                <w:sz w:val="18"/>
                <w:szCs w:val="18"/>
                <w:lang w:val="en-IE"/>
              </w:rPr>
              <w:t>other assigned revenue</w:t>
            </w:r>
          </w:p>
        </w:tc>
      </w:tr>
      <w:tr w:rsidR="00496D92" w:rsidRPr="00486288" w14:paraId="5518D29D" w14:textId="77777777" w:rsidTr="00D80845">
        <w:trPr>
          <w:jc w:val="center"/>
        </w:trPr>
        <w:tc>
          <w:tcPr>
            <w:tcW w:w="1092" w:type="dxa"/>
          </w:tcPr>
          <w:p w14:paraId="66373CD7" w14:textId="77777777" w:rsidR="00496D92" w:rsidRPr="00486288" w:rsidRDefault="00496D92" w:rsidP="00486288">
            <w:pPr>
              <w:spacing w:before="0" w:after="0"/>
              <w:jc w:val="center"/>
              <w:rPr>
                <w:noProof/>
                <w:color w:val="0000FF"/>
                <w:sz w:val="20"/>
                <w:szCs w:val="20"/>
              </w:rPr>
            </w:pPr>
            <w:r w:rsidRPr="00486288">
              <w:rPr>
                <w:noProof/>
                <w:sz w:val="20"/>
                <w:szCs w:val="20"/>
              </w:rPr>
              <w:t>2</w:t>
            </w:r>
          </w:p>
        </w:tc>
        <w:tc>
          <w:tcPr>
            <w:tcW w:w="4002" w:type="dxa"/>
          </w:tcPr>
          <w:p w14:paraId="7025E8A8" w14:textId="77777777" w:rsidR="00496D92" w:rsidRPr="00486288" w:rsidRDefault="00496D92" w:rsidP="00486288">
            <w:pPr>
              <w:spacing w:before="0" w:after="0"/>
              <w:rPr>
                <w:noProof/>
                <w:sz w:val="20"/>
                <w:szCs w:val="20"/>
              </w:rPr>
            </w:pPr>
            <w:r w:rsidRPr="00486288">
              <w:rPr>
                <w:noProof/>
                <w:sz w:val="20"/>
                <w:szCs w:val="20"/>
              </w:rPr>
              <w:t>[XX.YY.YY.YY] - carbon removal integration - support expenditure</w:t>
            </w:r>
          </w:p>
        </w:tc>
        <w:tc>
          <w:tcPr>
            <w:tcW w:w="1092" w:type="dxa"/>
          </w:tcPr>
          <w:p w14:paraId="795B6C17" w14:textId="77777777" w:rsidR="00496D92" w:rsidRPr="00486288" w:rsidRDefault="00496D92" w:rsidP="00486288">
            <w:pPr>
              <w:spacing w:before="0" w:after="0"/>
              <w:jc w:val="center"/>
              <w:rPr>
                <w:noProof/>
                <w:sz w:val="20"/>
                <w:szCs w:val="20"/>
              </w:rPr>
            </w:pPr>
            <w:r w:rsidRPr="00486288">
              <w:rPr>
                <w:noProof/>
                <w:sz w:val="20"/>
                <w:szCs w:val="20"/>
              </w:rPr>
              <w:t>Non Diff.</w:t>
            </w:r>
          </w:p>
        </w:tc>
        <w:tc>
          <w:tcPr>
            <w:tcW w:w="966" w:type="dxa"/>
          </w:tcPr>
          <w:p w14:paraId="434EA052"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092" w:type="dxa"/>
          </w:tcPr>
          <w:p w14:paraId="3A694E45" w14:textId="77777777" w:rsidR="00496D92" w:rsidRPr="00486288" w:rsidRDefault="00496D92" w:rsidP="00486288">
            <w:pPr>
              <w:spacing w:before="0" w:after="0"/>
              <w:jc w:val="center"/>
              <w:rPr>
                <w:noProof/>
                <w:sz w:val="20"/>
                <w:szCs w:val="20"/>
              </w:rPr>
            </w:pPr>
            <w:r w:rsidRPr="00486288">
              <w:rPr>
                <w:noProof/>
                <w:sz w:val="20"/>
                <w:szCs w:val="20"/>
              </w:rPr>
              <w:t>NO</w:t>
            </w:r>
          </w:p>
        </w:tc>
        <w:tc>
          <w:tcPr>
            <w:tcW w:w="966" w:type="dxa"/>
          </w:tcPr>
          <w:p w14:paraId="74EC76CB"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463" w:type="dxa"/>
          </w:tcPr>
          <w:p w14:paraId="2E963FC2" w14:textId="77777777" w:rsidR="00496D92" w:rsidRPr="00486288" w:rsidRDefault="00496D92" w:rsidP="00486288">
            <w:pPr>
              <w:spacing w:before="0" w:after="0"/>
              <w:jc w:val="center"/>
              <w:rPr>
                <w:noProof/>
                <w:sz w:val="20"/>
                <w:szCs w:val="20"/>
              </w:rPr>
            </w:pPr>
            <w:r w:rsidRPr="00486288">
              <w:rPr>
                <w:noProof/>
                <w:sz w:val="20"/>
                <w:szCs w:val="20"/>
              </w:rPr>
              <w:t>YES</w:t>
            </w:r>
          </w:p>
        </w:tc>
      </w:tr>
      <w:tr w:rsidR="00496D92" w:rsidRPr="00486288" w14:paraId="73B1FD78" w14:textId="77777777" w:rsidTr="00D80845">
        <w:trPr>
          <w:jc w:val="center"/>
        </w:trPr>
        <w:tc>
          <w:tcPr>
            <w:tcW w:w="1092" w:type="dxa"/>
          </w:tcPr>
          <w:p w14:paraId="3454A269" w14:textId="77777777" w:rsidR="00496D92" w:rsidRPr="00486288" w:rsidRDefault="00496D92" w:rsidP="00486288">
            <w:pPr>
              <w:spacing w:before="0" w:after="0"/>
              <w:jc w:val="center"/>
              <w:rPr>
                <w:noProof/>
                <w:color w:val="0000FF"/>
                <w:sz w:val="20"/>
                <w:szCs w:val="20"/>
              </w:rPr>
            </w:pPr>
            <w:r w:rsidRPr="00486288">
              <w:rPr>
                <w:noProof/>
                <w:sz w:val="20"/>
                <w:szCs w:val="20"/>
              </w:rPr>
              <w:t>2</w:t>
            </w:r>
          </w:p>
        </w:tc>
        <w:tc>
          <w:tcPr>
            <w:tcW w:w="4002" w:type="dxa"/>
          </w:tcPr>
          <w:p w14:paraId="2DE753A9" w14:textId="77777777" w:rsidR="00496D92" w:rsidRPr="00486288" w:rsidRDefault="00496D92" w:rsidP="00486288">
            <w:pPr>
              <w:spacing w:before="0" w:after="0"/>
              <w:rPr>
                <w:noProof/>
                <w:sz w:val="20"/>
                <w:szCs w:val="20"/>
              </w:rPr>
            </w:pPr>
            <w:r w:rsidRPr="00486288">
              <w:rPr>
                <w:noProof/>
                <w:sz w:val="20"/>
                <w:szCs w:val="20"/>
              </w:rPr>
              <w:t>[XX.YY.YY.YY] - carbon removal integration - subsidy executive agency</w:t>
            </w:r>
          </w:p>
        </w:tc>
        <w:tc>
          <w:tcPr>
            <w:tcW w:w="1092" w:type="dxa"/>
          </w:tcPr>
          <w:p w14:paraId="1E81591B" w14:textId="77777777" w:rsidR="00496D92" w:rsidRPr="00486288" w:rsidRDefault="00496D92" w:rsidP="00486288">
            <w:pPr>
              <w:spacing w:before="0" w:after="0"/>
              <w:jc w:val="center"/>
              <w:rPr>
                <w:noProof/>
                <w:sz w:val="20"/>
                <w:szCs w:val="20"/>
              </w:rPr>
            </w:pPr>
            <w:r w:rsidRPr="00486288">
              <w:rPr>
                <w:noProof/>
                <w:sz w:val="20"/>
                <w:szCs w:val="20"/>
              </w:rPr>
              <w:t>Non Diff.</w:t>
            </w:r>
          </w:p>
        </w:tc>
        <w:tc>
          <w:tcPr>
            <w:tcW w:w="966" w:type="dxa"/>
          </w:tcPr>
          <w:p w14:paraId="63442B10"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092" w:type="dxa"/>
          </w:tcPr>
          <w:p w14:paraId="4934DEE0" w14:textId="77777777" w:rsidR="00496D92" w:rsidRPr="00486288" w:rsidRDefault="00496D92" w:rsidP="00486288">
            <w:pPr>
              <w:spacing w:before="0" w:after="0"/>
              <w:jc w:val="center"/>
              <w:rPr>
                <w:noProof/>
                <w:sz w:val="20"/>
                <w:szCs w:val="20"/>
              </w:rPr>
            </w:pPr>
            <w:r w:rsidRPr="00486288">
              <w:rPr>
                <w:noProof/>
                <w:sz w:val="20"/>
                <w:szCs w:val="20"/>
              </w:rPr>
              <w:t>NO</w:t>
            </w:r>
          </w:p>
        </w:tc>
        <w:tc>
          <w:tcPr>
            <w:tcW w:w="966" w:type="dxa"/>
          </w:tcPr>
          <w:p w14:paraId="0C571DF5"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463" w:type="dxa"/>
          </w:tcPr>
          <w:p w14:paraId="0524E6AC" w14:textId="77777777" w:rsidR="00496D92" w:rsidRPr="00486288" w:rsidRDefault="00496D92" w:rsidP="00486288">
            <w:pPr>
              <w:spacing w:before="0" w:after="0"/>
              <w:jc w:val="center"/>
              <w:rPr>
                <w:noProof/>
                <w:sz w:val="20"/>
                <w:szCs w:val="20"/>
              </w:rPr>
            </w:pPr>
            <w:r w:rsidRPr="00486288">
              <w:rPr>
                <w:noProof/>
                <w:sz w:val="20"/>
                <w:szCs w:val="20"/>
              </w:rPr>
              <w:t>YES</w:t>
            </w:r>
          </w:p>
        </w:tc>
      </w:tr>
      <w:tr w:rsidR="00496D92" w:rsidRPr="00486288" w14:paraId="0B2DE4D8" w14:textId="77777777" w:rsidTr="00D80845">
        <w:trPr>
          <w:jc w:val="center"/>
        </w:trPr>
        <w:tc>
          <w:tcPr>
            <w:tcW w:w="1092" w:type="dxa"/>
          </w:tcPr>
          <w:p w14:paraId="0E55CC26" w14:textId="77777777" w:rsidR="00496D92" w:rsidRPr="00486288" w:rsidRDefault="00496D92" w:rsidP="00486288">
            <w:pPr>
              <w:spacing w:before="0" w:after="0"/>
              <w:jc w:val="center"/>
              <w:rPr>
                <w:noProof/>
                <w:color w:val="0000FF"/>
                <w:sz w:val="20"/>
                <w:szCs w:val="20"/>
              </w:rPr>
            </w:pPr>
            <w:r w:rsidRPr="00486288">
              <w:rPr>
                <w:noProof/>
                <w:sz w:val="20"/>
                <w:szCs w:val="20"/>
              </w:rPr>
              <w:t>2</w:t>
            </w:r>
          </w:p>
        </w:tc>
        <w:tc>
          <w:tcPr>
            <w:tcW w:w="4002" w:type="dxa"/>
          </w:tcPr>
          <w:p w14:paraId="0C85827C" w14:textId="77777777" w:rsidR="00496D92" w:rsidRPr="00486288" w:rsidRDefault="00496D92" w:rsidP="00486288">
            <w:pPr>
              <w:spacing w:before="0" w:after="0"/>
              <w:rPr>
                <w:noProof/>
                <w:sz w:val="20"/>
                <w:szCs w:val="20"/>
              </w:rPr>
            </w:pPr>
            <w:r w:rsidRPr="00486288">
              <w:rPr>
                <w:noProof/>
                <w:sz w:val="20"/>
                <w:szCs w:val="20"/>
              </w:rPr>
              <w:t>[XX.YY.YY.YY] carbon removal integration - operational expenditure</w:t>
            </w:r>
          </w:p>
        </w:tc>
        <w:tc>
          <w:tcPr>
            <w:tcW w:w="1092" w:type="dxa"/>
          </w:tcPr>
          <w:p w14:paraId="78EB76C1" w14:textId="77777777" w:rsidR="00496D92" w:rsidRPr="00486288" w:rsidRDefault="00496D92" w:rsidP="00486288">
            <w:pPr>
              <w:spacing w:before="0" w:after="0"/>
              <w:jc w:val="center"/>
              <w:rPr>
                <w:noProof/>
                <w:sz w:val="20"/>
                <w:szCs w:val="20"/>
              </w:rPr>
            </w:pPr>
            <w:r w:rsidRPr="00486288">
              <w:rPr>
                <w:noProof/>
                <w:sz w:val="20"/>
                <w:szCs w:val="20"/>
              </w:rPr>
              <w:t>Diff.</w:t>
            </w:r>
          </w:p>
        </w:tc>
        <w:tc>
          <w:tcPr>
            <w:tcW w:w="966" w:type="dxa"/>
          </w:tcPr>
          <w:p w14:paraId="7C37D4A7"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092" w:type="dxa"/>
          </w:tcPr>
          <w:p w14:paraId="04E60554" w14:textId="77777777" w:rsidR="00496D92" w:rsidRPr="00486288" w:rsidRDefault="00496D92" w:rsidP="00486288">
            <w:pPr>
              <w:spacing w:before="0" w:after="0"/>
              <w:jc w:val="center"/>
              <w:rPr>
                <w:noProof/>
                <w:sz w:val="20"/>
                <w:szCs w:val="20"/>
              </w:rPr>
            </w:pPr>
            <w:r w:rsidRPr="00486288">
              <w:rPr>
                <w:noProof/>
                <w:sz w:val="20"/>
                <w:szCs w:val="20"/>
              </w:rPr>
              <w:t>NO</w:t>
            </w:r>
          </w:p>
        </w:tc>
        <w:tc>
          <w:tcPr>
            <w:tcW w:w="966" w:type="dxa"/>
          </w:tcPr>
          <w:p w14:paraId="07672855"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463" w:type="dxa"/>
          </w:tcPr>
          <w:p w14:paraId="1B82FCEE" w14:textId="77777777" w:rsidR="00496D92" w:rsidRPr="00486288" w:rsidRDefault="00496D92" w:rsidP="00486288">
            <w:pPr>
              <w:spacing w:before="0" w:after="0"/>
              <w:jc w:val="center"/>
              <w:rPr>
                <w:noProof/>
                <w:sz w:val="20"/>
                <w:szCs w:val="20"/>
              </w:rPr>
            </w:pPr>
            <w:r w:rsidRPr="00486288">
              <w:rPr>
                <w:noProof/>
                <w:sz w:val="20"/>
                <w:szCs w:val="20"/>
              </w:rPr>
              <w:t>YES</w:t>
            </w:r>
          </w:p>
        </w:tc>
      </w:tr>
      <w:tr w:rsidR="00496D92" w:rsidRPr="00486288" w14:paraId="6E177462" w14:textId="77777777" w:rsidTr="00D80845">
        <w:trPr>
          <w:jc w:val="center"/>
        </w:trPr>
        <w:tc>
          <w:tcPr>
            <w:tcW w:w="1092" w:type="dxa"/>
          </w:tcPr>
          <w:p w14:paraId="7AB0F6A6" w14:textId="77777777" w:rsidR="00496D92" w:rsidRPr="00486288" w:rsidRDefault="00496D92" w:rsidP="00486288">
            <w:pPr>
              <w:spacing w:before="0" w:after="0"/>
              <w:jc w:val="center"/>
              <w:rPr>
                <w:noProof/>
                <w:color w:val="0000FF"/>
                <w:sz w:val="20"/>
                <w:szCs w:val="20"/>
              </w:rPr>
            </w:pPr>
            <w:r w:rsidRPr="00486288">
              <w:rPr>
                <w:noProof/>
                <w:sz w:val="20"/>
                <w:szCs w:val="20"/>
              </w:rPr>
              <w:t>2</w:t>
            </w:r>
          </w:p>
        </w:tc>
        <w:tc>
          <w:tcPr>
            <w:tcW w:w="4002" w:type="dxa"/>
          </w:tcPr>
          <w:p w14:paraId="71F349BE" w14:textId="77777777" w:rsidR="00496D92" w:rsidRPr="00486288" w:rsidRDefault="00496D92" w:rsidP="00486288">
            <w:pPr>
              <w:spacing w:before="0" w:after="0"/>
              <w:rPr>
                <w:noProof/>
                <w:sz w:val="20"/>
                <w:szCs w:val="20"/>
              </w:rPr>
            </w:pPr>
            <w:r w:rsidRPr="00486288">
              <w:rPr>
                <w:noProof/>
                <w:sz w:val="20"/>
                <w:szCs w:val="20"/>
              </w:rPr>
              <w:t>[XX.YY.YY.YY] - IBD - support expenditure</w:t>
            </w:r>
          </w:p>
        </w:tc>
        <w:tc>
          <w:tcPr>
            <w:tcW w:w="1092" w:type="dxa"/>
          </w:tcPr>
          <w:p w14:paraId="1D60FF94" w14:textId="77777777" w:rsidR="00496D92" w:rsidRPr="00486288" w:rsidRDefault="00496D92" w:rsidP="00486288">
            <w:pPr>
              <w:spacing w:before="0" w:after="0"/>
              <w:jc w:val="center"/>
              <w:rPr>
                <w:noProof/>
                <w:color w:val="0000FF"/>
                <w:sz w:val="20"/>
                <w:szCs w:val="20"/>
              </w:rPr>
            </w:pPr>
            <w:r w:rsidRPr="00486288">
              <w:rPr>
                <w:noProof/>
                <w:sz w:val="20"/>
                <w:szCs w:val="20"/>
              </w:rPr>
              <w:t>Non Diff.</w:t>
            </w:r>
          </w:p>
        </w:tc>
        <w:tc>
          <w:tcPr>
            <w:tcW w:w="966" w:type="dxa"/>
          </w:tcPr>
          <w:p w14:paraId="2D39867E"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092" w:type="dxa"/>
          </w:tcPr>
          <w:p w14:paraId="12E94C52" w14:textId="77777777" w:rsidR="00496D92" w:rsidRPr="00486288" w:rsidRDefault="00496D92" w:rsidP="00486288">
            <w:pPr>
              <w:spacing w:before="0" w:after="0"/>
              <w:jc w:val="center"/>
              <w:rPr>
                <w:noProof/>
                <w:sz w:val="20"/>
                <w:szCs w:val="20"/>
              </w:rPr>
            </w:pPr>
            <w:r w:rsidRPr="00486288">
              <w:rPr>
                <w:noProof/>
                <w:sz w:val="20"/>
                <w:szCs w:val="20"/>
              </w:rPr>
              <w:t>NO</w:t>
            </w:r>
          </w:p>
        </w:tc>
        <w:tc>
          <w:tcPr>
            <w:tcW w:w="966" w:type="dxa"/>
          </w:tcPr>
          <w:p w14:paraId="1B219047"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463" w:type="dxa"/>
          </w:tcPr>
          <w:p w14:paraId="71A8A6E4" w14:textId="77777777" w:rsidR="00496D92" w:rsidRPr="00486288" w:rsidRDefault="00496D92" w:rsidP="00486288">
            <w:pPr>
              <w:spacing w:before="0" w:after="0"/>
              <w:jc w:val="center"/>
              <w:rPr>
                <w:noProof/>
                <w:sz w:val="20"/>
                <w:szCs w:val="20"/>
              </w:rPr>
            </w:pPr>
            <w:r w:rsidRPr="00486288">
              <w:rPr>
                <w:noProof/>
                <w:sz w:val="20"/>
                <w:szCs w:val="20"/>
              </w:rPr>
              <w:t>YES</w:t>
            </w:r>
          </w:p>
        </w:tc>
      </w:tr>
      <w:tr w:rsidR="00496D92" w:rsidRPr="00486288" w14:paraId="64596811" w14:textId="77777777" w:rsidTr="00D80845">
        <w:trPr>
          <w:jc w:val="center"/>
        </w:trPr>
        <w:tc>
          <w:tcPr>
            <w:tcW w:w="1092" w:type="dxa"/>
          </w:tcPr>
          <w:p w14:paraId="14D8C1AD" w14:textId="77777777" w:rsidR="00496D92" w:rsidRPr="00486288" w:rsidRDefault="00496D92" w:rsidP="00486288">
            <w:pPr>
              <w:spacing w:before="0" w:after="0"/>
              <w:jc w:val="center"/>
              <w:rPr>
                <w:noProof/>
                <w:color w:val="0000FF"/>
                <w:sz w:val="20"/>
                <w:szCs w:val="20"/>
              </w:rPr>
            </w:pPr>
            <w:r w:rsidRPr="00486288">
              <w:rPr>
                <w:noProof/>
                <w:sz w:val="20"/>
                <w:szCs w:val="20"/>
              </w:rPr>
              <w:t>2</w:t>
            </w:r>
          </w:p>
        </w:tc>
        <w:tc>
          <w:tcPr>
            <w:tcW w:w="4002" w:type="dxa"/>
          </w:tcPr>
          <w:p w14:paraId="5A8AB6E1" w14:textId="77777777" w:rsidR="00496D92" w:rsidRPr="00486288" w:rsidRDefault="00496D92" w:rsidP="00486288">
            <w:pPr>
              <w:spacing w:before="0" w:after="0"/>
              <w:rPr>
                <w:noProof/>
                <w:sz w:val="20"/>
                <w:szCs w:val="20"/>
              </w:rPr>
            </w:pPr>
            <w:r w:rsidRPr="00486288">
              <w:rPr>
                <w:noProof/>
                <w:sz w:val="20"/>
                <w:szCs w:val="20"/>
              </w:rPr>
              <w:t>[XX.YY.YY.YY] - IBD - subsidy executive agency</w:t>
            </w:r>
          </w:p>
        </w:tc>
        <w:tc>
          <w:tcPr>
            <w:tcW w:w="1092" w:type="dxa"/>
          </w:tcPr>
          <w:p w14:paraId="1696B5F3" w14:textId="77777777" w:rsidR="00496D92" w:rsidRPr="00486288" w:rsidRDefault="00496D92" w:rsidP="00486288">
            <w:pPr>
              <w:spacing w:before="0" w:after="0"/>
              <w:jc w:val="center"/>
              <w:rPr>
                <w:noProof/>
                <w:color w:val="0000FF"/>
                <w:sz w:val="20"/>
                <w:szCs w:val="20"/>
              </w:rPr>
            </w:pPr>
            <w:r w:rsidRPr="00486288">
              <w:rPr>
                <w:noProof/>
                <w:sz w:val="20"/>
                <w:szCs w:val="20"/>
              </w:rPr>
              <w:t>Non Diff.</w:t>
            </w:r>
          </w:p>
        </w:tc>
        <w:tc>
          <w:tcPr>
            <w:tcW w:w="966" w:type="dxa"/>
          </w:tcPr>
          <w:p w14:paraId="2ECEE772"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092" w:type="dxa"/>
          </w:tcPr>
          <w:p w14:paraId="5291D4C8" w14:textId="77777777" w:rsidR="00496D92" w:rsidRPr="00486288" w:rsidRDefault="00496D92" w:rsidP="00486288">
            <w:pPr>
              <w:spacing w:before="0" w:after="0"/>
              <w:jc w:val="center"/>
              <w:rPr>
                <w:noProof/>
                <w:sz w:val="20"/>
                <w:szCs w:val="20"/>
              </w:rPr>
            </w:pPr>
            <w:r w:rsidRPr="00486288">
              <w:rPr>
                <w:noProof/>
                <w:sz w:val="20"/>
                <w:szCs w:val="20"/>
              </w:rPr>
              <w:t>NO</w:t>
            </w:r>
          </w:p>
        </w:tc>
        <w:tc>
          <w:tcPr>
            <w:tcW w:w="966" w:type="dxa"/>
          </w:tcPr>
          <w:p w14:paraId="3F9CEABA"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463" w:type="dxa"/>
          </w:tcPr>
          <w:p w14:paraId="01E5B4E5" w14:textId="77777777" w:rsidR="00496D92" w:rsidRPr="00486288" w:rsidRDefault="00496D92" w:rsidP="00486288">
            <w:pPr>
              <w:spacing w:before="0" w:after="0"/>
              <w:jc w:val="center"/>
              <w:rPr>
                <w:noProof/>
                <w:sz w:val="20"/>
                <w:szCs w:val="20"/>
              </w:rPr>
            </w:pPr>
            <w:r w:rsidRPr="00486288">
              <w:rPr>
                <w:noProof/>
                <w:sz w:val="20"/>
                <w:szCs w:val="20"/>
              </w:rPr>
              <w:t>YES</w:t>
            </w:r>
          </w:p>
        </w:tc>
      </w:tr>
      <w:tr w:rsidR="00496D92" w:rsidRPr="00486288" w14:paraId="6D76994C" w14:textId="77777777" w:rsidTr="00D80845">
        <w:trPr>
          <w:jc w:val="center"/>
        </w:trPr>
        <w:tc>
          <w:tcPr>
            <w:tcW w:w="1092" w:type="dxa"/>
          </w:tcPr>
          <w:p w14:paraId="54FA3AD4" w14:textId="77777777" w:rsidR="00496D92" w:rsidRPr="00486288" w:rsidRDefault="00496D92" w:rsidP="00486288">
            <w:pPr>
              <w:spacing w:before="0" w:after="0"/>
              <w:jc w:val="center"/>
              <w:rPr>
                <w:noProof/>
                <w:sz w:val="20"/>
                <w:szCs w:val="20"/>
              </w:rPr>
            </w:pPr>
            <w:r w:rsidRPr="00486288">
              <w:rPr>
                <w:noProof/>
                <w:sz w:val="20"/>
                <w:szCs w:val="20"/>
              </w:rPr>
              <w:t>2</w:t>
            </w:r>
          </w:p>
        </w:tc>
        <w:tc>
          <w:tcPr>
            <w:tcW w:w="4002" w:type="dxa"/>
          </w:tcPr>
          <w:p w14:paraId="1EAFC204" w14:textId="77777777" w:rsidR="00496D92" w:rsidRPr="00486288" w:rsidRDefault="00496D92" w:rsidP="00486288">
            <w:pPr>
              <w:spacing w:before="0" w:after="0"/>
              <w:rPr>
                <w:noProof/>
                <w:sz w:val="20"/>
                <w:szCs w:val="20"/>
              </w:rPr>
            </w:pPr>
            <w:r w:rsidRPr="00486288">
              <w:rPr>
                <w:noProof/>
                <w:sz w:val="20"/>
                <w:szCs w:val="20"/>
              </w:rPr>
              <w:t>[XX.YY.YY.YY] IBD - operational expenditure</w:t>
            </w:r>
          </w:p>
        </w:tc>
        <w:tc>
          <w:tcPr>
            <w:tcW w:w="1092" w:type="dxa"/>
          </w:tcPr>
          <w:p w14:paraId="57B2D59D" w14:textId="77777777" w:rsidR="00496D92" w:rsidRPr="00486288" w:rsidRDefault="00496D92" w:rsidP="00486288">
            <w:pPr>
              <w:spacing w:before="0" w:after="0"/>
              <w:jc w:val="center"/>
              <w:rPr>
                <w:noProof/>
                <w:sz w:val="20"/>
                <w:szCs w:val="20"/>
              </w:rPr>
            </w:pPr>
            <w:r w:rsidRPr="00486288">
              <w:rPr>
                <w:noProof/>
                <w:sz w:val="20"/>
                <w:szCs w:val="20"/>
              </w:rPr>
              <w:t>Diff.</w:t>
            </w:r>
          </w:p>
        </w:tc>
        <w:tc>
          <w:tcPr>
            <w:tcW w:w="966" w:type="dxa"/>
          </w:tcPr>
          <w:p w14:paraId="02B9D0CA"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092" w:type="dxa"/>
          </w:tcPr>
          <w:p w14:paraId="2D8B8650" w14:textId="77777777" w:rsidR="00496D92" w:rsidRPr="00486288" w:rsidRDefault="00496D92" w:rsidP="00486288">
            <w:pPr>
              <w:spacing w:before="0" w:after="0"/>
              <w:jc w:val="center"/>
              <w:rPr>
                <w:noProof/>
                <w:sz w:val="20"/>
                <w:szCs w:val="20"/>
              </w:rPr>
            </w:pPr>
            <w:r w:rsidRPr="00486288">
              <w:rPr>
                <w:noProof/>
                <w:sz w:val="20"/>
                <w:szCs w:val="20"/>
              </w:rPr>
              <w:t>NO</w:t>
            </w:r>
          </w:p>
        </w:tc>
        <w:tc>
          <w:tcPr>
            <w:tcW w:w="966" w:type="dxa"/>
          </w:tcPr>
          <w:p w14:paraId="5CAC75FE"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463" w:type="dxa"/>
          </w:tcPr>
          <w:p w14:paraId="5F377454" w14:textId="77777777" w:rsidR="00496D92" w:rsidRPr="00486288" w:rsidRDefault="00496D92" w:rsidP="00486288">
            <w:pPr>
              <w:spacing w:before="0" w:after="0"/>
              <w:jc w:val="center"/>
              <w:rPr>
                <w:noProof/>
                <w:sz w:val="20"/>
                <w:szCs w:val="20"/>
              </w:rPr>
            </w:pPr>
            <w:r w:rsidRPr="00486288">
              <w:rPr>
                <w:noProof/>
                <w:sz w:val="20"/>
                <w:szCs w:val="20"/>
              </w:rPr>
              <w:t>YES</w:t>
            </w:r>
          </w:p>
        </w:tc>
      </w:tr>
      <w:tr w:rsidR="00496D92" w:rsidRPr="00486288" w14:paraId="3A3857A7" w14:textId="77777777" w:rsidTr="00D80845">
        <w:trPr>
          <w:jc w:val="center"/>
        </w:trPr>
        <w:tc>
          <w:tcPr>
            <w:tcW w:w="1092" w:type="dxa"/>
            <w:tcBorders>
              <w:top w:val="single" w:sz="4" w:space="0" w:color="auto"/>
              <w:left w:val="single" w:sz="4" w:space="0" w:color="auto"/>
              <w:bottom w:val="single" w:sz="4" w:space="0" w:color="auto"/>
              <w:right w:val="single" w:sz="4" w:space="0" w:color="auto"/>
            </w:tcBorders>
          </w:tcPr>
          <w:p w14:paraId="79E3F031" w14:textId="77777777" w:rsidR="00496D92" w:rsidRPr="00486288" w:rsidRDefault="00496D92" w:rsidP="00486288">
            <w:pPr>
              <w:spacing w:before="0" w:after="0"/>
              <w:jc w:val="center"/>
              <w:rPr>
                <w:noProof/>
                <w:color w:val="0000FF"/>
                <w:sz w:val="20"/>
                <w:szCs w:val="20"/>
              </w:rPr>
            </w:pPr>
            <w:r w:rsidRPr="00486288">
              <w:rPr>
                <w:noProof/>
                <w:sz w:val="20"/>
                <w:szCs w:val="20"/>
              </w:rPr>
              <w:t>4</w:t>
            </w:r>
          </w:p>
        </w:tc>
        <w:tc>
          <w:tcPr>
            <w:tcW w:w="4002" w:type="dxa"/>
            <w:tcBorders>
              <w:top w:val="single" w:sz="4" w:space="0" w:color="auto"/>
              <w:left w:val="single" w:sz="4" w:space="0" w:color="auto"/>
              <w:bottom w:val="single" w:sz="4" w:space="0" w:color="auto"/>
              <w:right w:val="single" w:sz="4" w:space="0" w:color="auto"/>
            </w:tcBorders>
          </w:tcPr>
          <w:p w14:paraId="3882841C" w14:textId="77777777" w:rsidR="00496D92" w:rsidRPr="00486288" w:rsidRDefault="00496D92" w:rsidP="00486288">
            <w:pPr>
              <w:spacing w:before="0" w:after="0"/>
              <w:rPr>
                <w:noProof/>
                <w:sz w:val="20"/>
                <w:szCs w:val="20"/>
              </w:rPr>
            </w:pPr>
            <w:r w:rsidRPr="00486288">
              <w:rPr>
                <w:noProof/>
                <w:sz w:val="20"/>
                <w:szCs w:val="20"/>
              </w:rPr>
              <w:t>[XX.YY.YY.YY] Union Registry financing – support expenditure</w:t>
            </w:r>
          </w:p>
        </w:tc>
        <w:tc>
          <w:tcPr>
            <w:tcW w:w="1092" w:type="dxa"/>
            <w:tcBorders>
              <w:top w:val="single" w:sz="4" w:space="0" w:color="auto"/>
              <w:left w:val="single" w:sz="4" w:space="0" w:color="auto"/>
              <w:bottom w:val="single" w:sz="4" w:space="0" w:color="auto"/>
              <w:right w:val="single" w:sz="4" w:space="0" w:color="auto"/>
            </w:tcBorders>
          </w:tcPr>
          <w:p w14:paraId="0212E6D7" w14:textId="77777777" w:rsidR="00496D92" w:rsidRPr="00486288" w:rsidRDefault="00496D92" w:rsidP="00486288">
            <w:pPr>
              <w:spacing w:before="0" w:after="0"/>
              <w:jc w:val="center"/>
              <w:rPr>
                <w:noProof/>
                <w:color w:val="0000FF"/>
                <w:sz w:val="20"/>
                <w:szCs w:val="20"/>
              </w:rPr>
            </w:pPr>
            <w:r w:rsidRPr="00486288">
              <w:rPr>
                <w:noProof/>
                <w:sz w:val="20"/>
                <w:szCs w:val="20"/>
              </w:rPr>
              <w:t>Non Diff.</w:t>
            </w:r>
          </w:p>
        </w:tc>
        <w:tc>
          <w:tcPr>
            <w:tcW w:w="966" w:type="dxa"/>
            <w:tcBorders>
              <w:top w:val="single" w:sz="4" w:space="0" w:color="auto"/>
              <w:left w:val="single" w:sz="4" w:space="0" w:color="auto"/>
              <w:bottom w:val="single" w:sz="4" w:space="0" w:color="auto"/>
              <w:right w:val="single" w:sz="4" w:space="0" w:color="auto"/>
            </w:tcBorders>
          </w:tcPr>
          <w:p w14:paraId="2A2E7038" w14:textId="77777777" w:rsidR="00496D92" w:rsidRPr="00486288" w:rsidRDefault="00496D92" w:rsidP="00486288">
            <w:pPr>
              <w:spacing w:before="0" w:after="0"/>
              <w:jc w:val="center"/>
              <w:rPr>
                <w:noProof/>
                <w:sz w:val="20"/>
                <w:szCs w:val="20"/>
              </w:rPr>
            </w:pPr>
            <w:r w:rsidRPr="00486288">
              <w:rPr>
                <w:noProof/>
                <w:sz w:val="20"/>
                <w:szCs w:val="20"/>
              </w:rPr>
              <w:t>NO</w:t>
            </w:r>
          </w:p>
        </w:tc>
        <w:tc>
          <w:tcPr>
            <w:tcW w:w="1092" w:type="dxa"/>
            <w:tcBorders>
              <w:top w:val="single" w:sz="4" w:space="0" w:color="auto"/>
              <w:left w:val="single" w:sz="4" w:space="0" w:color="auto"/>
              <w:bottom w:val="single" w:sz="4" w:space="0" w:color="auto"/>
              <w:right w:val="single" w:sz="4" w:space="0" w:color="auto"/>
            </w:tcBorders>
          </w:tcPr>
          <w:p w14:paraId="5293CAF8" w14:textId="77777777" w:rsidR="00496D92" w:rsidRPr="00486288" w:rsidRDefault="00496D92" w:rsidP="00486288">
            <w:pPr>
              <w:spacing w:before="0" w:after="0"/>
              <w:jc w:val="center"/>
              <w:rPr>
                <w:noProof/>
                <w:sz w:val="20"/>
                <w:szCs w:val="20"/>
              </w:rPr>
            </w:pPr>
            <w:r w:rsidRPr="00486288">
              <w:rPr>
                <w:noProof/>
                <w:sz w:val="20"/>
                <w:szCs w:val="20"/>
              </w:rPr>
              <w:t>NO</w:t>
            </w:r>
          </w:p>
        </w:tc>
        <w:tc>
          <w:tcPr>
            <w:tcW w:w="966" w:type="dxa"/>
            <w:tcBorders>
              <w:top w:val="single" w:sz="4" w:space="0" w:color="auto"/>
              <w:left w:val="single" w:sz="4" w:space="0" w:color="auto"/>
              <w:bottom w:val="single" w:sz="4" w:space="0" w:color="auto"/>
              <w:right w:val="single" w:sz="4" w:space="0" w:color="auto"/>
            </w:tcBorders>
          </w:tcPr>
          <w:p w14:paraId="0ADE6689" w14:textId="77777777" w:rsidR="00496D92" w:rsidRPr="00486288" w:rsidRDefault="00496D92" w:rsidP="00486288">
            <w:pPr>
              <w:spacing w:before="0" w:after="0"/>
              <w:jc w:val="center"/>
              <w:rPr>
                <w:noProof/>
                <w:sz w:val="20"/>
                <w:szCs w:val="20"/>
              </w:rPr>
            </w:pPr>
            <w:r w:rsidRPr="00486288">
              <w:rPr>
                <w:noProof/>
                <w:sz w:val="20"/>
                <w:szCs w:val="20"/>
              </w:rPr>
              <w:t>YES</w:t>
            </w:r>
          </w:p>
        </w:tc>
        <w:tc>
          <w:tcPr>
            <w:tcW w:w="1463" w:type="dxa"/>
            <w:tcBorders>
              <w:top w:val="single" w:sz="4" w:space="0" w:color="auto"/>
              <w:left w:val="single" w:sz="4" w:space="0" w:color="auto"/>
              <w:bottom w:val="single" w:sz="4" w:space="0" w:color="auto"/>
              <w:right w:val="single" w:sz="4" w:space="0" w:color="auto"/>
            </w:tcBorders>
          </w:tcPr>
          <w:p w14:paraId="11105277" w14:textId="77777777" w:rsidR="00496D92" w:rsidRPr="00486288" w:rsidRDefault="00496D92" w:rsidP="00486288">
            <w:pPr>
              <w:spacing w:before="0" w:after="0"/>
              <w:jc w:val="center"/>
              <w:rPr>
                <w:noProof/>
                <w:sz w:val="20"/>
                <w:szCs w:val="20"/>
              </w:rPr>
            </w:pPr>
            <w:r w:rsidRPr="00486288">
              <w:rPr>
                <w:noProof/>
                <w:sz w:val="20"/>
                <w:szCs w:val="20"/>
              </w:rPr>
              <w:t>YES</w:t>
            </w:r>
          </w:p>
        </w:tc>
      </w:tr>
      <w:tr w:rsidR="00496D92" w:rsidRPr="00486288" w14:paraId="086C0F1F" w14:textId="77777777" w:rsidTr="00D80845">
        <w:trPr>
          <w:jc w:val="center"/>
        </w:trPr>
        <w:tc>
          <w:tcPr>
            <w:tcW w:w="1092" w:type="dxa"/>
          </w:tcPr>
          <w:p w14:paraId="1E8772E5"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4</w:t>
            </w:r>
          </w:p>
        </w:tc>
        <w:tc>
          <w:tcPr>
            <w:tcW w:w="4002" w:type="dxa"/>
          </w:tcPr>
          <w:p w14:paraId="4D4F6AC5" w14:textId="77777777" w:rsidR="00496D92" w:rsidRPr="00486288" w:rsidRDefault="00496D92" w:rsidP="00486288">
            <w:pPr>
              <w:spacing w:before="0" w:after="0"/>
              <w:rPr>
                <w:rFonts w:ascii="Arial Narrow" w:eastAsia="Times New Roman" w:hAnsi="Arial Narrow" w:cs="Calibri"/>
                <w:noProof/>
                <w:color w:val="000000"/>
                <w:sz w:val="20"/>
                <w:szCs w:val="20"/>
                <w:lang w:eastAsia="en-GB"/>
              </w:rPr>
            </w:pPr>
            <w:r w:rsidRPr="00486288">
              <w:rPr>
                <w:noProof/>
                <w:sz w:val="20"/>
                <w:szCs w:val="20"/>
              </w:rPr>
              <w:t>[XX.YY.YY.YY] Union Registry financing – operational expenditure</w:t>
            </w:r>
          </w:p>
        </w:tc>
        <w:tc>
          <w:tcPr>
            <w:tcW w:w="1092" w:type="dxa"/>
          </w:tcPr>
          <w:p w14:paraId="7ABFEE84"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Diff.</w:t>
            </w:r>
          </w:p>
        </w:tc>
        <w:tc>
          <w:tcPr>
            <w:tcW w:w="966" w:type="dxa"/>
          </w:tcPr>
          <w:p w14:paraId="302E2DD3"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1092" w:type="dxa"/>
          </w:tcPr>
          <w:p w14:paraId="76A0B278"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NO</w:t>
            </w:r>
          </w:p>
        </w:tc>
        <w:tc>
          <w:tcPr>
            <w:tcW w:w="966" w:type="dxa"/>
          </w:tcPr>
          <w:p w14:paraId="0DEB95FD"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YES</w:t>
            </w:r>
          </w:p>
        </w:tc>
        <w:tc>
          <w:tcPr>
            <w:tcW w:w="1463" w:type="dxa"/>
          </w:tcPr>
          <w:p w14:paraId="21E5D012"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r w:rsidRPr="00486288">
              <w:rPr>
                <w:noProof/>
                <w:sz w:val="20"/>
                <w:szCs w:val="20"/>
              </w:rPr>
              <w:t>YES</w:t>
            </w:r>
          </w:p>
        </w:tc>
      </w:tr>
      <w:tr w:rsidR="00496D92" w:rsidRPr="00486288" w14:paraId="36789337" w14:textId="77777777" w:rsidTr="00D80845">
        <w:trPr>
          <w:jc w:val="center"/>
        </w:trPr>
        <w:tc>
          <w:tcPr>
            <w:tcW w:w="1092" w:type="dxa"/>
          </w:tcPr>
          <w:p w14:paraId="348CBDCD" w14:textId="77777777" w:rsidR="00496D92" w:rsidRPr="00486288" w:rsidRDefault="00496D92" w:rsidP="00486288">
            <w:pPr>
              <w:spacing w:before="0" w:after="0"/>
              <w:jc w:val="center"/>
              <w:rPr>
                <w:noProof/>
                <w:sz w:val="20"/>
                <w:szCs w:val="20"/>
              </w:rPr>
            </w:pPr>
          </w:p>
        </w:tc>
        <w:tc>
          <w:tcPr>
            <w:tcW w:w="4002" w:type="dxa"/>
          </w:tcPr>
          <w:p w14:paraId="165A3B64" w14:textId="77777777" w:rsidR="00496D92" w:rsidRPr="00486288" w:rsidRDefault="00496D92" w:rsidP="00486288">
            <w:pPr>
              <w:spacing w:before="0" w:after="0"/>
              <w:jc w:val="left"/>
              <w:rPr>
                <w:noProof/>
                <w:sz w:val="20"/>
                <w:szCs w:val="20"/>
              </w:rPr>
            </w:pPr>
          </w:p>
        </w:tc>
        <w:tc>
          <w:tcPr>
            <w:tcW w:w="1092" w:type="dxa"/>
          </w:tcPr>
          <w:p w14:paraId="1EA51D9B" w14:textId="77777777" w:rsidR="00496D92" w:rsidRPr="00486288" w:rsidRDefault="00496D92" w:rsidP="00486288">
            <w:pPr>
              <w:spacing w:before="0" w:after="0"/>
              <w:jc w:val="center"/>
              <w:rPr>
                <w:noProof/>
                <w:sz w:val="20"/>
                <w:szCs w:val="20"/>
              </w:rPr>
            </w:pPr>
          </w:p>
        </w:tc>
        <w:tc>
          <w:tcPr>
            <w:tcW w:w="966" w:type="dxa"/>
          </w:tcPr>
          <w:p w14:paraId="3F6D9894" w14:textId="77777777" w:rsidR="00496D92" w:rsidRPr="00486288" w:rsidRDefault="00496D92" w:rsidP="00486288">
            <w:pPr>
              <w:spacing w:before="0" w:after="0"/>
              <w:jc w:val="center"/>
              <w:rPr>
                <w:noProof/>
                <w:sz w:val="20"/>
                <w:szCs w:val="20"/>
              </w:rPr>
            </w:pPr>
          </w:p>
        </w:tc>
        <w:tc>
          <w:tcPr>
            <w:tcW w:w="1092" w:type="dxa"/>
          </w:tcPr>
          <w:p w14:paraId="6A83345D" w14:textId="77777777" w:rsidR="00496D92" w:rsidRPr="00486288" w:rsidRDefault="00496D92" w:rsidP="00486288">
            <w:pPr>
              <w:spacing w:before="0" w:after="0"/>
              <w:jc w:val="center"/>
              <w:rPr>
                <w:noProof/>
                <w:sz w:val="20"/>
                <w:szCs w:val="20"/>
              </w:rPr>
            </w:pPr>
          </w:p>
        </w:tc>
        <w:tc>
          <w:tcPr>
            <w:tcW w:w="966" w:type="dxa"/>
          </w:tcPr>
          <w:p w14:paraId="467CC261" w14:textId="77777777" w:rsidR="00496D92" w:rsidRPr="00486288" w:rsidRDefault="00496D92" w:rsidP="00486288">
            <w:pPr>
              <w:spacing w:before="0" w:after="0"/>
              <w:jc w:val="center"/>
              <w:rPr>
                <w:noProof/>
                <w:sz w:val="20"/>
                <w:szCs w:val="20"/>
              </w:rPr>
            </w:pPr>
          </w:p>
        </w:tc>
        <w:tc>
          <w:tcPr>
            <w:tcW w:w="1463" w:type="dxa"/>
          </w:tcPr>
          <w:p w14:paraId="3B39E0F9" w14:textId="77777777" w:rsidR="00496D92" w:rsidRPr="00486288" w:rsidRDefault="00496D92" w:rsidP="00486288">
            <w:pPr>
              <w:spacing w:before="0" w:after="0"/>
              <w:jc w:val="center"/>
              <w:rPr>
                <w:noProof/>
                <w:sz w:val="20"/>
                <w:szCs w:val="20"/>
              </w:rPr>
            </w:pPr>
          </w:p>
        </w:tc>
      </w:tr>
      <w:tr w:rsidR="00496D92" w:rsidRPr="00486288" w14:paraId="0024B02B" w14:textId="77777777" w:rsidTr="00D80845">
        <w:trPr>
          <w:jc w:val="center"/>
        </w:trPr>
        <w:tc>
          <w:tcPr>
            <w:tcW w:w="1092" w:type="dxa"/>
            <w:tcBorders>
              <w:top w:val="single" w:sz="4" w:space="0" w:color="auto"/>
              <w:left w:val="single" w:sz="4" w:space="0" w:color="auto"/>
              <w:bottom w:val="single" w:sz="4" w:space="0" w:color="auto"/>
              <w:right w:val="single" w:sz="4" w:space="0" w:color="auto"/>
            </w:tcBorders>
          </w:tcPr>
          <w:p w14:paraId="4AB467E4" w14:textId="77777777" w:rsidR="00496D92" w:rsidRPr="00486288" w:rsidRDefault="00496D92" w:rsidP="00486288">
            <w:pPr>
              <w:spacing w:before="0" w:after="0"/>
              <w:jc w:val="center"/>
              <w:rPr>
                <w:noProof/>
                <w:sz w:val="20"/>
                <w:szCs w:val="20"/>
              </w:rPr>
            </w:pPr>
          </w:p>
        </w:tc>
        <w:tc>
          <w:tcPr>
            <w:tcW w:w="4002" w:type="dxa"/>
            <w:tcBorders>
              <w:top w:val="single" w:sz="4" w:space="0" w:color="auto"/>
              <w:left w:val="single" w:sz="4" w:space="0" w:color="auto"/>
              <w:bottom w:val="single" w:sz="4" w:space="0" w:color="auto"/>
              <w:right w:val="single" w:sz="4" w:space="0" w:color="auto"/>
            </w:tcBorders>
          </w:tcPr>
          <w:p w14:paraId="0602778A" w14:textId="77777777" w:rsidR="00496D92" w:rsidRPr="00486288" w:rsidRDefault="00496D92" w:rsidP="00486288">
            <w:pPr>
              <w:spacing w:before="0" w:after="0"/>
              <w:jc w:val="left"/>
              <w:rPr>
                <w:noProof/>
                <w:sz w:val="20"/>
                <w:szCs w:val="20"/>
              </w:rPr>
            </w:pPr>
          </w:p>
        </w:tc>
        <w:tc>
          <w:tcPr>
            <w:tcW w:w="1092" w:type="dxa"/>
            <w:tcBorders>
              <w:top w:val="single" w:sz="4" w:space="0" w:color="auto"/>
              <w:left w:val="single" w:sz="4" w:space="0" w:color="auto"/>
              <w:bottom w:val="single" w:sz="4" w:space="0" w:color="auto"/>
              <w:right w:val="single" w:sz="4" w:space="0" w:color="auto"/>
            </w:tcBorders>
          </w:tcPr>
          <w:p w14:paraId="27B09737" w14:textId="77777777" w:rsidR="00496D92" w:rsidRPr="00486288" w:rsidRDefault="00496D92" w:rsidP="00486288">
            <w:pPr>
              <w:spacing w:before="0" w:after="0"/>
              <w:jc w:val="center"/>
              <w:rPr>
                <w:noProof/>
                <w:sz w:val="20"/>
                <w:szCs w:val="20"/>
              </w:rPr>
            </w:pPr>
          </w:p>
        </w:tc>
        <w:tc>
          <w:tcPr>
            <w:tcW w:w="966" w:type="dxa"/>
            <w:tcBorders>
              <w:top w:val="single" w:sz="4" w:space="0" w:color="auto"/>
              <w:left w:val="single" w:sz="4" w:space="0" w:color="auto"/>
              <w:bottom w:val="single" w:sz="4" w:space="0" w:color="auto"/>
              <w:right w:val="single" w:sz="4" w:space="0" w:color="auto"/>
            </w:tcBorders>
          </w:tcPr>
          <w:p w14:paraId="3CA5E7A8" w14:textId="77777777" w:rsidR="00496D92" w:rsidRPr="00486288" w:rsidRDefault="00496D92" w:rsidP="00486288">
            <w:pPr>
              <w:spacing w:before="0" w:after="0"/>
              <w:jc w:val="center"/>
              <w:rPr>
                <w:noProof/>
                <w:sz w:val="20"/>
                <w:szCs w:val="20"/>
              </w:rPr>
            </w:pPr>
          </w:p>
        </w:tc>
        <w:tc>
          <w:tcPr>
            <w:tcW w:w="1092" w:type="dxa"/>
            <w:tcBorders>
              <w:top w:val="single" w:sz="4" w:space="0" w:color="auto"/>
              <w:left w:val="single" w:sz="4" w:space="0" w:color="auto"/>
              <w:bottom w:val="single" w:sz="4" w:space="0" w:color="auto"/>
              <w:right w:val="single" w:sz="4" w:space="0" w:color="auto"/>
            </w:tcBorders>
          </w:tcPr>
          <w:p w14:paraId="43B4E73B" w14:textId="77777777" w:rsidR="00496D92" w:rsidRPr="00486288" w:rsidRDefault="00496D92" w:rsidP="00486288">
            <w:pPr>
              <w:spacing w:before="0" w:after="0"/>
              <w:jc w:val="center"/>
              <w:rPr>
                <w:noProof/>
                <w:sz w:val="20"/>
                <w:szCs w:val="20"/>
              </w:rPr>
            </w:pPr>
          </w:p>
        </w:tc>
        <w:tc>
          <w:tcPr>
            <w:tcW w:w="966" w:type="dxa"/>
            <w:tcBorders>
              <w:top w:val="single" w:sz="4" w:space="0" w:color="auto"/>
              <w:left w:val="single" w:sz="4" w:space="0" w:color="auto"/>
              <w:bottom w:val="single" w:sz="4" w:space="0" w:color="auto"/>
              <w:right w:val="single" w:sz="4" w:space="0" w:color="auto"/>
            </w:tcBorders>
          </w:tcPr>
          <w:p w14:paraId="0E179C0D" w14:textId="77777777" w:rsidR="00496D92" w:rsidRPr="00486288" w:rsidRDefault="00496D92" w:rsidP="00486288">
            <w:pPr>
              <w:spacing w:before="0" w:after="0"/>
              <w:jc w:val="center"/>
              <w:rPr>
                <w:noProof/>
                <w:sz w:val="20"/>
                <w:szCs w:val="20"/>
              </w:rPr>
            </w:pPr>
          </w:p>
        </w:tc>
        <w:tc>
          <w:tcPr>
            <w:tcW w:w="1463" w:type="dxa"/>
            <w:tcBorders>
              <w:top w:val="single" w:sz="4" w:space="0" w:color="auto"/>
              <w:left w:val="single" w:sz="4" w:space="0" w:color="auto"/>
              <w:bottom w:val="single" w:sz="4" w:space="0" w:color="auto"/>
              <w:right w:val="single" w:sz="4" w:space="0" w:color="auto"/>
            </w:tcBorders>
          </w:tcPr>
          <w:p w14:paraId="3ACA5B7D" w14:textId="77777777" w:rsidR="00496D92" w:rsidRPr="00486288" w:rsidRDefault="00496D92" w:rsidP="00486288">
            <w:pPr>
              <w:spacing w:before="0" w:after="0"/>
              <w:jc w:val="center"/>
              <w:rPr>
                <w:noProof/>
                <w:sz w:val="20"/>
                <w:szCs w:val="20"/>
              </w:rPr>
            </w:pPr>
          </w:p>
        </w:tc>
      </w:tr>
      <w:tr w:rsidR="00496D92" w:rsidRPr="00486288" w14:paraId="27DF9DAF" w14:textId="77777777" w:rsidTr="00D80845">
        <w:trPr>
          <w:jc w:val="center"/>
        </w:trPr>
        <w:tc>
          <w:tcPr>
            <w:tcW w:w="1092" w:type="dxa"/>
          </w:tcPr>
          <w:p w14:paraId="1A87085D"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p>
        </w:tc>
        <w:tc>
          <w:tcPr>
            <w:tcW w:w="4002" w:type="dxa"/>
          </w:tcPr>
          <w:p w14:paraId="495887BE" w14:textId="77777777" w:rsidR="00496D92" w:rsidRPr="00486288" w:rsidRDefault="00496D92" w:rsidP="00486288">
            <w:pPr>
              <w:spacing w:before="0" w:after="0"/>
              <w:rPr>
                <w:rFonts w:ascii="Arial Narrow" w:eastAsia="Times New Roman" w:hAnsi="Arial Narrow" w:cs="Calibri"/>
                <w:noProof/>
                <w:color w:val="000000"/>
                <w:sz w:val="20"/>
                <w:szCs w:val="20"/>
                <w:lang w:eastAsia="en-GB"/>
              </w:rPr>
            </w:pPr>
          </w:p>
        </w:tc>
        <w:tc>
          <w:tcPr>
            <w:tcW w:w="1092" w:type="dxa"/>
          </w:tcPr>
          <w:p w14:paraId="645C4F75"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p>
        </w:tc>
        <w:tc>
          <w:tcPr>
            <w:tcW w:w="966" w:type="dxa"/>
          </w:tcPr>
          <w:p w14:paraId="446119D7"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p>
        </w:tc>
        <w:tc>
          <w:tcPr>
            <w:tcW w:w="1092" w:type="dxa"/>
          </w:tcPr>
          <w:p w14:paraId="5C291AE1"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p>
        </w:tc>
        <w:tc>
          <w:tcPr>
            <w:tcW w:w="966" w:type="dxa"/>
          </w:tcPr>
          <w:p w14:paraId="2FF91869"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p>
        </w:tc>
        <w:tc>
          <w:tcPr>
            <w:tcW w:w="1463" w:type="dxa"/>
          </w:tcPr>
          <w:p w14:paraId="022A327D" w14:textId="77777777" w:rsidR="00496D92" w:rsidRPr="00486288" w:rsidRDefault="00496D92" w:rsidP="00486288">
            <w:pPr>
              <w:spacing w:before="0" w:after="0"/>
              <w:jc w:val="center"/>
              <w:rPr>
                <w:rFonts w:ascii="Arial Narrow" w:eastAsia="Times New Roman" w:hAnsi="Arial Narrow" w:cs="Calibri"/>
                <w:noProof/>
                <w:color w:val="000000"/>
                <w:sz w:val="20"/>
                <w:szCs w:val="20"/>
                <w:lang w:eastAsia="en-GB"/>
              </w:rPr>
            </w:pPr>
          </w:p>
        </w:tc>
      </w:tr>
    </w:tbl>
    <w:p w14:paraId="48B105DD" w14:textId="77777777" w:rsidR="006052EE" w:rsidRDefault="006052EE" w:rsidP="00445C9D">
      <w:pPr>
        <w:rPr>
          <w:noProof/>
        </w:rPr>
        <w:sectPr w:rsidR="006052EE" w:rsidSect="00F14618">
          <w:pgSz w:w="11907" w:h="16840" w:code="1"/>
          <w:pgMar w:top="1134" w:right="1418" w:bottom="1134" w:left="1418" w:header="709" w:footer="709" w:gutter="0"/>
          <w:cols w:space="708"/>
          <w:docGrid w:linePitch="360"/>
        </w:sectPr>
      </w:pPr>
    </w:p>
    <w:p w14:paraId="4A3ABE1C" w14:textId="77777777" w:rsidR="006052EE" w:rsidRDefault="006052EE" w:rsidP="00445C9D">
      <w:pPr>
        <w:pStyle w:val="ManualHeading2"/>
        <w:rPr>
          <w:bCs/>
          <w:noProof/>
          <w:szCs w:val="24"/>
        </w:rPr>
      </w:pPr>
      <w:bookmarkStart w:id="140" w:name="_Toc514938052"/>
      <w:bookmarkStart w:id="141" w:name="_Toc520485051"/>
      <w:bookmarkStart w:id="142" w:name="_Toc160804593"/>
      <w:bookmarkStart w:id="143" w:name="_Toc167220285"/>
      <w:bookmarkStart w:id="144" w:name="_Toc177549018"/>
      <w:r w:rsidRPr="0021790A">
        <w:rPr>
          <w:noProof/>
        </w:rPr>
        <w:t>3.2.</w:t>
      </w:r>
      <w:r w:rsidRPr="0021790A">
        <w:rPr>
          <w:noProof/>
        </w:rPr>
        <w:tab/>
      </w:r>
      <w:r>
        <w:rPr>
          <w:noProof/>
        </w:rPr>
        <w:t>Estimated financial impact of the proposal on appropriations</w:t>
      </w:r>
      <w:bookmarkEnd w:id="140"/>
      <w:bookmarkEnd w:id="141"/>
      <w:bookmarkEnd w:id="142"/>
      <w:bookmarkEnd w:id="143"/>
      <w:bookmarkEnd w:id="144"/>
      <w:r>
        <w:rPr>
          <w:noProof/>
        </w:rPr>
        <w:t xml:space="preserve"> </w:t>
      </w:r>
    </w:p>
    <w:p w14:paraId="4A9C154F" w14:textId="77777777" w:rsidR="006052EE" w:rsidRDefault="006052EE" w:rsidP="00445C9D">
      <w:pPr>
        <w:pStyle w:val="ManualHeading3"/>
        <w:rPr>
          <w:noProof/>
        </w:rPr>
      </w:pPr>
      <w:bookmarkStart w:id="145" w:name="_Toc514938053"/>
      <w:bookmarkStart w:id="146" w:name="_Toc520485052"/>
      <w:bookmarkStart w:id="147" w:name="_Toc160804594"/>
      <w:bookmarkStart w:id="148" w:name="_Toc167220286"/>
      <w:bookmarkStart w:id="149" w:name="_Toc177549019"/>
      <w:r w:rsidRPr="0021790A">
        <w:rPr>
          <w:noProof/>
        </w:rPr>
        <w:t>3.2.1.</w:t>
      </w:r>
      <w:r w:rsidRPr="0021790A">
        <w:rPr>
          <w:noProof/>
        </w:rPr>
        <w:tab/>
      </w:r>
      <w:r>
        <w:rPr>
          <w:noProof/>
        </w:rPr>
        <w:t>Summary of estimated impact on operational appropriations</w:t>
      </w:r>
      <w:bookmarkEnd w:id="145"/>
      <w:bookmarkEnd w:id="146"/>
      <w:bookmarkEnd w:id="147"/>
      <w:bookmarkEnd w:id="148"/>
      <w:bookmarkEnd w:id="149"/>
      <w:r>
        <w:rPr>
          <w:noProof/>
        </w:rPr>
        <w:t xml:space="preserve"> </w:t>
      </w:r>
    </w:p>
    <w:p w14:paraId="60EA4912" w14:textId="77777777" w:rsidR="006052EE" w:rsidRDefault="006052EE" w:rsidP="006052EE">
      <w:pPr>
        <w:pStyle w:val="ListDash1"/>
        <w:rPr>
          <w:noProof/>
        </w:rPr>
      </w:pPr>
      <w:r>
        <w:rPr>
          <w:rFonts w:ascii="Wingdings" w:eastAsia="Wingdings" w:hAnsi="Wingdings" w:cs="Wingdings"/>
          <w:noProof/>
        </w:rPr>
        <w:t></w:t>
      </w:r>
      <w:r>
        <w:rPr>
          <w:noProof/>
        </w:rPr>
        <w:tab/>
        <w:t xml:space="preserve">The proposal/initiative does not require the use of operational appropriations </w:t>
      </w:r>
    </w:p>
    <w:p w14:paraId="17021B6C" w14:textId="77777777" w:rsidR="006052EE" w:rsidRDefault="00486288" w:rsidP="006052EE">
      <w:pPr>
        <w:pStyle w:val="ListDash1"/>
        <w:rPr>
          <w:noProof/>
        </w:rPr>
      </w:pPr>
      <w:r>
        <w:rPr>
          <w:rFonts w:ascii="Wingdings" w:eastAsia="Wingdings" w:hAnsi="Wingdings" w:cs="Wingdings"/>
          <w:noProof/>
        </w:rPr>
        <w:t></w:t>
      </w:r>
      <w:r w:rsidR="006052EE">
        <w:rPr>
          <w:noProof/>
        </w:rPr>
        <w:tab/>
        <w:t>The proposal/initiative requires the use of operational appropriations, as explained below</w:t>
      </w:r>
    </w:p>
    <w:p w14:paraId="46E2B695" w14:textId="77777777" w:rsidR="006052EE" w:rsidRDefault="006052EE" w:rsidP="00445C9D">
      <w:pPr>
        <w:pStyle w:val="ManualHeading3"/>
        <w:rPr>
          <w:noProof/>
        </w:rPr>
      </w:pPr>
      <w:bookmarkStart w:id="150" w:name="_Toc160804595"/>
      <w:bookmarkStart w:id="151" w:name="_Toc167220287"/>
      <w:bookmarkStart w:id="152" w:name="_Toc177549020"/>
      <w:r>
        <w:rPr>
          <w:noProof/>
        </w:rPr>
        <w:t>3.2.1.1.</w:t>
      </w:r>
      <w:r>
        <w:rPr>
          <w:noProof/>
        </w:rPr>
        <w:tab/>
        <w:t>Appropriations from voted budget</w:t>
      </w:r>
      <w:bookmarkEnd w:id="150"/>
      <w:bookmarkEnd w:id="151"/>
      <w:bookmarkEnd w:id="152"/>
    </w:p>
    <w:p w14:paraId="02833C63" w14:textId="77777777" w:rsidR="006052EE" w:rsidRPr="003A769F" w:rsidRDefault="006052EE" w:rsidP="00445C9D">
      <w:pPr>
        <w:jc w:val="right"/>
        <w:rPr>
          <w:noProof/>
          <w:sz w:val="18"/>
          <w:szCs w:val="18"/>
          <w:lang w:val="en-IE"/>
        </w:rPr>
      </w:pPr>
      <w:r w:rsidRPr="003A769F">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052EE" w14:paraId="5CD997B6" w14:textId="77777777" w:rsidTr="00445C9D">
        <w:tc>
          <w:tcPr>
            <w:tcW w:w="1739" w:type="pct"/>
            <w:shd w:val="thinDiagStripe" w:color="C0C0C0" w:fill="auto"/>
            <w:vAlign w:val="center"/>
          </w:tcPr>
          <w:p w14:paraId="7FB055A9" w14:textId="77777777" w:rsidR="006052EE" w:rsidRPr="003A769F" w:rsidRDefault="006052EE" w:rsidP="00445C9D">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2AD34157" w14:textId="77777777" w:rsidR="006052EE" w:rsidRDefault="00486288" w:rsidP="00445C9D">
            <w:pPr>
              <w:spacing w:before="60" w:after="60"/>
              <w:jc w:val="center"/>
              <w:rPr>
                <w:noProof/>
              </w:rPr>
            </w:pPr>
            <w:r>
              <w:rPr>
                <w:noProof/>
                <w:sz w:val="22"/>
              </w:rPr>
              <w:t>2</w:t>
            </w:r>
          </w:p>
        </w:tc>
        <w:tc>
          <w:tcPr>
            <w:tcW w:w="2865" w:type="pct"/>
            <w:vAlign w:val="center"/>
          </w:tcPr>
          <w:p w14:paraId="057E6446" w14:textId="77777777" w:rsidR="006052EE" w:rsidRDefault="006052EE" w:rsidP="00445C9D">
            <w:pPr>
              <w:spacing w:before="60" w:after="60"/>
              <w:rPr>
                <w:noProof/>
              </w:rPr>
            </w:pPr>
          </w:p>
        </w:tc>
      </w:tr>
    </w:tbl>
    <w:p w14:paraId="229E097F" w14:textId="77777777" w:rsidR="006052EE" w:rsidRDefault="006052EE" w:rsidP="00445C9D">
      <w:pPr>
        <w:rPr>
          <w:noProof/>
          <w:sz w:val="16"/>
        </w:rPr>
      </w:pPr>
    </w:p>
    <w:tbl>
      <w:tblPr>
        <w:tblW w:w="5000" w:type="pct"/>
        <w:tblLook w:val="04A0" w:firstRow="1" w:lastRow="0" w:firstColumn="1" w:lastColumn="0" w:noHBand="0" w:noVBand="1"/>
      </w:tblPr>
      <w:tblGrid>
        <w:gridCol w:w="3562"/>
        <w:gridCol w:w="1542"/>
        <w:gridCol w:w="975"/>
        <w:gridCol w:w="745"/>
        <w:gridCol w:w="745"/>
        <w:gridCol w:w="745"/>
        <w:gridCol w:w="745"/>
        <w:gridCol w:w="745"/>
        <w:gridCol w:w="745"/>
        <w:gridCol w:w="745"/>
        <w:gridCol w:w="2926"/>
      </w:tblGrid>
      <w:tr w:rsidR="00486288" w:rsidRPr="00486288" w14:paraId="5E073B84" w14:textId="77777777" w:rsidTr="00445C9D">
        <w:trPr>
          <w:trHeight w:val="410"/>
        </w:trPr>
        <w:tc>
          <w:tcPr>
            <w:tcW w:w="2136"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23DF0197" w14:textId="77777777" w:rsidR="00486288" w:rsidRPr="00486288" w:rsidRDefault="00486288" w:rsidP="00486288">
            <w:pPr>
              <w:spacing w:before="0" w:after="0"/>
              <w:jc w:val="center"/>
              <w:rPr>
                <w:rFonts w:eastAsia="Times New Roman"/>
                <w:noProof/>
                <w:color w:val="000000"/>
                <w:sz w:val="22"/>
                <w:lang w:val="en-IE" w:eastAsia="en-IE"/>
              </w:rPr>
            </w:pPr>
            <w:r w:rsidRPr="00486288">
              <w:rPr>
                <w:rFonts w:eastAsia="Times New Roman"/>
                <w:noProof/>
                <w:color w:val="000000"/>
                <w:sz w:val="22"/>
                <w:lang w:val="en-IE" w:eastAsia="en-IE"/>
              </w:rPr>
              <w:t>DG: &lt;CLIMA&gt;</w:t>
            </w:r>
          </w:p>
        </w:tc>
        <w:tc>
          <w:tcPr>
            <w:tcW w:w="262" w:type="pct"/>
            <w:tcBorders>
              <w:top w:val="single" w:sz="8" w:space="0" w:color="auto"/>
              <w:left w:val="nil"/>
              <w:bottom w:val="single" w:sz="8" w:space="0" w:color="auto"/>
              <w:right w:val="single" w:sz="8" w:space="0" w:color="auto"/>
            </w:tcBorders>
            <w:vAlign w:val="center"/>
            <w:hideMark/>
          </w:tcPr>
          <w:p w14:paraId="3D4CB707"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2" w:type="pct"/>
            <w:tcBorders>
              <w:top w:val="single" w:sz="8" w:space="0" w:color="auto"/>
              <w:left w:val="nil"/>
              <w:bottom w:val="single" w:sz="8" w:space="0" w:color="auto"/>
              <w:right w:val="single" w:sz="8" w:space="0" w:color="auto"/>
            </w:tcBorders>
            <w:vAlign w:val="center"/>
            <w:hideMark/>
          </w:tcPr>
          <w:p w14:paraId="431651B9"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2" w:type="pct"/>
            <w:tcBorders>
              <w:top w:val="single" w:sz="8" w:space="0" w:color="auto"/>
              <w:left w:val="nil"/>
              <w:bottom w:val="single" w:sz="8" w:space="0" w:color="auto"/>
              <w:right w:val="single" w:sz="8" w:space="0" w:color="auto"/>
            </w:tcBorders>
            <w:vAlign w:val="center"/>
            <w:hideMark/>
          </w:tcPr>
          <w:p w14:paraId="4A49F94D"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2" w:type="pct"/>
            <w:tcBorders>
              <w:top w:val="single" w:sz="8" w:space="0" w:color="auto"/>
              <w:left w:val="nil"/>
              <w:bottom w:val="single" w:sz="8" w:space="0" w:color="auto"/>
              <w:right w:val="single" w:sz="8" w:space="0" w:color="auto"/>
            </w:tcBorders>
            <w:vAlign w:val="center"/>
            <w:hideMark/>
          </w:tcPr>
          <w:p w14:paraId="12EDE9AC"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2" w:type="pct"/>
            <w:tcBorders>
              <w:top w:val="single" w:sz="8" w:space="0" w:color="auto"/>
              <w:left w:val="nil"/>
              <w:bottom w:val="single" w:sz="8" w:space="0" w:color="auto"/>
              <w:right w:val="single" w:sz="8" w:space="0" w:color="auto"/>
            </w:tcBorders>
            <w:vAlign w:val="center"/>
            <w:hideMark/>
          </w:tcPr>
          <w:p w14:paraId="4C2A3823"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2" w:type="pct"/>
            <w:tcBorders>
              <w:top w:val="single" w:sz="8" w:space="0" w:color="auto"/>
              <w:left w:val="nil"/>
              <w:bottom w:val="single" w:sz="8" w:space="0" w:color="auto"/>
              <w:right w:val="single" w:sz="8" w:space="0" w:color="auto"/>
            </w:tcBorders>
            <w:vAlign w:val="center"/>
            <w:hideMark/>
          </w:tcPr>
          <w:p w14:paraId="0AB86997"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2" w:type="pct"/>
            <w:tcBorders>
              <w:top w:val="single" w:sz="8" w:space="0" w:color="auto"/>
              <w:left w:val="nil"/>
              <w:bottom w:val="single" w:sz="8" w:space="0" w:color="auto"/>
              <w:right w:val="single" w:sz="8" w:space="0" w:color="auto"/>
            </w:tcBorders>
            <w:vAlign w:val="center"/>
            <w:hideMark/>
          </w:tcPr>
          <w:p w14:paraId="5FB77549"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1030" w:type="pct"/>
            <w:vMerge w:val="restart"/>
            <w:tcBorders>
              <w:top w:val="single" w:sz="8" w:space="0" w:color="auto"/>
              <w:left w:val="single" w:sz="8" w:space="0" w:color="auto"/>
              <w:bottom w:val="single" w:sz="8" w:space="0" w:color="000000"/>
              <w:right w:val="single" w:sz="8" w:space="0" w:color="auto"/>
            </w:tcBorders>
            <w:vAlign w:val="center"/>
            <w:hideMark/>
          </w:tcPr>
          <w:p w14:paraId="1C1B4A89"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TOTAL MFF 2028-2034</w:t>
            </w:r>
          </w:p>
        </w:tc>
      </w:tr>
      <w:tr w:rsidR="00486288" w:rsidRPr="00486288" w14:paraId="3A27D011" w14:textId="77777777" w:rsidTr="00445C9D">
        <w:trPr>
          <w:trHeight w:val="300"/>
        </w:trPr>
        <w:tc>
          <w:tcPr>
            <w:tcW w:w="2136" w:type="pct"/>
            <w:gridSpan w:val="3"/>
            <w:vMerge/>
            <w:tcBorders>
              <w:top w:val="single" w:sz="8" w:space="0" w:color="auto"/>
              <w:left w:val="single" w:sz="8" w:space="0" w:color="auto"/>
              <w:bottom w:val="single" w:sz="8" w:space="0" w:color="000000"/>
              <w:right w:val="single" w:sz="8" w:space="0" w:color="000000"/>
            </w:tcBorders>
            <w:vAlign w:val="center"/>
            <w:hideMark/>
          </w:tcPr>
          <w:p w14:paraId="5683174F" w14:textId="77777777" w:rsidR="00486288" w:rsidRPr="00486288" w:rsidRDefault="00486288" w:rsidP="00486288">
            <w:pPr>
              <w:spacing w:before="0" w:after="0"/>
              <w:jc w:val="left"/>
              <w:rPr>
                <w:rFonts w:eastAsia="Times New Roman"/>
                <w:noProof/>
                <w:color w:val="000000"/>
                <w:sz w:val="22"/>
                <w:lang w:val="en-IE" w:eastAsia="en-IE"/>
              </w:rPr>
            </w:pPr>
          </w:p>
        </w:tc>
        <w:tc>
          <w:tcPr>
            <w:tcW w:w="262" w:type="pct"/>
            <w:tcBorders>
              <w:top w:val="nil"/>
              <w:left w:val="nil"/>
              <w:bottom w:val="single" w:sz="8" w:space="0" w:color="auto"/>
              <w:right w:val="single" w:sz="8" w:space="0" w:color="auto"/>
            </w:tcBorders>
            <w:vAlign w:val="center"/>
            <w:hideMark/>
          </w:tcPr>
          <w:p w14:paraId="7E22222A"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2028</w:t>
            </w:r>
          </w:p>
        </w:tc>
        <w:tc>
          <w:tcPr>
            <w:tcW w:w="262" w:type="pct"/>
            <w:tcBorders>
              <w:top w:val="nil"/>
              <w:left w:val="nil"/>
              <w:bottom w:val="single" w:sz="8" w:space="0" w:color="auto"/>
              <w:right w:val="single" w:sz="8" w:space="0" w:color="auto"/>
            </w:tcBorders>
            <w:vAlign w:val="center"/>
            <w:hideMark/>
          </w:tcPr>
          <w:p w14:paraId="7E8597BF"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2029</w:t>
            </w:r>
          </w:p>
        </w:tc>
        <w:tc>
          <w:tcPr>
            <w:tcW w:w="262" w:type="pct"/>
            <w:tcBorders>
              <w:top w:val="nil"/>
              <w:left w:val="nil"/>
              <w:bottom w:val="single" w:sz="8" w:space="0" w:color="auto"/>
              <w:right w:val="single" w:sz="8" w:space="0" w:color="auto"/>
            </w:tcBorders>
            <w:vAlign w:val="center"/>
            <w:hideMark/>
          </w:tcPr>
          <w:p w14:paraId="661B6934"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2030</w:t>
            </w:r>
          </w:p>
        </w:tc>
        <w:tc>
          <w:tcPr>
            <w:tcW w:w="262" w:type="pct"/>
            <w:tcBorders>
              <w:top w:val="nil"/>
              <w:left w:val="nil"/>
              <w:bottom w:val="single" w:sz="8" w:space="0" w:color="auto"/>
              <w:right w:val="single" w:sz="8" w:space="0" w:color="auto"/>
            </w:tcBorders>
            <w:vAlign w:val="center"/>
            <w:hideMark/>
          </w:tcPr>
          <w:p w14:paraId="449FE29B"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2031</w:t>
            </w:r>
          </w:p>
        </w:tc>
        <w:tc>
          <w:tcPr>
            <w:tcW w:w="262" w:type="pct"/>
            <w:tcBorders>
              <w:top w:val="nil"/>
              <w:left w:val="nil"/>
              <w:bottom w:val="single" w:sz="8" w:space="0" w:color="auto"/>
              <w:right w:val="single" w:sz="8" w:space="0" w:color="auto"/>
            </w:tcBorders>
            <w:vAlign w:val="center"/>
            <w:hideMark/>
          </w:tcPr>
          <w:p w14:paraId="44C531AB"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2032</w:t>
            </w:r>
          </w:p>
        </w:tc>
        <w:tc>
          <w:tcPr>
            <w:tcW w:w="262" w:type="pct"/>
            <w:tcBorders>
              <w:top w:val="nil"/>
              <w:left w:val="nil"/>
              <w:bottom w:val="single" w:sz="8" w:space="0" w:color="auto"/>
              <w:right w:val="single" w:sz="8" w:space="0" w:color="auto"/>
            </w:tcBorders>
            <w:vAlign w:val="center"/>
            <w:hideMark/>
          </w:tcPr>
          <w:p w14:paraId="5C0F5366"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2033</w:t>
            </w:r>
          </w:p>
        </w:tc>
        <w:tc>
          <w:tcPr>
            <w:tcW w:w="262" w:type="pct"/>
            <w:tcBorders>
              <w:top w:val="nil"/>
              <w:left w:val="nil"/>
              <w:bottom w:val="single" w:sz="8" w:space="0" w:color="auto"/>
              <w:right w:val="single" w:sz="8" w:space="0" w:color="auto"/>
            </w:tcBorders>
            <w:vAlign w:val="center"/>
            <w:hideMark/>
          </w:tcPr>
          <w:p w14:paraId="52FF4792"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2034</w:t>
            </w:r>
          </w:p>
        </w:tc>
        <w:tc>
          <w:tcPr>
            <w:tcW w:w="1030" w:type="pct"/>
            <w:vMerge/>
            <w:tcBorders>
              <w:top w:val="single" w:sz="8" w:space="0" w:color="auto"/>
              <w:left w:val="single" w:sz="8" w:space="0" w:color="auto"/>
              <w:bottom w:val="single" w:sz="8" w:space="0" w:color="000000"/>
              <w:right w:val="single" w:sz="8" w:space="0" w:color="auto"/>
            </w:tcBorders>
            <w:vAlign w:val="center"/>
            <w:hideMark/>
          </w:tcPr>
          <w:p w14:paraId="26698BE0" w14:textId="77777777" w:rsidR="00486288" w:rsidRPr="00486288" w:rsidRDefault="00486288" w:rsidP="00486288">
            <w:pPr>
              <w:spacing w:before="0" w:after="0"/>
              <w:jc w:val="left"/>
              <w:rPr>
                <w:rFonts w:eastAsia="Times New Roman"/>
                <w:b/>
                <w:bCs/>
                <w:noProof/>
                <w:color w:val="000000"/>
                <w:sz w:val="20"/>
                <w:szCs w:val="20"/>
                <w:lang w:val="en-IE" w:eastAsia="en-IE"/>
              </w:rPr>
            </w:pPr>
          </w:p>
        </w:tc>
      </w:tr>
      <w:tr w:rsidR="00486288" w:rsidRPr="00486288" w14:paraId="7320B137" w14:textId="77777777" w:rsidTr="00445C9D">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14:paraId="2465DECA" w14:textId="77777777" w:rsidR="00486288" w:rsidRPr="00486288" w:rsidRDefault="00486288" w:rsidP="00486288">
            <w:pPr>
              <w:spacing w:before="0" w:after="0"/>
              <w:jc w:val="left"/>
              <w:rPr>
                <w:rFonts w:eastAsia="Times New Roman"/>
                <w:noProof/>
                <w:color w:val="000000"/>
                <w:sz w:val="21"/>
                <w:szCs w:val="21"/>
                <w:lang w:val="en-IE" w:eastAsia="en-IE"/>
              </w:rPr>
            </w:pPr>
            <w:r w:rsidRPr="00486288">
              <w:rPr>
                <w:rFonts w:eastAsia="Times New Roman"/>
                <w:noProof/>
                <w:color w:val="000000"/>
                <w:sz w:val="21"/>
                <w:szCs w:val="21"/>
                <w:lang w:val="en-IE" w:eastAsia="en-IE"/>
              </w:rPr>
              <w:t xml:space="preserve">Operational appropriations </w:t>
            </w:r>
          </w:p>
        </w:tc>
      </w:tr>
      <w:tr w:rsidR="00486288" w:rsidRPr="00486288" w14:paraId="623F7885" w14:textId="77777777" w:rsidTr="00445C9D">
        <w:trPr>
          <w:trHeight w:val="470"/>
        </w:trPr>
        <w:tc>
          <w:tcPr>
            <w:tcW w:w="1252" w:type="pct"/>
            <w:vMerge w:val="restart"/>
            <w:tcBorders>
              <w:top w:val="nil"/>
              <w:left w:val="single" w:sz="8" w:space="0" w:color="auto"/>
              <w:bottom w:val="single" w:sz="8" w:space="0" w:color="000000"/>
              <w:right w:val="single" w:sz="8" w:space="0" w:color="auto"/>
            </w:tcBorders>
            <w:noWrap/>
            <w:vAlign w:val="center"/>
            <w:hideMark/>
          </w:tcPr>
          <w:p w14:paraId="483B6FE9" w14:textId="77777777" w:rsidR="00486288" w:rsidRPr="00486288" w:rsidRDefault="00486288" w:rsidP="00486288">
            <w:pPr>
              <w:spacing w:before="0" w:after="0"/>
              <w:jc w:val="left"/>
              <w:rPr>
                <w:rFonts w:eastAsia="Times New Roman"/>
                <w:noProof/>
                <w:color w:val="000000"/>
                <w:sz w:val="22"/>
                <w:lang w:eastAsia="en-IE"/>
              </w:rPr>
            </w:pPr>
            <w:r w:rsidRPr="00486288">
              <w:rPr>
                <w:rFonts w:eastAsia="Times New Roman"/>
                <w:noProof/>
                <w:color w:val="000000"/>
                <w:sz w:val="22"/>
                <w:lang w:eastAsia="en-IE"/>
              </w:rPr>
              <w:t>[</w:t>
            </w:r>
            <w:r w:rsidRPr="00486288">
              <w:rPr>
                <w:rFonts w:eastAsia="Times New Roman"/>
                <w:noProof/>
                <w:color w:val="000000"/>
                <w:sz w:val="18"/>
                <w:szCs w:val="18"/>
                <w:lang w:eastAsia="en-IE"/>
              </w:rPr>
              <w:t>XX.YY.YY.YY] successor LIFE programme</w:t>
            </w:r>
          </w:p>
        </w:tc>
        <w:tc>
          <w:tcPr>
            <w:tcW w:w="542" w:type="pct"/>
            <w:tcBorders>
              <w:top w:val="nil"/>
              <w:left w:val="nil"/>
              <w:bottom w:val="single" w:sz="8" w:space="0" w:color="auto"/>
              <w:right w:val="single" w:sz="8" w:space="0" w:color="auto"/>
            </w:tcBorders>
            <w:vAlign w:val="center"/>
            <w:hideMark/>
          </w:tcPr>
          <w:p w14:paraId="2B410AE6"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Commitments</w:t>
            </w:r>
          </w:p>
        </w:tc>
        <w:tc>
          <w:tcPr>
            <w:tcW w:w="343" w:type="pct"/>
            <w:tcBorders>
              <w:top w:val="nil"/>
              <w:left w:val="nil"/>
              <w:bottom w:val="single" w:sz="8" w:space="0" w:color="auto"/>
              <w:right w:val="single" w:sz="8" w:space="0" w:color="auto"/>
            </w:tcBorders>
            <w:vAlign w:val="center"/>
            <w:hideMark/>
          </w:tcPr>
          <w:p w14:paraId="794BD771"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(1a)</w:t>
            </w:r>
          </w:p>
        </w:tc>
        <w:tc>
          <w:tcPr>
            <w:tcW w:w="262" w:type="pct"/>
            <w:tcBorders>
              <w:top w:val="nil"/>
              <w:left w:val="nil"/>
              <w:bottom w:val="single" w:sz="8" w:space="0" w:color="auto"/>
              <w:right w:val="single" w:sz="8" w:space="0" w:color="auto"/>
            </w:tcBorders>
            <w:hideMark/>
          </w:tcPr>
          <w:p w14:paraId="6D950B99"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3.900</w:t>
            </w:r>
          </w:p>
        </w:tc>
        <w:tc>
          <w:tcPr>
            <w:tcW w:w="262" w:type="pct"/>
            <w:tcBorders>
              <w:top w:val="nil"/>
              <w:left w:val="nil"/>
              <w:bottom w:val="single" w:sz="8" w:space="0" w:color="auto"/>
              <w:right w:val="single" w:sz="8" w:space="0" w:color="auto"/>
            </w:tcBorders>
            <w:hideMark/>
          </w:tcPr>
          <w:p w14:paraId="09EAEF09"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2.900</w:t>
            </w:r>
          </w:p>
        </w:tc>
        <w:tc>
          <w:tcPr>
            <w:tcW w:w="262" w:type="pct"/>
            <w:tcBorders>
              <w:top w:val="nil"/>
              <w:left w:val="nil"/>
              <w:bottom w:val="single" w:sz="8" w:space="0" w:color="auto"/>
              <w:right w:val="single" w:sz="8" w:space="0" w:color="auto"/>
            </w:tcBorders>
            <w:hideMark/>
          </w:tcPr>
          <w:p w14:paraId="14E0E8E4"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3.400</w:t>
            </w:r>
          </w:p>
        </w:tc>
        <w:tc>
          <w:tcPr>
            <w:tcW w:w="262" w:type="pct"/>
            <w:tcBorders>
              <w:top w:val="nil"/>
              <w:left w:val="nil"/>
              <w:bottom w:val="single" w:sz="8" w:space="0" w:color="auto"/>
              <w:right w:val="single" w:sz="8" w:space="0" w:color="auto"/>
            </w:tcBorders>
            <w:hideMark/>
          </w:tcPr>
          <w:p w14:paraId="13532449"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2.600</w:t>
            </w:r>
          </w:p>
        </w:tc>
        <w:tc>
          <w:tcPr>
            <w:tcW w:w="262" w:type="pct"/>
            <w:tcBorders>
              <w:top w:val="nil"/>
              <w:left w:val="nil"/>
              <w:bottom w:val="single" w:sz="8" w:space="0" w:color="auto"/>
              <w:right w:val="single" w:sz="8" w:space="0" w:color="auto"/>
            </w:tcBorders>
            <w:hideMark/>
          </w:tcPr>
          <w:p w14:paraId="77A3B37F"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5.200</w:t>
            </w:r>
          </w:p>
        </w:tc>
        <w:tc>
          <w:tcPr>
            <w:tcW w:w="262" w:type="pct"/>
            <w:tcBorders>
              <w:top w:val="nil"/>
              <w:left w:val="nil"/>
              <w:bottom w:val="single" w:sz="8" w:space="0" w:color="auto"/>
              <w:right w:val="single" w:sz="8" w:space="0" w:color="auto"/>
            </w:tcBorders>
            <w:hideMark/>
          </w:tcPr>
          <w:p w14:paraId="5E2A0B11"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2.600</w:t>
            </w:r>
          </w:p>
        </w:tc>
        <w:tc>
          <w:tcPr>
            <w:tcW w:w="262" w:type="pct"/>
            <w:tcBorders>
              <w:top w:val="nil"/>
              <w:left w:val="nil"/>
              <w:bottom w:val="single" w:sz="8" w:space="0" w:color="auto"/>
              <w:right w:val="single" w:sz="8" w:space="0" w:color="auto"/>
            </w:tcBorders>
            <w:hideMark/>
          </w:tcPr>
          <w:p w14:paraId="0DF775CD"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1.800</w:t>
            </w:r>
          </w:p>
        </w:tc>
        <w:tc>
          <w:tcPr>
            <w:tcW w:w="1030" w:type="pct"/>
            <w:tcBorders>
              <w:top w:val="nil"/>
              <w:left w:val="nil"/>
              <w:bottom w:val="single" w:sz="8" w:space="0" w:color="auto"/>
              <w:right w:val="single" w:sz="8" w:space="0" w:color="auto"/>
            </w:tcBorders>
            <w:shd w:val="clear" w:color="000000" w:fill="D9D9D9"/>
            <w:hideMark/>
          </w:tcPr>
          <w:p w14:paraId="696EFF27"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22.400</w:t>
            </w:r>
          </w:p>
        </w:tc>
      </w:tr>
      <w:tr w:rsidR="00486288" w:rsidRPr="00486288" w14:paraId="007602C8" w14:textId="77777777" w:rsidTr="00445C9D">
        <w:trPr>
          <w:trHeight w:val="300"/>
        </w:trPr>
        <w:tc>
          <w:tcPr>
            <w:tcW w:w="1252" w:type="pct"/>
            <w:vMerge/>
            <w:tcBorders>
              <w:top w:val="nil"/>
              <w:left w:val="single" w:sz="8" w:space="0" w:color="auto"/>
              <w:bottom w:val="single" w:sz="8" w:space="0" w:color="000000"/>
              <w:right w:val="single" w:sz="8" w:space="0" w:color="auto"/>
            </w:tcBorders>
            <w:vAlign w:val="center"/>
            <w:hideMark/>
          </w:tcPr>
          <w:p w14:paraId="37FF8219" w14:textId="77777777" w:rsidR="00486288" w:rsidRPr="00486288" w:rsidRDefault="00486288" w:rsidP="00486288">
            <w:pPr>
              <w:spacing w:before="0" w:after="0"/>
              <w:jc w:val="left"/>
              <w:rPr>
                <w:rFonts w:eastAsia="Times New Roman"/>
                <w:noProof/>
                <w:color w:val="000000"/>
                <w:sz w:val="22"/>
                <w:lang w:val="en-IE" w:eastAsia="en-IE"/>
              </w:rPr>
            </w:pPr>
          </w:p>
        </w:tc>
        <w:tc>
          <w:tcPr>
            <w:tcW w:w="542" w:type="pct"/>
            <w:tcBorders>
              <w:top w:val="nil"/>
              <w:left w:val="nil"/>
              <w:bottom w:val="single" w:sz="8" w:space="0" w:color="auto"/>
              <w:right w:val="single" w:sz="8" w:space="0" w:color="auto"/>
            </w:tcBorders>
            <w:vAlign w:val="center"/>
            <w:hideMark/>
          </w:tcPr>
          <w:p w14:paraId="602ED59E"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Payments</w:t>
            </w:r>
          </w:p>
        </w:tc>
        <w:tc>
          <w:tcPr>
            <w:tcW w:w="343" w:type="pct"/>
            <w:tcBorders>
              <w:top w:val="nil"/>
              <w:left w:val="nil"/>
              <w:bottom w:val="single" w:sz="8" w:space="0" w:color="auto"/>
              <w:right w:val="single" w:sz="8" w:space="0" w:color="auto"/>
            </w:tcBorders>
            <w:vAlign w:val="center"/>
            <w:hideMark/>
          </w:tcPr>
          <w:p w14:paraId="7FC5F4BF"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(2a)</w:t>
            </w:r>
          </w:p>
        </w:tc>
        <w:tc>
          <w:tcPr>
            <w:tcW w:w="262" w:type="pct"/>
            <w:tcBorders>
              <w:top w:val="nil"/>
              <w:left w:val="nil"/>
              <w:bottom w:val="single" w:sz="8" w:space="0" w:color="auto"/>
              <w:right w:val="single" w:sz="8" w:space="0" w:color="auto"/>
            </w:tcBorders>
            <w:hideMark/>
          </w:tcPr>
          <w:p w14:paraId="684B483C" w14:textId="77777777" w:rsidR="00486288" w:rsidRPr="00486288" w:rsidRDefault="00486288" w:rsidP="00486288">
            <w:pPr>
              <w:spacing w:before="0" w:after="0"/>
              <w:jc w:val="right"/>
              <w:rPr>
                <w:rFonts w:eastAsia="Times New Roman"/>
                <w:noProof/>
                <w:color w:val="000000"/>
                <w:sz w:val="18"/>
                <w:szCs w:val="18"/>
                <w:lang w:val="en-IE" w:eastAsia="en-IE"/>
              </w:rPr>
            </w:pPr>
          </w:p>
        </w:tc>
        <w:tc>
          <w:tcPr>
            <w:tcW w:w="262" w:type="pct"/>
            <w:tcBorders>
              <w:top w:val="nil"/>
              <w:left w:val="nil"/>
              <w:bottom w:val="single" w:sz="8" w:space="0" w:color="auto"/>
              <w:right w:val="single" w:sz="8" w:space="0" w:color="auto"/>
            </w:tcBorders>
            <w:hideMark/>
          </w:tcPr>
          <w:p w14:paraId="2B1F0196"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3.900</w:t>
            </w:r>
          </w:p>
        </w:tc>
        <w:tc>
          <w:tcPr>
            <w:tcW w:w="262" w:type="pct"/>
            <w:tcBorders>
              <w:top w:val="nil"/>
              <w:left w:val="nil"/>
              <w:bottom w:val="single" w:sz="8" w:space="0" w:color="auto"/>
              <w:right w:val="single" w:sz="8" w:space="0" w:color="auto"/>
            </w:tcBorders>
            <w:hideMark/>
          </w:tcPr>
          <w:p w14:paraId="5F8C9E86"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2.900</w:t>
            </w:r>
          </w:p>
        </w:tc>
        <w:tc>
          <w:tcPr>
            <w:tcW w:w="262" w:type="pct"/>
            <w:tcBorders>
              <w:top w:val="nil"/>
              <w:left w:val="nil"/>
              <w:bottom w:val="single" w:sz="8" w:space="0" w:color="auto"/>
              <w:right w:val="single" w:sz="8" w:space="0" w:color="auto"/>
            </w:tcBorders>
            <w:hideMark/>
          </w:tcPr>
          <w:p w14:paraId="30AA5C03"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3.400</w:t>
            </w:r>
          </w:p>
        </w:tc>
        <w:tc>
          <w:tcPr>
            <w:tcW w:w="262" w:type="pct"/>
            <w:tcBorders>
              <w:top w:val="nil"/>
              <w:left w:val="nil"/>
              <w:bottom w:val="single" w:sz="8" w:space="0" w:color="auto"/>
              <w:right w:val="single" w:sz="8" w:space="0" w:color="auto"/>
            </w:tcBorders>
            <w:hideMark/>
          </w:tcPr>
          <w:p w14:paraId="1298B70F"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2.600</w:t>
            </w:r>
          </w:p>
        </w:tc>
        <w:tc>
          <w:tcPr>
            <w:tcW w:w="262" w:type="pct"/>
            <w:tcBorders>
              <w:top w:val="nil"/>
              <w:left w:val="nil"/>
              <w:bottom w:val="single" w:sz="8" w:space="0" w:color="auto"/>
              <w:right w:val="single" w:sz="8" w:space="0" w:color="auto"/>
            </w:tcBorders>
            <w:hideMark/>
          </w:tcPr>
          <w:p w14:paraId="07B3775F"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5.200</w:t>
            </w:r>
          </w:p>
        </w:tc>
        <w:tc>
          <w:tcPr>
            <w:tcW w:w="262" w:type="pct"/>
            <w:tcBorders>
              <w:top w:val="nil"/>
              <w:left w:val="nil"/>
              <w:bottom w:val="single" w:sz="8" w:space="0" w:color="auto"/>
              <w:right w:val="single" w:sz="8" w:space="0" w:color="auto"/>
            </w:tcBorders>
            <w:hideMark/>
          </w:tcPr>
          <w:p w14:paraId="0AF71E7A"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2.600</w:t>
            </w:r>
          </w:p>
        </w:tc>
        <w:tc>
          <w:tcPr>
            <w:tcW w:w="1030" w:type="pct"/>
            <w:tcBorders>
              <w:top w:val="nil"/>
              <w:left w:val="nil"/>
              <w:bottom w:val="single" w:sz="8" w:space="0" w:color="auto"/>
              <w:right w:val="single" w:sz="8" w:space="0" w:color="auto"/>
            </w:tcBorders>
            <w:shd w:val="clear" w:color="000000" w:fill="D9D9D9"/>
            <w:hideMark/>
          </w:tcPr>
          <w:p w14:paraId="4558F32E"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20.600</w:t>
            </w:r>
          </w:p>
        </w:tc>
      </w:tr>
      <w:tr w:rsidR="00486288" w:rsidRPr="00486288" w14:paraId="59D9C0B2" w14:textId="77777777" w:rsidTr="00445C9D">
        <w:trPr>
          <w:trHeight w:val="470"/>
        </w:trPr>
        <w:tc>
          <w:tcPr>
            <w:tcW w:w="1252" w:type="pct"/>
            <w:vMerge w:val="restart"/>
            <w:tcBorders>
              <w:top w:val="nil"/>
              <w:left w:val="single" w:sz="8" w:space="0" w:color="auto"/>
              <w:bottom w:val="single" w:sz="8" w:space="0" w:color="000000"/>
              <w:right w:val="single" w:sz="8" w:space="0" w:color="auto"/>
            </w:tcBorders>
            <w:vAlign w:val="center"/>
            <w:hideMark/>
          </w:tcPr>
          <w:p w14:paraId="4A5568AE" w14:textId="77777777" w:rsidR="00486288" w:rsidRPr="00486288" w:rsidRDefault="00486288" w:rsidP="00486288">
            <w:pPr>
              <w:spacing w:before="0" w:after="0"/>
              <w:rPr>
                <w:rFonts w:eastAsia="Times New Roman"/>
                <w:noProof/>
                <w:color w:val="000000"/>
                <w:sz w:val="20"/>
                <w:szCs w:val="20"/>
                <w:lang w:val="en-IE" w:eastAsia="en-IE"/>
              </w:rPr>
            </w:pPr>
            <w:r w:rsidRPr="00486288">
              <w:rPr>
                <w:rFonts w:eastAsia="Times New Roman"/>
                <w:noProof/>
                <w:color w:val="000000"/>
                <w:sz w:val="20"/>
                <w:szCs w:val="20"/>
                <w:lang w:val="en-IE" w:eastAsia="en-IE"/>
              </w:rPr>
              <w:t>Budget line</w:t>
            </w:r>
          </w:p>
        </w:tc>
        <w:tc>
          <w:tcPr>
            <w:tcW w:w="542" w:type="pct"/>
            <w:tcBorders>
              <w:top w:val="nil"/>
              <w:left w:val="nil"/>
              <w:bottom w:val="single" w:sz="8" w:space="0" w:color="auto"/>
              <w:right w:val="single" w:sz="8" w:space="0" w:color="auto"/>
            </w:tcBorders>
            <w:vAlign w:val="center"/>
            <w:hideMark/>
          </w:tcPr>
          <w:p w14:paraId="499DB3A1"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Commitments</w:t>
            </w:r>
          </w:p>
        </w:tc>
        <w:tc>
          <w:tcPr>
            <w:tcW w:w="343" w:type="pct"/>
            <w:tcBorders>
              <w:top w:val="nil"/>
              <w:left w:val="nil"/>
              <w:bottom w:val="single" w:sz="8" w:space="0" w:color="auto"/>
              <w:right w:val="single" w:sz="8" w:space="0" w:color="auto"/>
            </w:tcBorders>
            <w:vAlign w:val="center"/>
            <w:hideMark/>
          </w:tcPr>
          <w:p w14:paraId="4200F351"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(1b)</w:t>
            </w:r>
          </w:p>
        </w:tc>
        <w:tc>
          <w:tcPr>
            <w:tcW w:w="262" w:type="pct"/>
            <w:tcBorders>
              <w:top w:val="nil"/>
              <w:left w:val="nil"/>
              <w:bottom w:val="single" w:sz="8" w:space="0" w:color="auto"/>
              <w:right w:val="single" w:sz="8" w:space="0" w:color="auto"/>
            </w:tcBorders>
            <w:vAlign w:val="center"/>
            <w:hideMark/>
          </w:tcPr>
          <w:p w14:paraId="39833D5F"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7AD64245"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08B94C54"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47B1DE59"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0DABE024"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15C27675"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604734E1"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1030" w:type="pct"/>
            <w:tcBorders>
              <w:top w:val="nil"/>
              <w:left w:val="nil"/>
              <w:bottom w:val="single" w:sz="8" w:space="0" w:color="auto"/>
              <w:right w:val="single" w:sz="8" w:space="0" w:color="auto"/>
            </w:tcBorders>
            <w:shd w:val="clear" w:color="000000" w:fill="D9D9D9"/>
            <w:vAlign w:val="center"/>
            <w:hideMark/>
          </w:tcPr>
          <w:p w14:paraId="26C4756E" w14:textId="77777777" w:rsidR="00486288" w:rsidRPr="00486288" w:rsidRDefault="00486288" w:rsidP="00486288">
            <w:pPr>
              <w:spacing w:before="0" w:after="0"/>
              <w:jc w:val="right"/>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0</w:t>
            </w:r>
          </w:p>
        </w:tc>
      </w:tr>
      <w:tr w:rsidR="00486288" w:rsidRPr="00486288" w14:paraId="782C504B" w14:textId="77777777" w:rsidTr="00445C9D">
        <w:trPr>
          <w:trHeight w:val="300"/>
        </w:trPr>
        <w:tc>
          <w:tcPr>
            <w:tcW w:w="1252" w:type="pct"/>
            <w:vMerge/>
            <w:tcBorders>
              <w:top w:val="nil"/>
              <w:left w:val="single" w:sz="8" w:space="0" w:color="auto"/>
              <w:bottom w:val="single" w:sz="8" w:space="0" w:color="000000"/>
              <w:right w:val="single" w:sz="8" w:space="0" w:color="auto"/>
            </w:tcBorders>
            <w:vAlign w:val="center"/>
            <w:hideMark/>
          </w:tcPr>
          <w:p w14:paraId="11C24E4C" w14:textId="77777777" w:rsidR="00486288" w:rsidRPr="00486288" w:rsidRDefault="00486288" w:rsidP="00486288">
            <w:pPr>
              <w:spacing w:before="0" w:after="0"/>
              <w:jc w:val="left"/>
              <w:rPr>
                <w:rFonts w:eastAsia="Times New Roman"/>
                <w:noProof/>
                <w:color w:val="000000"/>
                <w:sz w:val="20"/>
                <w:szCs w:val="20"/>
                <w:lang w:val="en-IE" w:eastAsia="en-IE"/>
              </w:rPr>
            </w:pPr>
          </w:p>
        </w:tc>
        <w:tc>
          <w:tcPr>
            <w:tcW w:w="542" w:type="pct"/>
            <w:tcBorders>
              <w:top w:val="nil"/>
              <w:left w:val="nil"/>
              <w:bottom w:val="single" w:sz="8" w:space="0" w:color="auto"/>
              <w:right w:val="single" w:sz="8" w:space="0" w:color="auto"/>
            </w:tcBorders>
            <w:vAlign w:val="center"/>
            <w:hideMark/>
          </w:tcPr>
          <w:p w14:paraId="66428715"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Payments</w:t>
            </w:r>
          </w:p>
        </w:tc>
        <w:tc>
          <w:tcPr>
            <w:tcW w:w="343" w:type="pct"/>
            <w:tcBorders>
              <w:top w:val="nil"/>
              <w:left w:val="nil"/>
              <w:bottom w:val="single" w:sz="8" w:space="0" w:color="auto"/>
              <w:right w:val="single" w:sz="8" w:space="0" w:color="auto"/>
            </w:tcBorders>
            <w:vAlign w:val="center"/>
            <w:hideMark/>
          </w:tcPr>
          <w:p w14:paraId="214529CA"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(2b)</w:t>
            </w:r>
          </w:p>
        </w:tc>
        <w:tc>
          <w:tcPr>
            <w:tcW w:w="262" w:type="pct"/>
            <w:tcBorders>
              <w:top w:val="nil"/>
              <w:left w:val="nil"/>
              <w:bottom w:val="single" w:sz="8" w:space="0" w:color="auto"/>
              <w:right w:val="single" w:sz="8" w:space="0" w:color="auto"/>
            </w:tcBorders>
            <w:vAlign w:val="center"/>
            <w:hideMark/>
          </w:tcPr>
          <w:p w14:paraId="7560F934"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24454364"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103724C7"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2E8AAAC7"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18C66EE2"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0F989EBC"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6D0E4279"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1030" w:type="pct"/>
            <w:tcBorders>
              <w:top w:val="nil"/>
              <w:left w:val="nil"/>
              <w:bottom w:val="single" w:sz="8" w:space="0" w:color="auto"/>
              <w:right w:val="single" w:sz="8" w:space="0" w:color="auto"/>
            </w:tcBorders>
            <w:shd w:val="clear" w:color="000000" w:fill="D9D9D9"/>
            <w:vAlign w:val="center"/>
            <w:hideMark/>
          </w:tcPr>
          <w:p w14:paraId="5719144A" w14:textId="77777777" w:rsidR="00486288" w:rsidRPr="00486288" w:rsidRDefault="00486288" w:rsidP="00486288">
            <w:pPr>
              <w:spacing w:before="0" w:after="0"/>
              <w:jc w:val="right"/>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0</w:t>
            </w:r>
          </w:p>
        </w:tc>
      </w:tr>
      <w:tr w:rsidR="00486288" w:rsidRPr="00486288" w14:paraId="4BB5BF0B" w14:textId="77777777" w:rsidTr="00445C9D">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14:paraId="57113F49" w14:textId="77777777" w:rsidR="00486288" w:rsidRPr="00486288" w:rsidRDefault="00486288" w:rsidP="00486288">
            <w:pPr>
              <w:spacing w:before="0" w:after="0"/>
              <w:jc w:val="left"/>
              <w:rPr>
                <w:rFonts w:eastAsia="Times New Roman"/>
                <w:noProof/>
                <w:sz w:val="22"/>
                <w:lang w:val="en-IE" w:eastAsia="en-IE"/>
              </w:rPr>
            </w:pPr>
            <w:r w:rsidRPr="00486288">
              <w:rPr>
                <w:rFonts w:eastAsia="Times New Roman"/>
                <w:noProof/>
                <w:sz w:val="22"/>
                <w:lang w:val="en-IE" w:eastAsia="en-IE"/>
              </w:rPr>
              <w:t>Appropriations of an administrative nature financed from the envelope of specific programmes</w:t>
            </w:r>
            <w:r w:rsidR="00E67DD0">
              <w:rPr>
                <w:rStyle w:val="FootnoteReference"/>
                <w:rFonts w:eastAsia="Times New Roman"/>
                <w:noProof/>
                <w:sz w:val="22"/>
                <w:lang w:val="en-IE" w:eastAsia="en-IE"/>
              </w:rPr>
              <w:footnoteReference w:id="86"/>
            </w:r>
          </w:p>
        </w:tc>
      </w:tr>
      <w:tr w:rsidR="00486288" w:rsidRPr="00486288" w14:paraId="1CD45220" w14:textId="77777777" w:rsidTr="00445C9D">
        <w:trPr>
          <w:trHeight w:val="530"/>
        </w:trPr>
        <w:tc>
          <w:tcPr>
            <w:tcW w:w="1252" w:type="pct"/>
            <w:tcBorders>
              <w:top w:val="nil"/>
              <w:left w:val="single" w:sz="8" w:space="0" w:color="auto"/>
              <w:bottom w:val="single" w:sz="8" w:space="0" w:color="auto"/>
              <w:right w:val="single" w:sz="8" w:space="0" w:color="auto"/>
            </w:tcBorders>
            <w:vAlign w:val="center"/>
            <w:hideMark/>
          </w:tcPr>
          <w:p w14:paraId="166ED593" w14:textId="77777777" w:rsidR="00486288" w:rsidRPr="00486288" w:rsidRDefault="00486288" w:rsidP="00486288">
            <w:pPr>
              <w:spacing w:before="0" w:after="0"/>
              <w:rPr>
                <w:rFonts w:eastAsia="Times New Roman"/>
                <w:noProof/>
                <w:color w:val="000000"/>
                <w:sz w:val="20"/>
                <w:szCs w:val="20"/>
                <w:lang w:val="en-IE" w:eastAsia="en-IE"/>
              </w:rPr>
            </w:pPr>
            <w:r w:rsidRPr="00486288">
              <w:rPr>
                <w:rFonts w:eastAsia="Times New Roman"/>
                <w:noProof/>
                <w:color w:val="000000"/>
                <w:sz w:val="20"/>
                <w:szCs w:val="20"/>
                <w:lang w:val="en-IE" w:eastAsia="en-IE"/>
              </w:rPr>
              <w:t>Budget line</w:t>
            </w:r>
          </w:p>
        </w:tc>
        <w:tc>
          <w:tcPr>
            <w:tcW w:w="542" w:type="pct"/>
            <w:tcBorders>
              <w:top w:val="nil"/>
              <w:left w:val="nil"/>
              <w:bottom w:val="single" w:sz="8" w:space="0" w:color="auto"/>
              <w:right w:val="single" w:sz="8" w:space="0" w:color="auto"/>
            </w:tcBorders>
            <w:vAlign w:val="center"/>
            <w:hideMark/>
          </w:tcPr>
          <w:p w14:paraId="3504344E" w14:textId="77777777" w:rsidR="00486288" w:rsidRPr="00486288" w:rsidRDefault="00486288" w:rsidP="00486288">
            <w:pPr>
              <w:spacing w:before="0" w:after="0"/>
              <w:jc w:val="right"/>
              <w:rPr>
                <w:rFonts w:eastAsia="Times New Roman"/>
                <w:noProof/>
                <w:color w:val="000000"/>
                <w:sz w:val="18"/>
                <w:szCs w:val="18"/>
                <w:lang w:val="en-IE" w:eastAsia="en-IE"/>
              </w:rPr>
            </w:pPr>
          </w:p>
        </w:tc>
        <w:tc>
          <w:tcPr>
            <w:tcW w:w="343" w:type="pct"/>
            <w:tcBorders>
              <w:top w:val="nil"/>
              <w:left w:val="nil"/>
              <w:bottom w:val="single" w:sz="8" w:space="0" w:color="auto"/>
              <w:right w:val="single" w:sz="8" w:space="0" w:color="auto"/>
            </w:tcBorders>
            <w:vAlign w:val="center"/>
            <w:hideMark/>
          </w:tcPr>
          <w:p w14:paraId="7D576E3F"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(3)</w:t>
            </w:r>
          </w:p>
        </w:tc>
        <w:tc>
          <w:tcPr>
            <w:tcW w:w="262" w:type="pct"/>
            <w:tcBorders>
              <w:top w:val="nil"/>
              <w:left w:val="nil"/>
              <w:bottom w:val="single" w:sz="8" w:space="0" w:color="auto"/>
              <w:right w:val="single" w:sz="8" w:space="0" w:color="auto"/>
            </w:tcBorders>
            <w:vAlign w:val="center"/>
            <w:hideMark/>
          </w:tcPr>
          <w:p w14:paraId="1E2D65E4" w14:textId="77777777" w:rsidR="00486288" w:rsidRPr="00486288" w:rsidRDefault="00486288" w:rsidP="00486288">
            <w:pPr>
              <w:spacing w:before="0" w:after="0"/>
              <w:jc w:val="right"/>
              <w:rPr>
                <w:rFonts w:eastAsia="Times New Roman"/>
                <w:b/>
                <w:bCs/>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4EAAB12C" w14:textId="77777777" w:rsidR="00486288" w:rsidRPr="00486288" w:rsidRDefault="00486288" w:rsidP="00486288">
            <w:pPr>
              <w:spacing w:before="0" w:after="0"/>
              <w:jc w:val="right"/>
              <w:rPr>
                <w:rFonts w:eastAsia="Times New Roman"/>
                <w:b/>
                <w:bCs/>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055BBA8E" w14:textId="77777777" w:rsidR="00486288" w:rsidRPr="00486288" w:rsidRDefault="00486288" w:rsidP="00486288">
            <w:pPr>
              <w:spacing w:before="0" w:after="0"/>
              <w:jc w:val="right"/>
              <w:rPr>
                <w:rFonts w:eastAsia="Times New Roman"/>
                <w:b/>
                <w:bCs/>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2B109DB3" w14:textId="77777777" w:rsidR="00486288" w:rsidRPr="00486288" w:rsidRDefault="00486288" w:rsidP="00486288">
            <w:pPr>
              <w:spacing w:before="0" w:after="0"/>
              <w:jc w:val="right"/>
              <w:rPr>
                <w:rFonts w:eastAsia="Times New Roman"/>
                <w:b/>
                <w:bCs/>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377E93C6" w14:textId="77777777" w:rsidR="00486288" w:rsidRPr="00486288" w:rsidRDefault="00486288" w:rsidP="00486288">
            <w:pPr>
              <w:spacing w:before="0" w:after="0"/>
              <w:jc w:val="right"/>
              <w:rPr>
                <w:rFonts w:eastAsia="Times New Roman"/>
                <w:b/>
                <w:bCs/>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0DF7F22B" w14:textId="77777777" w:rsidR="00486288" w:rsidRPr="00486288" w:rsidRDefault="00486288" w:rsidP="00486288">
            <w:pPr>
              <w:spacing w:before="0" w:after="0"/>
              <w:jc w:val="right"/>
              <w:rPr>
                <w:rFonts w:eastAsia="Times New Roman"/>
                <w:b/>
                <w:bCs/>
                <w:noProof/>
                <w:color w:val="000000"/>
                <w:sz w:val="20"/>
                <w:szCs w:val="20"/>
                <w:lang w:val="en-IE" w:eastAsia="en-IE"/>
              </w:rPr>
            </w:pPr>
          </w:p>
        </w:tc>
        <w:tc>
          <w:tcPr>
            <w:tcW w:w="262" w:type="pct"/>
            <w:tcBorders>
              <w:top w:val="nil"/>
              <w:left w:val="nil"/>
              <w:bottom w:val="single" w:sz="8" w:space="0" w:color="auto"/>
              <w:right w:val="single" w:sz="8" w:space="0" w:color="auto"/>
            </w:tcBorders>
            <w:vAlign w:val="center"/>
            <w:hideMark/>
          </w:tcPr>
          <w:p w14:paraId="7C1209EC" w14:textId="77777777" w:rsidR="00486288" w:rsidRPr="00486288" w:rsidRDefault="00486288" w:rsidP="00486288">
            <w:pPr>
              <w:spacing w:before="0" w:after="0"/>
              <w:jc w:val="right"/>
              <w:rPr>
                <w:rFonts w:eastAsia="Times New Roman"/>
                <w:b/>
                <w:bCs/>
                <w:noProof/>
                <w:color w:val="000000"/>
                <w:sz w:val="20"/>
                <w:szCs w:val="20"/>
                <w:lang w:val="en-IE" w:eastAsia="en-IE"/>
              </w:rPr>
            </w:pPr>
          </w:p>
        </w:tc>
        <w:tc>
          <w:tcPr>
            <w:tcW w:w="1030" w:type="pct"/>
            <w:tcBorders>
              <w:top w:val="nil"/>
              <w:left w:val="nil"/>
              <w:bottom w:val="single" w:sz="8" w:space="0" w:color="auto"/>
              <w:right w:val="single" w:sz="8" w:space="0" w:color="auto"/>
            </w:tcBorders>
            <w:shd w:val="clear" w:color="000000" w:fill="D9D9D9"/>
            <w:vAlign w:val="center"/>
            <w:hideMark/>
          </w:tcPr>
          <w:p w14:paraId="5B13ACAD" w14:textId="77777777" w:rsidR="00486288" w:rsidRPr="00486288" w:rsidRDefault="00486288" w:rsidP="00486288">
            <w:pPr>
              <w:spacing w:before="0" w:after="0"/>
              <w:jc w:val="right"/>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0</w:t>
            </w:r>
          </w:p>
        </w:tc>
      </w:tr>
      <w:tr w:rsidR="00486288" w:rsidRPr="00486288" w14:paraId="6A104C6B" w14:textId="77777777" w:rsidTr="00445C9D">
        <w:trPr>
          <w:trHeight w:val="850"/>
        </w:trPr>
        <w:tc>
          <w:tcPr>
            <w:tcW w:w="1252" w:type="pct"/>
            <w:tcBorders>
              <w:top w:val="nil"/>
              <w:left w:val="single" w:sz="8" w:space="0" w:color="auto"/>
              <w:bottom w:val="nil"/>
              <w:right w:val="single" w:sz="8" w:space="0" w:color="auto"/>
            </w:tcBorders>
            <w:vAlign w:val="center"/>
            <w:hideMark/>
          </w:tcPr>
          <w:p w14:paraId="185F50F9" w14:textId="77777777" w:rsidR="00486288" w:rsidRPr="00486288" w:rsidRDefault="00486288" w:rsidP="00486288">
            <w:pPr>
              <w:spacing w:before="0" w:after="0"/>
              <w:jc w:val="center"/>
              <w:rPr>
                <w:rFonts w:eastAsia="Times New Roman"/>
                <w:b/>
                <w:bCs/>
                <w:noProof/>
                <w:color w:val="000000"/>
                <w:sz w:val="22"/>
                <w:lang w:val="en-IE" w:eastAsia="en-IE"/>
              </w:rPr>
            </w:pPr>
            <w:r w:rsidRPr="00486288">
              <w:rPr>
                <w:rFonts w:eastAsia="Times New Roman"/>
                <w:b/>
                <w:bCs/>
                <w:noProof/>
                <w:color w:val="000000"/>
                <w:sz w:val="22"/>
                <w:lang w:val="en-IE" w:eastAsia="en-IE"/>
              </w:rPr>
              <w:t>TOTAL appropriations</w:t>
            </w:r>
          </w:p>
        </w:tc>
        <w:tc>
          <w:tcPr>
            <w:tcW w:w="542" w:type="pct"/>
            <w:tcBorders>
              <w:top w:val="nil"/>
              <w:left w:val="nil"/>
              <w:bottom w:val="single" w:sz="8" w:space="0" w:color="auto"/>
              <w:right w:val="single" w:sz="8" w:space="0" w:color="auto"/>
            </w:tcBorders>
            <w:vAlign w:val="center"/>
            <w:hideMark/>
          </w:tcPr>
          <w:p w14:paraId="1BB20E8A"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Commitments</w:t>
            </w:r>
          </w:p>
        </w:tc>
        <w:tc>
          <w:tcPr>
            <w:tcW w:w="343" w:type="pct"/>
            <w:tcBorders>
              <w:top w:val="nil"/>
              <w:left w:val="nil"/>
              <w:bottom w:val="single" w:sz="8" w:space="0" w:color="auto"/>
              <w:right w:val="single" w:sz="8" w:space="0" w:color="auto"/>
            </w:tcBorders>
            <w:vAlign w:val="center"/>
            <w:hideMark/>
          </w:tcPr>
          <w:p w14:paraId="18E492CF"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=1a+1b+3</w:t>
            </w:r>
          </w:p>
        </w:tc>
        <w:tc>
          <w:tcPr>
            <w:tcW w:w="262" w:type="pct"/>
            <w:tcBorders>
              <w:top w:val="nil"/>
              <w:left w:val="nil"/>
              <w:bottom w:val="single" w:sz="8" w:space="0" w:color="auto"/>
              <w:right w:val="single" w:sz="8" w:space="0" w:color="auto"/>
            </w:tcBorders>
            <w:shd w:val="clear" w:color="000000" w:fill="D9D9D9"/>
            <w:hideMark/>
          </w:tcPr>
          <w:p w14:paraId="13E0DE67"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3.900</w:t>
            </w:r>
          </w:p>
        </w:tc>
        <w:tc>
          <w:tcPr>
            <w:tcW w:w="262" w:type="pct"/>
            <w:tcBorders>
              <w:top w:val="nil"/>
              <w:left w:val="nil"/>
              <w:bottom w:val="single" w:sz="8" w:space="0" w:color="auto"/>
              <w:right w:val="single" w:sz="8" w:space="0" w:color="auto"/>
            </w:tcBorders>
            <w:shd w:val="clear" w:color="000000" w:fill="D9D9D9"/>
            <w:hideMark/>
          </w:tcPr>
          <w:p w14:paraId="34C0C8AC"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2.900</w:t>
            </w:r>
          </w:p>
        </w:tc>
        <w:tc>
          <w:tcPr>
            <w:tcW w:w="262" w:type="pct"/>
            <w:tcBorders>
              <w:top w:val="nil"/>
              <w:left w:val="nil"/>
              <w:bottom w:val="single" w:sz="8" w:space="0" w:color="auto"/>
              <w:right w:val="single" w:sz="8" w:space="0" w:color="auto"/>
            </w:tcBorders>
            <w:shd w:val="clear" w:color="000000" w:fill="D9D9D9"/>
            <w:hideMark/>
          </w:tcPr>
          <w:p w14:paraId="62DF2B40"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3.400</w:t>
            </w:r>
          </w:p>
        </w:tc>
        <w:tc>
          <w:tcPr>
            <w:tcW w:w="262" w:type="pct"/>
            <w:tcBorders>
              <w:top w:val="nil"/>
              <w:left w:val="nil"/>
              <w:bottom w:val="single" w:sz="8" w:space="0" w:color="auto"/>
              <w:right w:val="single" w:sz="8" w:space="0" w:color="auto"/>
            </w:tcBorders>
            <w:shd w:val="clear" w:color="000000" w:fill="D9D9D9"/>
            <w:hideMark/>
          </w:tcPr>
          <w:p w14:paraId="268B1C01"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2.600</w:t>
            </w:r>
          </w:p>
        </w:tc>
        <w:tc>
          <w:tcPr>
            <w:tcW w:w="262" w:type="pct"/>
            <w:tcBorders>
              <w:top w:val="nil"/>
              <w:left w:val="nil"/>
              <w:bottom w:val="single" w:sz="8" w:space="0" w:color="auto"/>
              <w:right w:val="single" w:sz="8" w:space="0" w:color="auto"/>
            </w:tcBorders>
            <w:shd w:val="clear" w:color="000000" w:fill="D9D9D9"/>
            <w:hideMark/>
          </w:tcPr>
          <w:p w14:paraId="41BE1F77"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5.200</w:t>
            </w:r>
          </w:p>
        </w:tc>
        <w:tc>
          <w:tcPr>
            <w:tcW w:w="262" w:type="pct"/>
            <w:tcBorders>
              <w:top w:val="nil"/>
              <w:left w:val="nil"/>
              <w:bottom w:val="single" w:sz="8" w:space="0" w:color="auto"/>
              <w:right w:val="single" w:sz="8" w:space="0" w:color="auto"/>
            </w:tcBorders>
            <w:shd w:val="clear" w:color="000000" w:fill="D9D9D9"/>
            <w:hideMark/>
          </w:tcPr>
          <w:p w14:paraId="35C9EE8C"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2.600</w:t>
            </w:r>
          </w:p>
        </w:tc>
        <w:tc>
          <w:tcPr>
            <w:tcW w:w="262" w:type="pct"/>
            <w:tcBorders>
              <w:top w:val="nil"/>
              <w:left w:val="nil"/>
              <w:bottom w:val="single" w:sz="8" w:space="0" w:color="auto"/>
              <w:right w:val="single" w:sz="8" w:space="0" w:color="auto"/>
            </w:tcBorders>
            <w:shd w:val="clear" w:color="000000" w:fill="D9D9D9"/>
            <w:hideMark/>
          </w:tcPr>
          <w:p w14:paraId="1ED1544B"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1.800</w:t>
            </w:r>
          </w:p>
        </w:tc>
        <w:tc>
          <w:tcPr>
            <w:tcW w:w="1030" w:type="pct"/>
            <w:tcBorders>
              <w:top w:val="nil"/>
              <w:left w:val="nil"/>
              <w:bottom w:val="single" w:sz="8" w:space="0" w:color="auto"/>
              <w:right w:val="single" w:sz="8" w:space="0" w:color="auto"/>
            </w:tcBorders>
            <w:shd w:val="clear" w:color="000000" w:fill="D9D9D9"/>
            <w:hideMark/>
          </w:tcPr>
          <w:p w14:paraId="5F9B7625"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22.400</w:t>
            </w:r>
          </w:p>
        </w:tc>
      </w:tr>
      <w:tr w:rsidR="00486288" w:rsidRPr="00486288" w14:paraId="10E99489" w14:textId="77777777" w:rsidTr="00445C9D">
        <w:trPr>
          <w:trHeight w:val="570"/>
        </w:trPr>
        <w:tc>
          <w:tcPr>
            <w:tcW w:w="1252" w:type="pct"/>
            <w:tcBorders>
              <w:top w:val="nil"/>
              <w:left w:val="single" w:sz="8" w:space="0" w:color="auto"/>
              <w:bottom w:val="single" w:sz="8" w:space="0" w:color="auto"/>
              <w:right w:val="single" w:sz="8" w:space="0" w:color="auto"/>
            </w:tcBorders>
            <w:vAlign w:val="center"/>
            <w:hideMark/>
          </w:tcPr>
          <w:p w14:paraId="0E50A30E" w14:textId="77777777" w:rsidR="00486288" w:rsidRPr="00486288" w:rsidRDefault="00486288" w:rsidP="00486288">
            <w:pPr>
              <w:spacing w:before="0" w:after="0"/>
              <w:jc w:val="center"/>
              <w:rPr>
                <w:rFonts w:eastAsia="Times New Roman"/>
                <w:b/>
                <w:bCs/>
                <w:noProof/>
                <w:color w:val="000000"/>
                <w:sz w:val="22"/>
                <w:lang w:val="en-IE" w:eastAsia="en-IE"/>
              </w:rPr>
            </w:pPr>
            <w:r w:rsidRPr="00486288">
              <w:rPr>
                <w:rFonts w:eastAsia="Times New Roman"/>
                <w:b/>
                <w:bCs/>
                <w:noProof/>
                <w:color w:val="000000"/>
                <w:sz w:val="22"/>
                <w:lang w:val="en-IE" w:eastAsia="en-IE"/>
              </w:rPr>
              <w:t xml:space="preserve">for DG </w:t>
            </w:r>
            <w:r w:rsidRPr="00486288">
              <w:rPr>
                <w:rFonts w:eastAsia="Times New Roman"/>
                <w:noProof/>
                <w:color w:val="000000"/>
                <w:sz w:val="22"/>
                <w:lang w:val="en-IE" w:eastAsia="en-IE"/>
              </w:rPr>
              <w:t>&lt;CLIMA&gt;</w:t>
            </w:r>
          </w:p>
        </w:tc>
        <w:tc>
          <w:tcPr>
            <w:tcW w:w="542" w:type="pct"/>
            <w:tcBorders>
              <w:top w:val="nil"/>
              <w:left w:val="nil"/>
              <w:bottom w:val="single" w:sz="8" w:space="0" w:color="auto"/>
              <w:right w:val="single" w:sz="8" w:space="0" w:color="auto"/>
            </w:tcBorders>
            <w:vAlign w:val="center"/>
            <w:hideMark/>
          </w:tcPr>
          <w:p w14:paraId="468BFF11"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Payments</w:t>
            </w:r>
          </w:p>
        </w:tc>
        <w:tc>
          <w:tcPr>
            <w:tcW w:w="343" w:type="pct"/>
            <w:tcBorders>
              <w:top w:val="nil"/>
              <w:left w:val="nil"/>
              <w:bottom w:val="single" w:sz="8" w:space="0" w:color="auto"/>
              <w:right w:val="single" w:sz="8" w:space="0" w:color="auto"/>
            </w:tcBorders>
            <w:vAlign w:val="center"/>
            <w:hideMark/>
          </w:tcPr>
          <w:p w14:paraId="03C504BF"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=2a+2b+3</w:t>
            </w:r>
          </w:p>
        </w:tc>
        <w:tc>
          <w:tcPr>
            <w:tcW w:w="262" w:type="pct"/>
            <w:tcBorders>
              <w:top w:val="nil"/>
              <w:left w:val="nil"/>
              <w:bottom w:val="single" w:sz="8" w:space="0" w:color="auto"/>
              <w:right w:val="single" w:sz="8" w:space="0" w:color="auto"/>
            </w:tcBorders>
            <w:shd w:val="clear" w:color="000000" w:fill="D9D9D9"/>
            <w:hideMark/>
          </w:tcPr>
          <w:p w14:paraId="3853D77F"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0.000</w:t>
            </w:r>
          </w:p>
        </w:tc>
        <w:tc>
          <w:tcPr>
            <w:tcW w:w="262" w:type="pct"/>
            <w:tcBorders>
              <w:top w:val="nil"/>
              <w:left w:val="nil"/>
              <w:bottom w:val="single" w:sz="8" w:space="0" w:color="auto"/>
              <w:right w:val="single" w:sz="8" w:space="0" w:color="auto"/>
            </w:tcBorders>
            <w:shd w:val="clear" w:color="000000" w:fill="D9D9D9"/>
            <w:hideMark/>
          </w:tcPr>
          <w:p w14:paraId="037F0140"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3.900</w:t>
            </w:r>
          </w:p>
        </w:tc>
        <w:tc>
          <w:tcPr>
            <w:tcW w:w="262" w:type="pct"/>
            <w:tcBorders>
              <w:top w:val="nil"/>
              <w:left w:val="nil"/>
              <w:bottom w:val="single" w:sz="8" w:space="0" w:color="auto"/>
              <w:right w:val="single" w:sz="8" w:space="0" w:color="auto"/>
            </w:tcBorders>
            <w:shd w:val="clear" w:color="000000" w:fill="D9D9D9"/>
            <w:hideMark/>
          </w:tcPr>
          <w:p w14:paraId="3A5FAD1F"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2.900</w:t>
            </w:r>
          </w:p>
        </w:tc>
        <w:tc>
          <w:tcPr>
            <w:tcW w:w="262" w:type="pct"/>
            <w:tcBorders>
              <w:top w:val="nil"/>
              <w:left w:val="nil"/>
              <w:bottom w:val="single" w:sz="8" w:space="0" w:color="auto"/>
              <w:right w:val="single" w:sz="8" w:space="0" w:color="auto"/>
            </w:tcBorders>
            <w:shd w:val="clear" w:color="000000" w:fill="D9D9D9"/>
            <w:hideMark/>
          </w:tcPr>
          <w:p w14:paraId="038152EF"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3.400</w:t>
            </w:r>
          </w:p>
        </w:tc>
        <w:tc>
          <w:tcPr>
            <w:tcW w:w="262" w:type="pct"/>
            <w:tcBorders>
              <w:top w:val="nil"/>
              <w:left w:val="nil"/>
              <w:bottom w:val="single" w:sz="8" w:space="0" w:color="auto"/>
              <w:right w:val="single" w:sz="8" w:space="0" w:color="auto"/>
            </w:tcBorders>
            <w:shd w:val="clear" w:color="000000" w:fill="D9D9D9"/>
            <w:hideMark/>
          </w:tcPr>
          <w:p w14:paraId="1357580B"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2.600</w:t>
            </w:r>
          </w:p>
        </w:tc>
        <w:tc>
          <w:tcPr>
            <w:tcW w:w="262" w:type="pct"/>
            <w:tcBorders>
              <w:top w:val="nil"/>
              <w:left w:val="nil"/>
              <w:bottom w:val="single" w:sz="8" w:space="0" w:color="auto"/>
              <w:right w:val="single" w:sz="8" w:space="0" w:color="auto"/>
            </w:tcBorders>
            <w:shd w:val="clear" w:color="000000" w:fill="D9D9D9"/>
            <w:hideMark/>
          </w:tcPr>
          <w:p w14:paraId="18D960D6"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5.200</w:t>
            </w:r>
          </w:p>
        </w:tc>
        <w:tc>
          <w:tcPr>
            <w:tcW w:w="262" w:type="pct"/>
            <w:tcBorders>
              <w:top w:val="nil"/>
              <w:left w:val="nil"/>
              <w:bottom w:val="single" w:sz="8" w:space="0" w:color="auto"/>
              <w:right w:val="single" w:sz="8" w:space="0" w:color="auto"/>
            </w:tcBorders>
            <w:shd w:val="clear" w:color="000000" w:fill="D9D9D9"/>
            <w:hideMark/>
          </w:tcPr>
          <w:p w14:paraId="6664A61D"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2.600</w:t>
            </w:r>
          </w:p>
        </w:tc>
        <w:tc>
          <w:tcPr>
            <w:tcW w:w="1030" w:type="pct"/>
            <w:tcBorders>
              <w:top w:val="nil"/>
              <w:left w:val="nil"/>
              <w:bottom w:val="single" w:sz="8" w:space="0" w:color="auto"/>
              <w:right w:val="single" w:sz="8" w:space="0" w:color="auto"/>
            </w:tcBorders>
            <w:shd w:val="clear" w:color="000000" w:fill="D9D9D9"/>
            <w:hideMark/>
          </w:tcPr>
          <w:p w14:paraId="3E45A577"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20.600</w:t>
            </w:r>
          </w:p>
        </w:tc>
      </w:tr>
    </w:tbl>
    <w:p w14:paraId="6BF3F820" w14:textId="77777777" w:rsidR="00486288" w:rsidRDefault="00486288" w:rsidP="00445C9D">
      <w:pPr>
        <w:rPr>
          <w:noProof/>
          <w:sz w:val="16"/>
        </w:rPr>
      </w:pPr>
    </w:p>
    <w:tbl>
      <w:tblPr>
        <w:tblW w:w="5000" w:type="pct"/>
        <w:tblLook w:val="04A0" w:firstRow="1" w:lastRow="0" w:firstColumn="1" w:lastColumn="0" w:noHBand="0" w:noVBand="1"/>
      </w:tblPr>
      <w:tblGrid>
        <w:gridCol w:w="2185"/>
        <w:gridCol w:w="1669"/>
        <w:gridCol w:w="1069"/>
        <w:gridCol w:w="1149"/>
        <w:gridCol w:w="1149"/>
        <w:gridCol w:w="1149"/>
        <w:gridCol w:w="1149"/>
        <w:gridCol w:w="1149"/>
        <w:gridCol w:w="1149"/>
        <w:gridCol w:w="1149"/>
        <w:gridCol w:w="1254"/>
      </w:tblGrid>
      <w:tr w:rsidR="00486288" w:rsidRPr="000A7F88" w14:paraId="57E02733" w14:textId="77777777" w:rsidTr="00445C9D">
        <w:trPr>
          <w:trHeight w:val="410"/>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982D1D9" w14:textId="77777777" w:rsidR="00486288" w:rsidRPr="000A7F88" w:rsidRDefault="00486288" w:rsidP="00445C9D">
            <w:pPr>
              <w:spacing w:before="0" w:after="0"/>
              <w:jc w:val="center"/>
              <w:rPr>
                <w:rFonts w:eastAsia="Times New Roman"/>
                <w:b/>
                <w:bCs/>
                <w:noProof/>
                <w:color w:val="000000"/>
                <w:sz w:val="22"/>
                <w:lang w:val="en-IE" w:eastAsia="en-IE"/>
              </w:rPr>
            </w:pPr>
          </w:p>
        </w:tc>
        <w:tc>
          <w:tcPr>
            <w:tcW w:w="404" w:type="pct"/>
            <w:tcBorders>
              <w:top w:val="single" w:sz="8" w:space="0" w:color="auto"/>
              <w:left w:val="nil"/>
              <w:bottom w:val="single" w:sz="8" w:space="0" w:color="auto"/>
              <w:right w:val="single" w:sz="8" w:space="0" w:color="auto"/>
            </w:tcBorders>
            <w:vAlign w:val="center"/>
            <w:hideMark/>
          </w:tcPr>
          <w:p w14:paraId="7AB92CCC" w14:textId="77777777" w:rsidR="00486288" w:rsidRPr="000A7F88" w:rsidRDefault="00486288" w:rsidP="00445C9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2CF88C71" w14:textId="77777777" w:rsidR="00486288" w:rsidRPr="000A7F88" w:rsidRDefault="00486288" w:rsidP="00445C9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5630881E" w14:textId="77777777" w:rsidR="00486288" w:rsidRPr="000A7F88" w:rsidRDefault="00486288" w:rsidP="00445C9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1EE2C22A" w14:textId="77777777" w:rsidR="00486288" w:rsidRPr="000A7F88" w:rsidRDefault="00486288" w:rsidP="00445C9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7C3F81DF" w14:textId="77777777" w:rsidR="00486288" w:rsidRPr="000A7F88" w:rsidRDefault="00486288" w:rsidP="00445C9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2B664631" w14:textId="77777777" w:rsidR="00486288" w:rsidRPr="000A7F88" w:rsidRDefault="00486288" w:rsidP="00445C9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0D9F9B26" w14:textId="77777777" w:rsidR="00486288" w:rsidRPr="000A7F88" w:rsidRDefault="00486288" w:rsidP="00445C9D">
            <w:pPr>
              <w:spacing w:before="0" w:after="0"/>
              <w:jc w:val="center"/>
              <w:rPr>
                <w:rFonts w:eastAsia="Times New Roman"/>
                <w:noProof/>
                <w:color w:val="000000"/>
                <w:sz w:val="20"/>
                <w:szCs w:val="20"/>
                <w:lang w:val="en-IE" w:eastAsia="en-IE"/>
              </w:rPr>
            </w:pPr>
            <w:r w:rsidRPr="000A7F88">
              <w:rPr>
                <w:rFonts w:eastAsia="Times New Roman"/>
                <w:noProof/>
                <w:color w:val="000000"/>
                <w:sz w:val="20"/>
                <w:szCs w:val="20"/>
                <w:lang w:val="en-IE" w:eastAsia="en-IE"/>
              </w:rPr>
              <w:t>Year</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3F0FB003" w14:textId="77777777" w:rsidR="00486288" w:rsidRPr="000A7F88" w:rsidRDefault="00486288" w:rsidP="00445C9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TOTAL MFF 2028-2034</w:t>
            </w:r>
          </w:p>
        </w:tc>
      </w:tr>
      <w:tr w:rsidR="00486288" w:rsidRPr="000A7F88" w14:paraId="28975EAD" w14:textId="77777777" w:rsidTr="00445C9D">
        <w:trPr>
          <w:trHeight w:val="300"/>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14:paraId="4D4CADA3" w14:textId="77777777" w:rsidR="00486288" w:rsidRPr="000A7F88" w:rsidRDefault="00486288" w:rsidP="00445C9D">
            <w:pPr>
              <w:spacing w:before="0" w:after="0"/>
              <w:jc w:val="left"/>
              <w:rPr>
                <w:rFonts w:eastAsia="Times New Roman"/>
                <w:b/>
                <w:bCs/>
                <w:noProof/>
                <w:color w:val="000000"/>
                <w:sz w:val="22"/>
                <w:lang w:val="en-IE" w:eastAsia="en-IE"/>
              </w:rPr>
            </w:pPr>
          </w:p>
        </w:tc>
        <w:tc>
          <w:tcPr>
            <w:tcW w:w="404" w:type="pct"/>
            <w:tcBorders>
              <w:top w:val="nil"/>
              <w:left w:val="nil"/>
              <w:bottom w:val="single" w:sz="8" w:space="0" w:color="auto"/>
              <w:right w:val="single" w:sz="8" w:space="0" w:color="auto"/>
            </w:tcBorders>
            <w:vAlign w:val="center"/>
            <w:hideMark/>
          </w:tcPr>
          <w:p w14:paraId="11AE2574" w14:textId="77777777" w:rsidR="00486288" w:rsidRPr="000A7F88" w:rsidRDefault="00486288" w:rsidP="00445C9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2028</w:t>
            </w:r>
          </w:p>
        </w:tc>
        <w:tc>
          <w:tcPr>
            <w:tcW w:w="404" w:type="pct"/>
            <w:tcBorders>
              <w:top w:val="nil"/>
              <w:left w:val="nil"/>
              <w:bottom w:val="single" w:sz="8" w:space="0" w:color="auto"/>
              <w:right w:val="single" w:sz="8" w:space="0" w:color="auto"/>
            </w:tcBorders>
            <w:vAlign w:val="center"/>
            <w:hideMark/>
          </w:tcPr>
          <w:p w14:paraId="60DF8172" w14:textId="77777777" w:rsidR="00486288" w:rsidRPr="000A7F88" w:rsidRDefault="00486288" w:rsidP="00445C9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2029</w:t>
            </w:r>
          </w:p>
        </w:tc>
        <w:tc>
          <w:tcPr>
            <w:tcW w:w="404" w:type="pct"/>
            <w:tcBorders>
              <w:top w:val="nil"/>
              <w:left w:val="nil"/>
              <w:bottom w:val="single" w:sz="8" w:space="0" w:color="auto"/>
              <w:right w:val="single" w:sz="8" w:space="0" w:color="auto"/>
            </w:tcBorders>
            <w:vAlign w:val="center"/>
            <w:hideMark/>
          </w:tcPr>
          <w:p w14:paraId="7975D5FE" w14:textId="77777777" w:rsidR="00486288" w:rsidRPr="000A7F88" w:rsidRDefault="00486288" w:rsidP="00445C9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2030</w:t>
            </w:r>
          </w:p>
        </w:tc>
        <w:tc>
          <w:tcPr>
            <w:tcW w:w="404" w:type="pct"/>
            <w:tcBorders>
              <w:top w:val="nil"/>
              <w:left w:val="nil"/>
              <w:bottom w:val="single" w:sz="8" w:space="0" w:color="auto"/>
              <w:right w:val="single" w:sz="8" w:space="0" w:color="auto"/>
            </w:tcBorders>
            <w:vAlign w:val="center"/>
            <w:hideMark/>
          </w:tcPr>
          <w:p w14:paraId="389F5A79" w14:textId="77777777" w:rsidR="00486288" w:rsidRPr="000A7F88" w:rsidRDefault="00486288" w:rsidP="00445C9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2031</w:t>
            </w:r>
          </w:p>
        </w:tc>
        <w:tc>
          <w:tcPr>
            <w:tcW w:w="404" w:type="pct"/>
            <w:tcBorders>
              <w:top w:val="nil"/>
              <w:left w:val="nil"/>
              <w:bottom w:val="single" w:sz="8" w:space="0" w:color="auto"/>
              <w:right w:val="single" w:sz="8" w:space="0" w:color="auto"/>
            </w:tcBorders>
            <w:vAlign w:val="center"/>
            <w:hideMark/>
          </w:tcPr>
          <w:p w14:paraId="545EAEB2" w14:textId="77777777" w:rsidR="00486288" w:rsidRPr="000A7F88" w:rsidRDefault="00486288" w:rsidP="00445C9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2032</w:t>
            </w:r>
          </w:p>
        </w:tc>
        <w:tc>
          <w:tcPr>
            <w:tcW w:w="404" w:type="pct"/>
            <w:tcBorders>
              <w:top w:val="nil"/>
              <w:left w:val="nil"/>
              <w:bottom w:val="single" w:sz="8" w:space="0" w:color="auto"/>
              <w:right w:val="single" w:sz="8" w:space="0" w:color="auto"/>
            </w:tcBorders>
            <w:vAlign w:val="center"/>
            <w:hideMark/>
          </w:tcPr>
          <w:p w14:paraId="4F60BB3B" w14:textId="77777777" w:rsidR="00486288" w:rsidRPr="000A7F88" w:rsidRDefault="00486288" w:rsidP="00445C9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2033</w:t>
            </w:r>
          </w:p>
        </w:tc>
        <w:tc>
          <w:tcPr>
            <w:tcW w:w="404" w:type="pct"/>
            <w:tcBorders>
              <w:top w:val="nil"/>
              <w:left w:val="nil"/>
              <w:bottom w:val="single" w:sz="8" w:space="0" w:color="auto"/>
              <w:right w:val="single" w:sz="8" w:space="0" w:color="auto"/>
            </w:tcBorders>
            <w:vAlign w:val="center"/>
            <w:hideMark/>
          </w:tcPr>
          <w:p w14:paraId="4CFB94BC" w14:textId="77777777" w:rsidR="00486288" w:rsidRPr="000A7F88" w:rsidRDefault="00486288" w:rsidP="00445C9D">
            <w:pPr>
              <w:spacing w:before="0" w:after="0"/>
              <w:jc w:val="center"/>
              <w:rPr>
                <w:rFonts w:eastAsia="Times New Roman"/>
                <w:b/>
                <w:bCs/>
                <w:noProof/>
                <w:color w:val="000000"/>
                <w:sz w:val="20"/>
                <w:szCs w:val="20"/>
                <w:lang w:val="en-IE" w:eastAsia="en-IE"/>
              </w:rPr>
            </w:pPr>
            <w:r w:rsidRPr="000A7F88">
              <w:rPr>
                <w:rFonts w:eastAsia="Times New Roman"/>
                <w:b/>
                <w:bCs/>
                <w:noProof/>
                <w:color w:val="000000"/>
                <w:sz w:val="20"/>
                <w:szCs w:val="20"/>
                <w:lang w:val="en-IE" w:eastAsia="en-IE"/>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6A85C304" w14:textId="77777777" w:rsidR="00486288" w:rsidRPr="000A7F88" w:rsidRDefault="00486288" w:rsidP="00445C9D">
            <w:pPr>
              <w:spacing w:before="0" w:after="0"/>
              <w:jc w:val="left"/>
              <w:rPr>
                <w:rFonts w:eastAsia="Times New Roman"/>
                <w:b/>
                <w:bCs/>
                <w:noProof/>
                <w:color w:val="000000"/>
                <w:sz w:val="20"/>
                <w:szCs w:val="20"/>
                <w:lang w:val="en-IE" w:eastAsia="en-IE"/>
              </w:rPr>
            </w:pPr>
          </w:p>
        </w:tc>
      </w:tr>
      <w:tr w:rsidR="00486288" w:rsidRPr="000A7F88" w14:paraId="7884EF09" w14:textId="77777777" w:rsidTr="00445C9D">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14:paraId="5217CDBE" w14:textId="77777777" w:rsidR="00486288" w:rsidRPr="000A7F88" w:rsidRDefault="00486288" w:rsidP="00445C9D">
            <w:pPr>
              <w:spacing w:before="0" w:after="0"/>
              <w:rPr>
                <w:rFonts w:eastAsia="Times New Roman"/>
                <w:noProof/>
                <w:color w:val="000000"/>
                <w:sz w:val="21"/>
                <w:szCs w:val="21"/>
                <w:lang w:val="en-IE" w:eastAsia="en-IE"/>
              </w:rPr>
            </w:pPr>
            <w:r w:rsidRPr="000A7F88">
              <w:rPr>
                <w:rFonts w:eastAsia="Times New Roman"/>
                <w:noProof/>
                <w:color w:val="000000"/>
                <w:sz w:val="21"/>
                <w:szCs w:val="21"/>
                <w:lang w:val="en-IE" w:eastAsia="en-IE"/>
              </w:rPr>
              <w:t>TOTAL operational appropriations</w:t>
            </w:r>
          </w:p>
        </w:tc>
        <w:tc>
          <w:tcPr>
            <w:tcW w:w="587" w:type="pct"/>
            <w:tcBorders>
              <w:top w:val="nil"/>
              <w:left w:val="nil"/>
              <w:bottom w:val="single" w:sz="8" w:space="0" w:color="auto"/>
              <w:right w:val="single" w:sz="8" w:space="0" w:color="auto"/>
            </w:tcBorders>
            <w:vAlign w:val="center"/>
            <w:hideMark/>
          </w:tcPr>
          <w:p w14:paraId="763CC305" w14:textId="77777777" w:rsidR="00486288" w:rsidRPr="000A7F88" w:rsidRDefault="00486288" w:rsidP="00445C9D">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Commitments</w:t>
            </w:r>
          </w:p>
        </w:tc>
        <w:tc>
          <w:tcPr>
            <w:tcW w:w="376" w:type="pct"/>
            <w:tcBorders>
              <w:top w:val="nil"/>
              <w:left w:val="nil"/>
              <w:bottom w:val="single" w:sz="8" w:space="0" w:color="auto"/>
              <w:right w:val="single" w:sz="8" w:space="0" w:color="auto"/>
            </w:tcBorders>
            <w:vAlign w:val="center"/>
            <w:hideMark/>
          </w:tcPr>
          <w:p w14:paraId="14127E38" w14:textId="77777777" w:rsidR="00486288" w:rsidRPr="000A7F88"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4</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hideMark/>
          </w:tcPr>
          <w:p w14:paraId="2480F74C" w14:textId="77777777" w:rsidR="00486288" w:rsidRPr="001377A5" w:rsidRDefault="00486288" w:rsidP="00445C9D">
            <w:pPr>
              <w:spacing w:before="0" w:after="0"/>
              <w:jc w:val="right"/>
              <w:rPr>
                <w:rFonts w:eastAsia="Times New Roman"/>
                <w:noProof/>
                <w:color w:val="000000"/>
                <w:sz w:val="18"/>
                <w:szCs w:val="18"/>
                <w:lang w:val="en-IE" w:eastAsia="en-IE"/>
              </w:rPr>
            </w:pPr>
            <w:r w:rsidRPr="001377A5">
              <w:rPr>
                <w:noProof/>
                <w:sz w:val="18"/>
                <w:szCs w:val="18"/>
              </w:rPr>
              <w:t>3</w:t>
            </w:r>
            <w:r>
              <w:rPr>
                <w:noProof/>
                <w:sz w:val="18"/>
                <w:szCs w:val="18"/>
              </w:rPr>
              <w:t>.</w:t>
            </w:r>
            <w:r w:rsidRPr="003E165B">
              <w:rPr>
                <w:noProof/>
                <w:sz w:val="18"/>
                <w:szCs w:val="18"/>
              </w:rPr>
              <w:t>900</w:t>
            </w:r>
          </w:p>
        </w:tc>
        <w:tc>
          <w:tcPr>
            <w:tcW w:w="404" w:type="pct"/>
            <w:tcBorders>
              <w:top w:val="nil"/>
              <w:left w:val="nil"/>
              <w:bottom w:val="single" w:sz="8" w:space="0" w:color="auto"/>
              <w:right w:val="single" w:sz="8" w:space="0" w:color="auto"/>
            </w:tcBorders>
            <w:shd w:val="clear" w:color="000000" w:fill="D9D9D9"/>
            <w:hideMark/>
          </w:tcPr>
          <w:p w14:paraId="029BE6FF" w14:textId="77777777" w:rsidR="00486288" w:rsidRPr="001377A5" w:rsidRDefault="00486288" w:rsidP="00445C9D">
            <w:pPr>
              <w:spacing w:before="0" w:after="0"/>
              <w:jc w:val="right"/>
              <w:rPr>
                <w:rFonts w:eastAsia="Times New Roman"/>
                <w:noProof/>
                <w:color w:val="000000"/>
                <w:sz w:val="18"/>
                <w:szCs w:val="18"/>
                <w:lang w:val="en-IE" w:eastAsia="en-IE"/>
              </w:rPr>
            </w:pPr>
            <w:r w:rsidRPr="003E165B">
              <w:rPr>
                <w:noProof/>
                <w:sz w:val="18"/>
                <w:szCs w:val="18"/>
              </w:rPr>
              <w:t>2</w:t>
            </w:r>
            <w:r>
              <w:rPr>
                <w:noProof/>
                <w:sz w:val="18"/>
                <w:szCs w:val="18"/>
              </w:rPr>
              <w:t>.</w:t>
            </w:r>
            <w:r w:rsidRPr="003E165B">
              <w:rPr>
                <w:noProof/>
                <w:sz w:val="18"/>
                <w:szCs w:val="18"/>
              </w:rPr>
              <w:t>900</w:t>
            </w:r>
          </w:p>
        </w:tc>
        <w:tc>
          <w:tcPr>
            <w:tcW w:w="404" w:type="pct"/>
            <w:tcBorders>
              <w:top w:val="nil"/>
              <w:left w:val="nil"/>
              <w:bottom w:val="single" w:sz="8" w:space="0" w:color="auto"/>
              <w:right w:val="single" w:sz="8" w:space="0" w:color="auto"/>
            </w:tcBorders>
            <w:shd w:val="clear" w:color="000000" w:fill="D9D9D9"/>
            <w:hideMark/>
          </w:tcPr>
          <w:p w14:paraId="31F96395" w14:textId="77777777" w:rsidR="00486288" w:rsidRPr="001377A5" w:rsidRDefault="00486288" w:rsidP="00445C9D">
            <w:pPr>
              <w:spacing w:before="0" w:after="0"/>
              <w:jc w:val="right"/>
              <w:rPr>
                <w:rFonts w:eastAsia="Times New Roman"/>
                <w:noProof/>
                <w:color w:val="000000"/>
                <w:sz w:val="18"/>
                <w:szCs w:val="18"/>
                <w:lang w:val="en-IE" w:eastAsia="en-IE"/>
              </w:rPr>
            </w:pPr>
            <w:r w:rsidRPr="001377A5">
              <w:rPr>
                <w:noProof/>
                <w:sz w:val="18"/>
                <w:szCs w:val="18"/>
              </w:rPr>
              <w:t>3</w:t>
            </w:r>
            <w:r>
              <w:rPr>
                <w:noProof/>
                <w:sz w:val="18"/>
                <w:szCs w:val="18"/>
              </w:rPr>
              <w:t>.</w:t>
            </w:r>
            <w:r w:rsidRPr="003E165B">
              <w:rPr>
                <w:noProof/>
                <w:sz w:val="18"/>
                <w:szCs w:val="18"/>
              </w:rPr>
              <w:t>400</w:t>
            </w:r>
          </w:p>
        </w:tc>
        <w:tc>
          <w:tcPr>
            <w:tcW w:w="404" w:type="pct"/>
            <w:tcBorders>
              <w:top w:val="nil"/>
              <w:left w:val="nil"/>
              <w:bottom w:val="single" w:sz="8" w:space="0" w:color="auto"/>
              <w:right w:val="single" w:sz="8" w:space="0" w:color="auto"/>
            </w:tcBorders>
            <w:shd w:val="clear" w:color="000000" w:fill="D9D9D9"/>
            <w:hideMark/>
          </w:tcPr>
          <w:p w14:paraId="476E25A5" w14:textId="77777777" w:rsidR="00486288" w:rsidRPr="001377A5" w:rsidRDefault="00486288" w:rsidP="00445C9D">
            <w:pPr>
              <w:spacing w:before="0" w:after="0"/>
              <w:jc w:val="right"/>
              <w:rPr>
                <w:rFonts w:eastAsia="Times New Roman"/>
                <w:noProof/>
                <w:color w:val="000000"/>
                <w:sz w:val="18"/>
                <w:szCs w:val="18"/>
                <w:lang w:val="en-IE" w:eastAsia="en-IE"/>
              </w:rPr>
            </w:pPr>
            <w:r w:rsidRPr="003E165B">
              <w:rPr>
                <w:noProof/>
                <w:sz w:val="18"/>
                <w:szCs w:val="18"/>
              </w:rPr>
              <w:t>2</w:t>
            </w:r>
            <w:r>
              <w:rPr>
                <w:noProof/>
                <w:sz w:val="18"/>
                <w:szCs w:val="18"/>
              </w:rPr>
              <w:t>.</w:t>
            </w:r>
            <w:r w:rsidRPr="003E165B">
              <w:rPr>
                <w:noProof/>
                <w:sz w:val="18"/>
                <w:szCs w:val="18"/>
              </w:rPr>
              <w:t>600</w:t>
            </w:r>
          </w:p>
        </w:tc>
        <w:tc>
          <w:tcPr>
            <w:tcW w:w="404" w:type="pct"/>
            <w:tcBorders>
              <w:top w:val="nil"/>
              <w:left w:val="nil"/>
              <w:bottom w:val="single" w:sz="8" w:space="0" w:color="auto"/>
              <w:right w:val="single" w:sz="8" w:space="0" w:color="auto"/>
            </w:tcBorders>
            <w:shd w:val="clear" w:color="000000" w:fill="D9D9D9"/>
            <w:hideMark/>
          </w:tcPr>
          <w:p w14:paraId="67A7059A" w14:textId="77777777" w:rsidR="00486288" w:rsidRPr="001377A5" w:rsidRDefault="00486288" w:rsidP="00445C9D">
            <w:pPr>
              <w:spacing w:before="0" w:after="0"/>
              <w:jc w:val="right"/>
              <w:rPr>
                <w:rFonts w:eastAsia="Times New Roman"/>
                <w:noProof/>
                <w:color w:val="000000"/>
                <w:sz w:val="18"/>
                <w:szCs w:val="18"/>
                <w:lang w:val="en-IE" w:eastAsia="en-IE"/>
              </w:rPr>
            </w:pPr>
            <w:r w:rsidRPr="003E165B">
              <w:rPr>
                <w:noProof/>
                <w:sz w:val="18"/>
                <w:szCs w:val="18"/>
              </w:rPr>
              <w:t>5</w:t>
            </w:r>
            <w:r>
              <w:rPr>
                <w:noProof/>
                <w:sz w:val="18"/>
                <w:szCs w:val="18"/>
              </w:rPr>
              <w:t>.</w:t>
            </w:r>
            <w:r w:rsidRPr="003E165B">
              <w:rPr>
                <w:noProof/>
                <w:sz w:val="18"/>
                <w:szCs w:val="18"/>
              </w:rPr>
              <w:t>200</w:t>
            </w:r>
          </w:p>
        </w:tc>
        <w:tc>
          <w:tcPr>
            <w:tcW w:w="404" w:type="pct"/>
            <w:tcBorders>
              <w:top w:val="nil"/>
              <w:left w:val="nil"/>
              <w:bottom w:val="single" w:sz="8" w:space="0" w:color="auto"/>
              <w:right w:val="single" w:sz="8" w:space="0" w:color="auto"/>
            </w:tcBorders>
            <w:shd w:val="clear" w:color="000000" w:fill="D9D9D9"/>
            <w:hideMark/>
          </w:tcPr>
          <w:p w14:paraId="0D8EDCE9" w14:textId="77777777" w:rsidR="00486288" w:rsidRPr="001377A5" w:rsidRDefault="00486288" w:rsidP="00445C9D">
            <w:pPr>
              <w:spacing w:before="0" w:after="0"/>
              <w:jc w:val="right"/>
              <w:rPr>
                <w:rFonts w:eastAsia="Times New Roman"/>
                <w:noProof/>
                <w:color w:val="000000"/>
                <w:sz w:val="18"/>
                <w:szCs w:val="18"/>
                <w:lang w:val="en-IE" w:eastAsia="en-IE"/>
              </w:rPr>
            </w:pPr>
            <w:r w:rsidRPr="003E165B">
              <w:rPr>
                <w:noProof/>
                <w:sz w:val="18"/>
                <w:szCs w:val="18"/>
              </w:rPr>
              <w:t>2</w:t>
            </w:r>
            <w:r>
              <w:rPr>
                <w:noProof/>
                <w:sz w:val="18"/>
                <w:szCs w:val="18"/>
              </w:rPr>
              <w:t>.</w:t>
            </w:r>
            <w:r w:rsidRPr="003E165B">
              <w:rPr>
                <w:noProof/>
                <w:sz w:val="18"/>
                <w:szCs w:val="18"/>
              </w:rPr>
              <w:t>600</w:t>
            </w:r>
          </w:p>
        </w:tc>
        <w:tc>
          <w:tcPr>
            <w:tcW w:w="404" w:type="pct"/>
            <w:tcBorders>
              <w:top w:val="nil"/>
              <w:left w:val="nil"/>
              <w:bottom w:val="single" w:sz="8" w:space="0" w:color="auto"/>
              <w:right w:val="single" w:sz="8" w:space="0" w:color="auto"/>
            </w:tcBorders>
            <w:shd w:val="clear" w:color="000000" w:fill="D9D9D9"/>
            <w:hideMark/>
          </w:tcPr>
          <w:p w14:paraId="3CBD82B4" w14:textId="77777777" w:rsidR="00486288" w:rsidRPr="001377A5" w:rsidRDefault="00486288" w:rsidP="00445C9D">
            <w:pPr>
              <w:spacing w:before="0" w:after="0"/>
              <w:jc w:val="right"/>
              <w:rPr>
                <w:rFonts w:eastAsia="Times New Roman"/>
                <w:noProof/>
                <w:color w:val="000000"/>
                <w:sz w:val="18"/>
                <w:szCs w:val="18"/>
                <w:lang w:val="en-IE" w:eastAsia="en-IE"/>
              </w:rPr>
            </w:pPr>
            <w:r w:rsidRPr="003E165B">
              <w:rPr>
                <w:noProof/>
                <w:sz w:val="18"/>
                <w:szCs w:val="18"/>
              </w:rPr>
              <w:t>1</w:t>
            </w:r>
            <w:r>
              <w:rPr>
                <w:noProof/>
                <w:sz w:val="18"/>
                <w:szCs w:val="18"/>
              </w:rPr>
              <w:t>.</w:t>
            </w:r>
            <w:r w:rsidRPr="003E165B">
              <w:rPr>
                <w:noProof/>
                <w:sz w:val="18"/>
                <w:szCs w:val="18"/>
              </w:rPr>
              <w:t>800</w:t>
            </w:r>
          </w:p>
        </w:tc>
        <w:tc>
          <w:tcPr>
            <w:tcW w:w="441" w:type="pct"/>
            <w:tcBorders>
              <w:top w:val="nil"/>
              <w:left w:val="nil"/>
              <w:bottom w:val="single" w:sz="8" w:space="0" w:color="auto"/>
              <w:right w:val="single" w:sz="8" w:space="0" w:color="auto"/>
            </w:tcBorders>
            <w:shd w:val="clear" w:color="000000" w:fill="D9D9D9"/>
            <w:hideMark/>
          </w:tcPr>
          <w:p w14:paraId="4D4C05BD"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noProof/>
                <w:sz w:val="18"/>
                <w:szCs w:val="18"/>
              </w:rPr>
              <w:t>22</w:t>
            </w:r>
            <w:r>
              <w:rPr>
                <w:noProof/>
                <w:sz w:val="18"/>
                <w:szCs w:val="18"/>
              </w:rPr>
              <w:t>.</w:t>
            </w:r>
            <w:r w:rsidRPr="003E165B">
              <w:rPr>
                <w:noProof/>
                <w:sz w:val="18"/>
                <w:szCs w:val="18"/>
              </w:rPr>
              <w:t>400</w:t>
            </w:r>
          </w:p>
        </w:tc>
      </w:tr>
      <w:tr w:rsidR="00486288" w:rsidRPr="000A7F88" w14:paraId="276AAF10" w14:textId="77777777" w:rsidTr="00445C9D">
        <w:trPr>
          <w:trHeight w:val="300"/>
        </w:trPr>
        <w:tc>
          <w:tcPr>
            <w:tcW w:w="768" w:type="pct"/>
            <w:vMerge/>
            <w:tcBorders>
              <w:top w:val="nil"/>
              <w:left w:val="single" w:sz="8" w:space="0" w:color="auto"/>
              <w:bottom w:val="single" w:sz="8" w:space="0" w:color="000000"/>
              <w:right w:val="single" w:sz="8" w:space="0" w:color="auto"/>
            </w:tcBorders>
            <w:vAlign w:val="center"/>
            <w:hideMark/>
          </w:tcPr>
          <w:p w14:paraId="1ED32222" w14:textId="77777777" w:rsidR="00486288" w:rsidRPr="000A7F88" w:rsidRDefault="00486288" w:rsidP="00445C9D">
            <w:pPr>
              <w:spacing w:before="0" w:after="0"/>
              <w:jc w:val="left"/>
              <w:rPr>
                <w:rFonts w:eastAsia="Times New Roman"/>
                <w:noProof/>
                <w:color w:val="000000"/>
                <w:sz w:val="21"/>
                <w:szCs w:val="21"/>
                <w:lang w:val="en-IE" w:eastAsia="en-IE"/>
              </w:rPr>
            </w:pPr>
          </w:p>
        </w:tc>
        <w:tc>
          <w:tcPr>
            <w:tcW w:w="587" w:type="pct"/>
            <w:tcBorders>
              <w:top w:val="nil"/>
              <w:left w:val="nil"/>
              <w:bottom w:val="single" w:sz="8" w:space="0" w:color="auto"/>
              <w:right w:val="single" w:sz="8" w:space="0" w:color="auto"/>
            </w:tcBorders>
            <w:vAlign w:val="center"/>
            <w:hideMark/>
          </w:tcPr>
          <w:p w14:paraId="24D1418E" w14:textId="77777777" w:rsidR="00486288" w:rsidRPr="000A7F88" w:rsidRDefault="00486288" w:rsidP="00445C9D">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Payments</w:t>
            </w:r>
          </w:p>
        </w:tc>
        <w:tc>
          <w:tcPr>
            <w:tcW w:w="376" w:type="pct"/>
            <w:tcBorders>
              <w:top w:val="nil"/>
              <w:left w:val="nil"/>
              <w:bottom w:val="single" w:sz="8" w:space="0" w:color="auto"/>
              <w:right w:val="single" w:sz="8" w:space="0" w:color="auto"/>
            </w:tcBorders>
            <w:vAlign w:val="center"/>
            <w:hideMark/>
          </w:tcPr>
          <w:p w14:paraId="0ACC97D7" w14:textId="77777777" w:rsidR="00486288" w:rsidRPr="000A7F88"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5</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hideMark/>
          </w:tcPr>
          <w:p w14:paraId="65E9CFDF" w14:textId="77777777" w:rsidR="00486288" w:rsidRPr="001377A5" w:rsidRDefault="00486288" w:rsidP="00445C9D">
            <w:pPr>
              <w:spacing w:before="0" w:after="0"/>
              <w:jc w:val="right"/>
              <w:rPr>
                <w:rFonts w:eastAsia="Times New Roman"/>
                <w:noProof/>
                <w:color w:val="000000"/>
                <w:sz w:val="18"/>
                <w:szCs w:val="18"/>
                <w:lang w:val="en-IE" w:eastAsia="en-IE"/>
              </w:rPr>
            </w:pPr>
            <w:r w:rsidRPr="003E165B">
              <w:rPr>
                <w:noProof/>
                <w:sz w:val="18"/>
                <w:szCs w:val="18"/>
              </w:rPr>
              <w:t>0</w:t>
            </w:r>
            <w:r>
              <w:rPr>
                <w:noProof/>
                <w:sz w:val="18"/>
                <w:szCs w:val="18"/>
              </w:rPr>
              <w:t>.</w:t>
            </w:r>
            <w:r w:rsidRPr="003E165B">
              <w:rPr>
                <w:noProof/>
                <w:sz w:val="18"/>
                <w:szCs w:val="18"/>
              </w:rPr>
              <w:t>000</w:t>
            </w:r>
          </w:p>
        </w:tc>
        <w:tc>
          <w:tcPr>
            <w:tcW w:w="404" w:type="pct"/>
            <w:tcBorders>
              <w:top w:val="nil"/>
              <w:left w:val="nil"/>
              <w:bottom w:val="single" w:sz="8" w:space="0" w:color="auto"/>
              <w:right w:val="single" w:sz="8" w:space="0" w:color="auto"/>
            </w:tcBorders>
            <w:shd w:val="clear" w:color="000000" w:fill="D9D9D9"/>
            <w:hideMark/>
          </w:tcPr>
          <w:p w14:paraId="55D883C3" w14:textId="77777777" w:rsidR="00486288" w:rsidRPr="001377A5" w:rsidRDefault="00486288" w:rsidP="00445C9D">
            <w:pPr>
              <w:spacing w:before="0" w:after="0"/>
              <w:jc w:val="right"/>
              <w:rPr>
                <w:rFonts w:eastAsia="Times New Roman"/>
                <w:noProof/>
                <w:color w:val="000000"/>
                <w:sz w:val="18"/>
                <w:szCs w:val="18"/>
                <w:lang w:val="en-IE" w:eastAsia="en-IE"/>
              </w:rPr>
            </w:pPr>
            <w:r w:rsidRPr="001377A5">
              <w:rPr>
                <w:noProof/>
                <w:sz w:val="18"/>
                <w:szCs w:val="18"/>
              </w:rPr>
              <w:t>3</w:t>
            </w:r>
            <w:r>
              <w:rPr>
                <w:noProof/>
                <w:sz w:val="18"/>
                <w:szCs w:val="18"/>
              </w:rPr>
              <w:t>.</w:t>
            </w:r>
            <w:r w:rsidRPr="003E165B">
              <w:rPr>
                <w:noProof/>
                <w:sz w:val="18"/>
                <w:szCs w:val="18"/>
              </w:rPr>
              <w:t>900</w:t>
            </w:r>
          </w:p>
        </w:tc>
        <w:tc>
          <w:tcPr>
            <w:tcW w:w="404" w:type="pct"/>
            <w:tcBorders>
              <w:top w:val="nil"/>
              <w:left w:val="nil"/>
              <w:bottom w:val="single" w:sz="8" w:space="0" w:color="auto"/>
              <w:right w:val="single" w:sz="8" w:space="0" w:color="auto"/>
            </w:tcBorders>
            <w:shd w:val="clear" w:color="000000" w:fill="D9D9D9"/>
            <w:hideMark/>
          </w:tcPr>
          <w:p w14:paraId="6E43C34D" w14:textId="77777777" w:rsidR="00486288" w:rsidRPr="001377A5" w:rsidRDefault="00486288" w:rsidP="00445C9D">
            <w:pPr>
              <w:spacing w:before="0" w:after="0"/>
              <w:jc w:val="right"/>
              <w:rPr>
                <w:rFonts w:eastAsia="Times New Roman"/>
                <w:noProof/>
                <w:color w:val="000000"/>
                <w:sz w:val="18"/>
                <w:szCs w:val="18"/>
                <w:lang w:val="en-IE" w:eastAsia="en-IE"/>
              </w:rPr>
            </w:pPr>
            <w:r w:rsidRPr="003E165B">
              <w:rPr>
                <w:noProof/>
                <w:sz w:val="18"/>
                <w:szCs w:val="18"/>
              </w:rPr>
              <w:t>2</w:t>
            </w:r>
            <w:r>
              <w:rPr>
                <w:noProof/>
                <w:sz w:val="18"/>
                <w:szCs w:val="18"/>
              </w:rPr>
              <w:t>.</w:t>
            </w:r>
            <w:r w:rsidRPr="003E165B">
              <w:rPr>
                <w:noProof/>
                <w:sz w:val="18"/>
                <w:szCs w:val="18"/>
              </w:rPr>
              <w:t>900</w:t>
            </w:r>
          </w:p>
        </w:tc>
        <w:tc>
          <w:tcPr>
            <w:tcW w:w="404" w:type="pct"/>
            <w:tcBorders>
              <w:top w:val="nil"/>
              <w:left w:val="nil"/>
              <w:bottom w:val="single" w:sz="8" w:space="0" w:color="auto"/>
              <w:right w:val="single" w:sz="8" w:space="0" w:color="auto"/>
            </w:tcBorders>
            <w:shd w:val="clear" w:color="000000" w:fill="D9D9D9"/>
            <w:hideMark/>
          </w:tcPr>
          <w:p w14:paraId="38A85DA7" w14:textId="77777777" w:rsidR="00486288" w:rsidRPr="001377A5" w:rsidRDefault="00486288" w:rsidP="00445C9D">
            <w:pPr>
              <w:spacing w:before="0" w:after="0"/>
              <w:jc w:val="right"/>
              <w:rPr>
                <w:rFonts w:eastAsia="Times New Roman"/>
                <w:noProof/>
                <w:color w:val="000000"/>
                <w:sz w:val="18"/>
                <w:szCs w:val="18"/>
                <w:lang w:val="en-IE" w:eastAsia="en-IE"/>
              </w:rPr>
            </w:pPr>
            <w:r w:rsidRPr="001377A5">
              <w:rPr>
                <w:noProof/>
                <w:sz w:val="18"/>
                <w:szCs w:val="18"/>
              </w:rPr>
              <w:t>3</w:t>
            </w:r>
            <w:r>
              <w:rPr>
                <w:noProof/>
                <w:sz w:val="18"/>
                <w:szCs w:val="18"/>
              </w:rPr>
              <w:t>.</w:t>
            </w:r>
            <w:r w:rsidRPr="003E165B">
              <w:rPr>
                <w:noProof/>
                <w:sz w:val="18"/>
                <w:szCs w:val="18"/>
              </w:rPr>
              <w:t>400</w:t>
            </w:r>
          </w:p>
        </w:tc>
        <w:tc>
          <w:tcPr>
            <w:tcW w:w="404" w:type="pct"/>
            <w:tcBorders>
              <w:top w:val="nil"/>
              <w:left w:val="nil"/>
              <w:bottom w:val="single" w:sz="8" w:space="0" w:color="auto"/>
              <w:right w:val="single" w:sz="8" w:space="0" w:color="auto"/>
            </w:tcBorders>
            <w:shd w:val="clear" w:color="000000" w:fill="D9D9D9"/>
            <w:hideMark/>
          </w:tcPr>
          <w:p w14:paraId="2E1DB319" w14:textId="77777777" w:rsidR="00486288" w:rsidRPr="001377A5" w:rsidRDefault="00486288" w:rsidP="00445C9D">
            <w:pPr>
              <w:spacing w:before="0" w:after="0"/>
              <w:jc w:val="right"/>
              <w:rPr>
                <w:rFonts w:eastAsia="Times New Roman"/>
                <w:noProof/>
                <w:color w:val="000000"/>
                <w:sz w:val="18"/>
                <w:szCs w:val="18"/>
                <w:lang w:val="en-IE" w:eastAsia="en-IE"/>
              </w:rPr>
            </w:pPr>
            <w:r w:rsidRPr="003E165B">
              <w:rPr>
                <w:noProof/>
                <w:sz w:val="18"/>
                <w:szCs w:val="18"/>
              </w:rPr>
              <w:t>2</w:t>
            </w:r>
            <w:r>
              <w:rPr>
                <w:noProof/>
                <w:sz w:val="18"/>
                <w:szCs w:val="18"/>
              </w:rPr>
              <w:t>.</w:t>
            </w:r>
            <w:r w:rsidRPr="003E165B">
              <w:rPr>
                <w:noProof/>
                <w:sz w:val="18"/>
                <w:szCs w:val="18"/>
              </w:rPr>
              <w:t>600</w:t>
            </w:r>
          </w:p>
        </w:tc>
        <w:tc>
          <w:tcPr>
            <w:tcW w:w="404" w:type="pct"/>
            <w:tcBorders>
              <w:top w:val="nil"/>
              <w:left w:val="nil"/>
              <w:bottom w:val="single" w:sz="8" w:space="0" w:color="auto"/>
              <w:right w:val="single" w:sz="8" w:space="0" w:color="auto"/>
            </w:tcBorders>
            <w:shd w:val="clear" w:color="000000" w:fill="D9D9D9"/>
            <w:hideMark/>
          </w:tcPr>
          <w:p w14:paraId="446CA158" w14:textId="77777777" w:rsidR="00486288" w:rsidRPr="001377A5" w:rsidRDefault="00486288" w:rsidP="00445C9D">
            <w:pPr>
              <w:spacing w:before="0" w:after="0"/>
              <w:jc w:val="right"/>
              <w:rPr>
                <w:rFonts w:eastAsia="Times New Roman"/>
                <w:noProof/>
                <w:color w:val="000000"/>
                <w:sz w:val="18"/>
                <w:szCs w:val="18"/>
                <w:lang w:val="en-IE" w:eastAsia="en-IE"/>
              </w:rPr>
            </w:pPr>
            <w:r w:rsidRPr="003E165B">
              <w:rPr>
                <w:noProof/>
                <w:sz w:val="18"/>
                <w:szCs w:val="18"/>
              </w:rPr>
              <w:t>5</w:t>
            </w:r>
            <w:r>
              <w:rPr>
                <w:noProof/>
                <w:sz w:val="18"/>
                <w:szCs w:val="18"/>
              </w:rPr>
              <w:t>.</w:t>
            </w:r>
            <w:r w:rsidRPr="003E165B">
              <w:rPr>
                <w:noProof/>
                <w:sz w:val="18"/>
                <w:szCs w:val="18"/>
              </w:rPr>
              <w:t>200</w:t>
            </w:r>
          </w:p>
        </w:tc>
        <w:tc>
          <w:tcPr>
            <w:tcW w:w="404" w:type="pct"/>
            <w:tcBorders>
              <w:top w:val="nil"/>
              <w:left w:val="nil"/>
              <w:bottom w:val="single" w:sz="8" w:space="0" w:color="auto"/>
              <w:right w:val="single" w:sz="8" w:space="0" w:color="auto"/>
            </w:tcBorders>
            <w:shd w:val="clear" w:color="000000" w:fill="D9D9D9"/>
            <w:hideMark/>
          </w:tcPr>
          <w:p w14:paraId="16768FF4" w14:textId="77777777" w:rsidR="00486288" w:rsidRPr="001377A5" w:rsidRDefault="00486288" w:rsidP="00445C9D">
            <w:pPr>
              <w:spacing w:before="0" w:after="0"/>
              <w:jc w:val="right"/>
              <w:rPr>
                <w:rFonts w:eastAsia="Times New Roman"/>
                <w:noProof/>
                <w:color w:val="000000"/>
                <w:sz w:val="18"/>
                <w:szCs w:val="18"/>
                <w:lang w:val="en-IE" w:eastAsia="en-IE"/>
              </w:rPr>
            </w:pPr>
            <w:r w:rsidRPr="003E165B">
              <w:rPr>
                <w:noProof/>
                <w:sz w:val="18"/>
                <w:szCs w:val="18"/>
              </w:rPr>
              <w:t>2</w:t>
            </w:r>
            <w:r>
              <w:rPr>
                <w:noProof/>
                <w:sz w:val="18"/>
                <w:szCs w:val="18"/>
              </w:rPr>
              <w:t>.</w:t>
            </w:r>
            <w:r w:rsidRPr="003E165B">
              <w:rPr>
                <w:noProof/>
                <w:sz w:val="18"/>
                <w:szCs w:val="18"/>
              </w:rPr>
              <w:t>600</w:t>
            </w:r>
          </w:p>
        </w:tc>
        <w:tc>
          <w:tcPr>
            <w:tcW w:w="441" w:type="pct"/>
            <w:tcBorders>
              <w:top w:val="nil"/>
              <w:left w:val="nil"/>
              <w:bottom w:val="single" w:sz="8" w:space="0" w:color="auto"/>
              <w:right w:val="single" w:sz="8" w:space="0" w:color="auto"/>
            </w:tcBorders>
            <w:shd w:val="clear" w:color="000000" w:fill="D9D9D9"/>
            <w:hideMark/>
          </w:tcPr>
          <w:p w14:paraId="5D7D3518"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noProof/>
                <w:sz w:val="18"/>
                <w:szCs w:val="18"/>
              </w:rPr>
              <w:t>20</w:t>
            </w:r>
            <w:r>
              <w:rPr>
                <w:noProof/>
                <w:sz w:val="18"/>
                <w:szCs w:val="18"/>
              </w:rPr>
              <w:t>.</w:t>
            </w:r>
            <w:r w:rsidRPr="003E165B">
              <w:rPr>
                <w:noProof/>
                <w:sz w:val="18"/>
                <w:szCs w:val="18"/>
              </w:rPr>
              <w:t>600</w:t>
            </w:r>
          </w:p>
        </w:tc>
      </w:tr>
      <w:tr w:rsidR="00486288" w:rsidRPr="000A7F88" w14:paraId="018164FD" w14:textId="77777777" w:rsidTr="00445C9D">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42CACE61" w14:textId="77777777" w:rsidR="00486288" w:rsidRPr="000A7F88" w:rsidRDefault="00486288" w:rsidP="00445C9D">
            <w:pPr>
              <w:spacing w:before="0" w:after="0"/>
              <w:rPr>
                <w:rFonts w:eastAsia="Times New Roman"/>
                <w:noProof/>
                <w:color w:val="000000"/>
                <w:sz w:val="21"/>
                <w:szCs w:val="21"/>
                <w:lang w:val="en-IE" w:eastAsia="en-IE"/>
              </w:rPr>
            </w:pPr>
            <w:r w:rsidRPr="000A7F88">
              <w:rPr>
                <w:rFonts w:eastAsia="Times New Roman"/>
                <w:noProof/>
                <w:color w:val="000000"/>
                <w:sz w:val="21"/>
                <w:szCs w:val="21"/>
                <w:lang w:val="en-IE" w:eastAsia="en-IE"/>
              </w:rPr>
              <w:t xml:space="preserve">TOTAL appropriations of an administrative nature financed from the envelope for specific programmes </w:t>
            </w:r>
          </w:p>
        </w:tc>
        <w:tc>
          <w:tcPr>
            <w:tcW w:w="376" w:type="pct"/>
            <w:tcBorders>
              <w:top w:val="nil"/>
              <w:left w:val="nil"/>
              <w:bottom w:val="single" w:sz="8" w:space="0" w:color="auto"/>
              <w:right w:val="single" w:sz="8" w:space="0" w:color="auto"/>
            </w:tcBorders>
            <w:vAlign w:val="center"/>
            <w:hideMark/>
          </w:tcPr>
          <w:p w14:paraId="795C49B5" w14:textId="77777777" w:rsidR="00486288" w:rsidRPr="000A7F88"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0A7F88">
              <w:rPr>
                <w:rFonts w:eastAsia="Times New Roman"/>
                <w:noProof/>
                <w:color w:val="000000"/>
                <w:sz w:val="14"/>
                <w:szCs w:val="14"/>
                <w:lang w:val="en-IE" w:eastAsia="en-IE"/>
              </w:rPr>
              <w:t>6</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vAlign w:val="center"/>
            <w:hideMark/>
          </w:tcPr>
          <w:p w14:paraId="6484A93A" w14:textId="77777777" w:rsidR="00486288" w:rsidRPr="001377A5" w:rsidRDefault="00486288" w:rsidP="00445C9D">
            <w:pPr>
              <w:spacing w:before="0" w:after="0"/>
              <w:jc w:val="right"/>
              <w:rPr>
                <w:rFonts w:eastAsia="Times New Roman"/>
                <w:noProof/>
                <w:color w:val="000000"/>
                <w:sz w:val="18"/>
                <w:szCs w:val="18"/>
                <w:lang w:val="en-IE" w:eastAsia="en-IE"/>
              </w:rPr>
            </w:pPr>
            <w:r w:rsidRPr="00F559BD">
              <w:rPr>
                <w:rFonts w:eastAsia="Times New Roman"/>
                <w:noProof/>
                <w:color w:val="000000"/>
                <w:sz w:val="18"/>
                <w:szCs w:val="18"/>
                <w:lang w:val="en-IE" w:eastAsia="en-IE"/>
              </w:rPr>
              <w:t>0,000</w:t>
            </w:r>
          </w:p>
        </w:tc>
        <w:tc>
          <w:tcPr>
            <w:tcW w:w="404" w:type="pct"/>
            <w:tcBorders>
              <w:top w:val="nil"/>
              <w:left w:val="nil"/>
              <w:bottom w:val="single" w:sz="8" w:space="0" w:color="auto"/>
              <w:right w:val="single" w:sz="8" w:space="0" w:color="auto"/>
            </w:tcBorders>
            <w:shd w:val="clear" w:color="000000" w:fill="D9D9D9"/>
            <w:hideMark/>
          </w:tcPr>
          <w:p w14:paraId="505CF54E" w14:textId="77777777" w:rsidR="00486288" w:rsidRPr="001377A5" w:rsidRDefault="00486288" w:rsidP="00445C9D">
            <w:pPr>
              <w:spacing w:before="0" w:after="0"/>
              <w:jc w:val="right"/>
              <w:rPr>
                <w:rFonts w:eastAsia="Times New Roman"/>
                <w:noProof/>
                <w:color w:val="000000"/>
                <w:sz w:val="18"/>
                <w:szCs w:val="18"/>
                <w:lang w:val="en-IE" w:eastAsia="en-IE"/>
              </w:rPr>
            </w:pPr>
            <w:r w:rsidRPr="001377A5">
              <w:rPr>
                <w:noProof/>
                <w:sz w:val="18"/>
                <w:szCs w:val="18"/>
              </w:rPr>
              <w:t>0</w:t>
            </w:r>
            <w:r>
              <w:rPr>
                <w:noProof/>
                <w:sz w:val="18"/>
                <w:szCs w:val="18"/>
              </w:rPr>
              <w:t>.</w:t>
            </w:r>
            <w:r w:rsidRPr="001377A5">
              <w:rPr>
                <w:noProof/>
                <w:sz w:val="18"/>
                <w:szCs w:val="18"/>
              </w:rPr>
              <w:t>000</w:t>
            </w:r>
          </w:p>
        </w:tc>
        <w:tc>
          <w:tcPr>
            <w:tcW w:w="404" w:type="pct"/>
            <w:tcBorders>
              <w:top w:val="nil"/>
              <w:left w:val="nil"/>
              <w:bottom w:val="single" w:sz="8" w:space="0" w:color="auto"/>
              <w:right w:val="single" w:sz="8" w:space="0" w:color="auto"/>
            </w:tcBorders>
            <w:shd w:val="clear" w:color="000000" w:fill="D9D9D9"/>
            <w:hideMark/>
          </w:tcPr>
          <w:p w14:paraId="193B8602" w14:textId="77777777" w:rsidR="00486288" w:rsidRPr="001377A5" w:rsidRDefault="00486288" w:rsidP="00445C9D">
            <w:pPr>
              <w:spacing w:before="0" w:after="0"/>
              <w:jc w:val="right"/>
              <w:rPr>
                <w:rFonts w:eastAsia="Times New Roman"/>
                <w:noProof/>
                <w:color w:val="000000"/>
                <w:sz w:val="18"/>
                <w:szCs w:val="18"/>
                <w:lang w:val="en-IE" w:eastAsia="en-IE"/>
              </w:rPr>
            </w:pPr>
            <w:r w:rsidRPr="001377A5">
              <w:rPr>
                <w:noProof/>
                <w:sz w:val="18"/>
                <w:szCs w:val="18"/>
              </w:rPr>
              <w:t>0</w:t>
            </w:r>
            <w:r>
              <w:rPr>
                <w:noProof/>
                <w:sz w:val="18"/>
                <w:szCs w:val="18"/>
              </w:rPr>
              <w:t>.</w:t>
            </w:r>
            <w:r w:rsidRPr="001377A5">
              <w:rPr>
                <w:noProof/>
                <w:sz w:val="18"/>
                <w:szCs w:val="18"/>
              </w:rPr>
              <w:t>000</w:t>
            </w:r>
          </w:p>
        </w:tc>
        <w:tc>
          <w:tcPr>
            <w:tcW w:w="404" w:type="pct"/>
            <w:tcBorders>
              <w:top w:val="nil"/>
              <w:left w:val="nil"/>
              <w:bottom w:val="single" w:sz="8" w:space="0" w:color="auto"/>
              <w:right w:val="single" w:sz="8" w:space="0" w:color="auto"/>
            </w:tcBorders>
            <w:shd w:val="clear" w:color="000000" w:fill="D9D9D9"/>
            <w:hideMark/>
          </w:tcPr>
          <w:p w14:paraId="1B90B7F2" w14:textId="77777777" w:rsidR="00486288" w:rsidRPr="001377A5" w:rsidRDefault="00486288" w:rsidP="00445C9D">
            <w:pPr>
              <w:spacing w:before="0" w:after="0"/>
              <w:jc w:val="right"/>
              <w:rPr>
                <w:rFonts w:eastAsia="Times New Roman"/>
                <w:noProof/>
                <w:color w:val="000000"/>
                <w:sz w:val="18"/>
                <w:szCs w:val="18"/>
                <w:lang w:val="en-IE" w:eastAsia="en-IE"/>
              </w:rPr>
            </w:pPr>
            <w:r w:rsidRPr="001377A5">
              <w:rPr>
                <w:noProof/>
                <w:sz w:val="18"/>
                <w:szCs w:val="18"/>
              </w:rPr>
              <w:t>0</w:t>
            </w:r>
            <w:r>
              <w:rPr>
                <w:noProof/>
                <w:sz w:val="18"/>
                <w:szCs w:val="18"/>
              </w:rPr>
              <w:t>.</w:t>
            </w:r>
            <w:r w:rsidRPr="001377A5">
              <w:rPr>
                <w:noProof/>
                <w:sz w:val="18"/>
                <w:szCs w:val="18"/>
              </w:rPr>
              <w:t>000</w:t>
            </w:r>
          </w:p>
        </w:tc>
        <w:tc>
          <w:tcPr>
            <w:tcW w:w="404" w:type="pct"/>
            <w:tcBorders>
              <w:top w:val="nil"/>
              <w:left w:val="nil"/>
              <w:bottom w:val="single" w:sz="8" w:space="0" w:color="auto"/>
              <w:right w:val="single" w:sz="8" w:space="0" w:color="auto"/>
            </w:tcBorders>
            <w:shd w:val="clear" w:color="000000" w:fill="D9D9D9"/>
            <w:hideMark/>
          </w:tcPr>
          <w:p w14:paraId="19ED81C1" w14:textId="77777777" w:rsidR="00486288" w:rsidRPr="001377A5" w:rsidRDefault="00486288" w:rsidP="00445C9D">
            <w:pPr>
              <w:spacing w:before="0" w:after="0"/>
              <w:jc w:val="right"/>
              <w:rPr>
                <w:rFonts w:eastAsia="Times New Roman"/>
                <w:noProof/>
                <w:color w:val="000000"/>
                <w:sz w:val="18"/>
                <w:szCs w:val="18"/>
                <w:lang w:val="en-IE" w:eastAsia="en-IE"/>
              </w:rPr>
            </w:pPr>
            <w:r w:rsidRPr="001377A5">
              <w:rPr>
                <w:noProof/>
                <w:sz w:val="18"/>
                <w:szCs w:val="18"/>
              </w:rPr>
              <w:t>0</w:t>
            </w:r>
            <w:r>
              <w:rPr>
                <w:noProof/>
                <w:sz w:val="18"/>
                <w:szCs w:val="18"/>
              </w:rPr>
              <w:t>.</w:t>
            </w:r>
            <w:r w:rsidRPr="001377A5">
              <w:rPr>
                <w:noProof/>
                <w:sz w:val="18"/>
                <w:szCs w:val="18"/>
              </w:rPr>
              <w:t>000</w:t>
            </w:r>
          </w:p>
        </w:tc>
        <w:tc>
          <w:tcPr>
            <w:tcW w:w="404" w:type="pct"/>
            <w:tcBorders>
              <w:top w:val="nil"/>
              <w:left w:val="nil"/>
              <w:bottom w:val="single" w:sz="8" w:space="0" w:color="auto"/>
              <w:right w:val="single" w:sz="8" w:space="0" w:color="auto"/>
            </w:tcBorders>
            <w:shd w:val="clear" w:color="000000" w:fill="D9D9D9"/>
            <w:hideMark/>
          </w:tcPr>
          <w:p w14:paraId="47977D7D" w14:textId="77777777" w:rsidR="00486288" w:rsidRPr="001377A5" w:rsidRDefault="00486288" w:rsidP="00445C9D">
            <w:pPr>
              <w:spacing w:before="0" w:after="0"/>
              <w:jc w:val="right"/>
              <w:rPr>
                <w:rFonts w:eastAsia="Times New Roman"/>
                <w:noProof/>
                <w:color w:val="000000"/>
                <w:sz w:val="18"/>
                <w:szCs w:val="18"/>
                <w:lang w:val="en-IE" w:eastAsia="en-IE"/>
              </w:rPr>
            </w:pPr>
            <w:r w:rsidRPr="001377A5">
              <w:rPr>
                <w:noProof/>
                <w:sz w:val="18"/>
                <w:szCs w:val="18"/>
              </w:rPr>
              <w:t>0</w:t>
            </w:r>
            <w:r>
              <w:rPr>
                <w:noProof/>
                <w:sz w:val="18"/>
                <w:szCs w:val="18"/>
              </w:rPr>
              <w:t>.</w:t>
            </w:r>
            <w:r w:rsidRPr="001377A5">
              <w:rPr>
                <w:noProof/>
                <w:sz w:val="18"/>
                <w:szCs w:val="18"/>
              </w:rPr>
              <w:t>000</w:t>
            </w:r>
          </w:p>
        </w:tc>
        <w:tc>
          <w:tcPr>
            <w:tcW w:w="404" w:type="pct"/>
            <w:tcBorders>
              <w:top w:val="nil"/>
              <w:left w:val="nil"/>
              <w:bottom w:val="single" w:sz="8" w:space="0" w:color="auto"/>
              <w:right w:val="single" w:sz="8" w:space="0" w:color="auto"/>
            </w:tcBorders>
            <w:shd w:val="clear" w:color="000000" w:fill="D9D9D9"/>
            <w:hideMark/>
          </w:tcPr>
          <w:p w14:paraId="19B5FCFA" w14:textId="77777777" w:rsidR="00486288" w:rsidRPr="001377A5" w:rsidRDefault="00486288" w:rsidP="00445C9D">
            <w:pPr>
              <w:spacing w:before="0" w:after="0"/>
              <w:jc w:val="right"/>
              <w:rPr>
                <w:rFonts w:eastAsia="Times New Roman"/>
                <w:noProof/>
                <w:color w:val="000000"/>
                <w:sz w:val="18"/>
                <w:szCs w:val="18"/>
                <w:lang w:val="en-IE" w:eastAsia="en-IE"/>
              </w:rPr>
            </w:pPr>
            <w:r w:rsidRPr="001377A5">
              <w:rPr>
                <w:noProof/>
                <w:sz w:val="18"/>
                <w:szCs w:val="18"/>
              </w:rPr>
              <w:t>0</w:t>
            </w:r>
            <w:r>
              <w:rPr>
                <w:noProof/>
                <w:sz w:val="18"/>
                <w:szCs w:val="18"/>
              </w:rPr>
              <w:t>.</w:t>
            </w:r>
            <w:r w:rsidRPr="001377A5">
              <w:rPr>
                <w:noProof/>
                <w:sz w:val="18"/>
                <w:szCs w:val="18"/>
              </w:rPr>
              <w:t>000</w:t>
            </w:r>
          </w:p>
        </w:tc>
        <w:tc>
          <w:tcPr>
            <w:tcW w:w="441" w:type="pct"/>
            <w:tcBorders>
              <w:top w:val="nil"/>
              <w:left w:val="nil"/>
              <w:bottom w:val="single" w:sz="8" w:space="0" w:color="auto"/>
              <w:right w:val="single" w:sz="8" w:space="0" w:color="auto"/>
            </w:tcBorders>
            <w:shd w:val="clear" w:color="000000" w:fill="D9D9D9"/>
            <w:hideMark/>
          </w:tcPr>
          <w:p w14:paraId="75B6D11E"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1377A5">
              <w:rPr>
                <w:noProof/>
                <w:sz w:val="18"/>
                <w:szCs w:val="18"/>
              </w:rPr>
              <w:t>0</w:t>
            </w:r>
            <w:r>
              <w:rPr>
                <w:noProof/>
                <w:sz w:val="18"/>
                <w:szCs w:val="18"/>
              </w:rPr>
              <w:t>.</w:t>
            </w:r>
            <w:r w:rsidRPr="001377A5">
              <w:rPr>
                <w:noProof/>
                <w:sz w:val="18"/>
                <w:szCs w:val="18"/>
              </w:rPr>
              <w:t>000</w:t>
            </w:r>
          </w:p>
        </w:tc>
      </w:tr>
      <w:tr w:rsidR="00486288" w:rsidRPr="000A7F88" w14:paraId="60EA1B3B" w14:textId="77777777" w:rsidTr="00445C9D">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14:paraId="5C0BDF67" w14:textId="77777777" w:rsidR="00486288" w:rsidRPr="000A7F88" w:rsidRDefault="00486288" w:rsidP="00445C9D">
            <w:pPr>
              <w:spacing w:before="0" w:after="0"/>
              <w:jc w:val="center"/>
              <w:rPr>
                <w:rFonts w:eastAsia="Times New Roman"/>
                <w:b/>
                <w:bCs/>
                <w:noProof/>
                <w:color w:val="000000"/>
                <w:sz w:val="22"/>
                <w:lang w:val="en-IE" w:eastAsia="en-IE"/>
              </w:rPr>
            </w:pPr>
            <w:r w:rsidRPr="000A7F88">
              <w:rPr>
                <w:rFonts w:eastAsia="Times New Roman"/>
                <w:b/>
                <w:bCs/>
                <w:noProof/>
                <w:color w:val="000000"/>
                <w:sz w:val="22"/>
                <w:lang w:val="en-IE" w:eastAsia="en-IE"/>
              </w:rPr>
              <w:t>TOTAL appropriations under HEADING &lt;</w:t>
            </w:r>
            <w:r w:rsidR="001665A8">
              <w:rPr>
                <w:rFonts w:eastAsia="Times New Roman"/>
                <w:b/>
                <w:bCs/>
                <w:noProof/>
                <w:color w:val="000000"/>
                <w:sz w:val="22"/>
                <w:lang w:val="en-IE" w:eastAsia="en-IE"/>
              </w:rPr>
              <w:t>2</w:t>
            </w:r>
            <w:r w:rsidRPr="000A7F88">
              <w:rPr>
                <w:rFonts w:eastAsia="Times New Roman"/>
                <w:b/>
                <w:bCs/>
                <w:noProof/>
                <w:color w:val="000000"/>
                <w:sz w:val="22"/>
                <w:lang w:val="en-IE" w:eastAsia="en-IE"/>
              </w:rPr>
              <w:t>.&gt;</w:t>
            </w:r>
          </w:p>
        </w:tc>
        <w:tc>
          <w:tcPr>
            <w:tcW w:w="587" w:type="pct"/>
            <w:tcBorders>
              <w:top w:val="nil"/>
              <w:left w:val="nil"/>
              <w:bottom w:val="single" w:sz="8" w:space="0" w:color="auto"/>
              <w:right w:val="single" w:sz="8" w:space="0" w:color="auto"/>
            </w:tcBorders>
            <w:vAlign w:val="center"/>
            <w:hideMark/>
          </w:tcPr>
          <w:p w14:paraId="4E8653AD" w14:textId="77777777" w:rsidR="00486288" w:rsidRPr="000A7F88" w:rsidRDefault="00486288" w:rsidP="00445C9D">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Commitments</w:t>
            </w:r>
          </w:p>
        </w:tc>
        <w:tc>
          <w:tcPr>
            <w:tcW w:w="376" w:type="pct"/>
            <w:tcBorders>
              <w:top w:val="nil"/>
              <w:left w:val="nil"/>
              <w:bottom w:val="single" w:sz="8" w:space="0" w:color="auto"/>
              <w:right w:val="single" w:sz="8" w:space="0" w:color="auto"/>
            </w:tcBorders>
            <w:vAlign w:val="center"/>
            <w:hideMark/>
          </w:tcPr>
          <w:p w14:paraId="1244F050" w14:textId="77777777" w:rsidR="00486288" w:rsidRPr="000A7F88"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404" w:type="pct"/>
            <w:tcBorders>
              <w:top w:val="nil"/>
              <w:left w:val="nil"/>
              <w:bottom w:val="single" w:sz="8" w:space="0" w:color="auto"/>
              <w:right w:val="single" w:sz="8" w:space="0" w:color="auto"/>
            </w:tcBorders>
            <w:shd w:val="clear" w:color="000000" w:fill="D9D9D9"/>
            <w:hideMark/>
          </w:tcPr>
          <w:p w14:paraId="79C3E614"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noProof/>
                <w:sz w:val="18"/>
                <w:szCs w:val="18"/>
              </w:rPr>
              <w:t>3</w:t>
            </w:r>
            <w:r>
              <w:rPr>
                <w:b/>
                <w:noProof/>
                <w:sz w:val="18"/>
                <w:szCs w:val="18"/>
              </w:rPr>
              <w:t>.</w:t>
            </w:r>
            <w:r w:rsidRPr="003E165B">
              <w:rPr>
                <w:b/>
                <w:bCs/>
                <w:noProof/>
                <w:sz w:val="18"/>
                <w:szCs w:val="18"/>
              </w:rPr>
              <w:t>900</w:t>
            </w:r>
          </w:p>
        </w:tc>
        <w:tc>
          <w:tcPr>
            <w:tcW w:w="404" w:type="pct"/>
            <w:tcBorders>
              <w:top w:val="nil"/>
              <w:left w:val="nil"/>
              <w:bottom w:val="single" w:sz="8" w:space="0" w:color="auto"/>
              <w:right w:val="single" w:sz="8" w:space="0" w:color="auto"/>
            </w:tcBorders>
            <w:shd w:val="clear" w:color="000000" w:fill="D9D9D9"/>
            <w:hideMark/>
          </w:tcPr>
          <w:p w14:paraId="6B5E963B"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2</w:t>
            </w:r>
            <w:r>
              <w:rPr>
                <w:b/>
                <w:bCs/>
                <w:noProof/>
                <w:sz w:val="18"/>
                <w:szCs w:val="18"/>
              </w:rPr>
              <w:t>.</w:t>
            </w:r>
            <w:r w:rsidRPr="003E165B">
              <w:rPr>
                <w:b/>
                <w:bCs/>
                <w:noProof/>
                <w:sz w:val="18"/>
                <w:szCs w:val="18"/>
              </w:rPr>
              <w:t>900</w:t>
            </w:r>
          </w:p>
        </w:tc>
        <w:tc>
          <w:tcPr>
            <w:tcW w:w="404" w:type="pct"/>
            <w:tcBorders>
              <w:top w:val="nil"/>
              <w:left w:val="nil"/>
              <w:bottom w:val="single" w:sz="8" w:space="0" w:color="auto"/>
              <w:right w:val="single" w:sz="8" w:space="0" w:color="auto"/>
            </w:tcBorders>
            <w:shd w:val="clear" w:color="000000" w:fill="D9D9D9"/>
            <w:hideMark/>
          </w:tcPr>
          <w:p w14:paraId="26B65723"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noProof/>
                <w:sz w:val="18"/>
                <w:szCs w:val="18"/>
              </w:rPr>
              <w:t>3</w:t>
            </w:r>
            <w:r>
              <w:rPr>
                <w:b/>
                <w:noProof/>
                <w:sz w:val="18"/>
                <w:szCs w:val="18"/>
              </w:rPr>
              <w:t>.</w:t>
            </w:r>
            <w:r w:rsidRPr="003E165B">
              <w:rPr>
                <w:b/>
                <w:bCs/>
                <w:noProof/>
                <w:sz w:val="18"/>
                <w:szCs w:val="18"/>
              </w:rPr>
              <w:t>400</w:t>
            </w:r>
          </w:p>
        </w:tc>
        <w:tc>
          <w:tcPr>
            <w:tcW w:w="404" w:type="pct"/>
            <w:tcBorders>
              <w:top w:val="nil"/>
              <w:left w:val="nil"/>
              <w:bottom w:val="single" w:sz="8" w:space="0" w:color="auto"/>
              <w:right w:val="single" w:sz="8" w:space="0" w:color="auto"/>
            </w:tcBorders>
            <w:shd w:val="clear" w:color="000000" w:fill="D9D9D9"/>
            <w:hideMark/>
          </w:tcPr>
          <w:p w14:paraId="3C399D60"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2</w:t>
            </w:r>
            <w:r>
              <w:rPr>
                <w:b/>
                <w:bCs/>
                <w:noProof/>
                <w:sz w:val="18"/>
                <w:szCs w:val="18"/>
              </w:rPr>
              <w:t>.</w:t>
            </w:r>
            <w:r w:rsidRPr="003E165B">
              <w:rPr>
                <w:b/>
                <w:bCs/>
                <w:noProof/>
                <w:sz w:val="18"/>
                <w:szCs w:val="18"/>
              </w:rPr>
              <w:t>600</w:t>
            </w:r>
          </w:p>
        </w:tc>
        <w:tc>
          <w:tcPr>
            <w:tcW w:w="404" w:type="pct"/>
            <w:tcBorders>
              <w:top w:val="nil"/>
              <w:left w:val="nil"/>
              <w:bottom w:val="single" w:sz="8" w:space="0" w:color="auto"/>
              <w:right w:val="single" w:sz="8" w:space="0" w:color="auto"/>
            </w:tcBorders>
            <w:shd w:val="clear" w:color="000000" w:fill="D9D9D9"/>
            <w:hideMark/>
          </w:tcPr>
          <w:p w14:paraId="0957468B"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5</w:t>
            </w:r>
            <w:r>
              <w:rPr>
                <w:b/>
                <w:bCs/>
                <w:noProof/>
                <w:sz w:val="18"/>
                <w:szCs w:val="18"/>
              </w:rPr>
              <w:t>.</w:t>
            </w:r>
            <w:r w:rsidRPr="003E165B">
              <w:rPr>
                <w:b/>
                <w:bCs/>
                <w:noProof/>
                <w:sz w:val="18"/>
                <w:szCs w:val="18"/>
              </w:rPr>
              <w:t>200</w:t>
            </w:r>
          </w:p>
        </w:tc>
        <w:tc>
          <w:tcPr>
            <w:tcW w:w="404" w:type="pct"/>
            <w:tcBorders>
              <w:top w:val="nil"/>
              <w:left w:val="nil"/>
              <w:bottom w:val="single" w:sz="8" w:space="0" w:color="auto"/>
              <w:right w:val="single" w:sz="8" w:space="0" w:color="auto"/>
            </w:tcBorders>
            <w:shd w:val="clear" w:color="000000" w:fill="D9D9D9"/>
            <w:hideMark/>
          </w:tcPr>
          <w:p w14:paraId="7439EDBA"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2</w:t>
            </w:r>
            <w:r>
              <w:rPr>
                <w:b/>
                <w:bCs/>
                <w:noProof/>
                <w:sz w:val="18"/>
                <w:szCs w:val="18"/>
              </w:rPr>
              <w:t>.</w:t>
            </w:r>
            <w:r w:rsidRPr="003E165B">
              <w:rPr>
                <w:b/>
                <w:bCs/>
                <w:noProof/>
                <w:sz w:val="18"/>
                <w:szCs w:val="18"/>
              </w:rPr>
              <w:t>600</w:t>
            </w:r>
          </w:p>
        </w:tc>
        <w:tc>
          <w:tcPr>
            <w:tcW w:w="404" w:type="pct"/>
            <w:tcBorders>
              <w:top w:val="nil"/>
              <w:left w:val="nil"/>
              <w:bottom w:val="single" w:sz="8" w:space="0" w:color="auto"/>
              <w:right w:val="single" w:sz="8" w:space="0" w:color="auto"/>
            </w:tcBorders>
            <w:shd w:val="clear" w:color="000000" w:fill="D9D9D9"/>
            <w:hideMark/>
          </w:tcPr>
          <w:p w14:paraId="6D61F15A"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1</w:t>
            </w:r>
            <w:r>
              <w:rPr>
                <w:b/>
                <w:bCs/>
                <w:noProof/>
                <w:sz w:val="18"/>
                <w:szCs w:val="18"/>
              </w:rPr>
              <w:t>.</w:t>
            </w:r>
            <w:r w:rsidRPr="003E165B">
              <w:rPr>
                <w:b/>
                <w:bCs/>
                <w:noProof/>
                <w:sz w:val="18"/>
                <w:szCs w:val="18"/>
              </w:rPr>
              <w:t>800</w:t>
            </w:r>
          </w:p>
        </w:tc>
        <w:tc>
          <w:tcPr>
            <w:tcW w:w="441" w:type="pct"/>
            <w:tcBorders>
              <w:top w:val="nil"/>
              <w:left w:val="nil"/>
              <w:bottom w:val="single" w:sz="8" w:space="0" w:color="auto"/>
              <w:right w:val="single" w:sz="8" w:space="0" w:color="auto"/>
            </w:tcBorders>
            <w:shd w:val="clear" w:color="000000" w:fill="D9D9D9"/>
            <w:hideMark/>
          </w:tcPr>
          <w:p w14:paraId="61750267"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22</w:t>
            </w:r>
            <w:r>
              <w:rPr>
                <w:b/>
                <w:bCs/>
                <w:noProof/>
                <w:sz w:val="18"/>
                <w:szCs w:val="18"/>
              </w:rPr>
              <w:t>.</w:t>
            </w:r>
            <w:r w:rsidRPr="003E165B">
              <w:rPr>
                <w:b/>
                <w:bCs/>
                <w:noProof/>
                <w:sz w:val="18"/>
                <w:szCs w:val="18"/>
              </w:rPr>
              <w:t>400</w:t>
            </w:r>
          </w:p>
        </w:tc>
      </w:tr>
      <w:tr w:rsidR="00486288" w:rsidRPr="000A7F88" w14:paraId="754F5D71" w14:textId="77777777" w:rsidTr="00445C9D">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1023A344" w14:textId="77777777" w:rsidR="00486288" w:rsidRPr="000A7F88" w:rsidRDefault="00486288" w:rsidP="00445C9D">
            <w:pPr>
              <w:spacing w:before="0" w:after="0"/>
              <w:jc w:val="center"/>
              <w:rPr>
                <w:rFonts w:eastAsia="Times New Roman"/>
                <w:noProof/>
                <w:color w:val="000000"/>
                <w:sz w:val="22"/>
                <w:lang w:val="en-IE" w:eastAsia="en-IE"/>
              </w:rPr>
            </w:pPr>
            <w:r w:rsidRPr="000A7F88">
              <w:rPr>
                <w:rFonts w:eastAsia="Times New Roman"/>
                <w:noProof/>
                <w:color w:val="000000"/>
                <w:sz w:val="22"/>
                <w:lang w:val="en-IE" w:eastAsia="en-IE"/>
              </w:rPr>
              <w:t>of the multiannual financial framework</w:t>
            </w:r>
          </w:p>
        </w:tc>
        <w:tc>
          <w:tcPr>
            <w:tcW w:w="587" w:type="pct"/>
            <w:tcBorders>
              <w:top w:val="nil"/>
              <w:left w:val="nil"/>
              <w:bottom w:val="single" w:sz="8" w:space="0" w:color="auto"/>
              <w:right w:val="single" w:sz="8" w:space="0" w:color="auto"/>
            </w:tcBorders>
            <w:vAlign w:val="center"/>
            <w:hideMark/>
          </w:tcPr>
          <w:p w14:paraId="423B32B5" w14:textId="77777777" w:rsidR="00486288" w:rsidRPr="000A7F88" w:rsidRDefault="00486288" w:rsidP="00445C9D">
            <w:pPr>
              <w:spacing w:before="0" w:after="0"/>
              <w:rPr>
                <w:rFonts w:eastAsia="Times New Roman"/>
                <w:noProof/>
                <w:color w:val="000000"/>
                <w:sz w:val="18"/>
                <w:szCs w:val="18"/>
                <w:lang w:val="en-IE" w:eastAsia="en-IE"/>
              </w:rPr>
            </w:pPr>
            <w:r w:rsidRPr="000A7F88">
              <w:rPr>
                <w:rFonts w:eastAsia="Times New Roman"/>
                <w:noProof/>
                <w:color w:val="000000"/>
                <w:sz w:val="18"/>
                <w:szCs w:val="18"/>
                <w:lang w:val="en-IE" w:eastAsia="en-IE"/>
              </w:rPr>
              <w:t>Payments</w:t>
            </w:r>
          </w:p>
        </w:tc>
        <w:tc>
          <w:tcPr>
            <w:tcW w:w="376" w:type="pct"/>
            <w:tcBorders>
              <w:top w:val="nil"/>
              <w:left w:val="nil"/>
              <w:bottom w:val="single" w:sz="8" w:space="0" w:color="auto"/>
              <w:right w:val="single" w:sz="8" w:space="0" w:color="auto"/>
            </w:tcBorders>
            <w:vAlign w:val="center"/>
            <w:hideMark/>
          </w:tcPr>
          <w:p w14:paraId="74151CC6" w14:textId="77777777" w:rsidR="00486288" w:rsidRPr="000A7F88"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404" w:type="pct"/>
            <w:tcBorders>
              <w:top w:val="nil"/>
              <w:left w:val="nil"/>
              <w:bottom w:val="single" w:sz="8" w:space="0" w:color="auto"/>
              <w:right w:val="single" w:sz="8" w:space="0" w:color="auto"/>
            </w:tcBorders>
            <w:shd w:val="clear" w:color="000000" w:fill="D9D9D9"/>
            <w:hideMark/>
          </w:tcPr>
          <w:p w14:paraId="68FDBBA8"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0</w:t>
            </w:r>
            <w:r>
              <w:rPr>
                <w:b/>
                <w:bCs/>
                <w:noProof/>
                <w:sz w:val="18"/>
                <w:szCs w:val="18"/>
              </w:rPr>
              <w:t>.</w:t>
            </w:r>
            <w:r w:rsidRPr="003E165B">
              <w:rPr>
                <w:b/>
                <w:bCs/>
                <w:noProof/>
                <w:sz w:val="18"/>
                <w:szCs w:val="18"/>
              </w:rPr>
              <w:t>000</w:t>
            </w:r>
          </w:p>
        </w:tc>
        <w:tc>
          <w:tcPr>
            <w:tcW w:w="404" w:type="pct"/>
            <w:tcBorders>
              <w:top w:val="nil"/>
              <w:left w:val="nil"/>
              <w:bottom w:val="single" w:sz="8" w:space="0" w:color="auto"/>
              <w:right w:val="single" w:sz="8" w:space="0" w:color="auto"/>
            </w:tcBorders>
            <w:shd w:val="clear" w:color="000000" w:fill="D9D9D9"/>
            <w:hideMark/>
          </w:tcPr>
          <w:p w14:paraId="6915133D"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noProof/>
                <w:sz w:val="18"/>
                <w:szCs w:val="18"/>
              </w:rPr>
              <w:t>3</w:t>
            </w:r>
            <w:r>
              <w:rPr>
                <w:b/>
                <w:noProof/>
                <w:sz w:val="18"/>
                <w:szCs w:val="18"/>
              </w:rPr>
              <w:t>.</w:t>
            </w:r>
            <w:r w:rsidRPr="003E165B">
              <w:rPr>
                <w:b/>
                <w:bCs/>
                <w:noProof/>
                <w:sz w:val="18"/>
                <w:szCs w:val="18"/>
              </w:rPr>
              <w:t>900</w:t>
            </w:r>
          </w:p>
        </w:tc>
        <w:tc>
          <w:tcPr>
            <w:tcW w:w="404" w:type="pct"/>
            <w:tcBorders>
              <w:top w:val="nil"/>
              <w:left w:val="nil"/>
              <w:bottom w:val="single" w:sz="8" w:space="0" w:color="auto"/>
              <w:right w:val="single" w:sz="8" w:space="0" w:color="auto"/>
            </w:tcBorders>
            <w:shd w:val="clear" w:color="000000" w:fill="D9D9D9"/>
            <w:hideMark/>
          </w:tcPr>
          <w:p w14:paraId="68900AFC"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2</w:t>
            </w:r>
            <w:r>
              <w:rPr>
                <w:b/>
                <w:bCs/>
                <w:noProof/>
                <w:sz w:val="18"/>
                <w:szCs w:val="18"/>
              </w:rPr>
              <w:t>.</w:t>
            </w:r>
            <w:r w:rsidRPr="003E165B">
              <w:rPr>
                <w:b/>
                <w:bCs/>
                <w:noProof/>
                <w:sz w:val="18"/>
                <w:szCs w:val="18"/>
              </w:rPr>
              <w:t>900</w:t>
            </w:r>
          </w:p>
        </w:tc>
        <w:tc>
          <w:tcPr>
            <w:tcW w:w="404" w:type="pct"/>
            <w:tcBorders>
              <w:top w:val="nil"/>
              <w:left w:val="nil"/>
              <w:bottom w:val="single" w:sz="8" w:space="0" w:color="auto"/>
              <w:right w:val="single" w:sz="8" w:space="0" w:color="auto"/>
            </w:tcBorders>
            <w:shd w:val="clear" w:color="000000" w:fill="D9D9D9"/>
            <w:hideMark/>
          </w:tcPr>
          <w:p w14:paraId="7902611A"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noProof/>
                <w:sz w:val="18"/>
                <w:szCs w:val="18"/>
              </w:rPr>
              <w:t>3</w:t>
            </w:r>
            <w:r>
              <w:rPr>
                <w:b/>
                <w:noProof/>
                <w:sz w:val="18"/>
                <w:szCs w:val="18"/>
              </w:rPr>
              <w:t>.</w:t>
            </w:r>
            <w:r w:rsidRPr="003E165B">
              <w:rPr>
                <w:b/>
                <w:bCs/>
                <w:noProof/>
                <w:sz w:val="18"/>
                <w:szCs w:val="18"/>
              </w:rPr>
              <w:t>400</w:t>
            </w:r>
          </w:p>
        </w:tc>
        <w:tc>
          <w:tcPr>
            <w:tcW w:w="404" w:type="pct"/>
            <w:tcBorders>
              <w:top w:val="nil"/>
              <w:left w:val="nil"/>
              <w:bottom w:val="single" w:sz="8" w:space="0" w:color="auto"/>
              <w:right w:val="single" w:sz="8" w:space="0" w:color="auto"/>
            </w:tcBorders>
            <w:shd w:val="clear" w:color="000000" w:fill="D9D9D9"/>
            <w:hideMark/>
          </w:tcPr>
          <w:p w14:paraId="6B541070"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2</w:t>
            </w:r>
            <w:r>
              <w:rPr>
                <w:b/>
                <w:bCs/>
                <w:noProof/>
                <w:sz w:val="18"/>
                <w:szCs w:val="18"/>
              </w:rPr>
              <w:t>.</w:t>
            </w:r>
            <w:r w:rsidRPr="003E165B">
              <w:rPr>
                <w:b/>
                <w:bCs/>
                <w:noProof/>
                <w:sz w:val="18"/>
                <w:szCs w:val="18"/>
              </w:rPr>
              <w:t>600</w:t>
            </w:r>
          </w:p>
        </w:tc>
        <w:tc>
          <w:tcPr>
            <w:tcW w:w="404" w:type="pct"/>
            <w:tcBorders>
              <w:top w:val="nil"/>
              <w:left w:val="nil"/>
              <w:bottom w:val="single" w:sz="8" w:space="0" w:color="auto"/>
              <w:right w:val="single" w:sz="8" w:space="0" w:color="auto"/>
            </w:tcBorders>
            <w:shd w:val="clear" w:color="000000" w:fill="D9D9D9"/>
            <w:hideMark/>
          </w:tcPr>
          <w:p w14:paraId="13078B68"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5</w:t>
            </w:r>
            <w:r>
              <w:rPr>
                <w:b/>
                <w:bCs/>
                <w:noProof/>
                <w:sz w:val="18"/>
                <w:szCs w:val="18"/>
              </w:rPr>
              <w:t>.</w:t>
            </w:r>
            <w:r w:rsidRPr="003E165B">
              <w:rPr>
                <w:b/>
                <w:bCs/>
                <w:noProof/>
                <w:sz w:val="18"/>
                <w:szCs w:val="18"/>
              </w:rPr>
              <w:t>200</w:t>
            </w:r>
          </w:p>
        </w:tc>
        <w:tc>
          <w:tcPr>
            <w:tcW w:w="404" w:type="pct"/>
            <w:tcBorders>
              <w:top w:val="nil"/>
              <w:left w:val="nil"/>
              <w:bottom w:val="single" w:sz="8" w:space="0" w:color="auto"/>
              <w:right w:val="single" w:sz="8" w:space="0" w:color="auto"/>
            </w:tcBorders>
            <w:shd w:val="clear" w:color="000000" w:fill="D9D9D9"/>
            <w:hideMark/>
          </w:tcPr>
          <w:p w14:paraId="237BCBDB"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2</w:t>
            </w:r>
            <w:r>
              <w:rPr>
                <w:b/>
                <w:bCs/>
                <w:noProof/>
                <w:sz w:val="18"/>
                <w:szCs w:val="18"/>
              </w:rPr>
              <w:t>.</w:t>
            </w:r>
            <w:r w:rsidRPr="003E165B">
              <w:rPr>
                <w:b/>
                <w:bCs/>
                <w:noProof/>
                <w:sz w:val="18"/>
                <w:szCs w:val="18"/>
              </w:rPr>
              <w:t>600</w:t>
            </w:r>
          </w:p>
        </w:tc>
        <w:tc>
          <w:tcPr>
            <w:tcW w:w="441" w:type="pct"/>
            <w:tcBorders>
              <w:top w:val="nil"/>
              <w:left w:val="nil"/>
              <w:bottom w:val="single" w:sz="8" w:space="0" w:color="auto"/>
              <w:right w:val="single" w:sz="8" w:space="0" w:color="auto"/>
            </w:tcBorders>
            <w:shd w:val="clear" w:color="000000" w:fill="D9D9D9"/>
            <w:hideMark/>
          </w:tcPr>
          <w:p w14:paraId="5F485770" w14:textId="77777777" w:rsidR="00486288" w:rsidRPr="001377A5" w:rsidRDefault="00486288" w:rsidP="00445C9D">
            <w:pPr>
              <w:spacing w:before="0" w:after="0"/>
              <w:jc w:val="right"/>
              <w:rPr>
                <w:rFonts w:eastAsia="Times New Roman"/>
                <w:b/>
                <w:bCs/>
                <w:noProof/>
                <w:color w:val="000000"/>
                <w:sz w:val="18"/>
                <w:szCs w:val="18"/>
                <w:lang w:val="en-IE" w:eastAsia="en-IE"/>
              </w:rPr>
            </w:pPr>
            <w:r w:rsidRPr="003E165B">
              <w:rPr>
                <w:b/>
                <w:bCs/>
                <w:noProof/>
                <w:sz w:val="18"/>
                <w:szCs w:val="18"/>
              </w:rPr>
              <w:t>20</w:t>
            </w:r>
            <w:r>
              <w:rPr>
                <w:b/>
                <w:bCs/>
                <w:noProof/>
                <w:sz w:val="18"/>
                <w:szCs w:val="18"/>
              </w:rPr>
              <w:t>.</w:t>
            </w:r>
            <w:r w:rsidRPr="003E165B">
              <w:rPr>
                <w:b/>
                <w:bCs/>
                <w:noProof/>
                <w:sz w:val="18"/>
                <w:szCs w:val="18"/>
              </w:rPr>
              <w:t>600</w:t>
            </w:r>
          </w:p>
        </w:tc>
      </w:tr>
    </w:tbl>
    <w:p w14:paraId="00C0BEA0" w14:textId="77777777" w:rsidR="00486288" w:rsidRDefault="00486288" w:rsidP="00445C9D">
      <w:pPr>
        <w:rPr>
          <w:noProof/>
          <w:sz w:val="16"/>
        </w:rPr>
      </w:pPr>
    </w:p>
    <w:p w14:paraId="7D5DBC4A" w14:textId="77777777" w:rsidR="00486288" w:rsidRPr="003A769F" w:rsidRDefault="00486288" w:rsidP="00486288">
      <w:pPr>
        <w:jc w:val="right"/>
        <w:rPr>
          <w:noProof/>
          <w:sz w:val="18"/>
          <w:szCs w:val="18"/>
          <w:lang w:val="en-IE"/>
        </w:rPr>
      </w:pPr>
      <w:r w:rsidRPr="003A769F">
        <w:rPr>
          <w:noProof/>
          <w:sz w:val="18"/>
          <w:szCs w:val="18"/>
          <w:lang w:val="en-IE"/>
        </w:rPr>
        <w:t>EUR million (to three decimal places)</w:t>
      </w:r>
    </w:p>
    <w:p w14:paraId="100D5D9F" w14:textId="77777777" w:rsidR="00486288" w:rsidRDefault="00486288" w:rsidP="00445C9D">
      <w:pPr>
        <w:rPr>
          <w:noProof/>
          <w:sz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486288" w:rsidRPr="00486288" w14:paraId="33F0A2B1" w14:textId="77777777" w:rsidTr="00445C9D">
        <w:trPr>
          <w:jc w:val="center"/>
        </w:trPr>
        <w:tc>
          <w:tcPr>
            <w:tcW w:w="1739" w:type="pct"/>
            <w:shd w:val="thinDiagStripe" w:color="C0C0C0" w:fill="auto"/>
            <w:vAlign w:val="center"/>
          </w:tcPr>
          <w:p w14:paraId="6BCD49A4" w14:textId="77777777" w:rsidR="00486288" w:rsidRPr="00486288" w:rsidRDefault="00486288" w:rsidP="00486288">
            <w:pPr>
              <w:spacing w:before="60" w:after="60"/>
              <w:jc w:val="center"/>
              <w:rPr>
                <w:b/>
                <w:noProof/>
                <w:lang w:val="en-IE"/>
              </w:rPr>
            </w:pPr>
            <w:r w:rsidRPr="00486288">
              <w:rPr>
                <w:noProof/>
                <w:sz w:val="22"/>
                <w:lang w:val="en-IE"/>
              </w:rPr>
              <w:br w:type="page"/>
            </w:r>
            <w:r w:rsidRPr="00486288">
              <w:rPr>
                <w:b/>
                <w:noProof/>
                <w:sz w:val="22"/>
                <w:lang w:val="en-IE"/>
              </w:rPr>
              <w:t xml:space="preserve">Heading of multiannual financial framework </w:t>
            </w:r>
          </w:p>
        </w:tc>
        <w:tc>
          <w:tcPr>
            <w:tcW w:w="396" w:type="pct"/>
            <w:shd w:val="thinDiagStripe" w:color="C0C0C0" w:fill="auto"/>
            <w:vAlign w:val="center"/>
          </w:tcPr>
          <w:p w14:paraId="3D8F1137" w14:textId="77777777" w:rsidR="00486288" w:rsidRPr="00486288" w:rsidRDefault="00486288" w:rsidP="00486288">
            <w:pPr>
              <w:spacing w:before="60" w:after="60"/>
              <w:jc w:val="center"/>
              <w:rPr>
                <w:noProof/>
              </w:rPr>
            </w:pPr>
            <w:r w:rsidRPr="00486288">
              <w:rPr>
                <w:noProof/>
              </w:rPr>
              <w:t>4</w:t>
            </w:r>
          </w:p>
        </w:tc>
        <w:tc>
          <w:tcPr>
            <w:tcW w:w="2865" w:type="pct"/>
            <w:vAlign w:val="center"/>
          </w:tcPr>
          <w:p w14:paraId="34942F8A" w14:textId="77777777" w:rsidR="00486288" w:rsidRPr="00486288" w:rsidRDefault="00486288" w:rsidP="00486288">
            <w:pPr>
              <w:spacing w:before="60" w:after="60"/>
              <w:rPr>
                <w:noProof/>
              </w:rPr>
            </w:pPr>
            <w:r w:rsidRPr="00486288">
              <w:rPr>
                <w:noProof/>
                <w:sz w:val="22"/>
              </w:rPr>
              <w:t>‘Administrative expenditure’</w:t>
            </w:r>
            <w:r w:rsidR="00E67DD0">
              <w:rPr>
                <w:rStyle w:val="FootnoteReference"/>
                <w:noProof/>
                <w:sz w:val="22"/>
              </w:rPr>
              <w:footnoteReference w:id="87"/>
            </w:r>
          </w:p>
        </w:tc>
      </w:tr>
    </w:tbl>
    <w:p w14:paraId="319E26CF" w14:textId="77777777" w:rsidR="00486288" w:rsidRDefault="00486288" w:rsidP="00445C9D">
      <w:pPr>
        <w:rPr>
          <w:noProof/>
          <w:sz w:val="16"/>
        </w:rPr>
      </w:pPr>
    </w:p>
    <w:tbl>
      <w:tblPr>
        <w:tblW w:w="5000" w:type="pct"/>
        <w:tblLook w:val="04A0" w:firstRow="1" w:lastRow="0" w:firstColumn="1" w:lastColumn="0" w:noHBand="0" w:noVBand="1"/>
      </w:tblPr>
      <w:tblGrid>
        <w:gridCol w:w="1976"/>
        <w:gridCol w:w="2726"/>
        <w:gridCol w:w="717"/>
        <w:gridCol w:w="725"/>
        <w:gridCol w:w="990"/>
        <w:gridCol w:w="990"/>
        <w:gridCol w:w="990"/>
        <w:gridCol w:w="990"/>
        <w:gridCol w:w="990"/>
        <w:gridCol w:w="990"/>
        <w:gridCol w:w="990"/>
        <w:gridCol w:w="1146"/>
      </w:tblGrid>
      <w:tr w:rsidR="00486288" w:rsidRPr="0039195B" w14:paraId="03E94FAC" w14:textId="77777777" w:rsidTr="00DE199B">
        <w:trPr>
          <w:trHeight w:val="410"/>
        </w:trPr>
        <w:tc>
          <w:tcPr>
            <w:tcW w:w="2160"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1B43AA1E" w14:textId="77777777" w:rsidR="00486288" w:rsidRPr="0039195B" w:rsidRDefault="00486288" w:rsidP="00445C9D">
            <w:pPr>
              <w:spacing w:before="0" w:after="0"/>
              <w:jc w:val="center"/>
              <w:rPr>
                <w:rFonts w:eastAsia="Times New Roman"/>
                <w:noProof/>
                <w:color w:val="000000"/>
                <w:szCs w:val="24"/>
                <w:lang w:val="en-IE" w:eastAsia="en-IE"/>
              </w:rPr>
            </w:pPr>
            <w:r w:rsidRPr="0039195B">
              <w:rPr>
                <w:rFonts w:eastAsia="Times New Roman"/>
                <w:noProof/>
                <w:color w:val="000000"/>
                <w:szCs w:val="24"/>
                <w:lang w:val="en-IE" w:eastAsia="en-IE"/>
              </w:rPr>
              <w:t>DG: &lt;</w:t>
            </w:r>
            <w:r>
              <w:rPr>
                <w:rFonts w:eastAsia="Times New Roman"/>
                <w:noProof/>
                <w:color w:val="000000"/>
                <w:szCs w:val="24"/>
                <w:lang w:val="en-IE" w:eastAsia="en-IE"/>
              </w:rPr>
              <w:t>CLIMA</w:t>
            </w:r>
            <w:r w:rsidRPr="0039195B">
              <w:rPr>
                <w:rFonts w:eastAsia="Times New Roman"/>
                <w:noProof/>
                <w:color w:val="000000"/>
                <w:szCs w:val="24"/>
                <w:lang w:val="en-IE" w:eastAsia="en-IE"/>
              </w:rPr>
              <w:t>&gt;</w:t>
            </w:r>
          </w:p>
        </w:tc>
        <w:tc>
          <w:tcPr>
            <w:tcW w:w="348" w:type="pct"/>
            <w:tcBorders>
              <w:top w:val="single" w:sz="8" w:space="0" w:color="auto"/>
              <w:left w:val="nil"/>
              <w:bottom w:val="nil"/>
              <w:right w:val="single" w:sz="8" w:space="0" w:color="auto"/>
            </w:tcBorders>
            <w:vAlign w:val="center"/>
            <w:hideMark/>
          </w:tcPr>
          <w:p w14:paraId="0DE20F5A"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48" w:type="pct"/>
            <w:tcBorders>
              <w:top w:val="single" w:sz="8" w:space="0" w:color="auto"/>
              <w:left w:val="nil"/>
              <w:bottom w:val="nil"/>
              <w:right w:val="single" w:sz="8" w:space="0" w:color="auto"/>
            </w:tcBorders>
            <w:vAlign w:val="center"/>
            <w:hideMark/>
          </w:tcPr>
          <w:p w14:paraId="3473A9FE"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48" w:type="pct"/>
            <w:tcBorders>
              <w:top w:val="single" w:sz="8" w:space="0" w:color="auto"/>
              <w:left w:val="nil"/>
              <w:bottom w:val="nil"/>
              <w:right w:val="single" w:sz="8" w:space="0" w:color="auto"/>
            </w:tcBorders>
            <w:vAlign w:val="center"/>
            <w:hideMark/>
          </w:tcPr>
          <w:p w14:paraId="544D34E3"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48" w:type="pct"/>
            <w:tcBorders>
              <w:top w:val="single" w:sz="8" w:space="0" w:color="auto"/>
              <w:left w:val="nil"/>
              <w:bottom w:val="nil"/>
              <w:right w:val="single" w:sz="8" w:space="0" w:color="auto"/>
            </w:tcBorders>
            <w:vAlign w:val="center"/>
            <w:hideMark/>
          </w:tcPr>
          <w:p w14:paraId="30F2CA79"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48" w:type="pct"/>
            <w:tcBorders>
              <w:top w:val="single" w:sz="8" w:space="0" w:color="auto"/>
              <w:left w:val="nil"/>
              <w:bottom w:val="nil"/>
              <w:right w:val="single" w:sz="8" w:space="0" w:color="auto"/>
            </w:tcBorders>
            <w:vAlign w:val="center"/>
            <w:hideMark/>
          </w:tcPr>
          <w:p w14:paraId="6D4E4DE9"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48" w:type="pct"/>
            <w:tcBorders>
              <w:top w:val="single" w:sz="8" w:space="0" w:color="auto"/>
              <w:left w:val="nil"/>
              <w:bottom w:val="nil"/>
              <w:right w:val="single" w:sz="8" w:space="0" w:color="auto"/>
            </w:tcBorders>
            <w:vAlign w:val="center"/>
            <w:hideMark/>
          </w:tcPr>
          <w:p w14:paraId="700FC832"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348" w:type="pct"/>
            <w:tcBorders>
              <w:top w:val="single" w:sz="8" w:space="0" w:color="auto"/>
              <w:left w:val="nil"/>
              <w:bottom w:val="nil"/>
              <w:right w:val="single" w:sz="8" w:space="0" w:color="auto"/>
            </w:tcBorders>
            <w:vAlign w:val="center"/>
            <w:hideMark/>
          </w:tcPr>
          <w:p w14:paraId="28801D60"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03" w:type="pct"/>
            <w:vMerge w:val="restart"/>
            <w:tcBorders>
              <w:top w:val="single" w:sz="8" w:space="0" w:color="auto"/>
              <w:left w:val="single" w:sz="8" w:space="0" w:color="auto"/>
              <w:bottom w:val="single" w:sz="8" w:space="0" w:color="000000"/>
              <w:right w:val="single" w:sz="8" w:space="0" w:color="auto"/>
            </w:tcBorders>
            <w:vAlign w:val="center"/>
            <w:hideMark/>
          </w:tcPr>
          <w:p w14:paraId="55F3C56A"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TOTAL MFF 2028-2034</w:t>
            </w:r>
          </w:p>
        </w:tc>
      </w:tr>
      <w:tr w:rsidR="00486288" w:rsidRPr="0039195B" w14:paraId="6CFB51ED" w14:textId="77777777" w:rsidTr="00DE199B">
        <w:trPr>
          <w:trHeight w:val="300"/>
        </w:trPr>
        <w:tc>
          <w:tcPr>
            <w:tcW w:w="2160" w:type="pct"/>
            <w:gridSpan w:val="4"/>
            <w:vMerge/>
            <w:tcBorders>
              <w:top w:val="single" w:sz="8" w:space="0" w:color="auto"/>
              <w:left w:val="single" w:sz="8" w:space="0" w:color="auto"/>
              <w:bottom w:val="single" w:sz="8" w:space="0" w:color="000000"/>
              <w:right w:val="single" w:sz="8" w:space="0" w:color="000000"/>
            </w:tcBorders>
            <w:vAlign w:val="center"/>
            <w:hideMark/>
          </w:tcPr>
          <w:p w14:paraId="28A23CFF" w14:textId="77777777" w:rsidR="00486288" w:rsidRPr="0039195B" w:rsidRDefault="00486288" w:rsidP="00445C9D">
            <w:pPr>
              <w:spacing w:before="0" w:after="0"/>
              <w:jc w:val="left"/>
              <w:rPr>
                <w:rFonts w:eastAsia="Times New Roman"/>
                <w:noProof/>
                <w:color w:val="000000"/>
                <w:szCs w:val="24"/>
                <w:lang w:val="en-IE" w:eastAsia="en-IE"/>
              </w:rPr>
            </w:pPr>
          </w:p>
        </w:tc>
        <w:tc>
          <w:tcPr>
            <w:tcW w:w="348" w:type="pct"/>
            <w:tcBorders>
              <w:top w:val="nil"/>
              <w:left w:val="nil"/>
              <w:bottom w:val="single" w:sz="8" w:space="0" w:color="auto"/>
              <w:right w:val="single" w:sz="8" w:space="0" w:color="auto"/>
            </w:tcBorders>
            <w:vAlign w:val="center"/>
            <w:hideMark/>
          </w:tcPr>
          <w:p w14:paraId="730ACF5C"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2028</w:t>
            </w:r>
          </w:p>
        </w:tc>
        <w:tc>
          <w:tcPr>
            <w:tcW w:w="348" w:type="pct"/>
            <w:tcBorders>
              <w:top w:val="nil"/>
              <w:left w:val="nil"/>
              <w:bottom w:val="single" w:sz="8" w:space="0" w:color="auto"/>
              <w:right w:val="single" w:sz="8" w:space="0" w:color="auto"/>
            </w:tcBorders>
            <w:vAlign w:val="center"/>
            <w:hideMark/>
          </w:tcPr>
          <w:p w14:paraId="00C1FCA1"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2029</w:t>
            </w:r>
          </w:p>
        </w:tc>
        <w:tc>
          <w:tcPr>
            <w:tcW w:w="348" w:type="pct"/>
            <w:tcBorders>
              <w:top w:val="nil"/>
              <w:left w:val="nil"/>
              <w:bottom w:val="single" w:sz="8" w:space="0" w:color="auto"/>
              <w:right w:val="single" w:sz="8" w:space="0" w:color="auto"/>
            </w:tcBorders>
            <w:vAlign w:val="center"/>
            <w:hideMark/>
          </w:tcPr>
          <w:p w14:paraId="2D0557E0"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2030</w:t>
            </w:r>
          </w:p>
        </w:tc>
        <w:tc>
          <w:tcPr>
            <w:tcW w:w="348" w:type="pct"/>
            <w:tcBorders>
              <w:top w:val="nil"/>
              <w:left w:val="nil"/>
              <w:bottom w:val="single" w:sz="8" w:space="0" w:color="auto"/>
              <w:right w:val="single" w:sz="8" w:space="0" w:color="auto"/>
            </w:tcBorders>
            <w:vAlign w:val="center"/>
            <w:hideMark/>
          </w:tcPr>
          <w:p w14:paraId="4108E65F"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2031</w:t>
            </w:r>
          </w:p>
        </w:tc>
        <w:tc>
          <w:tcPr>
            <w:tcW w:w="348" w:type="pct"/>
            <w:tcBorders>
              <w:top w:val="nil"/>
              <w:left w:val="nil"/>
              <w:bottom w:val="single" w:sz="8" w:space="0" w:color="auto"/>
              <w:right w:val="single" w:sz="8" w:space="0" w:color="auto"/>
            </w:tcBorders>
            <w:vAlign w:val="center"/>
            <w:hideMark/>
          </w:tcPr>
          <w:p w14:paraId="0D7AA01F"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2032</w:t>
            </w:r>
          </w:p>
        </w:tc>
        <w:tc>
          <w:tcPr>
            <w:tcW w:w="348" w:type="pct"/>
            <w:tcBorders>
              <w:top w:val="nil"/>
              <w:left w:val="nil"/>
              <w:bottom w:val="single" w:sz="8" w:space="0" w:color="auto"/>
              <w:right w:val="single" w:sz="8" w:space="0" w:color="auto"/>
            </w:tcBorders>
            <w:vAlign w:val="center"/>
            <w:hideMark/>
          </w:tcPr>
          <w:p w14:paraId="345D79B6"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2033</w:t>
            </w:r>
          </w:p>
        </w:tc>
        <w:tc>
          <w:tcPr>
            <w:tcW w:w="348" w:type="pct"/>
            <w:tcBorders>
              <w:top w:val="nil"/>
              <w:left w:val="nil"/>
              <w:bottom w:val="single" w:sz="8" w:space="0" w:color="auto"/>
              <w:right w:val="single" w:sz="8" w:space="0" w:color="auto"/>
            </w:tcBorders>
            <w:vAlign w:val="center"/>
            <w:hideMark/>
          </w:tcPr>
          <w:p w14:paraId="01131AA8"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2034</w:t>
            </w:r>
          </w:p>
        </w:tc>
        <w:tc>
          <w:tcPr>
            <w:tcW w:w="403" w:type="pct"/>
            <w:vMerge/>
            <w:tcBorders>
              <w:top w:val="single" w:sz="8" w:space="0" w:color="auto"/>
              <w:left w:val="single" w:sz="8" w:space="0" w:color="auto"/>
              <w:bottom w:val="single" w:sz="8" w:space="0" w:color="000000"/>
              <w:right w:val="single" w:sz="8" w:space="0" w:color="auto"/>
            </w:tcBorders>
            <w:vAlign w:val="center"/>
            <w:hideMark/>
          </w:tcPr>
          <w:p w14:paraId="54F242D9" w14:textId="77777777" w:rsidR="00486288" w:rsidRPr="0039195B" w:rsidRDefault="00486288" w:rsidP="00445C9D">
            <w:pPr>
              <w:spacing w:before="0" w:after="0"/>
              <w:jc w:val="left"/>
              <w:rPr>
                <w:rFonts w:eastAsia="Times New Roman"/>
                <w:b/>
                <w:bCs/>
                <w:noProof/>
                <w:color w:val="000000"/>
                <w:sz w:val="20"/>
                <w:szCs w:val="20"/>
                <w:lang w:val="en-IE" w:eastAsia="en-IE"/>
              </w:rPr>
            </w:pPr>
          </w:p>
        </w:tc>
      </w:tr>
      <w:tr w:rsidR="00D80845" w:rsidRPr="0039195B" w14:paraId="0D199514" w14:textId="77777777" w:rsidTr="00DE199B">
        <w:trPr>
          <w:trHeight w:val="300"/>
        </w:trPr>
        <w:tc>
          <w:tcPr>
            <w:tcW w:w="2160" w:type="pct"/>
            <w:gridSpan w:val="4"/>
            <w:tcBorders>
              <w:top w:val="single" w:sz="8" w:space="0" w:color="auto"/>
              <w:left w:val="single" w:sz="8" w:space="0" w:color="auto"/>
              <w:bottom w:val="single" w:sz="8" w:space="0" w:color="auto"/>
              <w:right w:val="single" w:sz="8" w:space="0" w:color="000000"/>
            </w:tcBorders>
            <w:vAlign w:val="center"/>
            <w:hideMark/>
          </w:tcPr>
          <w:p w14:paraId="0082E744" w14:textId="77777777" w:rsidR="00C749C0" w:rsidRPr="0039195B" w:rsidRDefault="00C749C0" w:rsidP="00C749C0">
            <w:pPr>
              <w:spacing w:before="0" w:after="0"/>
              <w:jc w:val="left"/>
              <w:rPr>
                <w:rFonts w:ascii="Wingdings" w:eastAsia="Times New Roman" w:hAnsi="Wingdings"/>
                <w:noProof/>
                <w:color w:val="000000"/>
                <w:sz w:val="22"/>
                <w:lang w:val="en-IE" w:eastAsia="en-IE"/>
              </w:rPr>
            </w:pPr>
            <w:r w:rsidRPr="0039195B">
              <w:rPr>
                <w:rFonts w:ascii="Wingdings" w:eastAsia="Times New Roman" w:hAnsi="Wingdings"/>
                <w:noProof/>
                <w:color w:val="000000"/>
                <w:sz w:val="22"/>
                <w:lang w:val="en-IE" w:eastAsia="en-IE"/>
              </w:rPr>
              <w:t></w:t>
            </w:r>
            <w:r w:rsidRPr="0039195B">
              <w:rPr>
                <w:rFonts w:eastAsia="Times New Roman"/>
                <w:noProof/>
                <w:color w:val="000000"/>
                <w:sz w:val="22"/>
                <w:lang w:val="en-IE" w:eastAsia="en-IE"/>
              </w:rPr>
              <w:t xml:space="preserve"> Human resources </w:t>
            </w:r>
          </w:p>
        </w:tc>
        <w:tc>
          <w:tcPr>
            <w:tcW w:w="348" w:type="pct"/>
            <w:tcBorders>
              <w:top w:val="nil"/>
              <w:left w:val="nil"/>
              <w:bottom w:val="single" w:sz="8" w:space="0" w:color="auto"/>
              <w:right w:val="single" w:sz="8" w:space="0" w:color="auto"/>
            </w:tcBorders>
            <w:shd w:val="clear" w:color="000000" w:fill="D9D9D9"/>
            <w:vAlign w:val="center"/>
          </w:tcPr>
          <w:p w14:paraId="38EEBA0D" w14:textId="6CB82C1D"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3,451</w:t>
            </w:r>
          </w:p>
        </w:tc>
        <w:tc>
          <w:tcPr>
            <w:tcW w:w="348" w:type="pct"/>
            <w:tcBorders>
              <w:top w:val="nil"/>
              <w:left w:val="nil"/>
              <w:bottom w:val="single" w:sz="8" w:space="0" w:color="auto"/>
              <w:right w:val="single" w:sz="8" w:space="0" w:color="auto"/>
            </w:tcBorders>
            <w:shd w:val="clear" w:color="000000" w:fill="D9D9D9"/>
            <w:vAlign w:val="center"/>
          </w:tcPr>
          <w:p w14:paraId="39644DDB" w14:textId="7081344A"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4,243</w:t>
            </w:r>
          </w:p>
        </w:tc>
        <w:tc>
          <w:tcPr>
            <w:tcW w:w="348" w:type="pct"/>
            <w:tcBorders>
              <w:top w:val="nil"/>
              <w:left w:val="nil"/>
              <w:bottom w:val="single" w:sz="8" w:space="0" w:color="auto"/>
              <w:right w:val="single" w:sz="8" w:space="0" w:color="auto"/>
            </w:tcBorders>
            <w:shd w:val="clear" w:color="000000" w:fill="D9D9D9"/>
            <w:vAlign w:val="center"/>
          </w:tcPr>
          <w:p w14:paraId="580B9449" w14:textId="27C0007B"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4,243</w:t>
            </w:r>
          </w:p>
        </w:tc>
        <w:tc>
          <w:tcPr>
            <w:tcW w:w="348" w:type="pct"/>
            <w:tcBorders>
              <w:top w:val="nil"/>
              <w:left w:val="nil"/>
              <w:bottom w:val="single" w:sz="8" w:space="0" w:color="auto"/>
              <w:right w:val="single" w:sz="8" w:space="0" w:color="auto"/>
            </w:tcBorders>
            <w:shd w:val="clear" w:color="000000" w:fill="D9D9D9"/>
            <w:vAlign w:val="center"/>
          </w:tcPr>
          <w:p w14:paraId="4F44AA88" w14:textId="0BDF436E"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4,033</w:t>
            </w:r>
          </w:p>
        </w:tc>
        <w:tc>
          <w:tcPr>
            <w:tcW w:w="348" w:type="pct"/>
            <w:tcBorders>
              <w:top w:val="nil"/>
              <w:left w:val="nil"/>
              <w:bottom w:val="single" w:sz="8" w:space="0" w:color="auto"/>
              <w:right w:val="single" w:sz="8" w:space="0" w:color="auto"/>
            </w:tcBorders>
            <w:shd w:val="clear" w:color="000000" w:fill="D9D9D9"/>
            <w:vAlign w:val="center"/>
          </w:tcPr>
          <w:p w14:paraId="184F0078" w14:textId="0F2A9726"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4,033</w:t>
            </w:r>
          </w:p>
        </w:tc>
        <w:tc>
          <w:tcPr>
            <w:tcW w:w="348" w:type="pct"/>
            <w:tcBorders>
              <w:top w:val="nil"/>
              <w:left w:val="nil"/>
              <w:bottom w:val="single" w:sz="8" w:space="0" w:color="auto"/>
              <w:right w:val="single" w:sz="8" w:space="0" w:color="auto"/>
            </w:tcBorders>
            <w:shd w:val="clear" w:color="000000" w:fill="D9D9D9"/>
            <w:vAlign w:val="center"/>
          </w:tcPr>
          <w:p w14:paraId="29D1C600" w14:textId="6FF54B84"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4,033</w:t>
            </w:r>
          </w:p>
        </w:tc>
        <w:tc>
          <w:tcPr>
            <w:tcW w:w="348" w:type="pct"/>
            <w:tcBorders>
              <w:top w:val="nil"/>
              <w:left w:val="nil"/>
              <w:bottom w:val="single" w:sz="8" w:space="0" w:color="auto"/>
              <w:right w:val="single" w:sz="8" w:space="0" w:color="auto"/>
            </w:tcBorders>
            <w:shd w:val="clear" w:color="000000" w:fill="D9D9D9"/>
            <w:vAlign w:val="center"/>
          </w:tcPr>
          <w:p w14:paraId="6FA5AFA2" w14:textId="305F086E"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4,033</w:t>
            </w:r>
          </w:p>
        </w:tc>
        <w:tc>
          <w:tcPr>
            <w:tcW w:w="403" w:type="pct"/>
            <w:tcBorders>
              <w:top w:val="nil"/>
              <w:left w:val="nil"/>
              <w:bottom w:val="single" w:sz="8" w:space="0" w:color="auto"/>
              <w:right w:val="single" w:sz="8" w:space="0" w:color="auto"/>
            </w:tcBorders>
            <w:shd w:val="clear" w:color="000000" w:fill="D9D9D9"/>
            <w:vAlign w:val="center"/>
          </w:tcPr>
          <w:p w14:paraId="424FDE8D" w14:textId="48D33901" w:rsidR="00C749C0" w:rsidRPr="00120595"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28,069</w:t>
            </w:r>
          </w:p>
        </w:tc>
      </w:tr>
      <w:tr w:rsidR="00D80845" w:rsidRPr="0039195B" w14:paraId="2170E992" w14:textId="77777777" w:rsidTr="00DE199B">
        <w:trPr>
          <w:trHeight w:val="300"/>
        </w:trPr>
        <w:tc>
          <w:tcPr>
            <w:tcW w:w="2160" w:type="pct"/>
            <w:gridSpan w:val="4"/>
            <w:tcBorders>
              <w:top w:val="single" w:sz="8" w:space="0" w:color="auto"/>
              <w:left w:val="single" w:sz="8" w:space="0" w:color="auto"/>
              <w:bottom w:val="single" w:sz="8" w:space="0" w:color="auto"/>
              <w:right w:val="single" w:sz="8" w:space="0" w:color="000000"/>
            </w:tcBorders>
            <w:vAlign w:val="center"/>
            <w:hideMark/>
          </w:tcPr>
          <w:p w14:paraId="2978C92E" w14:textId="77777777" w:rsidR="00C749C0" w:rsidRPr="0039195B" w:rsidRDefault="00C749C0" w:rsidP="00C749C0">
            <w:pPr>
              <w:spacing w:before="0" w:after="0"/>
              <w:jc w:val="left"/>
              <w:rPr>
                <w:rFonts w:ascii="Wingdings" w:eastAsia="Times New Roman" w:hAnsi="Wingdings"/>
                <w:noProof/>
                <w:color w:val="000000"/>
                <w:sz w:val="22"/>
                <w:lang w:val="en-IE" w:eastAsia="en-IE"/>
              </w:rPr>
            </w:pPr>
            <w:r w:rsidRPr="0039195B">
              <w:rPr>
                <w:rFonts w:ascii="Wingdings" w:eastAsia="Times New Roman" w:hAnsi="Wingdings"/>
                <w:noProof/>
                <w:color w:val="000000"/>
                <w:sz w:val="22"/>
                <w:lang w:val="en-IE" w:eastAsia="en-IE"/>
              </w:rPr>
              <w:t></w:t>
            </w:r>
            <w:r w:rsidRPr="0039195B">
              <w:rPr>
                <w:rFonts w:eastAsia="Times New Roman"/>
                <w:noProof/>
                <w:color w:val="000000"/>
                <w:sz w:val="22"/>
                <w:lang w:val="en-IE" w:eastAsia="en-IE"/>
              </w:rPr>
              <w:t xml:space="preserve"> Other administrative expenditure </w:t>
            </w:r>
          </w:p>
        </w:tc>
        <w:tc>
          <w:tcPr>
            <w:tcW w:w="348" w:type="pct"/>
            <w:tcBorders>
              <w:top w:val="nil"/>
              <w:left w:val="nil"/>
              <w:bottom w:val="single" w:sz="8" w:space="0" w:color="auto"/>
              <w:right w:val="single" w:sz="8" w:space="0" w:color="auto"/>
            </w:tcBorders>
            <w:shd w:val="clear" w:color="000000" w:fill="D9D9D9"/>
            <w:vAlign w:val="center"/>
          </w:tcPr>
          <w:p w14:paraId="19CAA3EF" w14:textId="77777777"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0,200</w:t>
            </w:r>
          </w:p>
        </w:tc>
        <w:tc>
          <w:tcPr>
            <w:tcW w:w="348" w:type="pct"/>
            <w:tcBorders>
              <w:top w:val="nil"/>
              <w:left w:val="nil"/>
              <w:bottom w:val="single" w:sz="8" w:space="0" w:color="auto"/>
              <w:right w:val="single" w:sz="8" w:space="0" w:color="auto"/>
            </w:tcBorders>
            <w:shd w:val="clear" w:color="000000" w:fill="D9D9D9"/>
            <w:vAlign w:val="center"/>
          </w:tcPr>
          <w:p w14:paraId="0DFFC079" w14:textId="77777777"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0,200</w:t>
            </w:r>
          </w:p>
        </w:tc>
        <w:tc>
          <w:tcPr>
            <w:tcW w:w="348" w:type="pct"/>
            <w:tcBorders>
              <w:top w:val="nil"/>
              <w:left w:val="nil"/>
              <w:bottom w:val="single" w:sz="8" w:space="0" w:color="auto"/>
              <w:right w:val="single" w:sz="8" w:space="0" w:color="auto"/>
            </w:tcBorders>
            <w:shd w:val="clear" w:color="000000" w:fill="D9D9D9"/>
            <w:vAlign w:val="center"/>
          </w:tcPr>
          <w:p w14:paraId="2787A1B9" w14:textId="77777777"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0,200</w:t>
            </w:r>
          </w:p>
        </w:tc>
        <w:tc>
          <w:tcPr>
            <w:tcW w:w="348" w:type="pct"/>
            <w:tcBorders>
              <w:top w:val="nil"/>
              <w:left w:val="nil"/>
              <w:bottom w:val="single" w:sz="8" w:space="0" w:color="auto"/>
              <w:right w:val="single" w:sz="8" w:space="0" w:color="auto"/>
            </w:tcBorders>
            <w:shd w:val="clear" w:color="000000" w:fill="D9D9D9"/>
            <w:vAlign w:val="center"/>
          </w:tcPr>
          <w:p w14:paraId="1953FFCA" w14:textId="77777777"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0,200</w:t>
            </w:r>
          </w:p>
        </w:tc>
        <w:tc>
          <w:tcPr>
            <w:tcW w:w="348" w:type="pct"/>
            <w:tcBorders>
              <w:top w:val="nil"/>
              <w:left w:val="nil"/>
              <w:bottom w:val="single" w:sz="8" w:space="0" w:color="auto"/>
              <w:right w:val="single" w:sz="8" w:space="0" w:color="auto"/>
            </w:tcBorders>
            <w:shd w:val="clear" w:color="000000" w:fill="D9D9D9"/>
            <w:vAlign w:val="center"/>
          </w:tcPr>
          <w:p w14:paraId="4688AA18" w14:textId="77777777"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0,200</w:t>
            </w:r>
          </w:p>
        </w:tc>
        <w:tc>
          <w:tcPr>
            <w:tcW w:w="348" w:type="pct"/>
            <w:tcBorders>
              <w:top w:val="nil"/>
              <w:left w:val="nil"/>
              <w:bottom w:val="single" w:sz="8" w:space="0" w:color="auto"/>
              <w:right w:val="single" w:sz="8" w:space="0" w:color="auto"/>
            </w:tcBorders>
            <w:shd w:val="clear" w:color="000000" w:fill="D9D9D9"/>
            <w:vAlign w:val="center"/>
          </w:tcPr>
          <w:p w14:paraId="03F24007" w14:textId="77777777"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0,200</w:t>
            </w:r>
          </w:p>
        </w:tc>
        <w:tc>
          <w:tcPr>
            <w:tcW w:w="348" w:type="pct"/>
            <w:tcBorders>
              <w:top w:val="nil"/>
              <w:left w:val="nil"/>
              <w:bottom w:val="single" w:sz="8" w:space="0" w:color="auto"/>
              <w:right w:val="single" w:sz="8" w:space="0" w:color="auto"/>
            </w:tcBorders>
            <w:shd w:val="clear" w:color="000000" w:fill="D9D9D9"/>
            <w:vAlign w:val="center"/>
          </w:tcPr>
          <w:p w14:paraId="7F8EEFD5" w14:textId="77777777" w:rsidR="00C749C0" w:rsidRPr="00120595" w:rsidRDefault="00C749C0" w:rsidP="00C749C0">
            <w:pPr>
              <w:spacing w:before="0" w:after="0"/>
              <w:jc w:val="right"/>
              <w:rPr>
                <w:rFonts w:eastAsia="Times New Roman"/>
                <w:b/>
                <w:noProof/>
                <w:color w:val="000000"/>
                <w:sz w:val="18"/>
                <w:szCs w:val="18"/>
                <w:lang w:val="en-IE" w:eastAsia="en-IE"/>
              </w:rPr>
            </w:pPr>
            <w:r>
              <w:rPr>
                <w:noProof/>
                <w:color w:val="000000"/>
                <w:sz w:val="16"/>
                <w:szCs w:val="16"/>
              </w:rPr>
              <w:t>0,200</w:t>
            </w:r>
          </w:p>
        </w:tc>
        <w:tc>
          <w:tcPr>
            <w:tcW w:w="403" w:type="pct"/>
            <w:tcBorders>
              <w:top w:val="nil"/>
              <w:left w:val="nil"/>
              <w:bottom w:val="single" w:sz="8" w:space="0" w:color="auto"/>
              <w:right w:val="single" w:sz="8" w:space="0" w:color="auto"/>
            </w:tcBorders>
            <w:shd w:val="clear" w:color="000000" w:fill="D9D9D9"/>
            <w:vAlign w:val="center"/>
          </w:tcPr>
          <w:p w14:paraId="2993AD6D" w14:textId="77777777" w:rsidR="00C749C0" w:rsidRPr="00120595"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1,400</w:t>
            </w:r>
          </w:p>
        </w:tc>
      </w:tr>
      <w:tr w:rsidR="00D80845" w:rsidRPr="0039195B" w14:paraId="2416C31B" w14:textId="77777777" w:rsidTr="00DE199B">
        <w:trPr>
          <w:trHeight w:val="850"/>
        </w:trPr>
        <w:tc>
          <w:tcPr>
            <w:tcW w:w="695" w:type="pct"/>
            <w:tcBorders>
              <w:top w:val="nil"/>
              <w:left w:val="single" w:sz="8" w:space="0" w:color="auto"/>
              <w:bottom w:val="single" w:sz="8" w:space="0" w:color="auto"/>
              <w:right w:val="single" w:sz="8" w:space="0" w:color="auto"/>
            </w:tcBorders>
            <w:vAlign w:val="center"/>
            <w:hideMark/>
          </w:tcPr>
          <w:p w14:paraId="03BD37A5" w14:textId="77777777" w:rsidR="00C749C0" w:rsidRPr="0039195B" w:rsidRDefault="00C749C0" w:rsidP="00C749C0">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 xml:space="preserve">TOTAL DG </w:t>
            </w:r>
            <w:r w:rsidRPr="0039195B">
              <w:rPr>
                <w:rFonts w:eastAsia="Times New Roman"/>
                <w:noProof/>
                <w:color w:val="000000"/>
                <w:sz w:val="22"/>
                <w:lang w:val="en-IE" w:eastAsia="en-IE"/>
              </w:rPr>
              <w:t>&lt;</w:t>
            </w:r>
            <w:r>
              <w:rPr>
                <w:rFonts w:eastAsia="Times New Roman"/>
                <w:noProof/>
                <w:color w:val="000000"/>
                <w:sz w:val="22"/>
                <w:lang w:val="en-IE" w:eastAsia="en-IE"/>
              </w:rPr>
              <w:t>CLIMA</w:t>
            </w:r>
            <w:r w:rsidRPr="0039195B">
              <w:rPr>
                <w:rFonts w:eastAsia="Times New Roman"/>
                <w:noProof/>
                <w:color w:val="000000"/>
                <w:sz w:val="22"/>
                <w:lang w:val="en-IE" w:eastAsia="en-IE"/>
              </w:rPr>
              <w:t>&gt;</w:t>
            </w:r>
          </w:p>
        </w:tc>
        <w:tc>
          <w:tcPr>
            <w:tcW w:w="1466" w:type="pct"/>
            <w:gridSpan w:val="3"/>
            <w:tcBorders>
              <w:top w:val="single" w:sz="8" w:space="0" w:color="auto"/>
              <w:left w:val="nil"/>
              <w:bottom w:val="single" w:sz="8" w:space="0" w:color="auto"/>
              <w:right w:val="single" w:sz="8" w:space="0" w:color="000000"/>
            </w:tcBorders>
            <w:hideMark/>
          </w:tcPr>
          <w:p w14:paraId="0D0C71DD" w14:textId="77777777" w:rsidR="00C749C0" w:rsidRPr="0039195B" w:rsidRDefault="00C749C0" w:rsidP="00C749C0">
            <w:pPr>
              <w:spacing w:before="0" w:after="0"/>
              <w:jc w:val="left"/>
              <w:rPr>
                <w:rFonts w:eastAsia="Times New Roman"/>
                <w:noProof/>
                <w:color w:val="000000"/>
                <w:sz w:val="18"/>
                <w:szCs w:val="18"/>
                <w:lang w:val="en-IE" w:eastAsia="en-IE"/>
              </w:rPr>
            </w:pPr>
          </w:p>
        </w:tc>
        <w:tc>
          <w:tcPr>
            <w:tcW w:w="348" w:type="pct"/>
            <w:tcBorders>
              <w:top w:val="nil"/>
              <w:left w:val="nil"/>
              <w:bottom w:val="single" w:sz="8" w:space="0" w:color="auto"/>
              <w:right w:val="single" w:sz="8" w:space="0" w:color="auto"/>
            </w:tcBorders>
            <w:shd w:val="clear" w:color="000000" w:fill="D9D9D9"/>
            <w:vAlign w:val="center"/>
          </w:tcPr>
          <w:p w14:paraId="3178D240" w14:textId="6A3EBB6B" w:rsidR="00C749C0" w:rsidRPr="00120595"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3,651</w:t>
            </w:r>
          </w:p>
        </w:tc>
        <w:tc>
          <w:tcPr>
            <w:tcW w:w="348" w:type="pct"/>
            <w:tcBorders>
              <w:top w:val="nil"/>
              <w:left w:val="nil"/>
              <w:bottom w:val="single" w:sz="8" w:space="0" w:color="auto"/>
              <w:right w:val="single" w:sz="8" w:space="0" w:color="auto"/>
            </w:tcBorders>
            <w:shd w:val="clear" w:color="000000" w:fill="D9D9D9"/>
            <w:vAlign w:val="center"/>
          </w:tcPr>
          <w:p w14:paraId="0326A61D" w14:textId="03A8F2D5" w:rsidR="00C749C0" w:rsidRPr="00120595"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4,443</w:t>
            </w:r>
          </w:p>
        </w:tc>
        <w:tc>
          <w:tcPr>
            <w:tcW w:w="348" w:type="pct"/>
            <w:tcBorders>
              <w:top w:val="nil"/>
              <w:left w:val="nil"/>
              <w:bottom w:val="single" w:sz="8" w:space="0" w:color="auto"/>
              <w:right w:val="single" w:sz="8" w:space="0" w:color="auto"/>
            </w:tcBorders>
            <w:shd w:val="clear" w:color="000000" w:fill="D9D9D9"/>
            <w:vAlign w:val="center"/>
          </w:tcPr>
          <w:p w14:paraId="7CBF573C" w14:textId="03788BA2" w:rsidR="00C749C0" w:rsidRPr="00120595"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4,443</w:t>
            </w:r>
          </w:p>
        </w:tc>
        <w:tc>
          <w:tcPr>
            <w:tcW w:w="348" w:type="pct"/>
            <w:tcBorders>
              <w:top w:val="nil"/>
              <w:left w:val="nil"/>
              <w:bottom w:val="single" w:sz="8" w:space="0" w:color="auto"/>
              <w:right w:val="single" w:sz="8" w:space="0" w:color="auto"/>
            </w:tcBorders>
            <w:shd w:val="clear" w:color="000000" w:fill="D9D9D9"/>
            <w:vAlign w:val="center"/>
          </w:tcPr>
          <w:p w14:paraId="53829B8C" w14:textId="42916672" w:rsidR="00C749C0" w:rsidRPr="00120595"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4,233</w:t>
            </w:r>
          </w:p>
        </w:tc>
        <w:tc>
          <w:tcPr>
            <w:tcW w:w="348" w:type="pct"/>
            <w:tcBorders>
              <w:top w:val="nil"/>
              <w:left w:val="nil"/>
              <w:bottom w:val="single" w:sz="8" w:space="0" w:color="auto"/>
              <w:right w:val="single" w:sz="8" w:space="0" w:color="auto"/>
            </w:tcBorders>
            <w:shd w:val="clear" w:color="000000" w:fill="D9D9D9"/>
            <w:vAlign w:val="center"/>
          </w:tcPr>
          <w:p w14:paraId="54963947" w14:textId="5F13FDC7" w:rsidR="00C749C0" w:rsidRPr="00120595"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4,233</w:t>
            </w:r>
          </w:p>
        </w:tc>
        <w:tc>
          <w:tcPr>
            <w:tcW w:w="348" w:type="pct"/>
            <w:tcBorders>
              <w:top w:val="nil"/>
              <w:left w:val="nil"/>
              <w:bottom w:val="single" w:sz="8" w:space="0" w:color="auto"/>
              <w:right w:val="single" w:sz="8" w:space="0" w:color="auto"/>
            </w:tcBorders>
            <w:shd w:val="clear" w:color="000000" w:fill="D9D9D9"/>
            <w:vAlign w:val="center"/>
          </w:tcPr>
          <w:p w14:paraId="22203675" w14:textId="1CFB9762" w:rsidR="00C749C0" w:rsidRPr="00120595"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4,233</w:t>
            </w:r>
          </w:p>
        </w:tc>
        <w:tc>
          <w:tcPr>
            <w:tcW w:w="348" w:type="pct"/>
            <w:tcBorders>
              <w:top w:val="nil"/>
              <w:left w:val="nil"/>
              <w:bottom w:val="single" w:sz="8" w:space="0" w:color="auto"/>
              <w:right w:val="single" w:sz="8" w:space="0" w:color="auto"/>
            </w:tcBorders>
            <w:shd w:val="clear" w:color="000000" w:fill="D9D9D9"/>
            <w:vAlign w:val="center"/>
          </w:tcPr>
          <w:p w14:paraId="48D5DBED" w14:textId="7AEB4724" w:rsidR="00C749C0" w:rsidRPr="00120595"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4,233</w:t>
            </w:r>
          </w:p>
        </w:tc>
        <w:tc>
          <w:tcPr>
            <w:tcW w:w="403" w:type="pct"/>
            <w:tcBorders>
              <w:top w:val="nil"/>
              <w:left w:val="nil"/>
              <w:bottom w:val="single" w:sz="8" w:space="0" w:color="auto"/>
              <w:right w:val="single" w:sz="8" w:space="0" w:color="auto"/>
            </w:tcBorders>
            <w:shd w:val="clear" w:color="000000" w:fill="D9D9D9"/>
            <w:vAlign w:val="center"/>
          </w:tcPr>
          <w:p w14:paraId="4F63007E" w14:textId="2F15274A" w:rsidR="00C749C0" w:rsidRPr="00120595"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29,469</w:t>
            </w:r>
          </w:p>
        </w:tc>
      </w:tr>
      <w:tr w:rsidR="00486288" w:rsidRPr="0039195B" w14:paraId="719617CC" w14:textId="77777777" w:rsidTr="00DE199B">
        <w:trPr>
          <w:trHeight w:val="300"/>
        </w:trPr>
        <w:tc>
          <w:tcPr>
            <w:tcW w:w="695" w:type="pct"/>
            <w:tcBorders>
              <w:top w:val="nil"/>
              <w:left w:val="nil"/>
              <w:bottom w:val="nil"/>
              <w:right w:val="nil"/>
            </w:tcBorders>
            <w:noWrap/>
            <w:vAlign w:val="bottom"/>
            <w:hideMark/>
          </w:tcPr>
          <w:p w14:paraId="1847BAC7" w14:textId="77777777" w:rsidR="00486288" w:rsidRPr="0039195B" w:rsidRDefault="00486288" w:rsidP="00445C9D">
            <w:pPr>
              <w:spacing w:before="0" w:after="0"/>
              <w:jc w:val="right"/>
              <w:rPr>
                <w:rFonts w:eastAsia="Times New Roman"/>
                <w:b/>
                <w:bCs/>
                <w:noProof/>
                <w:color w:val="000000"/>
                <w:sz w:val="20"/>
                <w:szCs w:val="20"/>
                <w:lang w:val="en-IE" w:eastAsia="en-IE"/>
              </w:rPr>
            </w:pPr>
          </w:p>
        </w:tc>
        <w:tc>
          <w:tcPr>
            <w:tcW w:w="959" w:type="pct"/>
            <w:tcBorders>
              <w:top w:val="nil"/>
              <w:left w:val="nil"/>
              <w:bottom w:val="nil"/>
              <w:right w:val="nil"/>
            </w:tcBorders>
            <w:noWrap/>
            <w:vAlign w:val="bottom"/>
            <w:hideMark/>
          </w:tcPr>
          <w:p w14:paraId="12D52136" w14:textId="77777777" w:rsidR="00486288" w:rsidRPr="0039195B" w:rsidRDefault="00486288" w:rsidP="00445C9D">
            <w:pPr>
              <w:spacing w:before="0" w:after="0"/>
              <w:jc w:val="left"/>
              <w:rPr>
                <w:rFonts w:eastAsia="Times New Roman"/>
                <w:noProof/>
                <w:sz w:val="20"/>
                <w:szCs w:val="20"/>
                <w:lang w:val="en-IE" w:eastAsia="en-IE"/>
              </w:rPr>
            </w:pPr>
          </w:p>
        </w:tc>
        <w:tc>
          <w:tcPr>
            <w:tcW w:w="252" w:type="pct"/>
            <w:tcBorders>
              <w:top w:val="nil"/>
              <w:left w:val="nil"/>
              <w:bottom w:val="nil"/>
              <w:right w:val="nil"/>
            </w:tcBorders>
            <w:noWrap/>
            <w:vAlign w:val="bottom"/>
            <w:hideMark/>
          </w:tcPr>
          <w:p w14:paraId="1567E1F2" w14:textId="77777777" w:rsidR="00486288" w:rsidRPr="0039195B" w:rsidRDefault="00486288" w:rsidP="00445C9D">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4D53C5C6"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21D71400"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5326FA06"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19529099"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0F81FDF3"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08F807E1"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2E5309D9"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267CB540" w14:textId="77777777" w:rsidR="00486288" w:rsidRPr="0039195B" w:rsidRDefault="00486288" w:rsidP="00445C9D">
            <w:pPr>
              <w:spacing w:before="0" w:after="0"/>
              <w:jc w:val="left"/>
              <w:rPr>
                <w:rFonts w:eastAsia="Times New Roman"/>
                <w:noProof/>
                <w:sz w:val="20"/>
                <w:szCs w:val="20"/>
                <w:lang w:val="en-IE" w:eastAsia="en-IE"/>
              </w:rPr>
            </w:pPr>
          </w:p>
        </w:tc>
        <w:tc>
          <w:tcPr>
            <w:tcW w:w="403" w:type="pct"/>
            <w:tcBorders>
              <w:top w:val="nil"/>
              <w:left w:val="nil"/>
              <w:bottom w:val="nil"/>
              <w:right w:val="nil"/>
            </w:tcBorders>
            <w:noWrap/>
            <w:vAlign w:val="bottom"/>
            <w:hideMark/>
          </w:tcPr>
          <w:p w14:paraId="16D7D86A" w14:textId="77777777" w:rsidR="00486288" w:rsidRPr="0039195B" w:rsidRDefault="00486288" w:rsidP="00445C9D">
            <w:pPr>
              <w:spacing w:before="0" w:after="0"/>
              <w:jc w:val="left"/>
              <w:rPr>
                <w:rFonts w:eastAsia="Times New Roman"/>
                <w:noProof/>
                <w:sz w:val="20"/>
                <w:szCs w:val="20"/>
                <w:lang w:val="en-IE" w:eastAsia="en-IE"/>
              </w:rPr>
            </w:pPr>
          </w:p>
        </w:tc>
      </w:tr>
      <w:tr w:rsidR="00486288" w:rsidRPr="0039195B" w14:paraId="3EE8F149" w14:textId="77777777" w:rsidTr="00DE199B">
        <w:trPr>
          <w:trHeight w:val="300"/>
        </w:trPr>
        <w:tc>
          <w:tcPr>
            <w:tcW w:w="695" w:type="pct"/>
            <w:tcBorders>
              <w:top w:val="nil"/>
              <w:left w:val="nil"/>
              <w:bottom w:val="nil"/>
              <w:right w:val="nil"/>
            </w:tcBorders>
            <w:noWrap/>
            <w:vAlign w:val="bottom"/>
            <w:hideMark/>
          </w:tcPr>
          <w:p w14:paraId="261BDD47" w14:textId="77777777" w:rsidR="00486288" w:rsidRPr="0039195B" w:rsidRDefault="00486288" w:rsidP="00DE2C42">
            <w:pPr>
              <w:spacing w:before="0" w:after="0"/>
              <w:rPr>
                <w:rFonts w:eastAsia="Times New Roman"/>
                <w:b/>
                <w:bCs/>
                <w:noProof/>
                <w:color w:val="000000"/>
                <w:sz w:val="20"/>
                <w:szCs w:val="20"/>
                <w:lang w:val="en-IE" w:eastAsia="en-IE"/>
              </w:rPr>
            </w:pPr>
          </w:p>
        </w:tc>
        <w:tc>
          <w:tcPr>
            <w:tcW w:w="959" w:type="pct"/>
            <w:tcBorders>
              <w:top w:val="nil"/>
              <w:left w:val="nil"/>
              <w:bottom w:val="nil"/>
              <w:right w:val="nil"/>
            </w:tcBorders>
            <w:noWrap/>
            <w:vAlign w:val="bottom"/>
            <w:hideMark/>
          </w:tcPr>
          <w:p w14:paraId="1604C37D" w14:textId="77777777" w:rsidR="00486288" w:rsidRPr="0039195B" w:rsidRDefault="00486288" w:rsidP="00445C9D">
            <w:pPr>
              <w:spacing w:before="0" w:after="0"/>
              <w:jc w:val="left"/>
              <w:rPr>
                <w:rFonts w:eastAsia="Times New Roman"/>
                <w:noProof/>
                <w:sz w:val="20"/>
                <w:szCs w:val="20"/>
                <w:lang w:val="en-IE" w:eastAsia="en-IE"/>
              </w:rPr>
            </w:pPr>
          </w:p>
        </w:tc>
        <w:tc>
          <w:tcPr>
            <w:tcW w:w="252" w:type="pct"/>
            <w:tcBorders>
              <w:top w:val="nil"/>
              <w:left w:val="nil"/>
              <w:bottom w:val="nil"/>
              <w:right w:val="nil"/>
            </w:tcBorders>
            <w:noWrap/>
            <w:vAlign w:val="bottom"/>
            <w:hideMark/>
          </w:tcPr>
          <w:p w14:paraId="4FCC4BF4" w14:textId="77777777" w:rsidR="00486288" w:rsidRPr="0039195B" w:rsidRDefault="00486288" w:rsidP="00445C9D">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6B8ABCA9"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44748440"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4502519C"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050196A8"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28FD5B5D"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1AA6B855"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08FA5B8A" w14:textId="77777777" w:rsidR="00486288" w:rsidRPr="0039195B" w:rsidRDefault="00486288" w:rsidP="00445C9D">
            <w:pPr>
              <w:spacing w:before="0" w:after="0"/>
              <w:jc w:val="left"/>
              <w:rPr>
                <w:rFonts w:eastAsia="Times New Roman"/>
                <w:noProof/>
                <w:sz w:val="20"/>
                <w:szCs w:val="20"/>
                <w:lang w:val="en-IE" w:eastAsia="en-IE"/>
              </w:rPr>
            </w:pPr>
          </w:p>
        </w:tc>
        <w:tc>
          <w:tcPr>
            <w:tcW w:w="348" w:type="pct"/>
            <w:tcBorders>
              <w:top w:val="nil"/>
              <w:left w:val="nil"/>
              <w:bottom w:val="nil"/>
              <w:right w:val="nil"/>
            </w:tcBorders>
            <w:noWrap/>
            <w:vAlign w:val="bottom"/>
            <w:hideMark/>
          </w:tcPr>
          <w:p w14:paraId="07967BA0" w14:textId="77777777" w:rsidR="00486288" w:rsidRPr="0039195B" w:rsidRDefault="00486288" w:rsidP="00445C9D">
            <w:pPr>
              <w:spacing w:before="0" w:after="0"/>
              <w:jc w:val="left"/>
              <w:rPr>
                <w:rFonts w:eastAsia="Times New Roman"/>
                <w:noProof/>
                <w:sz w:val="20"/>
                <w:szCs w:val="20"/>
                <w:lang w:val="en-IE" w:eastAsia="en-IE"/>
              </w:rPr>
            </w:pPr>
          </w:p>
        </w:tc>
        <w:tc>
          <w:tcPr>
            <w:tcW w:w="403" w:type="pct"/>
            <w:tcBorders>
              <w:top w:val="nil"/>
              <w:left w:val="nil"/>
              <w:bottom w:val="nil"/>
              <w:right w:val="nil"/>
            </w:tcBorders>
            <w:noWrap/>
            <w:vAlign w:val="bottom"/>
            <w:hideMark/>
          </w:tcPr>
          <w:p w14:paraId="33116F55" w14:textId="77777777" w:rsidR="00486288" w:rsidRPr="0039195B" w:rsidRDefault="00486288" w:rsidP="00445C9D">
            <w:pPr>
              <w:spacing w:before="0" w:after="0"/>
              <w:jc w:val="left"/>
              <w:rPr>
                <w:rFonts w:eastAsia="Times New Roman"/>
                <w:noProof/>
                <w:sz w:val="20"/>
                <w:szCs w:val="20"/>
                <w:lang w:val="en-IE" w:eastAsia="en-IE"/>
              </w:rPr>
            </w:pPr>
          </w:p>
        </w:tc>
      </w:tr>
      <w:tr w:rsidR="00D80845" w:rsidRPr="0039195B" w14:paraId="473C17FD" w14:textId="77777777" w:rsidTr="00DE199B">
        <w:trPr>
          <w:trHeight w:val="1430"/>
        </w:trPr>
        <w:tc>
          <w:tcPr>
            <w:tcW w:w="1653"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097D5C75" w14:textId="77777777" w:rsidR="00C749C0" w:rsidRPr="0039195B" w:rsidRDefault="00C749C0" w:rsidP="00C749C0">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TOTAL appropriations under HEADING </w:t>
            </w:r>
            <w:r>
              <w:rPr>
                <w:rFonts w:eastAsia="Times New Roman"/>
                <w:b/>
                <w:bCs/>
                <w:noProof/>
                <w:color w:val="000000"/>
                <w:sz w:val="22"/>
                <w:lang w:val="en-IE" w:eastAsia="en-IE"/>
              </w:rPr>
              <w:t>4</w:t>
            </w:r>
            <w:r w:rsidRPr="0039195B">
              <w:rPr>
                <w:rFonts w:eastAsia="Times New Roman"/>
                <w:b/>
                <w:bCs/>
                <w:noProof/>
                <w:color w:val="000000"/>
                <w:sz w:val="22"/>
                <w:lang w:val="en-IE" w:eastAsia="en-IE"/>
              </w:rPr>
              <w:t xml:space="preserve"> of the multiannual financial framework </w:t>
            </w:r>
          </w:p>
        </w:tc>
        <w:tc>
          <w:tcPr>
            <w:tcW w:w="507" w:type="pct"/>
            <w:gridSpan w:val="2"/>
            <w:tcBorders>
              <w:top w:val="single" w:sz="8" w:space="0" w:color="auto"/>
              <w:left w:val="nil"/>
              <w:bottom w:val="single" w:sz="8" w:space="0" w:color="auto"/>
              <w:right w:val="single" w:sz="8" w:space="0" w:color="000000"/>
            </w:tcBorders>
            <w:vAlign w:val="center"/>
            <w:hideMark/>
          </w:tcPr>
          <w:p w14:paraId="2950AD4D" w14:textId="77777777" w:rsidR="00C749C0" w:rsidRPr="0039195B" w:rsidRDefault="00C749C0" w:rsidP="00C749C0">
            <w:pPr>
              <w:spacing w:before="0" w:after="0"/>
              <w:jc w:val="center"/>
              <w:rPr>
                <w:rFonts w:eastAsia="Times New Roman"/>
                <w:noProof/>
                <w:color w:val="000000"/>
                <w:sz w:val="18"/>
                <w:szCs w:val="18"/>
                <w:lang w:val="en-IE" w:eastAsia="en-IE"/>
              </w:rPr>
            </w:pPr>
            <w:r w:rsidRPr="0039195B">
              <w:rPr>
                <w:rFonts w:eastAsia="Times New Roman"/>
                <w:noProof/>
                <w:color w:val="000000"/>
                <w:sz w:val="18"/>
                <w:szCs w:val="18"/>
                <w:lang w:val="en-IE" w:eastAsia="en-IE"/>
              </w:rPr>
              <w:t>(Total commitments = Total payments)</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14:paraId="171530AD" w14:textId="59911B6C" w:rsidR="00C749C0" w:rsidRPr="00BB5A17"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3,615</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14:paraId="22F91E30" w14:textId="2ED5DA66" w:rsidR="00C749C0" w:rsidRPr="00BB5A17"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4,443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14:paraId="4A07D9E6" w14:textId="5D283E90" w:rsidR="00C749C0" w:rsidRPr="00BB5A17"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4,443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14:paraId="2A3F2AD1" w14:textId="6BF50D66" w:rsidR="00C749C0" w:rsidRPr="00BB5A17"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4,233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14:paraId="545A5ABB" w14:textId="33100242" w:rsidR="00C749C0" w:rsidRPr="00BB5A17"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4,233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14:paraId="2957AABA" w14:textId="08336FBA" w:rsidR="00C749C0" w:rsidRPr="00BB5A17"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4,233</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14:paraId="233D5F8A" w14:textId="3851EC91" w:rsidR="00C749C0" w:rsidRPr="00BB5A17"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4,233</w:t>
            </w:r>
          </w:p>
        </w:tc>
        <w:tc>
          <w:tcPr>
            <w:tcW w:w="403" w:type="pct"/>
            <w:tcBorders>
              <w:top w:val="single" w:sz="8" w:space="0" w:color="auto"/>
              <w:left w:val="nil"/>
              <w:bottom w:val="single" w:sz="8" w:space="0" w:color="auto"/>
              <w:right w:val="single" w:sz="8" w:space="0" w:color="auto"/>
            </w:tcBorders>
            <w:shd w:val="clear" w:color="000000" w:fill="D9D9D9"/>
            <w:vAlign w:val="center"/>
            <w:hideMark/>
          </w:tcPr>
          <w:p w14:paraId="0486ECEE" w14:textId="39ED40C8" w:rsidR="00C749C0" w:rsidRPr="00BB5A17" w:rsidRDefault="00C749C0" w:rsidP="00C749C0">
            <w:pPr>
              <w:spacing w:before="0" w:after="0"/>
              <w:jc w:val="right"/>
              <w:rPr>
                <w:rFonts w:eastAsia="Times New Roman"/>
                <w:b/>
                <w:bCs/>
                <w:noProof/>
                <w:color w:val="000000"/>
                <w:sz w:val="18"/>
                <w:szCs w:val="18"/>
                <w:lang w:val="en-IE" w:eastAsia="en-IE"/>
              </w:rPr>
            </w:pPr>
            <w:r>
              <w:rPr>
                <w:b/>
                <w:bCs/>
                <w:noProof/>
                <w:color w:val="000000"/>
                <w:sz w:val="16"/>
                <w:szCs w:val="16"/>
              </w:rPr>
              <w:t>29,469</w:t>
            </w:r>
          </w:p>
        </w:tc>
      </w:tr>
    </w:tbl>
    <w:p w14:paraId="67712138" w14:textId="77777777" w:rsidR="00486288" w:rsidRDefault="00486288" w:rsidP="00445C9D">
      <w:pPr>
        <w:rPr>
          <w:noProof/>
          <w:sz w:val="16"/>
        </w:rPr>
      </w:pPr>
    </w:p>
    <w:p w14:paraId="7A145927" w14:textId="77777777" w:rsidR="00486288" w:rsidRPr="003A769F" w:rsidRDefault="00486288" w:rsidP="00486288">
      <w:pPr>
        <w:jc w:val="right"/>
        <w:rPr>
          <w:noProof/>
          <w:sz w:val="20"/>
          <w:lang w:val="en-IE"/>
        </w:rPr>
      </w:pPr>
      <w:r w:rsidRPr="003A769F">
        <w:rPr>
          <w:noProof/>
          <w:sz w:val="20"/>
          <w:lang w:val="en-IE"/>
        </w:rPr>
        <w:t>EUR million (to three decimal places)</w:t>
      </w:r>
    </w:p>
    <w:tbl>
      <w:tblPr>
        <w:tblW w:w="5000" w:type="pct"/>
        <w:tblLook w:val="04A0" w:firstRow="1" w:lastRow="0" w:firstColumn="1" w:lastColumn="0" w:noHBand="0" w:noVBand="1"/>
      </w:tblPr>
      <w:tblGrid>
        <w:gridCol w:w="2404"/>
        <w:gridCol w:w="1846"/>
        <w:gridCol w:w="1229"/>
        <w:gridCol w:w="1229"/>
        <w:gridCol w:w="1231"/>
        <w:gridCol w:w="1231"/>
        <w:gridCol w:w="1231"/>
        <w:gridCol w:w="1231"/>
        <w:gridCol w:w="1231"/>
        <w:gridCol w:w="1357"/>
      </w:tblGrid>
      <w:tr w:rsidR="00486288" w:rsidRPr="0039195B" w14:paraId="4700FF54" w14:textId="77777777" w:rsidTr="00D46939">
        <w:trPr>
          <w:trHeight w:val="410"/>
        </w:trPr>
        <w:tc>
          <w:tcPr>
            <w:tcW w:w="1494"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79AD1803" w14:textId="77777777" w:rsidR="00486288" w:rsidRPr="0039195B" w:rsidRDefault="00486288" w:rsidP="00445C9D">
            <w:pPr>
              <w:spacing w:before="0" w:after="0"/>
              <w:jc w:val="center"/>
              <w:rPr>
                <w:rFonts w:eastAsia="Times New Roman"/>
                <w:noProof/>
                <w:color w:val="000000"/>
                <w:szCs w:val="24"/>
                <w:lang w:val="en-IE" w:eastAsia="en-IE"/>
              </w:rPr>
            </w:pPr>
          </w:p>
        </w:tc>
        <w:tc>
          <w:tcPr>
            <w:tcW w:w="432" w:type="pct"/>
            <w:tcBorders>
              <w:top w:val="single" w:sz="8" w:space="0" w:color="auto"/>
              <w:left w:val="nil"/>
              <w:bottom w:val="nil"/>
              <w:right w:val="single" w:sz="8" w:space="0" w:color="auto"/>
            </w:tcBorders>
            <w:vAlign w:val="center"/>
            <w:hideMark/>
          </w:tcPr>
          <w:p w14:paraId="007F2C32"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2" w:type="pct"/>
            <w:tcBorders>
              <w:top w:val="single" w:sz="8" w:space="0" w:color="auto"/>
              <w:left w:val="nil"/>
              <w:bottom w:val="nil"/>
              <w:right w:val="single" w:sz="8" w:space="0" w:color="auto"/>
            </w:tcBorders>
            <w:vAlign w:val="center"/>
            <w:hideMark/>
          </w:tcPr>
          <w:p w14:paraId="29CF2C71"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0BE8C053"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7B26E3E3"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1E0178B6"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398095F1"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1504FE65"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78" w:type="pct"/>
            <w:vMerge w:val="restart"/>
            <w:tcBorders>
              <w:top w:val="single" w:sz="8" w:space="0" w:color="auto"/>
              <w:left w:val="single" w:sz="8" w:space="0" w:color="auto"/>
              <w:bottom w:val="single" w:sz="8" w:space="0" w:color="000000"/>
              <w:right w:val="single" w:sz="8" w:space="0" w:color="auto"/>
            </w:tcBorders>
            <w:vAlign w:val="center"/>
            <w:hideMark/>
          </w:tcPr>
          <w:p w14:paraId="7BA012DF"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TOTAL MFF 2028-2034</w:t>
            </w:r>
          </w:p>
        </w:tc>
      </w:tr>
      <w:tr w:rsidR="00486288" w:rsidRPr="0039195B" w14:paraId="40C5D4A0" w14:textId="77777777" w:rsidTr="00D46939">
        <w:trPr>
          <w:trHeight w:val="300"/>
        </w:trPr>
        <w:tc>
          <w:tcPr>
            <w:tcW w:w="1494" w:type="pct"/>
            <w:gridSpan w:val="2"/>
            <w:vMerge/>
            <w:tcBorders>
              <w:top w:val="single" w:sz="8" w:space="0" w:color="auto"/>
              <w:left w:val="single" w:sz="8" w:space="0" w:color="auto"/>
              <w:bottom w:val="single" w:sz="8" w:space="0" w:color="000000"/>
              <w:right w:val="single" w:sz="8" w:space="0" w:color="000000"/>
            </w:tcBorders>
            <w:vAlign w:val="center"/>
            <w:hideMark/>
          </w:tcPr>
          <w:p w14:paraId="0C501F59" w14:textId="77777777" w:rsidR="00486288" w:rsidRPr="0039195B" w:rsidRDefault="00486288" w:rsidP="00445C9D">
            <w:pPr>
              <w:spacing w:before="0" w:after="0"/>
              <w:jc w:val="left"/>
              <w:rPr>
                <w:rFonts w:eastAsia="Times New Roman"/>
                <w:noProof/>
                <w:color w:val="000000"/>
                <w:szCs w:val="24"/>
                <w:lang w:val="en-IE" w:eastAsia="en-IE"/>
              </w:rPr>
            </w:pPr>
          </w:p>
        </w:tc>
        <w:tc>
          <w:tcPr>
            <w:tcW w:w="432" w:type="pct"/>
            <w:tcBorders>
              <w:top w:val="nil"/>
              <w:left w:val="nil"/>
              <w:bottom w:val="single" w:sz="8" w:space="0" w:color="auto"/>
              <w:right w:val="single" w:sz="8" w:space="0" w:color="auto"/>
            </w:tcBorders>
            <w:vAlign w:val="center"/>
            <w:hideMark/>
          </w:tcPr>
          <w:p w14:paraId="78CF4709"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2028</w:t>
            </w:r>
          </w:p>
        </w:tc>
        <w:tc>
          <w:tcPr>
            <w:tcW w:w="432" w:type="pct"/>
            <w:tcBorders>
              <w:top w:val="nil"/>
              <w:left w:val="nil"/>
              <w:bottom w:val="single" w:sz="8" w:space="0" w:color="auto"/>
              <w:right w:val="single" w:sz="8" w:space="0" w:color="auto"/>
            </w:tcBorders>
            <w:vAlign w:val="center"/>
            <w:hideMark/>
          </w:tcPr>
          <w:p w14:paraId="42E51CD4"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2029</w:t>
            </w:r>
          </w:p>
        </w:tc>
        <w:tc>
          <w:tcPr>
            <w:tcW w:w="433" w:type="pct"/>
            <w:tcBorders>
              <w:top w:val="nil"/>
              <w:left w:val="nil"/>
              <w:bottom w:val="single" w:sz="8" w:space="0" w:color="auto"/>
              <w:right w:val="single" w:sz="8" w:space="0" w:color="auto"/>
            </w:tcBorders>
            <w:vAlign w:val="center"/>
            <w:hideMark/>
          </w:tcPr>
          <w:p w14:paraId="6A8FD4E5"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2030</w:t>
            </w:r>
          </w:p>
        </w:tc>
        <w:tc>
          <w:tcPr>
            <w:tcW w:w="433" w:type="pct"/>
            <w:tcBorders>
              <w:top w:val="nil"/>
              <w:left w:val="nil"/>
              <w:bottom w:val="single" w:sz="8" w:space="0" w:color="auto"/>
              <w:right w:val="single" w:sz="8" w:space="0" w:color="auto"/>
            </w:tcBorders>
            <w:vAlign w:val="center"/>
            <w:hideMark/>
          </w:tcPr>
          <w:p w14:paraId="2AE733E7"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2031</w:t>
            </w:r>
          </w:p>
        </w:tc>
        <w:tc>
          <w:tcPr>
            <w:tcW w:w="433" w:type="pct"/>
            <w:tcBorders>
              <w:top w:val="nil"/>
              <w:left w:val="nil"/>
              <w:bottom w:val="single" w:sz="8" w:space="0" w:color="auto"/>
              <w:right w:val="single" w:sz="8" w:space="0" w:color="auto"/>
            </w:tcBorders>
            <w:vAlign w:val="center"/>
            <w:hideMark/>
          </w:tcPr>
          <w:p w14:paraId="02BEEF2D"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2032</w:t>
            </w:r>
          </w:p>
        </w:tc>
        <w:tc>
          <w:tcPr>
            <w:tcW w:w="433" w:type="pct"/>
            <w:tcBorders>
              <w:top w:val="nil"/>
              <w:left w:val="nil"/>
              <w:bottom w:val="single" w:sz="8" w:space="0" w:color="auto"/>
              <w:right w:val="single" w:sz="8" w:space="0" w:color="auto"/>
            </w:tcBorders>
            <w:vAlign w:val="center"/>
            <w:hideMark/>
          </w:tcPr>
          <w:p w14:paraId="71EA450C"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2033</w:t>
            </w:r>
          </w:p>
        </w:tc>
        <w:tc>
          <w:tcPr>
            <w:tcW w:w="433" w:type="pct"/>
            <w:tcBorders>
              <w:top w:val="nil"/>
              <w:left w:val="nil"/>
              <w:bottom w:val="single" w:sz="8" w:space="0" w:color="auto"/>
              <w:right w:val="single" w:sz="8" w:space="0" w:color="auto"/>
            </w:tcBorders>
            <w:vAlign w:val="center"/>
            <w:hideMark/>
          </w:tcPr>
          <w:p w14:paraId="4367C3F0"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2034</w:t>
            </w:r>
          </w:p>
        </w:tc>
        <w:tc>
          <w:tcPr>
            <w:tcW w:w="478" w:type="pct"/>
            <w:vMerge/>
            <w:tcBorders>
              <w:top w:val="single" w:sz="8" w:space="0" w:color="auto"/>
              <w:left w:val="single" w:sz="8" w:space="0" w:color="auto"/>
              <w:bottom w:val="single" w:sz="8" w:space="0" w:color="000000"/>
              <w:right w:val="single" w:sz="8" w:space="0" w:color="auto"/>
            </w:tcBorders>
            <w:vAlign w:val="center"/>
            <w:hideMark/>
          </w:tcPr>
          <w:p w14:paraId="7ED4B237" w14:textId="77777777" w:rsidR="00486288" w:rsidRPr="0039195B" w:rsidRDefault="00486288" w:rsidP="00445C9D">
            <w:pPr>
              <w:spacing w:before="0" w:after="0"/>
              <w:jc w:val="left"/>
              <w:rPr>
                <w:rFonts w:eastAsia="Times New Roman"/>
                <w:b/>
                <w:bCs/>
                <w:noProof/>
                <w:color w:val="000000"/>
                <w:sz w:val="20"/>
                <w:szCs w:val="20"/>
                <w:lang w:val="en-IE" w:eastAsia="en-IE"/>
              </w:rPr>
            </w:pPr>
          </w:p>
        </w:tc>
      </w:tr>
      <w:tr w:rsidR="00D46939" w:rsidRPr="0039195B" w14:paraId="0D0F6D32" w14:textId="77777777" w:rsidTr="00D46939">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007AE6A7" w14:textId="77777777" w:rsidR="00D46939" w:rsidRPr="0039195B" w:rsidRDefault="00D46939" w:rsidP="00D46939">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 xml:space="preserve">TOTAL appropriations under HEADINGS 1 to </w:t>
            </w:r>
            <w:r>
              <w:rPr>
                <w:rFonts w:eastAsia="Times New Roman"/>
                <w:b/>
                <w:bCs/>
                <w:noProof/>
                <w:color w:val="000000"/>
                <w:sz w:val="22"/>
                <w:lang w:val="en-IE" w:eastAsia="en-IE"/>
              </w:rPr>
              <w:t>4</w:t>
            </w:r>
          </w:p>
        </w:tc>
        <w:tc>
          <w:tcPr>
            <w:tcW w:w="648" w:type="pct"/>
            <w:tcBorders>
              <w:top w:val="nil"/>
              <w:left w:val="nil"/>
              <w:bottom w:val="single" w:sz="8" w:space="0" w:color="auto"/>
              <w:right w:val="single" w:sz="8" w:space="0" w:color="auto"/>
            </w:tcBorders>
            <w:vAlign w:val="center"/>
            <w:hideMark/>
          </w:tcPr>
          <w:p w14:paraId="05EF570F" w14:textId="77777777" w:rsidR="00D46939" w:rsidRPr="0039195B" w:rsidRDefault="00D46939" w:rsidP="00D46939">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Commitments</w:t>
            </w:r>
          </w:p>
        </w:tc>
        <w:tc>
          <w:tcPr>
            <w:tcW w:w="432" w:type="pct"/>
            <w:tcBorders>
              <w:top w:val="nil"/>
              <w:left w:val="nil"/>
              <w:bottom w:val="single" w:sz="8" w:space="0" w:color="auto"/>
              <w:right w:val="single" w:sz="8" w:space="0" w:color="auto"/>
            </w:tcBorders>
            <w:shd w:val="clear" w:color="000000" w:fill="D9D9D9"/>
            <w:vAlign w:val="center"/>
            <w:hideMark/>
          </w:tcPr>
          <w:p w14:paraId="49EB8B61" w14:textId="5DDB04C8"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7.551</w:t>
            </w:r>
          </w:p>
        </w:tc>
        <w:tc>
          <w:tcPr>
            <w:tcW w:w="432" w:type="pct"/>
            <w:tcBorders>
              <w:top w:val="nil"/>
              <w:left w:val="nil"/>
              <w:bottom w:val="single" w:sz="8" w:space="0" w:color="auto"/>
              <w:right w:val="single" w:sz="8" w:space="0" w:color="auto"/>
            </w:tcBorders>
            <w:shd w:val="clear" w:color="000000" w:fill="D9D9D9"/>
            <w:vAlign w:val="center"/>
            <w:hideMark/>
          </w:tcPr>
          <w:p w14:paraId="6C4EDEA9" w14:textId="36535B7A"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7.343</w:t>
            </w:r>
          </w:p>
        </w:tc>
        <w:tc>
          <w:tcPr>
            <w:tcW w:w="433" w:type="pct"/>
            <w:tcBorders>
              <w:top w:val="nil"/>
              <w:left w:val="nil"/>
              <w:bottom w:val="single" w:sz="8" w:space="0" w:color="auto"/>
              <w:right w:val="single" w:sz="8" w:space="0" w:color="auto"/>
            </w:tcBorders>
            <w:shd w:val="clear" w:color="000000" w:fill="D9D9D9"/>
            <w:vAlign w:val="center"/>
            <w:hideMark/>
          </w:tcPr>
          <w:p w14:paraId="28C0F2DB" w14:textId="36E92399"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7.843</w:t>
            </w:r>
          </w:p>
        </w:tc>
        <w:tc>
          <w:tcPr>
            <w:tcW w:w="433" w:type="pct"/>
            <w:tcBorders>
              <w:top w:val="nil"/>
              <w:left w:val="nil"/>
              <w:bottom w:val="single" w:sz="8" w:space="0" w:color="auto"/>
              <w:right w:val="single" w:sz="8" w:space="0" w:color="auto"/>
            </w:tcBorders>
            <w:shd w:val="clear" w:color="000000" w:fill="D9D9D9"/>
            <w:vAlign w:val="center"/>
            <w:hideMark/>
          </w:tcPr>
          <w:p w14:paraId="0D317FF9" w14:textId="29077AFA"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6.833</w:t>
            </w:r>
          </w:p>
        </w:tc>
        <w:tc>
          <w:tcPr>
            <w:tcW w:w="433" w:type="pct"/>
            <w:tcBorders>
              <w:top w:val="nil"/>
              <w:left w:val="nil"/>
              <w:bottom w:val="single" w:sz="8" w:space="0" w:color="auto"/>
              <w:right w:val="single" w:sz="8" w:space="0" w:color="auto"/>
            </w:tcBorders>
            <w:shd w:val="clear" w:color="000000" w:fill="D9D9D9"/>
            <w:vAlign w:val="center"/>
            <w:hideMark/>
          </w:tcPr>
          <w:p w14:paraId="3F0720B7" w14:textId="1F058CDC"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9.433</w:t>
            </w:r>
          </w:p>
        </w:tc>
        <w:tc>
          <w:tcPr>
            <w:tcW w:w="433" w:type="pct"/>
            <w:tcBorders>
              <w:top w:val="nil"/>
              <w:left w:val="nil"/>
              <w:bottom w:val="single" w:sz="8" w:space="0" w:color="auto"/>
              <w:right w:val="single" w:sz="8" w:space="0" w:color="auto"/>
            </w:tcBorders>
            <w:shd w:val="clear" w:color="000000" w:fill="D9D9D9"/>
            <w:vAlign w:val="center"/>
            <w:hideMark/>
          </w:tcPr>
          <w:p w14:paraId="0F7EDB3C" w14:textId="32F984B4"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6.833</w:t>
            </w:r>
          </w:p>
        </w:tc>
        <w:tc>
          <w:tcPr>
            <w:tcW w:w="433" w:type="pct"/>
            <w:tcBorders>
              <w:top w:val="nil"/>
              <w:left w:val="nil"/>
              <w:bottom w:val="single" w:sz="8" w:space="0" w:color="auto"/>
              <w:right w:val="single" w:sz="8" w:space="0" w:color="auto"/>
            </w:tcBorders>
            <w:shd w:val="clear" w:color="000000" w:fill="D9D9D9"/>
            <w:vAlign w:val="center"/>
            <w:hideMark/>
          </w:tcPr>
          <w:p w14:paraId="10AD3C9B" w14:textId="2964AA62"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6.033</w:t>
            </w:r>
          </w:p>
        </w:tc>
        <w:tc>
          <w:tcPr>
            <w:tcW w:w="478" w:type="pct"/>
            <w:tcBorders>
              <w:top w:val="nil"/>
              <w:left w:val="nil"/>
              <w:bottom w:val="single" w:sz="8" w:space="0" w:color="auto"/>
              <w:right w:val="single" w:sz="8" w:space="0" w:color="auto"/>
            </w:tcBorders>
            <w:shd w:val="clear" w:color="000000" w:fill="D9D9D9"/>
            <w:vAlign w:val="center"/>
            <w:hideMark/>
          </w:tcPr>
          <w:p w14:paraId="60FAB570" w14:textId="15E945E6"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51.869</w:t>
            </w:r>
          </w:p>
        </w:tc>
      </w:tr>
      <w:tr w:rsidR="00D46939" w:rsidRPr="0039195B" w14:paraId="5A6304CA" w14:textId="77777777" w:rsidTr="00D46939">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23DCD309" w14:textId="77777777" w:rsidR="00D46939" w:rsidRPr="0039195B" w:rsidRDefault="00D46939" w:rsidP="00D46939">
            <w:pPr>
              <w:spacing w:before="0" w:after="0"/>
              <w:jc w:val="center"/>
              <w:rPr>
                <w:rFonts w:eastAsia="Times New Roman"/>
                <w:noProof/>
                <w:color w:val="000000"/>
                <w:sz w:val="22"/>
                <w:lang w:val="en-IE" w:eastAsia="en-IE"/>
              </w:rPr>
            </w:pPr>
            <w:r w:rsidRPr="0039195B">
              <w:rPr>
                <w:rFonts w:eastAsia="Times New Roman"/>
                <w:noProof/>
                <w:color w:val="000000"/>
                <w:sz w:val="22"/>
                <w:lang w:val="en-IE" w:eastAsia="en-IE"/>
              </w:rPr>
              <w:t>of the multiannual financial framework</w:t>
            </w:r>
            <w:r w:rsidRPr="0039195B">
              <w:rPr>
                <w:rFonts w:eastAsia="Times New Roman"/>
                <w:b/>
                <w:bCs/>
                <w:noProof/>
                <w:color w:val="000000"/>
                <w:sz w:val="22"/>
                <w:lang w:val="en-IE" w:eastAsia="en-IE"/>
              </w:rPr>
              <w:t xml:space="preserve"> </w:t>
            </w:r>
          </w:p>
        </w:tc>
        <w:tc>
          <w:tcPr>
            <w:tcW w:w="648" w:type="pct"/>
            <w:tcBorders>
              <w:top w:val="nil"/>
              <w:left w:val="nil"/>
              <w:bottom w:val="single" w:sz="8" w:space="0" w:color="auto"/>
              <w:right w:val="single" w:sz="8" w:space="0" w:color="auto"/>
            </w:tcBorders>
            <w:vAlign w:val="center"/>
            <w:hideMark/>
          </w:tcPr>
          <w:p w14:paraId="6998B8C3" w14:textId="77777777" w:rsidR="00D46939" w:rsidRPr="0039195B" w:rsidRDefault="00D46939" w:rsidP="00D46939">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Payments</w:t>
            </w:r>
          </w:p>
        </w:tc>
        <w:tc>
          <w:tcPr>
            <w:tcW w:w="432" w:type="pct"/>
            <w:tcBorders>
              <w:top w:val="nil"/>
              <w:left w:val="nil"/>
              <w:bottom w:val="single" w:sz="8" w:space="0" w:color="auto"/>
              <w:right w:val="single" w:sz="8" w:space="0" w:color="auto"/>
            </w:tcBorders>
            <w:shd w:val="clear" w:color="000000" w:fill="D9D9D9"/>
            <w:vAlign w:val="center"/>
            <w:hideMark/>
          </w:tcPr>
          <w:p w14:paraId="22F50F65" w14:textId="312B494B"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3.651</w:t>
            </w:r>
          </w:p>
        </w:tc>
        <w:tc>
          <w:tcPr>
            <w:tcW w:w="432" w:type="pct"/>
            <w:tcBorders>
              <w:top w:val="nil"/>
              <w:left w:val="nil"/>
              <w:bottom w:val="single" w:sz="8" w:space="0" w:color="auto"/>
              <w:right w:val="single" w:sz="8" w:space="0" w:color="auto"/>
            </w:tcBorders>
            <w:shd w:val="clear" w:color="000000" w:fill="D9D9D9"/>
            <w:vAlign w:val="center"/>
            <w:hideMark/>
          </w:tcPr>
          <w:p w14:paraId="2E5C6784" w14:textId="64A799AF"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8.343</w:t>
            </w:r>
          </w:p>
        </w:tc>
        <w:tc>
          <w:tcPr>
            <w:tcW w:w="433" w:type="pct"/>
            <w:tcBorders>
              <w:top w:val="nil"/>
              <w:left w:val="nil"/>
              <w:bottom w:val="single" w:sz="8" w:space="0" w:color="auto"/>
              <w:right w:val="single" w:sz="8" w:space="0" w:color="auto"/>
            </w:tcBorders>
            <w:shd w:val="clear" w:color="000000" w:fill="D9D9D9"/>
            <w:vAlign w:val="center"/>
            <w:hideMark/>
          </w:tcPr>
          <w:p w14:paraId="29FBF3EB" w14:textId="0CBFCDCE"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7.343</w:t>
            </w:r>
          </w:p>
        </w:tc>
        <w:tc>
          <w:tcPr>
            <w:tcW w:w="433" w:type="pct"/>
            <w:tcBorders>
              <w:top w:val="nil"/>
              <w:left w:val="nil"/>
              <w:bottom w:val="single" w:sz="8" w:space="0" w:color="auto"/>
              <w:right w:val="single" w:sz="8" w:space="0" w:color="auto"/>
            </w:tcBorders>
            <w:shd w:val="clear" w:color="000000" w:fill="D9D9D9"/>
            <w:vAlign w:val="center"/>
            <w:hideMark/>
          </w:tcPr>
          <w:p w14:paraId="41C9445B" w14:textId="35471BA6"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7.633</w:t>
            </w:r>
          </w:p>
        </w:tc>
        <w:tc>
          <w:tcPr>
            <w:tcW w:w="433" w:type="pct"/>
            <w:tcBorders>
              <w:top w:val="nil"/>
              <w:left w:val="nil"/>
              <w:bottom w:val="single" w:sz="8" w:space="0" w:color="auto"/>
              <w:right w:val="single" w:sz="8" w:space="0" w:color="auto"/>
            </w:tcBorders>
            <w:shd w:val="clear" w:color="000000" w:fill="D9D9D9"/>
            <w:vAlign w:val="center"/>
            <w:hideMark/>
          </w:tcPr>
          <w:p w14:paraId="6150238F" w14:textId="03FC718C"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6.833</w:t>
            </w:r>
          </w:p>
        </w:tc>
        <w:tc>
          <w:tcPr>
            <w:tcW w:w="433" w:type="pct"/>
            <w:tcBorders>
              <w:top w:val="nil"/>
              <w:left w:val="nil"/>
              <w:bottom w:val="single" w:sz="8" w:space="0" w:color="auto"/>
              <w:right w:val="single" w:sz="8" w:space="0" w:color="auto"/>
            </w:tcBorders>
            <w:shd w:val="clear" w:color="000000" w:fill="D9D9D9"/>
            <w:vAlign w:val="center"/>
            <w:hideMark/>
          </w:tcPr>
          <w:p w14:paraId="5A71103F" w14:textId="069CAADB"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9.433</w:t>
            </w:r>
          </w:p>
        </w:tc>
        <w:tc>
          <w:tcPr>
            <w:tcW w:w="433" w:type="pct"/>
            <w:tcBorders>
              <w:top w:val="nil"/>
              <w:left w:val="nil"/>
              <w:bottom w:val="single" w:sz="8" w:space="0" w:color="auto"/>
              <w:right w:val="single" w:sz="8" w:space="0" w:color="auto"/>
            </w:tcBorders>
            <w:shd w:val="clear" w:color="000000" w:fill="D9D9D9"/>
            <w:vAlign w:val="center"/>
            <w:hideMark/>
          </w:tcPr>
          <w:p w14:paraId="3E891EEC" w14:textId="4353405E"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6.833</w:t>
            </w:r>
          </w:p>
        </w:tc>
        <w:tc>
          <w:tcPr>
            <w:tcW w:w="478" w:type="pct"/>
            <w:tcBorders>
              <w:top w:val="nil"/>
              <w:left w:val="nil"/>
              <w:bottom w:val="single" w:sz="8" w:space="0" w:color="auto"/>
              <w:right w:val="single" w:sz="8" w:space="0" w:color="auto"/>
            </w:tcBorders>
            <w:shd w:val="clear" w:color="000000" w:fill="D9D9D9"/>
            <w:vAlign w:val="center"/>
            <w:hideMark/>
          </w:tcPr>
          <w:p w14:paraId="2D741C00" w14:textId="6BD92173" w:rsidR="00D46939" w:rsidRPr="00CB47D1" w:rsidRDefault="00D46939" w:rsidP="00D46939">
            <w:pPr>
              <w:spacing w:before="0" w:after="0"/>
              <w:jc w:val="right"/>
              <w:rPr>
                <w:rFonts w:eastAsia="Times New Roman"/>
                <w:b/>
                <w:bCs/>
                <w:noProof/>
                <w:color w:val="000000"/>
                <w:sz w:val="18"/>
                <w:szCs w:val="18"/>
                <w:lang w:val="en-IE" w:eastAsia="en-IE"/>
              </w:rPr>
            </w:pPr>
            <w:r>
              <w:rPr>
                <w:b/>
                <w:bCs/>
                <w:noProof/>
                <w:color w:val="000000"/>
                <w:sz w:val="18"/>
                <w:szCs w:val="18"/>
              </w:rPr>
              <w:t>50.069</w:t>
            </w:r>
          </w:p>
        </w:tc>
      </w:tr>
    </w:tbl>
    <w:p w14:paraId="23BB9C97" w14:textId="77777777" w:rsidR="006052EE" w:rsidRDefault="006052EE" w:rsidP="00445C9D">
      <w:pPr>
        <w:pStyle w:val="ManualHeading3"/>
        <w:rPr>
          <w:noProof/>
        </w:rPr>
      </w:pPr>
      <w:bookmarkStart w:id="153" w:name="_Toc160804596"/>
      <w:bookmarkStart w:id="154" w:name="_Toc167220288"/>
      <w:bookmarkStart w:id="155" w:name="_Toc177549021"/>
      <w:r>
        <w:rPr>
          <w:noProof/>
        </w:rPr>
        <w:t>3.2.1.2.</w:t>
      </w:r>
      <w:r>
        <w:rPr>
          <w:noProof/>
        </w:rPr>
        <w:tab/>
        <w:t>Appropriations from external assigned revenues</w:t>
      </w:r>
      <w:bookmarkEnd w:id="153"/>
      <w:bookmarkEnd w:id="154"/>
      <w:bookmarkEnd w:id="155"/>
    </w:p>
    <w:p w14:paraId="6F731336" w14:textId="77777777" w:rsidR="006052EE" w:rsidRPr="003A769F" w:rsidRDefault="006052EE" w:rsidP="00445C9D">
      <w:pPr>
        <w:jc w:val="right"/>
        <w:rPr>
          <w:noProof/>
          <w:sz w:val="18"/>
          <w:szCs w:val="18"/>
          <w:lang w:val="en-IE"/>
        </w:rPr>
      </w:pPr>
      <w:r w:rsidRPr="003A769F">
        <w:rPr>
          <w:noProof/>
          <w:sz w:val="18"/>
          <w:szCs w:val="18"/>
          <w:lang w:val="en-IE"/>
        </w:rPr>
        <w:t>EUR million (to three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052EE" w14:paraId="725A9BDC" w14:textId="77777777" w:rsidTr="00445C9D">
        <w:trPr>
          <w:jc w:val="center"/>
        </w:trPr>
        <w:tc>
          <w:tcPr>
            <w:tcW w:w="1739" w:type="pct"/>
            <w:shd w:val="thinDiagStripe" w:color="C0C0C0" w:fill="auto"/>
            <w:vAlign w:val="center"/>
          </w:tcPr>
          <w:p w14:paraId="2CB4EDF6" w14:textId="77777777" w:rsidR="006052EE" w:rsidRPr="003A769F" w:rsidRDefault="006052EE" w:rsidP="00445C9D">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3419CD36" w14:textId="77777777" w:rsidR="006052EE" w:rsidRDefault="00486288" w:rsidP="00445C9D">
            <w:pPr>
              <w:spacing w:before="60" w:after="60"/>
              <w:jc w:val="center"/>
              <w:rPr>
                <w:noProof/>
              </w:rPr>
            </w:pPr>
            <w:r>
              <w:rPr>
                <w:noProof/>
                <w:sz w:val="22"/>
              </w:rPr>
              <w:t>2</w:t>
            </w:r>
          </w:p>
        </w:tc>
        <w:tc>
          <w:tcPr>
            <w:tcW w:w="2865" w:type="pct"/>
            <w:vAlign w:val="center"/>
          </w:tcPr>
          <w:p w14:paraId="5CE25819" w14:textId="77777777" w:rsidR="006052EE" w:rsidRDefault="00486288" w:rsidP="00445C9D">
            <w:pPr>
              <w:spacing w:before="60" w:after="60"/>
              <w:rPr>
                <w:noProof/>
              </w:rPr>
            </w:pPr>
            <w:r w:rsidRPr="00486288">
              <w:rPr>
                <w:noProof/>
              </w:rPr>
              <w:t>ETS funds</w:t>
            </w:r>
          </w:p>
        </w:tc>
      </w:tr>
    </w:tbl>
    <w:p w14:paraId="191A2C87" w14:textId="77777777" w:rsidR="006052EE" w:rsidRDefault="006052EE" w:rsidP="00445C9D">
      <w:pPr>
        <w:rPr>
          <w:noProof/>
          <w:sz w:val="16"/>
        </w:rPr>
      </w:pPr>
    </w:p>
    <w:tbl>
      <w:tblPr>
        <w:tblW w:w="5000" w:type="pct"/>
        <w:tblLook w:val="04A0" w:firstRow="1" w:lastRow="0" w:firstColumn="1" w:lastColumn="0" w:noHBand="0" w:noVBand="1"/>
      </w:tblPr>
      <w:tblGrid>
        <w:gridCol w:w="5282"/>
        <w:gridCol w:w="1844"/>
        <w:gridCol w:w="669"/>
        <w:gridCol w:w="759"/>
        <w:gridCol w:w="759"/>
        <w:gridCol w:w="759"/>
        <w:gridCol w:w="759"/>
        <w:gridCol w:w="759"/>
        <w:gridCol w:w="759"/>
        <w:gridCol w:w="759"/>
        <w:gridCol w:w="1112"/>
      </w:tblGrid>
      <w:tr w:rsidR="00486288" w:rsidRPr="00486288" w14:paraId="62A6915A" w14:textId="77777777" w:rsidTr="00DE2C42">
        <w:trPr>
          <w:trHeight w:val="410"/>
        </w:trPr>
        <w:tc>
          <w:tcPr>
            <w:tcW w:w="2740"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1C2AF636" w14:textId="77777777" w:rsidR="00486288" w:rsidRPr="00486288" w:rsidRDefault="00486288" w:rsidP="00486288">
            <w:pPr>
              <w:spacing w:before="0" w:after="0"/>
              <w:jc w:val="center"/>
              <w:rPr>
                <w:rFonts w:eastAsia="Times New Roman"/>
                <w:noProof/>
                <w:color w:val="000000"/>
                <w:sz w:val="22"/>
                <w:lang w:val="en-IE" w:eastAsia="en-IE"/>
              </w:rPr>
            </w:pPr>
            <w:r w:rsidRPr="00486288">
              <w:rPr>
                <w:rFonts w:eastAsia="Times New Roman"/>
                <w:noProof/>
                <w:color w:val="000000"/>
                <w:sz w:val="22"/>
                <w:lang w:val="en-IE" w:eastAsia="en-IE"/>
              </w:rPr>
              <w:t>DG: &lt;CLIMA – funds &gt;</w:t>
            </w:r>
          </w:p>
        </w:tc>
        <w:tc>
          <w:tcPr>
            <w:tcW w:w="267" w:type="pct"/>
            <w:tcBorders>
              <w:top w:val="single" w:sz="8" w:space="0" w:color="auto"/>
              <w:left w:val="nil"/>
              <w:bottom w:val="single" w:sz="8" w:space="0" w:color="auto"/>
              <w:right w:val="single" w:sz="8" w:space="0" w:color="auto"/>
            </w:tcBorders>
            <w:vAlign w:val="center"/>
            <w:hideMark/>
          </w:tcPr>
          <w:p w14:paraId="37342DD0"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7" w:type="pct"/>
            <w:tcBorders>
              <w:top w:val="single" w:sz="8" w:space="0" w:color="auto"/>
              <w:left w:val="nil"/>
              <w:bottom w:val="single" w:sz="8" w:space="0" w:color="auto"/>
              <w:right w:val="single" w:sz="8" w:space="0" w:color="auto"/>
            </w:tcBorders>
            <w:vAlign w:val="center"/>
            <w:hideMark/>
          </w:tcPr>
          <w:p w14:paraId="67CE673E"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7" w:type="pct"/>
            <w:tcBorders>
              <w:top w:val="single" w:sz="8" w:space="0" w:color="auto"/>
              <w:left w:val="nil"/>
              <w:bottom w:val="single" w:sz="8" w:space="0" w:color="auto"/>
              <w:right w:val="single" w:sz="8" w:space="0" w:color="auto"/>
            </w:tcBorders>
            <w:vAlign w:val="center"/>
            <w:hideMark/>
          </w:tcPr>
          <w:p w14:paraId="745B97D4"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7" w:type="pct"/>
            <w:tcBorders>
              <w:top w:val="single" w:sz="8" w:space="0" w:color="auto"/>
              <w:left w:val="nil"/>
              <w:bottom w:val="single" w:sz="8" w:space="0" w:color="auto"/>
              <w:right w:val="single" w:sz="8" w:space="0" w:color="auto"/>
            </w:tcBorders>
            <w:vAlign w:val="center"/>
            <w:hideMark/>
          </w:tcPr>
          <w:p w14:paraId="78DC85D7"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7" w:type="pct"/>
            <w:tcBorders>
              <w:top w:val="single" w:sz="8" w:space="0" w:color="auto"/>
              <w:left w:val="nil"/>
              <w:bottom w:val="single" w:sz="8" w:space="0" w:color="auto"/>
              <w:right w:val="single" w:sz="8" w:space="0" w:color="auto"/>
            </w:tcBorders>
            <w:vAlign w:val="center"/>
            <w:hideMark/>
          </w:tcPr>
          <w:p w14:paraId="3F07839D"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7" w:type="pct"/>
            <w:tcBorders>
              <w:top w:val="single" w:sz="8" w:space="0" w:color="auto"/>
              <w:left w:val="nil"/>
              <w:bottom w:val="single" w:sz="8" w:space="0" w:color="auto"/>
              <w:right w:val="single" w:sz="8" w:space="0" w:color="auto"/>
            </w:tcBorders>
            <w:vAlign w:val="center"/>
            <w:hideMark/>
          </w:tcPr>
          <w:p w14:paraId="1E50F747"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67" w:type="pct"/>
            <w:tcBorders>
              <w:top w:val="single" w:sz="8" w:space="0" w:color="auto"/>
              <w:left w:val="nil"/>
              <w:bottom w:val="single" w:sz="8" w:space="0" w:color="auto"/>
              <w:right w:val="single" w:sz="8" w:space="0" w:color="auto"/>
            </w:tcBorders>
            <w:vAlign w:val="center"/>
            <w:hideMark/>
          </w:tcPr>
          <w:p w14:paraId="232B1F15"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392" w:type="pct"/>
            <w:vMerge w:val="restart"/>
            <w:tcBorders>
              <w:top w:val="single" w:sz="8" w:space="0" w:color="auto"/>
              <w:left w:val="single" w:sz="8" w:space="0" w:color="auto"/>
              <w:bottom w:val="single" w:sz="8" w:space="0" w:color="000000"/>
              <w:right w:val="single" w:sz="8" w:space="0" w:color="auto"/>
            </w:tcBorders>
            <w:vAlign w:val="center"/>
            <w:hideMark/>
          </w:tcPr>
          <w:p w14:paraId="48543CA0"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TOTAL MFF 2028-2034</w:t>
            </w:r>
          </w:p>
        </w:tc>
      </w:tr>
      <w:tr w:rsidR="00486288" w:rsidRPr="00486288" w14:paraId="2772501B" w14:textId="77777777" w:rsidTr="00DE2C42">
        <w:trPr>
          <w:trHeight w:val="300"/>
        </w:trPr>
        <w:tc>
          <w:tcPr>
            <w:tcW w:w="2740" w:type="pct"/>
            <w:gridSpan w:val="3"/>
            <w:vMerge/>
            <w:tcBorders>
              <w:top w:val="single" w:sz="8" w:space="0" w:color="auto"/>
              <w:left w:val="single" w:sz="8" w:space="0" w:color="auto"/>
              <w:bottom w:val="single" w:sz="8" w:space="0" w:color="000000"/>
              <w:right w:val="single" w:sz="8" w:space="0" w:color="000000"/>
            </w:tcBorders>
            <w:vAlign w:val="center"/>
            <w:hideMark/>
          </w:tcPr>
          <w:p w14:paraId="2B23119F" w14:textId="77777777" w:rsidR="00486288" w:rsidRPr="00486288" w:rsidRDefault="00486288" w:rsidP="00486288">
            <w:pPr>
              <w:spacing w:before="0" w:after="0"/>
              <w:jc w:val="left"/>
              <w:rPr>
                <w:rFonts w:eastAsia="Times New Roman"/>
                <w:noProof/>
                <w:color w:val="000000"/>
                <w:sz w:val="22"/>
                <w:lang w:val="en-IE" w:eastAsia="en-IE"/>
              </w:rPr>
            </w:pPr>
          </w:p>
        </w:tc>
        <w:tc>
          <w:tcPr>
            <w:tcW w:w="267" w:type="pct"/>
            <w:tcBorders>
              <w:top w:val="nil"/>
              <w:left w:val="nil"/>
              <w:bottom w:val="single" w:sz="8" w:space="0" w:color="auto"/>
              <w:right w:val="single" w:sz="8" w:space="0" w:color="auto"/>
            </w:tcBorders>
            <w:vAlign w:val="center"/>
            <w:hideMark/>
          </w:tcPr>
          <w:p w14:paraId="7B67D820"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2028</w:t>
            </w:r>
          </w:p>
        </w:tc>
        <w:tc>
          <w:tcPr>
            <w:tcW w:w="267" w:type="pct"/>
            <w:tcBorders>
              <w:top w:val="nil"/>
              <w:left w:val="nil"/>
              <w:bottom w:val="single" w:sz="8" w:space="0" w:color="auto"/>
              <w:right w:val="single" w:sz="8" w:space="0" w:color="auto"/>
            </w:tcBorders>
            <w:vAlign w:val="center"/>
            <w:hideMark/>
          </w:tcPr>
          <w:p w14:paraId="59DB3BE2"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2029</w:t>
            </w:r>
          </w:p>
        </w:tc>
        <w:tc>
          <w:tcPr>
            <w:tcW w:w="267" w:type="pct"/>
            <w:tcBorders>
              <w:top w:val="nil"/>
              <w:left w:val="nil"/>
              <w:bottom w:val="single" w:sz="8" w:space="0" w:color="auto"/>
              <w:right w:val="single" w:sz="8" w:space="0" w:color="auto"/>
            </w:tcBorders>
            <w:vAlign w:val="center"/>
            <w:hideMark/>
          </w:tcPr>
          <w:p w14:paraId="4A953B78"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2030</w:t>
            </w:r>
          </w:p>
        </w:tc>
        <w:tc>
          <w:tcPr>
            <w:tcW w:w="267" w:type="pct"/>
            <w:tcBorders>
              <w:top w:val="nil"/>
              <w:left w:val="nil"/>
              <w:bottom w:val="single" w:sz="8" w:space="0" w:color="auto"/>
              <w:right w:val="single" w:sz="8" w:space="0" w:color="auto"/>
            </w:tcBorders>
            <w:vAlign w:val="center"/>
            <w:hideMark/>
          </w:tcPr>
          <w:p w14:paraId="5A1759C9"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2031</w:t>
            </w:r>
          </w:p>
        </w:tc>
        <w:tc>
          <w:tcPr>
            <w:tcW w:w="267" w:type="pct"/>
            <w:tcBorders>
              <w:top w:val="nil"/>
              <w:left w:val="nil"/>
              <w:bottom w:val="single" w:sz="8" w:space="0" w:color="auto"/>
              <w:right w:val="single" w:sz="8" w:space="0" w:color="auto"/>
            </w:tcBorders>
            <w:vAlign w:val="center"/>
            <w:hideMark/>
          </w:tcPr>
          <w:p w14:paraId="4CDC6323"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2032</w:t>
            </w:r>
          </w:p>
        </w:tc>
        <w:tc>
          <w:tcPr>
            <w:tcW w:w="267" w:type="pct"/>
            <w:tcBorders>
              <w:top w:val="nil"/>
              <w:left w:val="nil"/>
              <w:bottom w:val="single" w:sz="8" w:space="0" w:color="auto"/>
              <w:right w:val="single" w:sz="8" w:space="0" w:color="auto"/>
            </w:tcBorders>
            <w:vAlign w:val="center"/>
            <w:hideMark/>
          </w:tcPr>
          <w:p w14:paraId="3DD41DDE"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2033</w:t>
            </w:r>
          </w:p>
        </w:tc>
        <w:tc>
          <w:tcPr>
            <w:tcW w:w="267" w:type="pct"/>
            <w:tcBorders>
              <w:top w:val="nil"/>
              <w:left w:val="nil"/>
              <w:bottom w:val="single" w:sz="8" w:space="0" w:color="auto"/>
              <w:right w:val="single" w:sz="8" w:space="0" w:color="auto"/>
            </w:tcBorders>
            <w:vAlign w:val="center"/>
            <w:hideMark/>
          </w:tcPr>
          <w:p w14:paraId="0D8A938F"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2034</w:t>
            </w:r>
          </w:p>
        </w:tc>
        <w:tc>
          <w:tcPr>
            <w:tcW w:w="392" w:type="pct"/>
            <w:vMerge/>
            <w:tcBorders>
              <w:top w:val="single" w:sz="8" w:space="0" w:color="auto"/>
              <w:left w:val="single" w:sz="8" w:space="0" w:color="auto"/>
              <w:bottom w:val="single" w:sz="8" w:space="0" w:color="000000"/>
              <w:right w:val="single" w:sz="8" w:space="0" w:color="auto"/>
            </w:tcBorders>
            <w:vAlign w:val="center"/>
            <w:hideMark/>
          </w:tcPr>
          <w:p w14:paraId="184B9A7C" w14:textId="77777777" w:rsidR="00486288" w:rsidRPr="00486288" w:rsidRDefault="00486288" w:rsidP="00486288">
            <w:pPr>
              <w:spacing w:before="0" w:after="0"/>
              <w:jc w:val="left"/>
              <w:rPr>
                <w:rFonts w:eastAsia="Times New Roman"/>
                <w:b/>
                <w:bCs/>
                <w:noProof/>
                <w:color w:val="000000"/>
                <w:sz w:val="20"/>
                <w:szCs w:val="20"/>
                <w:lang w:val="en-IE" w:eastAsia="en-IE"/>
              </w:rPr>
            </w:pPr>
          </w:p>
        </w:tc>
      </w:tr>
      <w:tr w:rsidR="00486288" w:rsidRPr="00486288" w14:paraId="7AEA8E98" w14:textId="77777777" w:rsidTr="00445C9D">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14:paraId="6777D31B" w14:textId="77777777" w:rsidR="00486288" w:rsidRPr="00486288" w:rsidRDefault="00486288" w:rsidP="00486288">
            <w:pPr>
              <w:spacing w:before="0" w:after="0"/>
              <w:jc w:val="left"/>
              <w:rPr>
                <w:rFonts w:eastAsia="Times New Roman"/>
                <w:noProof/>
                <w:color w:val="000000"/>
                <w:sz w:val="21"/>
                <w:szCs w:val="21"/>
                <w:lang w:val="en-IE" w:eastAsia="en-IE"/>
              </w:rPr>
            </w:pPr>
            <w:r w:rsidRPr="00486288">
              <w:rPr>
                <w:rFonts w:eastAsia="Times New Roman"/>
                <w:noProof/>
                <w:color w:val="000000"/>
                <w:sz w:val="21"/>
                <w:szCs w:val="21"/>
                <w:lang w:val="en-IE" w:eastAsia="en-IE"/>
              </w:rPr>
              <w:t xml:space="preserve">Operational appropriations </w:t>
            </w:r>
          </w:p>
        </w:tc>
      </w:tr>
      <w:tr w:rsidR="00EB015C" w:rsidRPr="00486288" w14:paraId="41536891" w14:textId="77777777" w:rsidTr="005A4830">
        <w:trPr>
          <w:trHeight w:val="470"/>
        </w:trPr>
        <w:tc>
          <w:tcPr>
            <w:tcW w:w="1857" w:type="pct"/>
            <w:vMerge w:val="restart"/>
            <w:tcBorders>
              <w:top w:val="nil"/>
              <w:left w:val="single" w:sz="8" w:space="0" w:color="auto"/>
              <w:right w:val="single" w:sz="8" w:space="0" w:color="auto"/>
            </w:tcBorders>
            <w:noWrap/>
          </w:tcPr>
          <w:p w14:paraId="136D4A9E" w14:textId="77777777" w:rsidR="00486288" w:rsidRPr="00486288" w:rsidRDefault="00486288" w:rsidP="00486288">
            <w:pPr>
              <w:spacing w:before="0" w:after="0"/>
              <w:jc w:val="left"/>
              <w:rPr>
                <w:rFonts w:eastAsia="Times New Roman"/>
                <w:noProof/>
                <w:color w:val="000000"/>
                <w:sz w:val="18"/>
                <w:szCs w:val="18"/>
                <w:lang w:val="en-IE" w:eastAsia="en-IE"/>
              </w:rPr>
            </w:pPr>
            <w:r w:rsidRPr="00486288">
              <w:rPr>
                <w:noProof/>
                <w:sz w:val="18"/>
                <w:szCs w:val="18"/>
              </w:rPr>
              <w:t>Budget line - IF operational expenditure</w:t>
            </w:r>
          </w:p>
        </w:tc>
        <w:tc>
          <w:tcPr>
            <w:tcW w:w="648" w:type="pct"/>
            <w:tcBorders>
              <w:top w:val="nil"/>
              <w:left w:val="nil"/>
              <w:bottom w:val="single" w:sz="8" w:space="0" w:color="auto"/>
              <w:right w:val="single" w:sz="8" w:space="0" w:color="auto"/>
            </w:tcBorders>
          </w:tcPr>
          <w:p w14:paraId="62D44A5D" w14:textId="77777777" w:rsidR="00486288" w:rsidRPr="00486288" w:rsidRDefault="00486288" w:rsidP="00486288">
            <w:pPr>
              <w:spacing w:before="0" w:after="0"/>
              <w:rPr>
                <w:rFonts w:eastAsia="Times New Roman"/>
                <w:noProof/>
                <w:color w:val="000000"/>
                <w:sz w:val="18"/>
                <w:szCs w:val="18"/>
                <w:lang w:val="en-IE" w:eastAsia="en-IE"/>
              </w:rPr>
            </w:pPr>
            <w:r w:rsidRPr="00486288">
              <w:rPr>
                <w:noProof/>
                <w:sz w:val="18"/>
                <w:szCs w:val="18"/>
              </w:rPr>
              <w:t>Commitments</w:t>
            </w:r>
          </w:p>
        </w:tc>
        <w:tc>
          <w:tcPr>
            <w:tcW w:w="234" w:type="pct"/>
            <w:tcBorders>
              <w:top w:val="nil"/>
              <w:left w:val="nil"/>
              <w:bottom w:val="single" w:sz="8" w:space="0" w:color="auto"/>
              <w:right w:val="single" w:sz="8" w:space="0" w:color="auto"/>
            </w:tcBorders>
          </w:tcPr>
          <w:p w14:paraId="0535D01E" w14:textId="77777777" w:rsidR="00486288" w:rsidRPr="00486288" w:rsidRDefault="00486288" w:rsidP="00486288">
            <w:pPr>
              <w:spacing w:before="0" w:after="0"/>
              <w:jc w:val="center"/>
              <w:rPr>
                <w:rFonts w:eastAsia="Times New Roman"/>
                <w:noProof/>
                <w:color w:val="000000"/>
                <w:sz w:val="18"/>
                <w:szCs w:val="18"/>
                <w:lang w:val="en-IE" w:eastAsia="en-IE"/>
              </w:rPr>
            </w:pPr>
            <w:r w:rsidRPr="00486288">
              <w:rPr>
                <w:noProof/>
                <w:sz w:val="18"/>
                <w:szCs w:val="18"/>
              </w:rPr>
              <w:t>(1a)</w:t>
            </w:r>
          </w:p>
        </w:tc>
        <w:tc>
          <w:tcPr>
            <w:tcW w:w="267" w:type="pct"/>
            <w:tcBorders>
              <w:top w:val="nil"/>
              <w:left w:val="nil"/>
              <w:bottom w:val="single" w:sz="8" w:space="0" w:color="auto"/>
              <w:right w:val="single" w:sz="8" w:space="0" w:color="auto"/>
            </w:tcBorders>
          </w:tcPr>
          <w:p w14:paraId="7C7DCBD0"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0100DE42"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195B287A"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592C8106"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1B5EAB12"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19D59248"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3159853C"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392" w:type="pct"/>
            <w:tcBorders>
              <w:top w:val="nil"/>
              <w:left w:val="nil"/>
              <w:bottom w:val="single" w:sz="8" w:space="0" w:color="auto"/>
              <w:right w:val="single" w:sz="8" w:space="0" w:color="auto"/>
            </w:tcBorders>
            <w:shd w:val="clear" w:color="000000" w:fill="D9D9D9"/>
          </w:tcPr>
          <w:p w14:paraId="525927A9"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r w:rsidR="00EB015C" w:rsidRPr="00486288" w14:paraId="132471E1" w14:textId="77777777" w:rsidTr="005A4830">
        <w:trPr>
          <w:trHeight w:val="470"/>
        </w:trPr>
        <w:tc>
          <w:tcPr>
            <w:tcW w:w="1857" w:type="pct"/>
            <w:vMerge/>
            <w:tcBorders>
              <w:left w:val="single" w:sz="8" w:space="0" w:color="auto"/>
              <w:bottom w:val="single" w:sz="8" w:space="0" w:color="000000"/>
              <w:right w:val="single" w:sz="8" w:space="0" w:color="auto"/>
            </w:tcBorders>
            <w:noWrap/>
          </w:tcPr>
          <w:p w14:paraId="37DF6B47" w14:textId="77777777" w:rsidR="00486288" w:rsidRPr="00486288" w:rsidRDefault="00486288" w:rsidP="00486288">
            <w:pPr>
              <w:spacing w:before="0" w:after="0"/>
              <w:jc w:val="left"/>
              <w:rPr>
                <w:rFonts w:eastAsia="Times New Roman"/>
                <w:noProof/>
                <w:color w:val="000000"/>
                <w:sz w:val="18"/>
                <w:szCs w:val="18"/>
                <w:lang w:val="en-IE" w:eastAsia="en-IE"/>
              </w:rPr>
            </w:pPr>
          </w:p>
        </w:tc>
        <w:tc>
          <w:tcPr>
            <w:tcW w:w="648" w:type="pct"/>
            <w:tcBorders>
              <w:top w:val="nil"/>
              <w:left w:val="nil"/>
              <w:bottom w:val="single" w:sz="8" w:space="0" w:color="auto"/>
              <w:right w:val="single" w:sz="8" w:space="0" w:color="auto"/>
            </w:tcBorders>
          </w:tcPr>
          <w:p w14:paraId="11234C27" w14:textId="77777777" w:rsidR="00486288" w:rsidRPr="00486288" w:rsidRDefault="00486288" w:rsidP="00486288">
            <w:pPr>
              <w:spacing w:before="0" w:after="0"/>
              <w:rPr>
                <w:rFonts w:eastAsia="Times New Roman"/>
                <w:noProof/>
                <w:color w:val="000000"/>
                <w:sz w:val="18"/>
                <w:szCs w:val="18"/>
                <w:lang w:val="en-IE" w:eastAsia="en-IE"/>
              </w:rPr>
            </w:pPr>
            <w:r w:rsidRPr="00486288">
              <w:rPr>
                <w:noProof/>
                <w:sz w:val="18"/>
                <w:szCs w:val="18"/>
              </w:rPr>
              <w:t>Payments</w:t>
            </w:r>
          </w:p>
        </w:tc>
        <w:tc>
          <w:tcPr>
            <w:tcW w:w="234" w:type="pct"/>
            <w:tcBorders>
              <w:top w:val="nil"/>
              <w:left w:val="nil"/>
              <w:bottom w:val="single" w:sz="8" w:space="0" w:color="auto"/>
              <w:right w:val="single" w:sz="8" w:space="0" w:color="auto"/>
            </w:tcBorders>
          </w:tcPr>
          <w:p w14:paraId="122D20FA" w14:textId="77777777" w:rsidR="00486288" w:rsidRPr="00486288" w:rsidRDefault="00486288" w:rsidP="00486288">
            <w:pPr>
              <w:spacing w:before="0" w:after="0"/>
              <w:jc w:val="center"/>
              <w:rPr>
                <w:rFonts w:eastAsia="Times New Roman"/>
                <w:noProof/>
                <w:color w:val="000000"/>
                <w:sz w:val="18"/>
                <w:szCs w:val="18"/>
                <w:lang w:val="en-IE" w:eastAsia="en-IE"/>
              </w:rPr>
            </w:pPr>
            <w:r w:rsidRPr="00486288">
              <w:rPr>
                <w:noProof/>
                <w:sz w:val="18"/>
                <w:szCs w:val="18"/>
              </w:rPr>
              <w:t>(2a)</w:t>
            </w:r>
          </w:p>
        </w:tc>
        <w:tc>
          <w:tcPr>
            <w:tcW w:w="267" w:type="pct"/>
            <w:tcBorders>
              <w:top w:val="nil"/>
              <w:left w:val="nil"/>
              <w:bottom w:val="single" w:sz="8" w:space="0" w:color="auto"/>
              <w:right w:val="single" w:sz="8" w:space="0" w:color="auto"/>
            </w:tcBorders>
          </w:tcPr>
          <w:p w14:paraId="6856E21F"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682DAE27"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3B7F07C7"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135A2F91"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05DF9217"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6CF4299C"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6DED3AC8"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392" w:type="pct"/>
            <w:tcBorders>
              <w:top w:val="nil"/>
              <w:left w:val="nil"/>
              <w:bottom w:val="single" w:sz="8" w:space="0" w:color="auto"/>
              <w:right w:val="single" w:sz="8" w:space="0" w:color="auto"/>
            </w:tcBorders>
            <w:shd w:val="clear" w:color="000000" w:fill="D9D9D9"/>
          </w:tcPr>
          <w:p w14:paraId="40F50743"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r w:rsidR="00EB015C" w:rsidRPr="00486288" w14:paraId="2BAD70D6" w14:textId="77777777" w:rsidTr="005A4830">
        <w:trPr>
          <w:trHeight w:val="470"/>
        </w:trPr>
        <w:tc>
          <w:tcPr>
            <w:tcW w:w="1857" w:type="pct"/>
            <w:vMerge w:val="restart"/>
            <w:tcBorders>
              <w:top w:val="nil"/>
              <w:left w:val="single" w:sz="8" w:space="0" w:color="auto"/>
              <w:right w:val="single" w:sz="8" w:space="0" w:color="auto"/>
            </w:tcBorders>
            <w:noWrap/>
          </w:tcPr>
          <w:p w14:paraId="783184B9" w14:textId="77777777" w:rsidR="00486288" w:rsidRPr="00486288" w:rsidRDefault="00486288" w:rsidP="00486288">
            <w:pPr>
              <w:spacing w:before="0" w:after="0"/>
              <w:jc w:val="left"/>
              <w:rPr>
                <w:rFonts w:eastAsia="Times New Roman"/>
                <w:noProof/>
                <w:color w:val="000000"/>
                <w:sz w:val="18"/>
                <w:szCs w:val="18"/>
                <w:lang w:val="en-IE" w:eastAsia="en-IE"/>
              </w:rPr>
            </w:pPr>
            <w:r w:rsidRPr="00486288">
              <w:rPr>
                <w:noProof/>
                <w:sz w:val="18"/>
                <w:szCs w:val="18"/>
              </w:rPr>
              <w:t>Budget line - IBD - operational expenditure</w:t>
            </w:r>
          </w:p>
        </w:tc>
        <w:tc>
          <w:tcPr>
            <w:tcW w:w="648" w:type="pct"/>
            <w:tcBorders>
              <w:top w:val="nil"/>
              <w:left w:val="nil"/>
              <w:bottom w:val="single" w:sz="8" w:space="0" w:color="auto"/>
              <w:right w:val="single" w:sz="8" w:space="0" w:color="auto"/>
            </w:tcBorders>
          </w:tcPr>
          <w:p w14:paraId="1EBDB20F" w14:textId="77777777" w:rsidR="00486288" w:rsidRPr="00486288" w:rsidRDefault="00486288" w:rsidP="00486288">
            <w:pPr>
              <w:spacing w:before="0" w:after="0"/>
              <w:rPr>
                <w:rFonts w:eastAsia="Times New Roman"/>
                <w:noProof/>
                <w:color w:val="000000"/>
                <w:sz w:val="18"/>
                <w:szCs w:val="18"/>
                <w:lang w:val="en-IE" w:eastAsia="en-IE"/>
              </w:rPr>
            </w:pPr>
            <w:r w:rsidRPr="00486288">
              <w:rPr>
                <w:noProof/>
                <w:sz w:val="18"/>
                <w:szCs w:val="18"/>
              </w:rPr>
              <w:t>Commitments</w:t>
            </w:r>
          </w:p>
        </w:tc>
        <w:tc>
          <w:tcPr>
            <w:tcW w:w="234" w:type="pct"/>
            <w:tcBorders>
              <w:top w:val="nil"/>
              <w:left w:val="nil"/>
              <w:bottom w:val="single" w:sz="8" w:space="0" w:color="auto"/>
              <w:right w:val="single" w:sz="8" w:space="0" w:color="auto"/>
            </w:tcBorders>
          </w:tcPr>
          <w:p w14:paraId="6E649EDF" w14:textId="77777777" w:rsidR="00486288" w:rsidRPr="00486288" w:rsidRDefault="00486288" w:rsidP="00486288">
            <w:pPr>
              <w:spacing w:before="0" w:after="0"/>
              <w:jc w:val="center"/>
              <w:rPr>
                <w:rFonts w:eastAsia="Times New Roman"/>
                <w:noProof/>
                <w:color w:val="000000"/>
                <w:sz w:val="18"/>
                <w:szCs w:val="18"/>
                <w:lang w:val="en-IE" w:eastAsia="en-IE"/>
              </w:rPr>
            </w:pPr>
            <w:r w:rsidRPr="00486288">
              <w:rPr>
                <w:noProof/>
                <w:sz w:val="18"/>
                <w:szCs w:val="18"/>
              </w:rPr>
              <w:t>(1b)</w:t>
            </w:r>
          </w:p>
        </w:tc>
        <w:tc>
          <w:tcPr>
            <w:tcW w:w="267" w:type="pct"/>
            <w:tcBorders>
              <w:top w:val="nil"/>
              <w:left w:val="nil"/>
              <w:bottom w:val="single" w:sz="8" w:space="0" w:color="auto"/>
              <w:right w:val="single" w:sz="8" w:space="0" w:color="auto"/>
            </w:tcBorders>
          </w:tcPr>
          <w:p w14:paraId="252FBE69"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33A87D1D"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61D49980"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3411A6C8"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243813FC"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16636F69"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7FB5BFD8"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392" w:type="pct"/>
            <w:tcBorders>
              <w:top w:val="nil"/>
              <w:left w:val="nil"/>
              <w:bottom w:val="single" w:sz="8" w:space="0" w:color="auto"/>
              <w:right w:val="single" w:sz="8" w:space="0" w:color="auto"/>
            </w:tcBorders>
            <w:shd w:val="clear" w:color="000000" w:fill="D9D9D9"/>
          </w:tcPr>
          <w:p w14:paraId="7A8DC437"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r w:rsidR="00EB015C" w:rsidRPr="00486288" w14:paraId="4ADA6AD6" w14:textId="77777777" w:rsidTr="005A4830">
        <w:trPr>
          <w:trHeight w:val="470"/>
        </w:trPr>
        <w:tc>
          <w:tcPr>
            <w:tcW w:w="1857" w:type="pct"/>
            <w:vMerge/>
            <w:tcBorders>
              <w:left w:val="single" w:sz="8" w:space="0" w:color="auto"/>
              <w:bottom w:val="single" w:sz="8" w:space="0" w:color="000000"/>
              <w:right w:val="single" w:sz="8" w:space="0" w:color="auto"/>
            </w:tcBorders>
            <w:noWrap/>
          </w:tcPr>
          <w:p w14:paraId="37CE8926" w14:textId="77777777" w:rsidR="00486288" w:rsidRPr="00486288" w:rsidRDefault="00486288" w:rsidP="00486288">
            <w:pPr>
              <w:spacing w:before="0" w:after="0"/>
              <w:jc w:val="left"/>
              <w:rPr>
                <w:rFonts w:eastAsia="Times New Roman"/>
                <w:noProof/>
                <w:color w:val="000000"/>
                <w:sz w:val="18"/>
                <w:szCs w:val="18"/>
                <w:lang w:val="en-IE" w:eastAsia="en-IE"/>
              </w:rPr>
            </w:pPr>
          </w:p>
        </w:tc>
        <w:tc>
          <w:tcPr>
            <w:tcW w:w="648" w:type="pct"/>
            <w:tcBorders>
              <w:top w:val="nil"/>
              <w:left w:val="nil"/>
              <w:bottom w:val="single" w:sz="8" w:space="0" w:color="auto"/>
              <w:right w:val="single" w:sz="8" w:space="0" w:color="auto"/>
            </w:tcBorders>
          </w:tcPr>
          <w:p w14:paraId="0970549E" w14:textId="77777777" w:rsidR="00486288" w:rsidRPr="00486288" w:rsidRDefault="00486288" w:rsidP="00486288">
            <w:pPr>
              <w:spacing w:before="0" w:after="0"/>
              <w:rPr>
                <w:rFonts w:eastAsia="Times New Roman"/>
                <w:noProof/>
                <w:color w:val="000000"/>
                <w:sz w:val="18"/>
                <w:szCs w:val="18"/>
                <w:lang w:val="en-IE" w:eastAsia="en-IE"/>
              </w:rPr>
            </w:pPr>
            <w:r w:rsidRPr="00486288">
              <w:rPr>
                <w:noProof/>
                <w:sz w:val="18"/>
                <w:szCs w:val="18"/>
              </w:rPr>
              <w:t>Payments</w:t>
            </w:r>
          </w:p>
        </w:tc>
        <w:tc>
          <w:tcPr>
            <w:tcW w:w="234" w:type="pct"/>
            <w:tcBorders>
              <w:top w:val="nil"/>
              <w:left w:val="nil"/>
              <w:bottom w:val="single" w:sz="8" w:space="0" w:color="auto"/>
              <w:right w:val="single" w:sz="8" w:space="0" w:color="auto"/>
            </w:tcBorders>
          </w:tcPr>
          <w:p w14:paraId="356AF4C3" w14:textId="77777777" w:rsidR="00486288" w:rsidRPr="00486288" w:rsidRDefault="00486288" w:rsidP="00486288">
            <w:pPr>
              <w:spacing w:before="0" w:after="0"/>
              <w:jc w:val="center"/>
              <w:rPr>
                <w:rFonts w:eastAsia="Times New Roman"/>
                <w:noProof/>
                <w:color w:val="000000"/>
                <w:sz w:val="18"/>
                <w:szCs w:val="18"/>
                <w:lang w:val="en-IE" w:eastAsia="en-IE"/>
              </w:rPr>
            </w:pPr>
            <w:r w:rsidRPr="00486288">
              <w:rPr>
                <w:noProof/>
                <w:sz w:val="18"/>
                <w:szCs w:val="18"/>
              </w:rPr>
              <w:t>(2b)</w:t>
            </w:r>
          </w:p>
        </w:tc>
        <w:tc>
          <w:tcPr>
            <w:tcW w:w="267" w:type="pct"/>
            <w:tcBorders>
              <w:top w:val="nil"/>
              <w:left w:val="nil"/>
              <w:bottom w:val="single" w:sz="8" w:space="0" w:color="auto"/>
              <w:right w:val="single" w:sz="8" w:space="0" w:color="auto"/>
            </w:tcBorders>
          </w:tcPr>
          <w:p w14:paraId="633C9BA1"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272B5192"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43E51EF6"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47E1A3CD"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3655C08C"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12C882DE"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3151477B"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392" w:type="pct"/>
            <w:tcBorders>
              <w:top w:val="nil"/>
              <w:left w:val="nil"/>
              <w:bottom w:val="single" w:sz="8" w:space="0" w:color="auto"/>
              <w:right w:val="single" w:sz="8" w:space="0" w:color="auto"/>
            </w:tcBorders>
            <w:shd w:val="clear" w:color="000000" w:fill="D9D9D9"/>
          </w:tcPr>
          <w:p w14:paraId="16300271"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r w:rsidR="00EB015C" w:rsidRPr="00486288" w14:paraId="4A4F2502" w14:textId="77777777" w:rsidTr="005A4830">
        <w:trPr>
          <w:trHeight w:val="470"/>
        </w:trPr>
        <w:tc>
          <w:tcPr>
            <w:tcW w:w="1857" w:type="pct"/>
            <w:vMerge w:val="restart"/>
            <w:tcBorders>
              <w:top w:val="nil"/>
              <w:left w:val="single" w:sz="8" w:space="0" w:color="auto"/>
              <w:bottom w:val="single" w:sz="8" w:space="0" w:color="000000"/>
              <w:right w:val="single" w:sz="8" w:space="0" w:color="auto"/>
            </w:tcBorders>
            <w:noWrap/>
            <w:hideMark/>
          </w:tcPr>
          <w:p w14:paraId="38418004" w14:textId="77777777" w:rsidR="00486288" w:rsidRPr="00486288" w:rsidRDefault="00486288" w:rsidP="00486288">
            <w:pPr>
              <w:spacing w:before="0" w:after="0"/>
              <w:jc w:val="left"/>
              <w:rPr>
                <w:rFonts w:eastAsia="Times New Roman"/>
                <w:noProof/>
                <w:color w:val="000000"/>
                <w:sz w:val="18"/>
                <w:szCs w:val="18"/>
                <w:lang w:val="en-IE" w:eastAsia="en-IE"/>
              </w:rPr>
            </w:pPr>
            <w:r w:rsidRPr="00486288">
              <w:rPr>
                <w:noProof/>
                <w:sz w:val="18"/>
                <w:szCs w:val="18"/>
              </w:rPr>
              <w:t>Budget line - Carbon Removal - operational expenditure</w:t>
            </w:r>
          </w:p>
          <w:p w14:paraId="43D8DEFD" w14:textId="77777777" w:rsidR="00486288" w:rsidRPr="00486288" w:rsidRDefault="00486288" w:rsidP="00486288">
            <w:pPr>
              <w:spacing w:before="0" w:after="0"/>
              <w:jc w:val="left"/>
              <w:rPr>
                <w:rFonts w:eastAsia="Times New Roman"/>
                <w:noProof/>
                <w:color w:val="000000"/>
                <w:sz w:val="18"/>
                <w:szCs w:val="18"/>
                <w:lang w:val="en-IE" w:eastAsia="en-IE"/>
              </w:rPr>
            </w:pPr>
          </w:p>
        </w:tc>
        <w:tc>
          <w:tcPr>
            <w:tcW w:w="648" w:type="pct"/>
            <w:tcBorders>
              <w:top w:val="nil"/>
              <w:left w:val="nil"/>
              <w:bottom w:val="single" w:sz="8" w:space="0" w:color="auto"/>
              <w:right w:val="single" w:sz="8" w:space="0" w:color="auto"/>
            </w:tcBorders>
            <w:vAlign w:val="center"/>
            <w:hideMark/>
          </w:tcPr>
          <w:p w14:paraId="71EF58F6"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Commitments</w:t>
            </w:r>
          </w:p>
        </w:tc>
        <w:tc>
          <w:tcPr>
            <w:tcW w:w="234" w:type="pct"/>
            <w:tcBorders>
              <w:top w:val="nil"/>
              <w:left w:val="nil"/>
              <w:bottom w:val="single" w:sz="8" w:space="0" w:color="auto"/>
              <w:right w:val="single" w:sz="8" w:space="0" w:color="auto"/>
            </w:tcBorders>
            <w:hideMark/>
          </w:tcPr>
          <w:p w14:paraId="0634D965" w14:textId="77777777" w:rsidR="00486288" w:rsidRPr="00486288" w:rsidRDefault="00486288" w:rsidP="00486288">
            <w:pPr>
              <w:spacing w:before="0" w:after="0"/>
              <w:jc w:val="center"/>
              <w:rPr>
                <w:rFonts w:eastAsia="Times New Roman"/>
                <w:noProof/>
                <w:color w:val="000000"/>
                <w:sz w:val="18"/>
                <w:szCs w:val="18"/>
                <w:lang w:val="en-IE" w:eastAsia="en-IE"/>
              </w:rPr>
            </w:pPr>
            <w:r w:rsidRPr="00486288">
              <w:rPr>
                <w:noProof/>
                <w:sz w:val="18"/>
                <w:szCs w:val="18"/>
              </w:rPr>
              <w:t>(1c)</w:t>
            </w:r>
          </w:p>
        </w:tc>
        <w:tc>
          <w:tcPr>
            <w:tcW w:w="267" w:type="pct"/>
            <w:tcBorders>
              <w:top w:val="nil"/>
              <w:left w:val="nil"/>
              <w:bottom w:val="single" w:sz="8" w:space="0" w:color="auto"/>
              <w:right w:val="single" w:sz="8" w:space="0" w:color="auto"/>
            </w:tcBorders>
            <w:hideMark/>
          </w:tcPr>
          <w:p w14:paraId="3484AD44"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60F7DEAC"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20264594"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7747F11D"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1DF9E823"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174B5145"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3F7993A4"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392" w:type="pct"/>
            <w:tcBorders>
              <w:top w:val="nil"/>
              <w:left w:val="nil"/>
              <w:bottom w:val="single" w:sz="8" w:space="0" w:color="auto"/>
              <w:right w:val="single" w:sz="8" w:space="0" w:color="auto"/>
            </w:tcBorders>
            <w:shd w:val="clear" w:color="000000" w:fill="D9D9D9"/>
            <w:hideMark/>
          </w:tcPr>
          <w:p w14:paraId="3621D0AC"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r w:rsidR="00EB015C" w:rsidRPr="00486288" w14:paraId="20874A94" w14:textId="77777777" w:rsidTr="005A4830">
        <w:trPr>
          <w:trHeight w:val="300"/>
        </w:trPr>
        <w:tc>
          <w:tcPr>
            <w:tcW w:w="1857" w:type="pct"/>
            <w:vMerge/>
            <w:tcBorders>
              <w:top w:val="nil"/>
              <w:left w:val="single" w:sz="8" w:space="0" w:color="auto"/>
              <w:bottom w:val="single" w:sz="8" w:space="0" w:color="000000"/>
              <w:right w:val="single" w:sz="8" w:space="0" w:color="auto"/>
            </w:tcBorders>
            <w:hideMark/>
          </w:tcPr>
          <w:p w14:paraId="594BA55A" w14:textId="77777777" w:rsidR="00486288" w:rsidRPr="00486288" w:rsidRDefault="00486288" w:rsidP="00486288">
            <w:pPr>
              <w:spacing w:before="0" w:after="0"/>
              <w:jc w:val="left"/>
              <w:rPr>
                <w:rFonts w:eastAsia="Times New Roman"/>
                <w:noProof/>
                <w:color w:val="000000"/>
                <w:sz w:val="18"/>
                <w:szCs w:val="18"/>
                <w:lang w:val="en-IE" w:eastAsia="en-IE"/>
              </w:rPr>
            </w:pPr>
          </w:p>
        </w:tc>
        <w:tc>
          <w:tcPr>
            <w:tcW w:w="648" w:type="pct"/>
            <w:tcBorders>
              <w:top w:val="nil"/>
              <w:left w:val="nil"/>
              <w:bottom w:val="single" w:sz="8" w:space="0" w:color="auto"/>
              <w:right w:val="single" w:sz="8" w:space="0" w:color="auto"/>
            </w:tcBorders>
            <w:vAlign w:val="center"/>
            <w:hideMark/>
          </w:tcPr>
          <w:p w14:paraId="46134F8D"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Payments</w:t>
            </w:r>
          </w:p>
        </w:tc>
        <w:tc>
          <w:tcPr>
            <w:tcW w:w="234" w:type="pct"/>
            <w:tcBorders>
              <w:top w:val="nil"/>
              <w:left w:val="nil"/>
              <w:bottom w:val="single" w:sz="8" w:space="0" w:color="auto"/>
              <w:right w:val="single" w:sz="8" w:space="0" w:color="auto"/>
            </w:tcBorders>
            <w:hideMark/>
          </w:tcPr>
          <w:p w14:paraId="6DDFB69A" w14:textId="77777777" w:rsidR="00486288" w:rsidRPr="00486288" w:rsidRDefault="00486288" w:rsidP="00486288">
            <w:pPr>
              <w:spacing w:before="0" w:after="0"/>
              <w:jc w:val="center"/>
              <w:rPr>
                <w:rFonts w:eastAsia="Times New Roman"/>
                <w:noProof/>
                <w:color w:val="000000"/>
                <w:sz w:val="18"/>
                <w:szCs w:val="18"/>
                <w:lang w:val="en-IE" w:eastAsia="en-IE"/>
              </w:rPr>
            </w:pPr>
            <w:r w:rsidRPr="00486288">
              <w:rPr>
                <w:noProof/>
                <w:sz w:val="18"/>
                <w:szCs w:val="18"/>
              </w:rPr>
              <w:t>(2c)</w:t>
            </w:r>
          </w:p>
        </w:tc>
        <w:tc>
          <w:tcPr>
            <w:tcW w:w="267" w:type="pct"/>
            <w:tcBorders>
              <w:top w:val="nil"/>
              <w:left w:val="nil"/>
              <w:bottom w:val="single" w:sz="8" w:space="0" w:color="auto"/>
              <w:right w:val="single" w:sz="8" w:space="0" w:color="auto"/>
            </w:tcBorders>
            <w:hideMark/>
          </w:tcPr>
          <w:p w14:paraId="3A6D1EBE"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07412EFA"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6AB3D907"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1099C1D4"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75ADA526"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21A5996B"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hideMark/>
          </w:tcPr>
          <w:p w14:paraId="68FB6606"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p.m.</w:t>
            </w:r>
          </w:p>
        </w:tc>
        <w:tc>
          <w:tcPr>
            <w:tcW w:w="392" w:type="pct"/>
            <w:tcBorders>
              <w:top w:val="nil"/>
              <w:left w:val="nil"/>
              <w:bottom w:val="single" w:sz="8" w:space="0" w:color="auto"/>
              <w:right w:val="single" w:sz="8" w:space="0" w:color="auto"/>
            </w:tcBorders>
            <w:shd w:val="clear" w:color="000000" w:fill="D9D9D9"/>
            <w:hideMark/>
          </w:tcPr>
          <w:p w14:paraId="0F85F150"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r w:rsidR="0089302F" w:rsidRPr="00486288" w14:paraId="640685DD" w14:textId="77777777" w:rsidTr="005A4830">
        <w:trPr>
          <w:trHeight w:val="530"/>
        </w:trPr>
        <w:tc>
          <w:tcPr>
            <w:tcW w:w="1857" w:type="pct"/>
            <w:vMerge w:val="restart"/>
            <w:tcBorders>
              <w:top w:val="nil"/>
              <w:left w:val="single" w:sz="8" w:space="0" w:color="auto"/>
              <w:right w:val="single" w:sz="8" w:space="0" w:color="auto"/>
            </w:tcBorders>
          </w:tcPr>
          <w:p w14:paraId="0144D24E" w14:textId="77777777" w:rsidR="0026692E" w:rsidRPr="00486288" w:rsidRDefault="005A4830" w:rsidP="0026692E">
            <w:pPr>
              <w:spacing w:before="0" w:after="0"/>
              <w:rPr>
                <w:noProof/>
                <w:sz w:val="18"/>
                <w:szCs w:val="18"/>
              </w:rPr>
            </w:pPr>
            <w:r w:rsidRPr="00E5248D">
              <w:rPr>
                <w:noProof/>
                <w:sz w:val="18"/>
                <w:szCs w:val="18"/>
              </w:rPr>
              <w:t>Budget line - EMSA subsidy</w:t>
            </w:r>
          </w:p>
        </w:tc>
        <w:tc>
          <w:tcPr>
            <w:tcW w:w="648" w:type="pct"/>
            <w:tcBorders>
              <w:top w:val="nil"/>
              <w:left w:val="nil"/>
              <w:bottom w:val="single" w:sz="8" w:space="0" w:color="auto"/>
              <w:right w:val="single" w:sz="8" w:space="0" w:color="auto"/>
            </w:tcBorders>
          </w:tcPr>
          <w:p w14:paraId="4844B933" w14:textId="77777777" w:rsidR="0026692E" w:rsidRPr="00486288" w:rsidRDefault="0026692E" w:rsidP="00DE2C42">
            <w:pPr>
              <w:spacing w:before="0" w:after="0"/>
              <w:jc w:val="left"/>
              <w:rPr>
                <w:rFonts w:eastAsia="Times New Roman"/>
                <w:noProof/>
                <w:color w:val="000000"/>
                <w:sz w:val="18"/>
                <w:szCs w:val="18"/>
                <w:lang w:val="en-IE" w:eastAsia="en-IE"/>
              </w:rPr>
            </w:pPr>
            <w:r w:rsidRPr="00DE2C42">
              <w:rPr>
                <w:noProof/>
                <w:sz w:val="18"/>
                <w:szCs w:val="18"/>
              </w:rPr>
              <w:t>Commitments</w:t>
            </w:r>
          </w:p>
        </w:tc>
        <w:tc>
          <w:tcPr>
            <w:tcW w:w="234" w:type="pct"/>
            <w:tcBorders>
              <w:top w:val="nil"/>
              <w:left w:val="nil"/>
              <w:bottom w:val="single" w:sz="8" w:space="0" w:color="auto"/>
              <w:right w:val="single" w:sz="8" w:space="0" w:color="auto"/>
            </w:tcBorders>
          </w:tcPr>
          <w:p w14:paraId="0F81C295" w14:textId="77777777" w:rsidR="0026692E" w:rsidRPr="00486288" w:rsidRDefault="0026692E" w:rsidP="0026692E">
            <w:pPr>
              <w:spacing w:before="0" w:after="0"/>
              <w:jc w:val="center"/>
              <w:rPr>
                <w:noProof/>
                <w:sz w:val="18"/>
                <w:szCs w:val="18"/>
              </w:rPr>
            </w:pPr>
            <w:r w:rsidRPr="00DE2C42">
              <w:rPr>
                <w:noProof/>
                <w:sz w:val="18"/>
                <w:szCs w:val="18"/>
              </w:rPr>
              <w:t>(1d)</w:t>
            </w:r>
          </w:p>
        </w:tc>
        <w:tc>
          <w:tcPr>
            <w:tcW w:w="267" w:type="pct"/>
            <w:tcBorders>
              <w:top w:val="nil"/>
              <w:left w:val="nil"/>
              <w:bottom w:val="single" w:sz="8" w:space="0" w:color="auto"/>
              <w:right w:val="single" w:sz="8" w:space="0" w:color="auto"/>
            </w:tcBorders>
          </w:tcPr>
          <w:p w14:paraId="00128009" w14:textId="77777777" w:rsidR="0026692E" w:rsidRPr="00486288" w:rsidRDefault="005A4830" w:rsidP="0026692E">
            <w:pPr>
              <w:spacing w:before="0" w:after="0"/>
              <w:jc w:val="right"/>
              <w:rPr>
                <w:noProof/>
                <w:sz w:val="18"/>
                <w:szCs w:val="18"/>
              </w:rPr>
            </w:pPr>
            <w:r w:rsidRPr="00DE2C42">
              <w:rPr>
                <w:noProof/>
                <w:sz w:val="18"/>
                <w:szCs w:val="18"/>
              </w:rPr>
              <w:t>4,028</w:t>
            </w:r>
          </w:p>
        </w:tc>
        <w:tc>
          <w:tcPr>
            <w:tcW w:w="267" w:type="pct"/>
            <w:tcBorders>
              <w:top w:val="nil"/>
              <w:left w:val="nil"/>
              <w:bottom w:val="single" w:sz="8" w:space="0" w:color="auto"/>
              <w:right w:val="single" w:sz="8" w:space="0" w:color="auto"/>
            </w:tcBorders>
          </w:tcPr>
          <w:p w14:paraId="60C68BB2" w14:textId="77777777" w:rsidR="0026692E" w:rsidRPr="00486288" w:rsidRDefault="005A4830" w:rsidP="0026692E">
            <w:pPr>
              <w:spacing w:before="0" w:after="0"/>
              <w:jc w:val="right"/>
              <w:rPr>
                <w:noProof/>
                <w:sz w:val="18"/>
                <w:szCs w:val="18"/>
              </w:rPr>
            </w:pPr>
            <w:r w:rsidRPr="00DE2C42">
              <w:rPr>
                <w:noProof/>
                <w:sz w:val="18"/>
                <w:szCs w:val="18"/>
              </w:rPr>
              <w:t>4,028</w:t>
            </w:r>
          </w:p>
        </w:tc>
        <w:tc>
          <w:tcPr>
            <w:tcW w:w="267" w:type="pct"/>
            <w:tcBorders>
              <w:top w:val="nil"/>
              <w:left w:val="nil"/>
              <w:bottom w:val="single" w:sz="8" w:space="0" w:color="auto"/>
              <w:right w:val="single" w:sz="8" w:space="0" w:color="auto"/>
            </w:tcBorders>
          </w:tcPr>
          <w:p w14:paraId="3BEA0EDF" w14:textId="77777777" w:rsidR="0026692E" w:rsidRPr="00486288" w:rsidRDefault="005A4830" w:rsidP="0026692E">
            <w:pPr>
              <w:spacing w:before="0" w:after="0"/>
              <w:jc w:val="right"/>
              <w:rPr>
                <w:noProof/>
                <w:sz w:val="18"/>
                <w:szCs w:val="18"/>
              </w:rPr>
            </w:pPr>
            <w:r w:rsidRPr="00DE2C42">
              <w:rPr>
                <w:noProof/>
                <w:sz w:val="18"/>
                <w:szCs w:val="18"/>
              </w:rPr>
              <w:t>4,028</w:t>
            </w:r>
          </w:p>
        </w:tc>
        <w:tc>
          <w:tcPr>
            <w:tcW w:w="267" w:type="pct"/>
            <w:tcBorders>
              <w:top w:val="nil"/>
              <w:left w:val="nil"/>
              <w:bottom w:val="single" w:sz="8" w:space="0" w:color="auto"/>
              <w:right w:val="single" w:sz="8" w:space="0" w:color="auto"/>
            </w:tcBorders>
          </w:tcPr>
          <w:p w14:paraId="1D495502" w14:textId="77777777" w:rsidR="0026692E" w:rsidRPr="00486288" w:rsidRDefault="005A4830" w:rsidP="0026692E">
            <w:pPr>
              <w:spacing w:before="0" w:after="0"/>
              <w:jc w:val="right"/>
              <w:rPr>
                <w:noProof/>
                <w:sz w:val="18"/>
                <w:szCs w:val="18"/>
              </w:rPr>
            </w:pPr>
            <w:r w:rsidRPr="00DE2C42">
              <w:rPr>
                <w:noProof/>
                <w:sz w:val="18"/>
                <w:szCs w:val="18"/>
              </w:rPr>
              <w:t>3,698</w:t>
            </w:r>
          </w:p>
        </w:tc>
        <w:tc>
          <w:tcPr>
            <w:tcW w:w="267" w:type="pct"/>
            <w:tcBorders>
              <w:top w:val="nil"/>
              <w:left w:val="nil"/>
              <w:bottom w:val="single" w:sz="8" w:space="0" w:color="auto"/>
              <w:right w:val="single" w:sz="8" w:space="0" w:color="auto"/>
            </w:tcBorders>
          </w:tcPr>
          <w:p w14:paraId="214EF8F5" w14:textId="77777777" w:rsidR="0026692E" w:rsidRPr="00486288" w:rsidRDefault="005A4830" w:rsidP="0026692E">
            <w:pPr>
              <w:spacing w:before="0" w:after="0"/>
              <w:jc w:val="right"/>
              <w:rPr>
                <w:noProof/>
                <w:sz w:val="18"/>
                <w:szCs w:val="18"/>
              </w:rPr>
            </w:pPr>
            <w:r w:rsidRPr="00DE2C42">
              <w:rPr>
                <w:noProof/>
                <w:sz w:val="18"/>
                <w:szCs w:val="18"/>
              </w:rPr>
              <w:t>3,698</w:t>
            </w:r>
          </w:p>
        </w:tc>
        <w:tc>
          <w:tcPr>
            <w:tcW w:w="267" w:type="pct"/>
            <w:tcBorders>
              <w:top w:val="nil"/>
              <w:left w:val="nil"/>
              <w:bottom w:val="single" w:sz="8" w:space="0" w:color="auto"/>
              <w:right w:val="single" w:sz="8" w:space="0" w:color="auto"/>
            </w:tcBorders>
          </w:tcPr>
          <w:p w14:paraId="6DB19090" w14:textId="77777777" w:rsidR="0026692E" w:rsidRPr="00486288" w:rsidRDefault="005A4830" w:rsidP="0026692E">
            <w:pPr>
              <w:spacing w:before="0" w:after="0"/>
              <w:jc w:val="right"/>
              <w:rPr>
                <w:noProof/>
                <w:sz w:val="18"/>
                <w:szCs w:val="18"/>
              </w:rPr>
            </w:pPr>
            <w:r w:rsidRPr="00DE2C42">
              <w:rPr>
                <w:noProof/>
                <w:sz w:val="18"/>
                <w:szCs w:val="18"/>
              </w:rPr>
              <w:t>3,698</w:t>
            </w:r>
          </w:p>
        </w:tc>
        <w:tc>
          <w:tcPr>
            <w:tcW w:w="267" w:type="pct"/>
            <w:tcBorders>
              <w:top w:val="nil"/>
              <w:left w:val="nil"/>
              <w:bottom w:val="single" w:sz="8" w:space="0" w:color="auto"/>
              <w:right w:val="single" w:sz="8" w:space="0" w:color="auto"/>
            </w:tcBorders>
          </w:tcPr>
          <w:p w14:paraId="5003E20B" w14:textId="77777777" w:rsidR="0026692E" w:rsidRPr="00486288" w:rsidRDefault="005A4830" w:rsidP="0026692E">
            <w:pPr>
              <w:spacing w:before="0" w:after="0"/>
              <w:jc w:val="right"/>
              <w:rPr>
                <w:noProof/>
                <w:sz w:val="18"/>
                <w:szCs w:val="18"/>
              </w:rPr>
            </w:pPr>
            <w:r w:rsidRPr="00DE2C42">
              <w:rPr>
                <w:noProof/>
                <w:sz w:val="18"/>
                <w:szCs w:val="18"/>
              </w:rPr>
              <w:t>3,698</w:t>
            </w:r>
          </w:p>
        </w:tc>
        <w:tc>
          <w:tcPr>
            <w:tcW w:w="392" w:type="pct"/>
            <w:tcBorders>
              <w:top w:val="nil"/>
              <w:left w:val="nil"/>
              <w:bottom w:val="single" w:sz="8" w:space="0" w:color="auto"/>
              <w:right w:val="single" w:sz="8" w:space="0" w:color="auto"/>
            </w:tcBorders>
            <w:shd w:val="clear" w:color="000000" w:fill="D9D9D9"/>
          </w:tcPr>
          <w:p w14:paraId="4003920B" w14:textId="77777777" w:rsidR="0026692E" w:rsidRPr="00486288" w:rsidRDefault="005A4830" w:rsidP="0026692E">
            <w:pPr>
              <w:spacing w:before="0" w:after="0"/>
              <w:jc w:val="right"/>
              <w:rPr>
                <w:b/>
                <w:bCs/>
                <w:noProof/>
                <w:sz w:val="18"/>
                <w:szCs w:val="18"/>
              </w:rPr>
            </w:pPr>
            <w:r w:rsidRPr="00DE2C42">
              <w:rPr>
                <w:noProof/>
                <w:sz w:val="18"/>
                <w:szCs w:val="18"/>
              </w:rPr>
              <w:t>26,877</w:t>
            </w:r>
          </w:p>
        </w:tc>
      </w:tr>
      <w:tr w:rsidR="00B61127" w:rsidRPr="00486288" w14:paraId="6D4B50FD" w14:textId="77777777" w:rsidTr="005A4830">
        <w:trPr>
          <w:trHeight w:val="530"/>
        </w:trPr>
        <w:tc>
          <w:tcPr>
            <w:tcW w:w="1857" w:type="pct"/>
            <w:vMerge/>
            <w:tcBorders>
              <w:left w:val="single" w:sz="8" w:space="0" w:color="auto"/>
              <w:bottom w:val="single" w:sz="8" w:space="0" w:color="auto"/>
              <w:right w:val="single" w:sz="8" w:space="0" w:color="auto"/>
            </w:tcBorders>
          </w:tcPr>
          <w:p w14:paraId="694A4F44" w14:textId="77777777" w:rsidR="0026692E" w:rsidRPr="00486288" w:rsidRDefault="0026692E" w:rsidP="0026692E">
            <w:pPr>
              <w:spacing w:before="0" w:after="0"/>
              <w:rPr>
                <w:noProof/>
                <w:sz w:val="18"/>
                <w:szCs w:val="18"/>
              </w:rPr>
            </w:pPr>
          </w:p>
        </w:tc>
        <w:tc>
          <w:tcPr>
            <w:tcW w:w="648" w:type="pct"/>
            <w:tcBorders>
              <w:top w:val="nil"/>
              <w:left w:val="nil"/>
              <w:bottom w:val="single" w:sz="8" w:space="0" w:color="auto"/>
              <w:right w:val="single" w:sz="8" w:space="0" w:color="auto"/>
            </w:tcBorders>
          </w:tcPr>
          <w:p w14:paraId="62CFD7B1" w14:textId="77777777" w:rsidR="0026692E" w:rsidRPr="00486288" w:rsidRDefault="0026692E" w:rsidP="00DE2C42">
            <w:pPr>
              <w:spacing w:before="0" w:after="0"/>
              <w:jc w:val="left"/>
              <w:rPr>
                <w:rFonts w:eastAsia="Times New Roman"/>
                <w:noProof/>
                <w:color w:val="000000"/>
                <w:sz w:val="18"/>
                <w:szCs w:val="18"/>
                <w:lang w:val="en-IE" w:eastAsia="en-IE"/>
              </w:rPr>
            </w:pPr>
            <w:r w:rsidRPr="00DE2C42">
              <w:rPr>
                <w:noProof/>
                <w:sz w:val="18"/>
                <w:szCs w:val="18"/>
              </w:rPr>
              <w:t>Payments</w:t>
            </w:r>
          </w:p>
        </w:tc>
        <w:tc>
          <w:tcPr>
            <w:tcW w:w="234" w:type="pct"/>
            <w:tcBorders>
              <w:top w:val="nil"/>
              <w:left w:val="nil"/>
              <w:bottom w:val="single" w:sz="8" w:space="0" w:color="auto"/>
              <w:right w:val="single" w:sz="8" w:space="0" w:color="auto"/>
            </w:tcBorders>
          </w:tcPr>
          <w:p w14:paraId="5A928208" w14:textId="77777777" w:rsidR="0026692E" w:rsidRPr="00486288" w:rsidRDefault="0026692E" w:rsidP="0026692E">
            <w:pPr>
              <w:spacing w:before="0" w:after="0"/>
              <w:jc w:val="center"/>
              <w:rPr>
                <w:noProof/>
                <w:sz w:val="18"/>
                <w:szCs w:val="18"/>
              </w:rPr>
            </w:pPr>
            <w:r w:rsidRPr="00DE2C42">
              <w:rPr>
                <w:noProof/>
                <w:sz w:val="18"/>
                <w:szCs w:val="18"/>
              </w:rPr>
              <w:t>(2d)</w:t>
            </w:r>
          </w:p>
        </w:tc>
        <w:tc>
          <w:tcPr>
            <w:tcW w:w="267" w:type="pct"/>
            <w:tcBorders>
              <w:top w:val="nil"/>
              <w:left w:val="nil"/>
              <w:bottom w:val="single" w:sz="8" w:space="0" w:color="auto"/>
              <w:right w:val="single" w:sz="8" w:space="0" w:color="auto"/>
            </w:tcBorders>
          </w:tcPr>
          <w:p w14:paraId="419359DA" w14:textId="77777777" w:rsidR="0026692E" w:rsidRPr="00486288" w:rsidRDefault="005A4830" w:rsidP="0026692E">
            <w:pPr>
              <w:spacing w:before="0" w:after="0"/>
              <w:jc w:val="right"/>
              <w:rPr>
                <w:noProof/>
                <w:sz w:val="18"/>
                <w:szCs w:val="18"/>
              </w:rPr>
            </w:pPr>
            <w:r w:rsidRPr="0008633F">
              <w:rPr>
                <w:noProof/>
                <w:sz w:val="18"/>
                <w:szCs w:val="18"/>
              </w:rPr>
              <w:t>4,028</w:t>
            </w:r>
          </w:p>
        </w:tc>
        <w:tc>
          <w:tcPr>
            <w:tcW w:w="267" w:type="pct"/>
            <w:tcBorders>
              <w:top w:val="nil"/>
              <w:left w:val="nil"/>
              <w:bottom w:val="single" w:sz="8" w:space="0" w:color="auto"/>
              <w:right w:val="single" w:sz="8" w:space="0" w:color="auto"/>
            </w:tcBorders>
          </w:tcPr>
          <w:p w14:paraId="4CEADE14" w14:textId="77777777" w:rsidR="0026692E" w:rsidRPr="00486288" w:rsidRDefault="005A4830" w:rsidP="0026692E">
            <w:pPr>
              <w:spacing w:before="0" w:after="0"/>
              <w:jc w:val="right"/>
              <w:rPr>
                <w:noProof/>
                <w:sz w:val="18"/>
                <w:szCs w:val="18"/>
              </w:rPr>
            </w:pPr>
            <w:r w:rsidRPr="0008633F">
              <w:rPr>
                <w:noProof/>
                <w:sz w:val="18"/>
                <w:szCs w:val="18"/>
              </w:rPr>
              <w:t>4,028</w:t>
            </w:r>
          </w:p>
        </w:tc>
        <w:tc>
          <w:tcPr>
            <w:tcW w:w="267" w:type="pct"/>
            <w:tcBorders>
              <w:top w:val="nil"/>
              <w:left w:val="nil"/>
              <w:bottom w:val="single" w:sz="8" w:space="0" w:color="auto"/>
              <w:right w:val="single" w:sz="8" w:space="0" w:color="auto"/>
            </w:tcBorders>
          </w:tcPr>
          <w:p w14:paraId="695695F5" w14:textId="77777777" w:rsidR="0026692E" w:rsidRPr="00486288" w:rsidRDefault="005A4830" w:rsidP="0026692E">
            <w:pPr>
              <w:spacing w:before="0" w:after="0"/>
              <w:jc w:val="right"/>
              <w:rPr>
                <w:noProof/>
                <w:sz w:val="18"/>
                <w:szCs w:val="18"/>
              </w:rPr>
            </w:pPr>
            <w:r w:rsidRPr="0008633F">
              <w:rPr>
                <w:noProof/>
                <w:sz w:val="18"/>
                <w:szCs w:val="18"/>
              </w:rPr>
              <w:t>4,028</w:t>
            </w:r>
          </w:p>
        </w:tc>
        <w:tc>
          <w:tcPr>
            <w:tcW w:w="267" w:type="pct"/>
            <w:tcBorders>
              <w:top w:val="nil"/>
              <w:left w:val="nil"/>
              <w:bottom w:val="single" w:sz="8" w:space="0" w:color="auto"/>
              <w:right w:val="single" w:sz="8" w:space="0" w:color="auto"/>
            </w:tcBorders>
          </w:tcPr>
          <w:p w14:paraId="39C3B909" w14:textId="77777777" w:rsidR="0026692E" w:rsidRPr="00486288" w:rsidRDefault="005A4830" w:rsidP="0026692E">
            <w:pPr>
              <w:spacing w:before="0" w:after="0"/>
              <w:jc w:val="right"/>
              <w:rPr>
                <w:noProof/>
                <w:sz w:val="18"/>
                <w:szCs w:val="18"/>
              </w:rPr>
            </w:pPr>
            <w:r w:rsidRPr="0008633F">
              <w:rPr>
                <w:noProof/>
                <w:sz w:val="18"/>
                <w:szCs w:val="18"/>
              </w:rPr>
              <w:t>3,698</w:t>
            </w:r>
          </w:p>
        </w:tc>
        <w:tc>
          <w:tcPr>
            <w:tcW w:w="267" w:type="pct"/>
            <w:tcBorders>
              <w:top w:val="nil"/>
              <w:left w:val="nil"/>
              <w:bottom w:val="single" w:sz="8" w:space="0" w:color="auto"/>
              <w:right w:val="single" w:sz="8" w:space="0" w:color="auto"/>
            </w:tcBorders>
          </w:tcPr>
          <w:p w14:paraId="249E70BA" w14:textId="77777777" w:rsidR="0026692E" w:rsidRPr="00486288" w:rsidRDefault="005A4830" w:rsidP="0026692E">
            <w:pPr>
              <w:spacing w:before="0" w:after="0"/>
              <w:jc w:val="right"/>
              <w:rPr>
                <w:noProof/>
                <w:sz w:val="18"/>
                <w:szCs w:val="18"/>
              </w:rPr>
            </w:pPr>
            <w:r w:rsidRPr="0008633F">
              <w:rPr>
                <w:noProof/>
                <w:sz w:val="18"/>
                <w:szCs w:val="18"/>
              </w:rPr>
              <w:t>3,698</w:t>
            </w:r>
          </w:p>
        </w:tc>
        <w:tc>
          <w:tcPr>
            <w:tcW w:w="267" w:type="pct"/>
            <w:tcBorders>
              <w:top w:val="nil"/>
              <w:left w:val="nil"/>
              <w:bottom w:val="single" w:sz="8" w:space="0" w:color="auto"/>
              <w:right w:val="single" w:sz="8" w:space="0" w:color="auto"/>
            </w:tcBorders>
          </w:tcPr>
          <w:p w14:paraId="6D575CF8" w14:textId="77777777" w:rsidR="0026692E" w:rsidRPr="00486288" w:rsidRDefault="005A4830" w:rsidP="0026692E">
            <w:pPr>
              <w:spacing w:before="0" w:after="0"/>
              <w:jc w:val="right"/>
              <w:rPr>
                <w:noProof/>
                <w:sz w:val="18"/>
                <w:szCs w:val="18"/>
              </w:rPr>
            </w:pPr>
            <w:r w:rsidRPr="0008633F">
              <w:rPr>
                <w:noProof/>
                <w:sz w:val="18"/>
                <w:szCs w:val="18"/>
              </w:rPr>
              <w:t>3,698</w:t>
            </w:r>
          </w:p>
        </w:tc>
        <w:tc>
          <w:tcPr>
            <w:tcW w:w="267" w:type="pct"/>
            <w:tcBorders>
              <w:top w:val="nil"/>
              <w:left w:val="nil"/>
              <w:bottom w:val="single" w:sz="8" w:space="0" w:color="auto"/>
              <w:right w:val="single" w:sz="8" w:space="0" w:color="auto"/>
            </w:tcBorders>
          </w:tcPr>
          <w:p w14:paraId="4B968849" w14:textId="77777777" w:rsidR="0026692E" w:rsidRPr="00486288" w:rsidRDefault="005A4830" w:rsidP="0026692E">
            <w:pPr>
              <w:spacing w:before="0" w:after="0"/>
              <w:jc w:val="right"/>
              <w:rPr>
                <w:noProof/>
                <w:sz w:val="18"/>
                <w:szCs w:val="18"/>
              </w:rPr>
            </w:pPr>
            <w:r w:rsidRPr="0008633F">
              <w:rPr>
                <w:noProof/>
                <w:sz w:val="18"/>
                <w:szCs w:val="18"/>
              </w:rPr>
              <w:t>3,698</w:t>
            </w:r>
          </w:p>
        </w:tc>
        <w:tc>
          <w:tcPr>
            <w:tcW w:w="392" w:type="pct"/>
            <w:tcBorders>
              <w:top w:val="nil"/>
              <w:left w:val="nil"/>
              <w:bottom w:val="single" w:sz="8" w:space="0" w:color="auto"/>
              <w:right w:val="single" w:sz="8" w:space="0" w:color="auto"/>
            </w:tcBorders>
            <w:shd w:val="clear" w:color="000000" w:fill="D9D9D9"/>
          </w:tcPr>
          <w:p w14:paraId="68F72B77" w14:textId="77777777" w:rsidR="0026692E" w:rsidRPr="00486288" w:rsidRDefault="005A4830" w:rsidP="0026692E">
            <w:pPr>
              <w:spacing w:before="0" w:after="0"/>
              <w:jc w:val="right"/>
              <w:rPr>
                <w:b/>
                <w:bCs/>
                <w:noProof/>
                <w:sz w:val="18"/>
                <w:szCs w:val="18"/>
              </w:rPr>
            </w:pPr>
            <w:r w:rsidRPr="0008633F">
              <w:rPr>
                <w:noProof/>
                <w:sz w:val="18"/>
                <w:szCs w:val="18"/>
              </w:rPr>
              <w:t>26,877</w:t>
            </w:r>
          </w:p>
        </w:tc>
      </w:tr>
      <w:tr w:rsidR="00EB015C" w:rsidRPr="00486288" w14:paraId="50816C11" w14:textId="77777777" w:rsidTr="005A4830">
        <w:trPr>
          <w:trHeight w:val="530"/>
        </w:trPr>
        <w:tc>
          <w:tcPr>
            <w:tcW w:w="1857" w:type="pct"/>
            <w:tcBorders>
              <w:top w:val="nil"/>
              <w:left w:val="single" w:sz="8" w:space="0" w:color="auto"/>
              <w:bottom w:val="single" w:sz="8" w:space="0" w:color="auto"/>
              <w:right w:val="single" w:sz="8" w:space="0" w:color="auto"/>
            </w:tcBorders>
          </w:tcPr>
          <w:p w14:paraId="7D6EF52A" w14:textId="77777777" w:rsidR="00486288" w:rsidRPr="00486288" w:rsidRDefault="00486288" w:rsidP="00486288">
            <w:pPr>
              <w:spacing w:before="0" w:after="0"/>
              <w:rPr>
                <w:rFonts w:eastAsia="Times New Roman"/>
                <w:noProof/>
                <w:color w:val="000000"/>
                <w:sz w:val="18"/>
                <w:szCs w:val="18"/>
                <w:lang w:val="en-IE" w:eastAsia="en-IE"/>
              </w:rPr>
            </w:pPr>
            <w:r w:rsidRPr="00486288">
              <w:rPr>
                <w:noProof/>
                <w:sz w:val="18"/>
                <w:szCs w:val="18"/>
              </w:rPr>
              <w:t>Budget line - IF - support + subsidy EA</w:t>
            </w:r>
          </w:p>
        </w:tc>
        <w:tc>
          <w:tcPr>
            <w:tcW w:w="648" w:type="pct"/>
            <w:tcBorders>
              <w:top w:val="nil"/>
              <w:left w:val="nil"/>
              <w:bottom w:val="single" w:sz="8" w:space="0" w:color="auto"/>
              <w:right w:val="single" w:sz="8" w:space="0" w:color="auto"/>
            </w:tcBorders>
            <w:vAlign w:val="center"/>
          </w:tcPr>
          <w:p w14:paraId="24C044D2" w14:textId="77777777" w:rsidR="00486288" w:rsidRPr="00486288" w:rsidRDefault="00486288" w:rsidP="00486288">
            <w:pPr>
              <w:spacing w:before="0" w:after="0"/>
              <w:jc w:val="right"/>
              <w:rPr>
                <w:rFonts w:eastAsia="Times New Roman"/>
                <w:noProof/>
                <w:color w:val="000000"/>
                <w:sz w:val="18"/>
                <w:szCs w:val="18"/>
                <w:lang w:val="en-IE" w:eastAsia="en-IE"/>
              </w:rPr>
            </w:pPr>
          </w:p>
        </w:tc>
        <w:tc>
          <w:tcPr>
            <w:tcW w:w="234" w:type="pct"/>
            <w:tcBorders>
              <w:top w:val="nil"/>
              <w:left w:val="nil"/>
              <w:bottom w:val="single" w:sz="8" w:space="0" w:color="auto"/>
              <w:right w:val="single" w:sz="8" w:space="0" w:color="auto"/>
            </w:tcBorders>
          </w:tcPr>
          <w:p w14:paraId="7F1CE9CD" w14:textId="77777777" w:rsidR="00486288" w:rsidRPr="00486288" w:rsidRDefault="00486288" w:rsidP="00486288">
            <w:pPr>
              <w:spacing w:before="0" w:after="0"/>
              <w:jc w:val="center"/>
              <w:rPr>
                <w:rFonts w:eastAsia="Times New Roman"/>
                <w:noProof/>
                <w:color w:val="000000"/>
                <w:sz w:val="18"/>
                <w:szCs w:val="18"/>
                <w:lang w:val="en-IE" w:eastAsia="en-IE"/>
              </w:rPr>
            </w:pPr>
            <w:r w:rsidRPr="00486288">
              <w:rPr>
                <w:noProof/>
                <w:sz w:val="18"/>
                <w:szCs w:val="18"/>
              </w:rPr>
              <w:t>(3)</w:t>
            </w:r>
          </w:p>
        </w:tc>
        <w:tc>
          <w:tcPr>
            <w:tcW w:w="267" w:type="pct"/>
            <w:tcBorders>
              <w:top w:val="nil"/>
              <w:left w:val="nil"/>
              <w:bottom w:val="single" w:sz="8" w:space="0" w:color="auto"/>
              <w:right w:val="single" w:sz="8" w:space="0" w:color="auto"/>
            </w:tcBorders>
          </w:tcPr>
          <w:p w14:paraId="1342628C"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74CB5F1C"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390CB59A"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379F954F"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002FD2AB"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45B18ADD"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47292896"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392" w:type="pct"/>
            <w:tcBorders>
              <w:top w:val="nil"/>
              <w:left w:val="nil"/>
              <w:bottom w:val="single" w:sz="8" w:space="0" w:color="auto"/>
              <w:right w:val="single" w:sz="8" w:space="0" w:color="auto"/>
            </w:tcBorders>
            <w:shd w:val="clear" w:color="000000" w:fill="D9D9D9"/>
          </w:tcPr>
          <w:p w14:paraId="1106E4BA"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r w:rsidR="00EB015C" w:rsidRPr="00486288" w14:paraId="7409F485" w14:textId="77777777" w:rsidTr="005A4830">
        <w:trPr>
          <w:trHeight w:val="530"/>
        </w:trPr>
        <w:tc>
          <w:tcPr>
            <w:tcW w:w="1857" w:type="pct"/>
            <w:tcBorders>
              <w:top w:val="nil"/>
              <w:left w:val="single" w:sz="8" w:space="0" w:color="auto"/>
              <w:bottom w:val="single" w:sz="8" w:space="0" w:color="auto"/>
              <w:right w:val="single" w:sz="8" w:space="0" w:color="auto"/>
            </w:tcBorders>
          </w:tcPr>
          <w:p w14:paraId="101BA05F" w14:textId="77777777" w:rsidR="00486288" w:rsidRPr="00486288" w:rsidRDefault="00486288" w:rsidP="00486288">
            <w:pPr>
              <w:spacing w:before="0" w:after="0"/>
              <w:rPr>
                <w:rFonts w:eastAsia="Times New Roman"/>
                <w:noProof/>
                <w:color w:val="000000"/>
                <w:sz w:val="18"/>
                <w:szCs w:val="18"/>
                <w:lang w:val="en-IE" w:eastAsia="en-IE"/>
              </w:rPr>
            </w:pPr>
            <w:r w:rsidRPr="00486288">
              <w:rPr>
                <w:noProof/>
                <w:sz w:val="18"/>
                <w:szCs w:val="18"/>
              </w:rPr>
              <w:t>Budget line -IBD - support + subsidy EA</w:t>
            </w:r>
          </w:p>
        </w:tc>
        <w:tc>
          <w:tcPr>
            <w:tcW w:w="648" w:type="pct"/>
            <w:tcBorders>
              <w:top w:val="nil"/>
              <w:left w:val="nil"/>
              <w:bottom w:val="single" w:sz="8" w:space="0" w:color="auto"/>
              <w:right w:val="single" w:sz="8" w:space="0" w:color="auto"/>
            </w:tcBorders>
            <w:vAlign w:val="center"/>
          </w:tcPr>
          <w:p w14:paraId="0EE407F9" w14:textId="77777777" w:rsidR="00486288" w:rsidRPr="00486288" w:rsidRDefault="00486288" w:rsidP="00486288">
            <w:pPr>
              <w:spacing w:before="0" w:after="0"/>
              <w:jc w:val="right"/>
              <w:rPr>
                <w:rFonts w:eastAsia="Times New Roman"/>
                <w:noProof/>
                <w:color w:val="000000"/>
                <w:sz w:val="18"/>
                <w:szCs w:val="18"/>
                <w:lang w:val="en-IE" w:eastAsia="en-IE"/>
              </w:rPr>
            </w:pPr>
          </w:p>
        </w:tc>
        <w:tc>
          <w:tcPr>
            <w:tcW w:w="234" w:type="pct"/>
            <w:tcBorders>
              <w:top w:val="nil"/>
              <w:left w:val="nil"/>
              <w:bottom w:val="single" w:sz="8" w:space="0" w:color="auto"/>
              <w:right w:val="single" w:sz="8" w:space="0" w:color="auto"/>
            </w:tcBorders>
          </w:tcPr>
          <w:p w14:paraId="5D129C6B" w14:textId="77777777" w:rsidR="00486288" w:rsidRPr="00486288" w:rsidRDefault="00486288" w:rsidP="00486288">
            <w:pPr>
              <w:spacing w:before="0" w:after="0"/>
              <w:jc w:val="center"/>
              <w:rPr>
                <w:rFonts w:eastAsia="Times New Roman"/>
                <w:noProof/>
                <w:color w:val="000000"/>
                <w:sz w:val="18"/>
                <w:szCs w:val="18"/>
                <w:lang w:val="en-IE" w:eastAsia="en-IE"/>
              </w:rPr>
            </w:pPr>
            <w:r w:rsidRPr="00486288">
              <w:rPr>
                <w:noProof/>
                <w:sz w:val="18"/>
                <w:szCs w:val="18"/>
              </w:rPr>
              <w:t>(3)</w:t>
            </w:r>
          </w:p>
        </w:tc>
        <w:tc>
          <w:tcPr>
            <w:tcW w:w="267" w:type="pct"/>
            <w:tcBorders>
              <w:top w:val="nil"/>
              <w:left w:val="nil"/>
              <w:bottom w:val="single" w:sz="8" w:space="0" w:color="auto"/>
              <w:right w:val="single" w:sz="8" w:space="0" w:color="auto"/>
            </w:tcBorders>
          </w:tcPr>
          <w:p w14:paraId="2E07A138"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75C0ADD8"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7BDA22C3"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7A74973C"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65DAD780"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178A2956"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2A6087EF"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392" w:type="pct"/>
            <w:tcBorders>
              <w:top w:val="nil"/>
              <w:left w:val="nil"/>
              <w:bottom w:val="single" w:sz="8" w:space="0" w:color="auto"/>
              <w:right w:val="single" w:sz="8" w:space="0" w:color="auto"/>
            </w:tcBorders>
            <w:shd w:val="clear" w:color="000000" w:fill="D9D9D9"/>
          </w:tcPr>
          <w:p w14:paraId="544B9E6F"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r w:rsidR="00EB015C" w:rsidRPr="00486288" w14:paraId="2D786019" w14:textId="77777777" w:rsidTr="005A4830">
        <w:trPr>
          <w:trHeight w:val="530"/>
        </w:trPr>
        <w:tc>
          <w:tcPr>
            <w:tcW w:w="1857" w:type="pct"/>
            <w:tcBorders>
              <w:top w:val="nil"/>
              <w:left w:val="single" w:sz="8" w:space="0" w:color="auto"/>
              <w:bottom w:val="single" w:sz="8" w:space="0" w:color="auto"/>
              <w:right w:val="single" w:sz="8" w:space="0" w:color="auto"/>
            </w:tcBorders>
          </w:tcPr>
          <w:p w14:paraId="3CF6773F" w14:textId="77777777" w:rsidR="00486288" w:rsidRPr="00486288" w:rsidRDefault="00486288" w:rsidP="00486288">
            <w:pPr>
              <w:spacing w:before="0" w:after="0"/>
              <w:rPr>
                <w:rFonts w:eastAsia="Times New Roman"/>
                <w:noProof/>
                <w:color w:val="000000"/>
                <w:sz w:val="18"/>
                <w:szCs w:val="18"/>
                <w:lang w:val="en-IE" w:eastAsia="en-IE"/>
              </w:rPr>
            </w:pPr>
            <w:r w:rsidRPr="00486288">
              <w:rPr>
                <w:noProof/>
                <w:sz w:val="18"/>
                <w:szCs w:val="18"/>
              </w:rPr>
              <w:t>Budget line -carbon removal - support + subsidy EA</w:t>
            </w:r>
          </w:p>
        </w:tc>
        <w:tc>
          <w:tcPr>
            <w:tcW w:w="648" w:type="pct"/>
            <w:tcBorders>
              <w:top w:val="nil"/>
              <w:left w:val="nil"/>
              <w:bottom w:val="single" w:sz="8" w:space="0" w:color="auto"/>
              <w:right w:val="single" w:sz="8" w:space="0" w:color="auto"/>
            </w:tcBorders>
            <w:vAlign w:val="center"/>
          </w:tcPr>
          <w:p w14:paraId="56497923" w14:textId="77777777" w:rsidR="00486288" w:rsidRPr="00486288" w:rsidRDefault="00486288" w:rsidP="00486288">
            <w:pPr>
              <w:spacing w:before="0" w:after="0"/>
              <w:jc w:val="right"/>
              <w:rPr>
                <w:rFonts w:eastAsia="Times New Roman"/>
                <w:noProof/>
                <w:color w:val="000000"/>
                <w:sz w:val="18"/>
                <w:szCs w:val="18"/>
                <w:lang w:val="en-IE" w:eastAsia="en-IE"/>
              </w:rPr>
            </w:pPr>
          </w:p>
        </w:tc>
        <w:tc>
          <w:tcPr>
            <w:tcW w:w="234" w:type="pct"/>
            <w:tcBorders>
              <w:top w:val="nil"/>
              <w:left w:val="nil"/>
              <w:bottom w:val="single" w:sz="8" w:space="0" w:color="auto"/>
              <w:right w:val="single" w:sz="8" w:space="0" w:color="auto"/>
            </w:tcBorders>
          </w:tcPr>
          <w:p w14:paraId="5BB917F8" w14:textId="77777777" w:rsidR="00486288" w:rsidRPr="00486288" w:rsidRDefault="00486288" w:rsidP="00486288">
            <w:pPr>
              <w:spacing w:before="0" w:after="0"/>
              <w:jc w:val="center"/>
              <w:rPr>
                <w:rFonts w:eastAsia="Times New Roman"/>
                <w:noProof/>
                <w:color w:val="000000"/>
                <w:sz w:val="18"/>
                <w:szCs w:val="18"/>
                <w:lang w:val="en-IE" w:eastAsia="en-IE"/>
              </w:rPr>
            </w:pPr>
            <w:r w:rsidRPr="00486288">
              <w:rPr>
                <w:noProof/>
                <w:sz w:val="18"/>
                <w:szCs w:val="18"/>
              </w:rPr>
              <w:t>(3)</w:t>
            </w:r>
          </w:p>
        </w:tc>
        <w:tc>
          <w:tcPr>
            <w:tcW w:w="267" w:type="pct"/>
            <w:tcBorders>
              <w:top w:val="nil"/>
              <w:left w:val="nil"/>
              <w:bottom w:val="single" w:sz="8" w:space="0" w:color="auto"/>
              <w:right w:val="single" w:sz="8" w:space="0" w:color="auto"/>
            </w:tcBorders>
          </w:tcPr>
          <w:p w14:paraId="66D96048"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3C4F862B"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51DAFB8F"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58F171EB"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41AC1D76"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02F31096"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267" w:type="pct"/>
            <w:tcBorders>
              <w:top w:val="nil"/>
              <w:left w:val="nil"/>
              <w:bottom w:val="single" w:sz="8" w:space="0" w:color="auto"/>
              <w:right w:val="single" w:sz="8" w:space="0" w:color="auto"/>
            </w:tcBorders>
          </w:tcPr>
          <w:p w14:paraId="41D0005E"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noProof/>
                <w:sz w:val="18"/>
                <w:szCs w:val="18"/>
              </w:rPr>
              <w:t>p.m.</w:t>
            </w:r>
          </w:p>
        </w:tc>
        <w:tc>
          <w:tcPr>
            <w:tcW w:w="392" w:type="pct"/>
            <w:tcBorders>
              <w:top w:val="nil"/>
              <w:left w:val="nil"/>
              <w:bottom w:val="single" w:sz="8" w:space="0" w:color="auto"/>
              <w:right w:val="single" w:sz="8" w:space="0" w:color="auto"/>
            </w:tcBorders>
            <w:shd w:val="clear" w:color="000000" w:fill="D9D9D9"/>
          </w:tcPr>
          <w:p w14:paraId="63AAE0A1"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r w:rsidR="00EB015C" w:rsidRPr="00486288" w14:paraId="15A22BBB" w14:textId="77777777" w:rsidTr="005A4830">
        <w:trPr>
          <w:trHeight w:val="850"/>
        </w:trPr>
        <w:tc>
          <w:tcPr>
            <w:tcW w:w="1857" w:type="pct"/>
            <w:tcBorders>
              <w:top w:val="nil"/>
              <w:left w:val="single" w:sz="8" w:space="0" w:color="auto"/>
              <w:bottom w:val="nil"/>
              <w:right w:val="single" w:sz="8" w:space="0" w:color="auto"/>
            </w:tcBorders>
            <w:vAlign w:val="center"/>
            <w:hideMark/>
          </w:tcPr>
          <w:p w14:paraId="7E0B703A" w14:textId="77777777" w:rsidR="00486288" w:rsidRPr="00486288" w:rsidRDefault="00486288" w:rsidP="00486288">
            <w:pPr>
              <w:spacing w:before="0" w:after="0"/>
              <w:jc w:val="center"/>
              <w:rPr>
                <w:rFonts w:eastAsia="Times New Roman"/>
                <w:b/>
                <w:bCs/>
                <w:noProof/>
                <w:color w:val="000000"/>
                <w:sz w:val="22"/>
                <w:lang w:val="en-IE" w:eastAsia="en-IE"/>
              </w:rPr>
            </w:pPr>
            <w:r w:rsidRPr="00486288">
              <w:rPr>
                <w:rFonts w:eastAsia="Times New Roman"/>
                <w:b/>
                <w:bCs/>
                <w:noProof/>
                <w:color w:val="000000"/>
                <w:sz w:val="22"/>
                <w:lang w:val="en-IE" w:eastAsia="en-IE"/>
              </w:rPr>
              <w:t>TOTAL appropriations</w:t>
            </w:r>
          </w:p>
        </w:tc>
        <w:tc>
          <w:tcPr>
            <w:tcW w:w="648" w:type="pct"/>
            <w:tcBorders>
              <w:top w:val="nil"/>
              <w:left w:val="nil"/>
              <w:bottom w:val="single" w:sz="8" w:space="0" w:color="auto"/>
              <w:right w:val="single" w:sz="8" w:space="0" w:color="auto"/>
            </w:tcBorders>
            <w:vAlign w:val="center"/>
            <w:hideMark/>
          </w:tcPr>
          <w:p w14:paraId="17DD5669"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Commitments</w:t>
            </w:r>
          </w:p>
        </w:tc>
        <w:tc>
          <w:tcPr>
            <w:tcW w:w="234" w:type="pct"/>
            <w:tcBorders>
              <w:top w:val="nil"/>
              <w:left w:val="nil"/>
              <w:bottom w:val="single" w:sz="8" w:space="0" w:color="auto"/>
              <w:right w:val="single" w:sz="8" w:space="0" w:color="auto"/>
            </w:tcBorders>
            <w:vAlign w:val="center"/>
            <w:hideMark/>
          </w:tcPr>
          <w:p w14:paraId="2148BF01"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=1+3</w:t>
            </w:r>
          </w:p>
        </w:tc>
        <w:tc>
          <w:tcPr>
            <w:tcW w:w="267" w:type="pct"/>
            <w:tcBorders>
              <w:top w:val="nil"/>
              <w:left w:val="nil"/>
              <w:bottom w:val="single" w:sz="8" w:space="0" w:color="auto"/>
              <w:right w:val="single" w:sz="8" w:space="0" w:color="auto"/>
            </w:tcBorders>
            <w:shd w:val="clear" w:color="000000" w:fill="D9D9D9"/>
            <w:hideMark/>
          </w:tcPr>
          <w:p w14:paraId="7ED4606D"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34843859"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4F7286D2"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77AB13FB"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792A8163"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6EB2A0E2"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55D2E9EC"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392" w:type="pct"/>
            <w:tcBorders>
              <w:top w:val="nil"/>
              <w:left w:val="nil"/>
              <w:bottom w:val="single" w:sz="8" w:space="0" w:color="auto"/>
              <w:right w:val="single" w:sz="8" w:space="0" w:color="auto"/>
            </w:tcBorders>
            <w:shd w:val="clear" w:color="000000" w:fill="D9D9D9"/>
            <w:hideMark/>
          </w:tcPr>
          <w:p w14:paraId="1764EB43"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r w:rsidR="00EB015C" w:rsidRPr="00486288" w14:paraId="33E988BE" w14:textId="77777777" w:rsidTr="005A4830">
        <w:trPr>
          <w:trHeight w:val="570"/>
        </w:trPr>
        <w:tc>
          <w:tcPr>
            <w:tcW w:w="1857" w:type="pct"/>
            <w:tcBorders>
              <w:top w:val="nil"/>
              <w:left w:val="single" w:sz="8" w:space="0" w:color="auto"/>
              <w:bottom w:val="single" w:sz="8" w:space="0" w:color="auto"/>
              <w:right w:val="single" w:sz="8" w:space="0" w:color="auto"/>
            </w:tcBorders>
            <w:vAlign w:val="center"/>
            <w:hideMark/>
          </w:tcPr>
          <w:p w14:paraId="097455DE" w14:textId="77777777" w:rsidR="00486288" w:rsidRPr="00486288" w:rsidRDefault="00486288" w:rsidP="00486288">
            <w:pPr>
              <w:spacing w:before="0" w:after="0"/>
              <w:jc w:val="center"/>
              <w:rPr>
                <w:rFonts w:eastAsia="Times New Roman"/>
                <w:b/>
                <w:bCs/>
                <w:noProof/>
                <w:color w:val="000000"/>
                <w:sz w:val="22"/>
                <w:lang w:val="en-IE" w:eastAsia="en-IE"/>
              </w:rPr>
            </w:pPr>
            <w:r w:rsidRPr="00486288">
              <w:rPr>
                <w:rFonts w:eastAsia="Times New Roman"/>
                <w:b/>
                <w:bCs/>
                <w:noProof/>
                <w:color w:val="000000"/>
                <w:sz w:val="22"/>
                <w:lang w:val="en-IE" w:eastAsia="en-IE"/>
              </w:rPr>
              <w:t xml:space="preserve">for DG </w:t>
            </w:r>
            <w:r w:rsidRPr="00486288">
              <w:rPr>
                <w:rFonts w:eastAsia="Times New Roman"/>
                <w:noProof/>
                <w:color w:val="000000"/>
                <w:sz w:val="22"/>
                <w:lang w:val="en-IE" w:eastAsia="en-IE"/>
              </w:rPr>
              <w:t>&lt;CLIMA&gt;</w:t>
            </w:r>
          </w:p>
        </w:tc>
        <w:tc>
          <w:tcPr>
            <w:tcW w:w="648" w:type="pct"/>
            <w:tcBorders>
              <w:top w:val="nil"/>
              <w:left w:val="nil"/>
              <w:bottom w:val="single" w:sz="8" w:space="0" w:color="auto"/>
              <w:right w:val="single" w:sz="8" w:space="0" w:color="auto"/>
            </w:tcBorders>
            <w:vAlign w:val="center"/>
            <w:hideMark/>
          </w:tcPr>
          <w:p w14:paraId="4F0ECA36"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Payments</w:t>
            </w:r>
          </w:p>
        </w:tc>
        <w:tc>
          <w:tcPr>
            <w:tcW w:w="234" w:type="pct"/>
            <w:tcBorders>
              <w:top w:val="nil"/>
              <w:left w:val="nil"/>
              <w:bottom w:val="single" w:sz="8" w:space="0" w:color="auto"/>
              <w:right w:val="single" w:sz="8" w:space="0" w:color="auto"/>
            </w:tcBorders>
            <w:vAlign w:val="center"/>
            <w:hideMark/>
          </w:tcPr>
          <w:p w14:paraId="05706C09"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=2+3</w:t>
            </w:r>
          </w:p>
        </w:tc>
        <w:tc>
          <w:tcPr>
            <w:tcW w:w="267" w:type="pct"/>
            <w:tcBorders>
              <w:top w:val="nil"/>
              <w:left w:val="nil"/>
              <w:bottom w:val="single" w:sz="8" w:space="0" w:color="auto"/>
              <w:right w:val="single" w:sz="8" w:space="0" w:color="auto"/>
            </w:tcBorders>
            <w:shd w:val="clear" w:color="000000" w:fill="D9D9D9"/>
            <w:hideMark/>
          </w:tcPr>
          <w:p w14:paraId="44ED56C2"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602620DF"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31C80765"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61D0753F"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152EDDA3"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41F97155"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267" w:type="pct"/>
            <w:tcBorders>
              <w:top w:val="nil"/>
              <w:left w:val="nil"/>
              <w:bottom w:val="single" w:sz="8" w:space="0" w:color="auto"/>
              <w:right w:val="single" w:sz="8" w:space="0" w:color="auto"/>
            </w:tcBorders>
            <w:shd w:val="clear" w:color="000000" w:fill="D9D9D9"/>
            <w:hideMark/>
          </w:tcPr>
          <w:p w14:paraId="197DAFC9"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c>
          <w:tcPr>
            <w:tcW w:w="392" w:type="pct"/>
            <w:tcBorders>
              <w:top w:val="nil"/>
              <w:left w:val="nil"/>
              <w:bottom w:val="single" w:sz="8" w:space="0" w:color="auto"/>
              <w:right w:val="single" w:sz="8" w:space="0" w:color="auto"/>
            </w:tcBorders>
            <w:shd w:val="clear" w:color="000000" w:fill="D9D9D9"/>
            <w:hideMark/>
          </w:tcPr>
          <w:p w14:paraId="05CD66B3" w14:textId="77777777" w:rsidR="00486288" w:rsidRPr="00486288" w:rsidRDefault="00486288" w:rsidP="00486288">
            <w:pPr>
              <w:spacing w:before="0" w:after="0"/>
              <w:jc w:val="right"/>
              <w:rPr>
                <w:rFonts w:eastAsia="Times New Roman"/>
                <w:b/>
                <w:noProof/>
                <w:color w:val="000000"/>
                <w:sz w:val="18"/>
                <w:szCs w:val="18"/>
                <w:lang w:val="en-IE" w:eastAsia="en-IE"/>
              </w:rPr>
            </w:pPr>
            <w:r w:rsidRPr="00486288">
              <w:rPr>
                <w:b/>
                <w:bCs/>
                <w:noProof/>
                <w:sz w:val="18"/>
                <w:szCs w:val="18"/>
              </w:rPr>
              <w:t>p.m.</w:t>
            </w:r>
          </w:p>
        </w:tc>
      </w:tr>
    </w:tbl>
    <w:p w14:paraId="212F9ED7" w14:textId="77777777" w:rsidR="00486288" w:rsidRDefault="00486288" w:rsidP="00445C9D">
      <w:pPr>
        <w:rPr>
          <w:noProof/>
          <w:sz w:val="16"/>
        </w:rPr>
      </w:pPr>
    </w:p>
    <w:tbl>
      <w:tblPr>
        <w:tblW w:w="5000" w:type="pct"/>
        <w:tblLook w:val="04A0" w:firstRow="1" w:lastRow="0" w:firstColumn="1" w:lastColumn="0" w:noHBand="0" w:noVBand="1"/>
      </w:tblPr>
      <w:tblGrid>
        <w:gridCol w:w="2185"/>
        <w:gridCol w:w="1669"/>
        <w:gridCol w:w="1069"/>
        <w:gridCol w:w="1149"/>
        <w:gridCol w:w="1149"/>
        <w:gridCol w:w="1149"/>
        <w:gridCol w:w="1149"/>
        <w:gridCol w:w="1149"/>
        <w:gridCol w:w="1149"/>
        <w:gridCol w:w="1149"/>
        <w:gridCol w:w="1254"/>
      </w:tblGrid>
      <w:tr w:rsidR="00486288" w:rsidRPr="0039195B" w14:paraId="741CBE20" w14:textId="77777777" w:rsidTr="00445C9D">
        <w:trPr>
          <w:trHeight w:val="410"/>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3AED7253" w14:textId="77777777" w:rsidR="00486288" w:rsidRPr="0039195B" w:rsidRDefault="00486288" w:rsidP="00445C9D">
            <w:pPr>
              <w:spacing w:before="0" w:after="0"/>
              <w:jc w:val="center"/>
              <w:rPr>
                <w:rFonts w:eastAsia="Times New Roman"/>
                <w:b/>
                <w:bCs/>
                <w:noProof/>
                <w:color w:val="000000"/>
                <w:sz w:val="22"/>
                <w:lang w:val="en-IE" w:eastAsia="en-IE"/>
              </w:rPr>
            </w:pPr>
          </w:p>
        </w:tc>
        <w:tc>
          <w:tcPr>
            <w:tcW w:w="404" w:type="pct"/>
            <w:tcBorders>
              <w:top w:val="single" w:sz="8" w:space="0" w:color="auto"/>
              <w:left w:val="nil"/>
              <w:bottom w:val="single" w:sz="8" w:space="0" w:color="auto"/>
              <w:right w:val="single" w:sz="8" w:space="0" w:color="auto"/>
            </w:tcBorders>
            <w:vAlign w:val="center"/>
            <w:hideMark/>
          </w:tcPr>
          <w:p w14:paraId="4247BA49"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54C25E15"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3FA0241F"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7D968097"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11D01E10"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781E135E"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34D9E8E5" w14:textId="77777777" w:rsidR="00486288" w:rsidRPr="0039195B" w:rsidRDefault="00486288" w:rsidP="00445C9D">
            <w:pPr>
              <w:spacing w:before="0" w:after="0"/>
              <w:jc w:val="center"/>
              <w:rPr>
                <w:rFonts w:eastAsia="Times New Roman"/>
                <w:noProof/>
                <w:color w:val="000000"/>
                <w:sz w:val="20"/>
                <w:szCs w:val="20"/>
                <w:lang w:val="en-IE" w:eastAsia="en-IE"/>
              </w:rPr>
            </w:pPr>
            <w:r w:rsidRPr="0039195B">
              <w:rPr>
                <w:rFonts w:eastAsia="Times New Roman"/>
                <w:noProof/>
                <w:color w:val="000000"/>
                <w:sz w:val="20"/>
                <w:szCs w:val="20"/>
                <w:lang w:val="en-IE" w:eastAsia="en-IE"/>
              </w:rPr>
              <w:t>Year</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26C87AD3"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TOTAL MFF 2028-2034</w:t>
            </w:r>
          </w:p>
        </w:tc>
      </w:tr>
      <w:tr w:rsidR="00486288" w:rsidRPr="0039195B" w14:paraId="7508CA80" w14:textId="77777777" w:rsidTr="00445C9D">
        <w:trPr>
          <w:trHeight w:val="300"/>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14:paraId="0DB6CACA" w14:textId="77777777" w:rsidR="00486288" w:rsidRPr="0039195B" w:rsidRDefault="00486288" w:rsidP="00445C9D">
            <w:pPr>
              <w:spacing w:before="0" w:after="0"/>
              <w:jc w:val="left"/>
              <w:rPr>
                <w:rFonts w:eastAsia="Times New Roman"/>
                <w:b/>
                <w:bCs/>
                <w:noProof/>
                <w:color w:val="000000"/>
                <w:sz w:val="22"/>
                <w:lang w:val="en-IE" w:eastAsia="en-IE"/>
              </w:rPr>
            </w:pPr>
          </w:p>
        </w:tc>
        <w:tc>
          <w:tcPr>
            <w:tcW w:w="404" w:type="pct"/>
            <w:tcBorders>
              <w:top w:val="nil"/>
              <w:left w:val="nil"/>
              <w:bottom w:val="single" w:sz="8" w:space="0" w:color="auto"/>
              <w:right w:val="single" w:sz="8" w:space="0" w:color="auto"/>
            </w:tcBorders>
            <w:vAlign w:val="center"/>
            <w:hideMark/>
          </w:tcPr>
          <w:p w14:paraId="388E4FEB"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2028</w:t>
            </w:r>
          </w:p>
        </w:tc>
        <w:tc>
          <w:tcPr>
            <w:tcW w:w="404" w:type="pct"/>
            <w:tcBorders>
              <w:top w:val="nil"/>
              <w:left w:val="nil"/>
              <w:bottom w:val="single" w:sz="8" w:space="0" w:color="auto"/>
              <w:right w:val="single" w:sz="8" w:space="0" w:color="auto"/>
            </w:tcBorders>
            <w:vAlign w:val="center"/>
            <w:hideMark/>
          </w:tcPr>
          <w:p w14:paraId="469CCE7A"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2029</w:t>
            </w:r>
          </w:p>
        </w:tc>
        <w:tc>
          <w:tcPr>
            <w:tcW w:w="404" w:type="pct"/>
            <w:tcBorders>
              <w:top w:val="nil"/>
              <w:left w:val="nil"/>
              <w:bottom w:val="single" w:sz="8" w:space="0" w:color="auto"/>
              <w:right w:val="single" w:sz="8" w:space="0" w:color="auto"/>
            </w:tcBorders>
            <w:vAlign w:val="center"/>
            <w:hideMark/>
          </w:tcPr>
          <w:p w14:paraId="08A9EB93"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2030</w:t>
            </w:r>
          </w:p>
        </w:tc>
        <w:tc>
          <w:tcPr>
            <w:tcW w:w="404" w:type="pct"/>
            <w:tcBorders>
              <w:top w:val="nil"/>
              <w:left w:val="nil"/>
              <w:bottom w:val="single" w:sz="8" w:space="0" w:color="auto"/>
              <w:right w:val="single" w:sz="8" w:space="0" w:color="auto"/>
            </w:tcBorders>
            <w:vAlign w:val="center"/>
            <w:hideMark/>
          </w:tcPr>
          <w:p w14:paraId="79BF244A"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2031</w:t>
            </w:r>
          </w:p>
        </w:tc>
        <w:tc>
          <w:tcPr>
            <w:tcW w:w="404" w:type="pct"/>
            <w:tcBorders>
              <w:top w:val="nil"/>
              <w:left w:val="nil"/>
              <w:bottom w:val="single" w:sz="8" w:space="0" w:color="auto"/>
              <w:right w:val="single" w:sz="8" w:space="0" w:color="auto"/>
            </w:tcBorders>
            <w:vAlign w:val="center"/>
            <w:hideMark/>
          </w:tcPr>
          <w:p w14:paraId="34E02C6F"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2032</w:t>
            </w:r>
          </w:p>
        </w:tc>
        <w:tc>
          <w:tcPr>
            <w:tcW w:w="404" w:type="pct"/>
            <w:tcBorders>
              <w:top w:val="nil"/>
              <w:left w:val="nil"/>
              <w:bottom w:val="single" w:sz="8" w:space="0" w:color="auto"/>
              <w:right w:val="single" w:sz="8" w:space="0" w:color="auto"/>
            </w:tcBorders>
            <w:vAlign w:val="center"/>
            <w:hideMark/>
          </w:tcPr>
          <w:p w14:paraId="17157A6A"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2033</w:t>
            </w:r>
          </w:p>
        </w:tc>
        <w:tc>
          <w:tcPr>
            <w:tcW w:w="404" w:type="pct"/>
            <w:tcBorders>
              <w:top w:val="nil"/>
              <w:left w:val="nil"/>
              <w:bottom w:val="single" w:sz="8" w:space="0" w:color="auto"/>
              <w:right w:val="single" w:sz="8" w:space="0" w:color="auto"/>
            </w:tcBorders>
            <w:vAlign w:val="center"/>
            <w:hideMark/>
          </w:tcPr>
          <w:p w14:paraId="2E05F10D" w14:textId="77777777" w:rsidR="00486288" w:rsidRPr="0039195B" w:rsidRDefault="00486288" w:rsidP="00445C9D">
            <w:pPr>
              <w:spacing w:before="0" w:after="0"/>
              <w:jc w:val="center"/>
              <w:rPr>
                <w:rFonts w:eastAsia="Times New Roman"/>
                <w:b/>
                <w:bCs/>
                <w:noProof/>
                <w:color w:val="000000"/>
                <w:sz w:val="20"/>
                <w:szCs w:val="20"/>
                <w:lang w:val="en-IE" w:eastAsia="en-IE"/>
              </w:rPr>
            </w:pPr>
            <w:r w:rsidRPr="0039195B">
              <w:rPr>
                <w:rFonts w:eastAsia="Times New Roman"/>
                <w:b/>
                <w:bCs/>
                <w:noProof/>
                <w:color w:val="000000"/>
                <w:sz w:val="20"/>
                <w:szCs w:val="20"/>
                <w:lang w:val="en-IE" w:eastAsia="en-IE"/>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34FD5092" w14:textId="77777777" w:rsidR="00486288" w:rsidRPr="0039195B" w:rsidRDefault="00486288" w:rsidP="00445C9D">
            <w:pPr>
              <w:spacing w:before="0" w:after="0"/>
              <w:jc w:val="left"/>
              <w:rPr>
                <w:rFonts w:eastAsia="Times New Roman"/>
                <w:b/>
                <w:bCs/>
                <w:noProof/>
                <w:color w:val="000000"/>
                <w:sz w:val="20"/>
                <w:szCs w:val="20"/>
                <w:lang w:val="en-IE" w:eastAsia="en-IE"/>
              </w:rPr>
            </w:pPr>
          </w:p>
        </w:tc>
      </w:tr>
      <w:tr w:rsidR="00486288" w:rsidRPr="0039195B" w14:paraId="56F0CD2D" w14:textId="77777777" w:rsidTr="00445C9D">
        <w:trPr>
          <w:trHeight w:val="161"/>
        </w:trPr>
        <w:tc>
          <w:tcPr>
            <w:tcW w:w="768" w:type="pct"/>
            <w:vMerge w:val="restart"/>
            <w:tcBorders>
              <w:top w:val="nil"/>
              <w:left w:val="single" w:sz="8" w:space="0" w:color="auto"/>
              <w:bottom w:val="single" w:sz="8" w:space="0" w:color="000000"/>
              <w:right w:val="single" w:sz="8" w:space="0" w:color="auto"/>
            </w:tcBorders>
            <w:vAlign w:val="center"/>
            <w:hideMark/>
          </w:tcPr>
          <w:p w14:paraId="6D4D8C0E" w14:textId="77777777" w:rsidR="00486288" w:rsidRPr="0039195B" w:rsidRDefault="00486288" w:rsidP="00445C9D">
            <w:pPr>
              <w:spacing w:before="0" w:after="0"/>
              <w:rPr>
                <w:rFonts w:eastAsia="Times New Roman"/>
                <w:noProof/>
                <w:color w:val="000000"/>
                <w:sz w:val="21"/>
                <w:szCs w:val="21"/>
                <w:lang w:val="en-IE" w:eastAsia="en-IE"/>
              </w:rPr>
            </w:pPr>
            <w:r w:rsidRPr="0039195B">
              <w:rPr>
                <w:rFonts w:eastAsia="Times New Roman"/>
                <w:noProof/>
                <w:color w:val="000000"/>
                <w:sz w:val="21"/>
                <w:szCs w:val="21"/>
                <w:lang w:val="en-IE" w:eastAsia="en-IE"/>
              </w:rPr>
              <w:t>TOTAL operational appropriations</w:t>
            </w:r>
          </w:p>
        </w:tc>
        <w:tc>
          <w:tcPr>
            <w:tcW w:w="587" w:type="pct"/>
            <w:tcBorders>
              <w:top w:val="nil"/>
              <w:left w:val="nil"/>
              <w:bottom w:val="single" w:sz="8" w:space="0" w:color="auto"/>
              <w:right w:val="single" w:sz="8" w:space="0" w:color="auto"/>
            </w:tcBorders>
            <w:vAlign w:val="center"/>
            <w:hideMark/>
          </w:tcPr>
          <w:p w14:paraId="5302E328" w14:textId="77777777" w:rsidR="00486288" w:rsidRPr="0039195B" w:rsidRDefault="00486288" w:rsidP="00445C9D">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Commitments</w:t>
            </w:r>
          </w:p>
        </w:tc>
        <w:tc>
          <w:tcPr>
            <w:tcW w:w="376" w:type="pct"/>
            <w:tcBorders>
              <w:top w:val="nil"/>
              <w:left w:val="nil"/>
              <w:bottom w:val="single" w:sz="8" w:space="0" w:color="auto"/>
              <w:right w:val="single" w:sz="8" w:space="0" w:color="auto"/>
            </w:tcBorders>
            <w:vAlign w:val="center"/>
            <w:hideMark/>
          </w:tcPr>
          <w:p w14:paraId="30D148ED" w14:textId="77777777" w:rsidR="00486288" w:rsidRPr="0039195B"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39195B">
              <w:rPr>
                <w:rFonts w:eastAsia="Times New Roman"/>
                <w:noProof/>
                <w:color w:val="000000"/>
                <w:sz w:val="14"/>
                <w:szCs w:val="14"/>
                <w:lang w:val="en-IE" w:eastAsia="en-IE"/>
              </w:rPr>
              <w:t>4</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hideMark/>
          </w:tcPr>
          <w:p w14:paraId="67E78C4E"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38FE6EDE"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13F00F05"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7B7CFA85"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04A3BA01"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18236B3E"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21D5E9D0"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41" w:type="pct"/>
            <w:tcBorders>
              <w:top w:val="nil"/>
              <w:left w:val="nil"/>
              <w:bottom w:val="single" w:sz="8" w:space="0" w:color="auto"/>
              <w:right w:val="single" w:sz="8" w:space="0" w:color="auto"/>
            </w:tcBorders>
            <w:shd w:val="clear" w:color="000000" w:fill="D9D9D9"/>
            <w:hideMark/>
          </w:tcPr>
          <w:p w14:paraId="2677A48F"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noProof/>
                <w:sz w:val="18"/>
                <w:szCs w:val="18"/>
              </w:rPr>
              <w:t>p.m.</w:t>
            </w:r>
          </w:p>
        </w:tc>
      </w:tr>
      <w:tr w:rsidR="00486288" w:rsidRPr="0039195B" w14:paraId="1283D04B" w14:textId="77777777" w:rsidTr="00445C9D">
        <w:trPr>
          <w:trHeight w:val="54"/>
        </w:trPr>
        <w:tc>
          <w:tcPr>
            <w:tcW w:w="768" w:type="pct"/>
            <w:vMerge/>
            <w:tcBorders>
              <w:top w:val="nil"/>
              <w:left w:val="single" w:sz="8" w:space="0" w:color="auto"/>
              <w:bottom w:val="single" w:sz="8" w:space="0" w:color="000000"/>
              <w:right w:val="single" w:sz="8" w:space="0" w:color="auto"/>
            </w:tcBorders>
            <w:vAlign w:val="center"/>
            <w:hideMark/>
          </w:tcPr>
          <w:p w14:paraId="6EFC1F45" w14:textId="77777777" w:rsidR="00486288" w:rsidRPr="0039195B" w:rsidRDefault="00486288" w:rsidP="00445C9D">
            <w:pPr>
              <w:spacing w:before="0" w:after="0"/>
              <w:jc w:val="left"/>
              <w:rPr>
                <w:rFonts w:eastAsia="Times New Roman"/>
                <w:noProof/>
                <w:color w:val="000000"/>
                <w:sz w:val="21"/>
                <w:szCs w:val="21"/>
                <w:lang w:val="en-IE" w:eastAsia="en-IE"/>
              </w:rPr>
            </w:pPr>
          </w:p>
        </w:tc>
        <w:tc>
          <w:tcPr>
            <w:tcW w:w="587" w:type="pct"/>
            <w:tcBorders>
              <w:top w:val="nil"/>
              <w:left w:val="nil"/>
              <w:bottom w:val="single" w:sz="8" w:space="0" w:color="auto"/>
              <w:right w:val="single" w:sz="8" w:space="0" w:color="auto"/>
            </w:tcBorders>
            <w:vAlign w:val="center"/>
            <w:hideMark/>
          </w:tcPr>
          <w:p w14:paraId="594897CB" w14:textId="77777777" w:rsidR="00486288" w:rsidRPr="0039195B" w:rsidRDefault="00486288" w:rsidP="00445C9D">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Payments</w:t>
            </w:r>
          </w:p>
        </w:tc>
        <w:tc>
          <w:tcPr>
            <w:tcW w:w="376" w:type="pct"/>
            <w:tcBorders>
              <w:top w:val="nil"/>
              <w:left w:val="nil"/>
              <w:bottom w:val="single" w:sz="8" w:space="0" w:color="auto"/>
              <w:right w:val="single" w:sz="8" w:space="0" w:color="auto"/>
            </w:tcBorders>
            <w:vAlign w:val="center"/>
            <w:hideMark/>
          </w:tcPr>
          <w:p w14:paraId="50F43F28" w14:textId="77777777" w:rsidR="00486288" w:rsidRPr="0039195B"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39195B">
              <w:rPr>
                <w:rFonts w:eastAsia="Times New Roman"/>
                <w:noProof/>
                <w:color w:val="000000"/>
                <w:sz w:val="14"/>
                <w:szCs w:val="14"/>
                <w:lang w:val="en-IE" w:eastAsia="en-IE"/>
              </w:rPr>
              <w:t>5</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hideMark/>
          </w:tcPr>
          <w:p w14:paraId="4527B766"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1FB3A40A"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49A8E142"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6ED681B5"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363AE9B3"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0D245611"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46067C14"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41" w:type="pct"/>
            <w:tcBorders>
              <w:top w:val="nil"/>
              <w:left w:val="nil"/>
              <w:bottom w:val="single" w:sz="8" w:space="0" w:color="auto"/>
              <w:right w:val="single" w:sz="8" w:space="0" w:color="auto"/>
            </w:tcBorders>
            <w:shd w:val="clear" w:color="000000" w:fill="D9D9D9"/>
            <w:hideMark/>
          </w:tcPr>
          <w:p w14:paraId="01D2E40F"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noProof/>
                <w:sz w:val="18"/>
                <w:szCs w:val="18"/>
              </w:rPr>
              <w:t>p.m.</w:t>
            </w:r>
          </w:p>
        </w:tc>
      </w:tr>
      <w:tr w:rsidR="00486288" w:rsidRPr="0039195B" w14:paraId="560C5CBB" w14:textId="77777777" w:rsidTr="00445C9D">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65DA939B" w14:textId="77777777" w:rsidR="00486288" w:rsidRPr="0039195B" w:rsidRDefault="00486288" w:rsidP="00445C9D">
            <w:pPr>
              <w:spacing w:before="0" w:after="0"/>
              <w:rPr>
                <w:rFonts w:eastAsia="Times New Roman"/>
                <w:noProof/>
                <w:color w:val="000000"/>
                <w:sz w:val="21"/>
                <w:szCs w:val="21"/>
                <w:lang w:val="en-IE" w:eastAsia="en-IE"/>
              </w:rPr>
            </w:pPr>
            <w:r w:rsidRPr="0039195B">
              <w:rPr>
                <w:rFonts w:eastAsia="Times New Roman"/>
                <w:noProof/>
                <w:color w:val="000000"/>
                <w:sz w:val="21"/>
                <w:szCs w:val="21"/>
                <w:lang w:val="en-IE" w:eastAsia="en-IE"/>
              </w:rPr>
              <w:t xml:space="preserve">TOTAL appropriations of an administrative nature financed from the envelope for specific programmes </w:t>
            </w:r>
          </w:p>
        </w:tc>
        <w:tc>
          <w:tcPr>
            <w:tcW w:w="376" w:type="pct"/>
            <w:tcBorders>
              <w:top w:val="nil"/>
              <w:left w:val="nil"/>
              <w:bottom w:val="single" w:sz="8" w:space="0" w:color="auto"/>
              <w:right w:val="single" w:sz="8" w:space="0" w:color="auto"/>
            </w:tcBorders>
            <w:vAlign w:val="center"/>
            <w:hideMark/>
          </w:tcPr>
          <w:p w14:paraId="0D5D814C" w14:textId="77777777" w:rsidR="00486288" w:rsidRPr="0039195B"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39195B">
              <w:rPr>
                <w:rFonts w:eastAsia="Times New Roman"/>
                <w:noProof/>
                <w:color w:val="000000"/>
                <w:sz w:val="14"/>
                <w:szCs w:val="14"/>
                <w:lang w:val="en-IE" w:eastAsia="en-IE"/>
              </w:rPr>
              <w:t>6</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hideMark/>
          </w:tcPr>
          <w:p w14:paraId="5735E7DF"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4A0D36BE"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77FA03F7"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4D771EFA"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6DEC4D96"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1D695B7F"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6DE7CF1B" w14:textId="77777777" w:rsidR="00486288" w:rsidRPr="00264A7C" w:rsidRDefault="00486288" w:rsidP="00445C9D">
            <w:pPr>
              <w:spacing w:before="0" w:after="0"/>
              <w:jc w:val="right"/>
              <w:rPr>
                <w:rFonts w:eastAsia="Times New Roman"/>
                <w:noProof/>
                <w:color w:val="000000"/>
                <w:sz w:val="18"/>
                <w:szCs w:val="18"/>
                <w:lang w:val="en-IE" w:eastAsia="en-IE"/>
              </w:rPr>
            </w:pPr>
            <w:r w:rsidRPr="00264A7C">
              <w:rPr>
                <w:noProof/>
                <w:sz w:val="18"/>
                <w:szCs w:val="18"/>
              </w:rPr>
              <w:t>p.m.</w:t>
            </w:r>
          </w:p>
        </w:tc>
        <w:tc>
          <w:tcPr>
            <w:tcW w:w="441" w:type="pct"/>
            <w:tcBorders>
              <w:top w:val="nil"/>
              <w:left w:val="nil"/>
              <w:bottom w:val="single" w:sz="8" w:space="0" w:color="auto"/>
              <w:right w:val="single" w:sz="8" w:space="0" w:color="auto"/>
            </w:tcBorders>
            <w:shd w:val="clear" w:color="000000" w:fill="D9D9D9"/>
            <w:hideMark/>
          </w:tcPr>
          <w:p w14:paraId="710132F2"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noProof/>
                <w:sz w:val="18"/>
                <w:szCs w:val="18"/>
              </w:rPr>
              <w:t>p.m.</w:t>
            </w:r>
          </w:p>
        </w:tc>
      </w:tr>
      <w:tr w:rsidR="00486288" w:rsidRPr="0039195B" w14:paraId="57B38E4D" w14:textId="77777777" w:rsidTr="00445C9D">
        <w:trPr>
          <w:trHeight w:val="710"/>
        </w:trPr>
        <w:tc>
          <w:tcPr>
            <w:tcW w:w="768" w:type="pct"/>
            <w:tcBorders>
              <w:top w:val="nil"/>
              <w:left w:val="single" w:sz="8" w:space="0" w:color="auto"/>
              <w:bottom w:val="nil"/>
              <w:right w:val="single" w:sz="8" w:space="0" w:color="auto"/>
            </w:tcBorders>
            <w:shd w:val="thinDiagStripe" w:color="C0C0C0" w:fill="E6E6E6"/>
            <w:vAlign w:val="center"/>
            <w:hideMark/>
          </w:tcPr>
          <w:p w14:paraId="334E64A6" w14:textId="77777777" w:rsidR="00486288" w:rsidRPr="0039195B" w:rsidRDefault="00486288" w:rsidP="00445C9D">
            <w:pPr>
              <w:spacing w:before="0" w:after="0"/>
              <w:jc w:val="center"/>
              <w:rPr>
                <w:rFonts w:eastAsia="Times New Roman"/>
                <w:b/>
                <w:bCs/>
                <w:noProof/>
                <w:color w:val="000000"/>
                <w:sz w:val="22"/>
                <w:lang w:val="en-IE" w:eastAsia="en-IE"/>
              </w:rPr>
            </w:pPr>
            <w:r w:rsidRPr="0039195B">
              <w:rPr>
                <w:rFonts w:eastAsia="Times New Roman"/>
                <w:b/>
                <w:bCs/>
                <w:noProof/>
                <w:color w:val="000000"/>
                <w:sz w:val="22"/>
                <w:lang w:val="en-IE" w:eastAsia="en-IE"/>
              </w:rPr>
              <w:t xml:space="preserve">TOTAL appropriations under HEADING </w:t>
            </w:r>
            <w:r>
              <w:rPr>
                <w:rFonts w:eastAsia="Times New Roman"/>
                <w:b/>
                <w:bCs/>
                <w:noProof/>
                <w:color w:val="000000"/>
                <w:sz w:val="22"/>
                <w:lang w:val="en-IE" w:eastAsia="en-IE"/>
              </w:rPr>
              <w:t>2</w:t>
            </w:r>
          </w:p>
        </w:tc>
        <w:tc>
          <w:tcPr>
            <w:tcW w:w="587" w:type="pct"/>
            <w:tcBorders>
              <w:top w:val="nil"/>
              <w:left w:val="nil"/>
              <w:bottom w:val="single" w:sz="8" w:space="0" w:color="auto"/>
              <w:right w:val="single" w:sz="8" w:space="0" w:color="auto"/>
            </w:tcBorders>
            <w:vAlign w:val="center"/>
            <w:hideMark/>
          </w:tcPr>
          <w:p w14:paraId="617811AA" w14:textId="77777777" w:rsidR="00486288" w:rsidRPr="0039195B" w:rsidRDefault="00486288" w:rsidP="00445C9D">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Commitments</w:t>
            </w:r>
          </w:p>
        </w:tc>
        <w:tc>
          <w:tcPr>
            <w:tcW w:w="376" w:type="pct"/>
            <w:tcBorders>
              <w:top w:val="nil"/>
              <w:left w:val="nil"/>
              <w:bottom w:val="single" w:sz="8" w:space="0" w:color="auto"/>
              <w:right w:val="single" w:sz="8" w:space="0" w:color="auto"/>
            </w:tcBorders>
            <w:vAlign w:val="center"/>
            <w:hideMark/>
          </w:tcPr>
          <w:p w14:paraId="564A8D09" w14:textId="77777777" w:rsidR="00486288" w:rsidRPr="0039195B"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404" w:type="pct"/>
            <w:tcBorders>
              <w:top w:val="nil"/>
              <w:left w:val="nil"/>
              <w:bottom w:val="single" w:sz="8" w:space="0" w:color="auto"/>
              <w:right w:val="single" w:sz="8" w:space="0" w:color="auto"/>
            </w:tcBorders>
            <w:shd w:val="clear" w:color="000000" w:fill="D9D9D9"/>
            <w:hideMark/>
          </w:tcPr>
          <w:p w14:paraId="051169CA"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081423DB"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07B04840"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10D081DD"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2A12C11F"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2C8780D4"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65661231"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41" w:type="pct"/>
            <w:tcBorders>
              <w:top w:val="nil"/>
              <w:left w:val="nil"/>
              <w:bottom w:val="single" w:sz="8" w:space="0" w:color="auto"/>
              <w:right w:val="single" w:sz="8" w:space="0" w:color="auto"/>
            </w:tcBorders>
            <w:shd w:val="clear" w:color="000000" w:fill="D9D9D9"/>
            <w:hideMark/>
          </w:tcPr>
          <w:p w14:paraId="17D4BF17"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r>
      <w:tr w:rsidR="00486288" w:rsidRPr="0039195B" w14:paraId="064E9291" w14:textId="77777777" w:rsidTr="00445C9D">
        <w:trPr>
          <w:trHeight w:val="54"/>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1E66FB9D" w14:textId="77777777" w:rsidR="00486288" w:rsidRPr="0039195B" w:rsidRDefault="00486288" w:rsidP="00445C9D">
            <w:pPr>
              <w:spacing w:before="0" w:after="0"/>
              <w:jc w:val="center"/>
              <w:rPr>
                <w:rFonts w:eastAsia="Times New Roman"/>
                <w:noProof/>
                <w:color w:val="000000"/>
                <w:sz w:val="22"/>
                <w:lang w:val="en-IE" w:eastAsia="en-IE"/>
              </w:rPr>
            </w:pPr>
            <w:r w:rsidRPr="0039195B">
              <w:rPr>
                <w:rFonts w:eastAsia="Times New Roman"/>
                <w:noProof/>
                <w:color w:val="000000"/>
                <w:sz w:val="22"/>
                <w:lang w:val="en-IE" w:eastAsia="en-IE"/>
              </w:rPr>
              <w:t>of the multiannual financial framework</w:t>
            </w:r>
          </w:p>
        </w:tc>
        <w:tc>
          <w:tcPr>
            <w:tcW w:w="587" w:type="pct"/>
            <w:tcBorders>
              <w:top w:val="nil"/>
              <w:left w:val="nil"/>
              <w:bottom w:val="single" w:sz="8" w:space="0" w:color="auto"/>
              <w:right w:val="single" w:sz="8" w:space="0" w:color="auto"/>
            </w:tcBorders>
            <w:vAlign w:val="center"/>
            <w:hideMark/>
          </w:tcPr>
          <w:p w14:paraId="6FCF6F21" w14:textId="77777777" w:rsidR="00486288" w:rsidRPr="0039195B" w:rsidRDefault="00486288" w:rsidP="00445C9D">
            <w:pPr>
              <w:spacing w:before="0" w:after="0"/>
              <w:rPr>
                <w:rFonts w:eastAsia="Times New Roman"/>
                <w:noProof/>
                <w:color w:val="000000"/>
                <w:sz w:val="18"/>
                <w:szCs w:val="18"/>
                <w:lang w:val="en-IE" w:eastAsia="en-IE"/>
              </w:rPr>
            </w:pPr>
            <w:r w:rsidRPr="0039195B">
              <w:rPr>
                <w:rFonts w:eastAsia="Times New Roman"/>
                <w:noProof/>
                <w:color w:val="000000"/>
                <w:sz w:val="18"/>
                <w:szCs w:val="18"/>
                <w:lang w:val="en-IE" w:eastAsia="en-IE"/>
              </w:rPr>
              <w:t>Payments</w:t>
            </w:r>
          </w:p>
        </w:tc>
        <w:tc>
          <w:tcPr>
            <w:tcW w:w="376" w:type="pct"/>
            <w:tcBorders>
              <w:top w:val="nil"/>
              <w:left w:val="nil"/>
              <w:bottom w:val="single" w:sz="8" w:space="0" w:color="auto"/>
              <w:right w:val="single" w:sz="8" w:space="0" w:color="auto"/>
            </w:tcBorders>
            <w:vAlign w:val="center"/>
            <w:hideMark/>
          </w:tcPr>
          <w:p w14:paraId="03E72E91" w14:textId="77777777" w:rsidR="00486288" w:rsidRPr="0039195B"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404" w:type="pct"/>
            <w:tcBorders>
              <w:top w:val="nil"/>
              <w:left w:val="nil"/>
              <w:bottom w:val="single" w:sz="8" w:space="0" w:color="auto"/>
              <w:right w:val="single" w:sz="8" w:space="0" w:color="auto"/>
            </w:tcBorders>
            <w:shd w:val="clear" w:color="000000" w:fill="D9D9D9"/>
            <w:hideMark/>
          </w:tcPr>
          <w:p w14:paraId="56F2219A"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2200023D"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7562AA36"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6528C177"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6792E924"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0A06EE09"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04" w:type="pct"/>
            <w:tcBorders>
              <w:top w:val="nil"/>
              <w:left w:val="nil"/>
              <w:bottom w:val="single" w:sz="8" w:space="0" w:color="auto"/>
              <w:right w:val="single" w:sz="8" w:space="0" w:color="auto"/>
            </w:tcBorders>
            <w:shd w:val="clear" w:color="000000" w:fill="D9D9D9"/>
            <w:hideMark/>
          </w:tcPr>
          <w:p w14:paraId="46E68E95"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c>
          <w:tcPr>
            <w:tcW w:w="441" w:type="pct"/>
            <w:tcBorders>
              <w:top w:val="nil"/>
              <w:left w:val="nil"/>
              <w:bottom w:val="single" w:sz="8" w:space="0" w:color="auto"/>
              <w:right w:val="single" w:sz="8" w:space="0" w:color="auto"/>
            </w:tcBorders>
            <w:shd w:val="clear" w:color="000000" w:fill="D9D9D9"/>
            <w:hideMark/>
          </w:tcPr>
          <w:p w14:paraId="15F8D6A1" w14:textId="77777777" w:rsidR="00486288" w:rsidRPr="00264A7C" w:rsidRDefault="00486288" w:rsidP="00445C9D">
            <w:pPr>
              <w:spacing w:before="0" w:after="0"/>
              <w:jc w:val="right"/>
              <w:rPr>
                <w:rFonts w:eastAsia="Times New Roman"/>
                <w:b/>
                <w:noProof/>
                <w:color w:val="000000"/>
                <w:sz w:val="18"/>
                <w:szCs w:val="18"/>
                <w:lang w:val="en-IE" w:eastAsia="en-IE"/>
              </w:rPr>
            </w:pPr>
            <w:r w:rsidRPr="00264A7C">
              <w:rPr>
                <w:b/>
                <w:bCs/>
                <w:noProof/>
                <w:sz w:val="18"/>
                <w:szCs w:val="18"/>
              </w:rPr>
              <w:t>p.m.</w:t>
            </w:r>
          </w:p>
        </w:tc>
      </w:tr>
    </w:tbl>
    <w:p w14:paraId="0F59815F" w14:textId="77777777" w:rsidR="00486288" w:rsidRDefault="00486288" w:rsidP="00445C9D">
      <w:pPr>
        <w:rPr>
          <w:noProof/>
          <w:sz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486288" w14:paraId="175E91ED" w14:textId="77777777" w:rsidTr="00445C9D">
        <w:trPr>
          <w:jc w:val="center"/>
        </w:trPr>
        <w:tc>
          <w:tcPr>
            <w:tcW w:w="1739" w:type="pct"/>
            <w:shd w:val="thinDiagStripe" w:color="C0C0C0" w:fill="auto"/>
            <w:vAlign w:val="center"/>
          </w:tcPr>
          <w:p w14:paraId="77C4D1EE" w14:textId="77777777" w:rsidR="00486288" w:rsidRPr="003A769F" w:rsidRDefault="00486288" w:rsidP="00445C9D">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54B68F0C" w14:textId="77777777" w:rsidR="00486288" w:rsidRDefault="00486288" w:rsidP="00445C9D">
            <w:pPr>
              <w:spacing w:before="60" w:after="60"/>
              <w:jc w:val="center"/>
              <w:rPr>
                <w:noProof/>
              </w:rPr>
            </w:pPr>
            <w:r>
              <w:rPr>
                <w:noProof/>
                <w:sz w:val="22"/>
              </w:rPr>
              <w:t>2</w:t>
            </w:r>
          </w:p>
        </w:tc>
        <w:tc>
          <w:tcPr>
            <w:tcW w:w="2865" w:type="pct"/>
            <w:vAlign w:val="center"/>
          </w:tcPr>
          <w:p w14:paraId="7A9A954D" w14:textId="77777777" w:rsidR="00486288" w:rsidRDefault="00486288" w:rsidP="00445C9D">
            <w:pPr>
              <w:spacing w:before="60" w:after="60"/>
              <w:rPr>
                <w:noProof/>
              </w:rPr>
            </w:pPr>
            <w:r>
              <w:rPr>
                <w:noProof/>
              </w:rPr>
              <w:t>Registry financing</w:t>
            </w:r>
          </w:p>
        </w:tc>
      </w:tr>
    </w:tbl>
    <w:p w14:paraId="2210FAC1" w14:textId="77777777" w:rsidR="00486288" w:rsidRDefault="00486288" w:rsidP="00445C9D">
      <w:pPr>
        <w:rPr>
          <w:noProof/>
          <w:sz w:val="16"/>
        </w:rPr>
      </w:pPr>
    </w:p>
    <w:tbl>
      <w:tblPr>
        <w:tblW w:w="5000" w:type="pct"/>
        <w:tblLook w:val="04A0" w:firstRow="1" w:lastRow="0" w:firstColumn="1" w:lastColumn="0" w:noHBand="0" w:noVBand="1"/>
      </w:tblPr>
      <w:tblGrid>
        <w:gridCol w:w="5045"/>
        <w:gridCol w:w="1379"/>
        <w:gridCol w:w="987"/>
        <w:gridCol w:w="907"/>
        <w:gridCol w:w="876"/>
        <w:gridCol w:w="850"/>
        <w:gridCol w:w="825"/>
        <w:gridCol w:w="805"/>
        <w:gridCol w:w="788"/>
        <w:gridCol w:w="771"/>
        <w:gridCol w:w="987"/>
      </w:tblGrid>
      <w:tr w:rsidR="00486288" w:rsidRPr="00486288" w14:paraId="08ADF59C" w14:textId="77777777" w:rsidTr="00A94494">
        <w:trPr>
          <w:trHeight w:val="410"/>
        </w:trPr>
        <w:tc>
          <w:tcPr>
            <w:tcW w:w="2606"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07086CC" w14:textId="77777777" w:rsidR="00486288" w:rsidRPr="00486288" w:rsidRDefault="00486288" w:rsidP="00486288">
            <w:pPr>
              <w:spacing w:before="0" w:after="0"/>
              <w:jc w:val="center"/>
              <w:rPr>
                <w:rFonts w:eastAsia="Times New Roman"/>
                <w:noProof/>
                <w:color w:val="000000"/>
                <w:sz w:val="22"/>
                <w:lang w:val="en-IE" w:eastAsia="en-IE"/>
              </w:rPr>
            </w:pPr>
            <w:r w:rsidRPr="00486288">
              <w:rPr>
                <w:rFonts w:eastAsia="Times New Roman"/>
                <w:noProof/>
                <w:color w:val="000000"/>
                <w:sz w:val="22"/>
                <w:lang w:val="en-IE" w:eastAsia="en-IE"/>
              </w:rPr>
              <w:t>DG: &lt;CLIMA - registry&gt;</w:t>
            </w:r>
          </w:p>
        </w:tc>
        <w:tc>
          <w:tcPr>
            <w:tcW w:w="319" w:type="pct"/>
            <w:tcBorders>
              <w:top w:val="single" w:sz="8" w:space="0" w:color="auto"/>
              <w:left w:val="nil"/>
              <w:bottom w:val="single" w:sz="8" w:space="0" w:color="auto"/>
              <w:right w:val="single" w:sz="8" w:space="0" w:color="auto"/>
            </w:tcBorders>
            <w:vAlign w:val="center"/>
            <w:hideMark/>
          </w:tcPr>
          <w:p w14:paraId="77EFFAED"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308" w:type="pct"/>
            <w:tcBorders>
              <w:top w:val="single" w:sz="8" w:space="0" w:color="auto"/>
              <w:left w:val="nil"/>
              <w:bottom w:val="single" w:sz="8" w:space="0" w:color="auto"/>
              <w:right w:val="single" w:sz="8" w:space="0" w:color="auto"/>
            </w:tcBorders>
            <w:vAlign w:val="center"/>
            <w:hideMark/>
          </w:tcPr>
          <w:p w14:paraId="4C7A467E"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99" w:type="pct"/>
            <w:tcBorders>
              <w:top w:val="single" w:sz="8" w:space="0" w:color="auto"/>
              <w:left w:val="nil"/>
              <w:bottom w:val="single" w:sz="8" w:space="0" w:color="auto"/>
              <w:right w:val="single" w:sz="8" w:space="0" w:color="auto"/>
            </w:tcBorders>
            <w:vAlign w:val="center"/>
            <w:hideMark/>
          </w:tcPr>
          <w:p w14:paraId="09EF207A"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90" w:type="pct"/>
            <w:tcBorders>
              <w:top w:val="single" w:sz="8" w:space="0" w:color="auto"/>
              <w:left w:val="nil"/>
              <w:bottom w:val="single" w:sz="8" w:space="0" w:color="auto"/>
              <w:right w:val="single" w:sz="8" w:space="0" w:color="auto"/>
            </w:tcBorders>
            <w:vAlign w:val="center"/>
            <w:hideMark/>
          </w:tcPr>
          <w:p w14:paraId="35BD8D7C"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83" w:type="pct"/>
            <w:tcBorders>
              <w:top w:val="single" w:sz="8" w:space="0" w:color="auto"/>
              <w:left w:val="nil"/>
              <w:bottom w:val="single" w:sz="8" w:space="0" w:color="auto"/>
              <w:right w:val="single" w:sz="8" w:space="0" w:color="auto"/>
            </w:tcBorders>
            <w:vAlign w:val="center"/>
            <w:hideMark/>
          </w:tcPr>
          <w:p w14:paraId="43E9AB7C"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77" w:type="pct"/>
            <w:tcBorders>
              <w:top w:val="single" w:sz="8" w:space="0" w:color="auto"/>
              <w:left w:val="nil"/>
              <w:bottom w:val="single" w:sz="8" w:space="0" w:color="auto"/>
              <w:right w:val="single" w:sz="8" w:space="0" w:color="auto"/>
            </w:tcBorders>
            <w:vAlign w:val="center"/>
            <w:hideMark/>
          </w:tcPr>
          <w:p w14:paraId="76647AED"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271" w:type="pct"/>
            <w:tcBorders>
              <w:top w:val="single" w:sz="8" w:space="0" w:color="auto"/>
              <w:left w:val="nil"/>
              <w:bottom w:val="single" w:sz="8" w:space="0" w:color="auto"/>
              <w:right w:val="single" w:sz="8" w:space="0" w:color="auto"/>
            </w:tcBorders>
            <w:vAlign w:val="center"/>
            <w:hideMark/>
          </w:tcPr>
          <w:p w14:paraId="07CCCFDC" w14:textId="77777777" w:rsidR="00486288" w:rsidRPr="00486288" w:rsidRDefault="00486288" w:rsidP="00486288">
            <w:pPr>
              <w:spacing w:before="0" w:after="0"/>
              <w:jc w:val="center"/>
              <w:rPr>
                <w:rFonts w:eastAsia="Times New Roman"/>
                <w:noProof/>
                <w:color w:val="000000"/>
                <w:sz w:val="20"/>
                <w:szCs w:val="20"/>
                <w:lang w:val="en-IE" w:eastAsia="en-IE"/>
              </w:rPr>
            </w:pPr>
            <w:r w:rsidRPr="00486288">
              <w:rPr>
                <w:rFonts w:eastAsia="Times New Roman"/>
                <w:noProof/>
                <w:color w:val="000000"/>
                <w:sz w:val="20"/>
                <w:szCs w:val="20"/>
                <w:lang w:val="en-IE" w:eastAsia="en-IE"/>
              </w:rPr>
              <w:t>Year</w:t>
            </w:r>
          </w:p>
        </w:tc>
        <w:tc>
          <w:tcPr>
            <w:tcW w:w="347" w:type="pct"/>
            <w:vMerge w:val="restart"/>
            <w:tcBorders>
              <w:top w:val="single" w:sz="8" w:space="0" w:color="auto"/>
              <w:left w:val="single" w:sz="8" w:space="0" w:color="auto"/>
              <w:bottom w:val="single" w:sz="8" w:space="0" w:color="000000"/>
              <w:right w:val="single" w:sz="8" w:space="0" w:color="auto"/>
            </w:tcBorders>
            <w:vAlign w:val="center"/>
            <w:hideMark/>
          </w:tcPr>
          <w:p w14:paraId="574EE4D7"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TOTAL MFF 2028-2034</w:t>
            </w:r>
          </w:p>
        </w:tc>
      </w:tr>
      <w:tr w:rsidR="00486288" w:rsidRPr="00486288" w14:paraId="0DC422F4" w14:textId="77777777" w:rsidTr="00A94494">
        <w:trPr>
          <w:trHeight w:val="300"/>
        </w:trPr>
        <w:tc>
          <w:tcPr>
            <w:tcW w:w="2606" w:type="pct"/>
            <w:gridSpan w:val="3"/>
            <w:vMerge/>
            <w:tcBorders>
              <w:top w:val="single" w:sz="8" w:space="0" w:color="auto"/>
              <w:left w:val="single" w:sz="8" w:space="0" w:color="auto"/>
              <w:bottom w:val="single" w:sz="8" w:space="0" w:color="000000"/>
              <w:right w:val="single" w:sz="8" w:space="0" w:color="000000"/>
            </w:tcBorders>
            <w:vAlign w:val="center"/>
            <w:hideMark/>
          </w:tcPr>
          <w:p w14:paraId="14B40B8F" w14:textId="77777777" w:rsidR="00486288" w:rsidRPr="00486288" w:rsidRDefault="00486288" w:rsidP="00486288">
            <w:pPr>
              <w:spacing w:before="0" w:after="0"/>
              <w:jc w:val="left"/>
              <w:rPr>
                <w:rFonts w:eastAsia="Times New Roman"/>
                <w:noProof/>
                <w:color w:val="000000"/>
                <w:sz w:val="22"/>
                <w:lang w:val="en-IE" w:eastAsia="en-IE"/>
              </w:rPr>
            </w:pPr>
          </w:p>
        </w:tc>
        <w:tc>
          <w:tcPr>
            <w:tcW w:w="319" w:type="pct"/>
            <w:tcBorders>
              <w:top w:val="nil"/>
              <w:left w:val="nil"/>
              <w:bottom w:val="single" w:sz="8" w:space="0" w:color="auto"/>
              <w:right w:val="single" w:sz="8" w:space="0" w:color="auto"/>
            </w:tcBorders>
            <w:vAlign w:val="center"/>
            <w:hideMark/>
          </w:tcPr>
          <w:p w14:paraId="5A2C3507"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2028</w:t>
            </w:r>
          </w:p>
        </w:tc>
        <w:tc>
          <w:tcPr>
            <w:tcW w:w="308" w:type="pct"/>
            <w:tcBorders>
              <w:top w:val="nil"/>
              <w:left w:val="nil"/>
              <w:bottom w:val="single" w:sz="8" w:space="0" w:color="auto"/>
              <w:right w:val="single" w:sz="8" w:space="0" w:color="auto"/>
            </w:tcBorders>
            <w:vAlign w:val="center"/>
            <w:hideMark/>
          </w:tcPr>
          <w:p w14:paraId="6CFB43B4"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2029</w:t>
            </w:r>
          </w:p>
        </w:tc>
        <w:tc>
          <w:tcPr>
            <w:tcW w:w="299" w:type="pct"/>
            <w:tcBorders>
              <w:top w:val="nil"/>
              <w:left w:val="nil"/>
              <w:bottom w:val="single" w:sz="8" w:space="0" w:color="auto"/>
              <w:right w:val="single" w:sz="8" w:space="0" w:color="auto"/>
            </w:tcBorders>
            <w:vAlign w:val="center"/>
            <w:hideMark/>
          </w:tcPr>
          <w:p w14:paraId="7E613B62"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2030</w:t>
            </w:r>
          </w:p>
        </w:tc>
        <w:tc>
          <w:tcPr>
            <w:tcW w:w="290" w:type="pct"/>
            <w:tcBorders>
              <w:top w:val="nil"/>
              <w:left w:val="nil"/>
              <w:bottom w:val="single" w:sz="8" w:space="0" w:color="auto"/>
              <w:right w:val="single" w:sz="8" w:space="0" w:color="auto"/>
            </w:tcBorders>
            <w:vAlign w:val="center"/>
            <w:hideMark/>
          </w:tcPr>
          <w:p w14:paraId="73302D7D"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2031</w:t>
            </w:r>
          </w:p>
        </w:tc>
        <w:tc>
          <w:tcPr>
            <w:tcW w:w="283" w:type="pct"/>
            <w:tcBorders>
              <w:top w:val="nil"/>
              <w:left w:val="nil"/>
              <w:bottom w:val="single" w:sz="8" w:space="0" w:color="auto"/>
              <w:right w:val="single" w:sz="8" w:space="0" w:color="auto"/>
            </w:tcBorders>
            <w:vAlign w:val="center"/>
            <w:hideMark/>
          </w:tcPr>
          <w:p w14:paraId="1A4DFD3D"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2032</w:t>
            </w:r>
          </w:p>
        </w:tc>
        <w:tc>
          <w:tcPr>
            <w:tcW w:w="277" w:type="pct"/>
            <w:tcBorders>
              <w:top w:val="nil"/>
              <w:left w:val="nil"/>
              <w:bottom w:val="single" w:sz="8" w:space="0" w:color="auto"/>
              <w:right w:val="single" w:sz="8" w:space="0" w:color="auto"/>
            </w:tcBorders>
            <w:vAlign w:val="center"/>
            <w:hideMark/>
          </w:tcPr>
          <w:p w14:paraId="3CF8C522"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2033</w:t>
            </w:r>
          </w:p>
        </w:tc>
        <w:tc>
          <w:tcPr>
            <w:tcW w:w="271" w:type="pct"/>
            <w:tcBorders>
              <w:top w:val="nil"/>
              <w:left w:val="nil"/>
              <w:bottom w:val="single" w:sz="8" w:space="0" w:color="auto"/>
              <w:right w:val="single" w:sz="8" w:space="0" w:color="auto"/>
            </w:tcBorders>
            <w:vAlign w:val="center"/>
            <w:hideMark/>
          </w:tcPr>
          <w:p w14:paraId="2EAF7721" w14:textId="77777777" w:rsidR="00486288" w:rsidRPr="00486288" w:rsidRDefault="00486288" w:rsidP="00486288">
            <w:pPr>
              <w:spacing w:before="0" w:after="0"/>
              <w:jc w:val="center"/>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2034</w:t>
            </w:r>
          </w:p>
        </w:tc>
        <w:tc>
          <w:tcPr>
            <w:tcW w:w="347" w:type="pct"/>
            <w:vMerge/>
            <w:tcBorders>
              <w:top w:val="single" w:sz="8" w:space="0" w:color="auto"/>
              <w:left w:val="single" w:sz="8" w:space="0" w:color="auto"/>
              <w:bottom w:val="single" w:sz="8" w:space="0" w:color="000000"/>
              <w:right w:val="single" w:sz="8" w:space="0" w:color="auto"/>
            </w:tcBorders>
            <w:vAlign w:val="center"/>
            <w:hideMark/>
          </w:tcPr>
          <w:p w14:paraId="1C79F54C" w14:textId="77777777" w:rsidR="00486288" w:rsidRPr="00486288" w:rsidRDefault="00486288" w:rsidP="00486288">
            <w:pPr>
              <w:spacing w:before="0" w:after="0"/>
              <w:jc w:val="left"/>
              <w:rPr>
                <w:rFonts w:eastAsia="Times New Roman"/>
                <w:b/>
                <w:bCs/>
                <w:noProof/>
                <w:color w:val="000000"/>
                <w:sz w:val="20"/>
                <w:szCs w:val="20"/>
                <w:lang w:val="en-IE" w:eastAsia="en-IE"/>
              </w:rPr>
            </w:pPr>
          </w:p>
        </w:tc>
      </w:tr>
      <w:tr w:rsidR="00486288" w:rsidRPr="00486288" w14:paraId="46DFAE4B" w14:textId="77777777" w:rsidTr="00445C9D">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14:paraId="387DA2EA" w14:textId="77777777" w:rsidR="00486288" w:rsidRPr="00486288" w:rsidRDefault="00486288" w:rsidP="00486288">
            <w:pPr>
              <w:spacing w:before="0" w:after="0"/>
              <w:jc w:val="left"/>
              <w:rPr>
                <w:rFonts w:eastAsia="Times New Roman"/>
                <w:noProof/>
                <w:color w:val="000000"/>
                <w:sz w:val="21"/>
                <w:szCs w:val="21"/>
                <w:lang w:val="en-IE" w:eastAsia="en-IE"/>
              </w:rPr>
            </w:pPr>
            <w:r w:rsidRPr="00486288">
              <w:rPr>
                <w:rFonts w:eastAsia="Times New Roman"/>
                <w:noProof/>
                <w:color w:val="000000"/>
                <w:sz w:val="21"/>
                <w:szCs w:val="21"/>
                <w:lang w:val="en-IE" w:eastAsia="en-IE"/>
              </w:rPr>
              <w:t xml:space="preserve">Operational appropriations </w:t>
            </w:r>
          </w:p>
        </w:tc>
      </w:tr>
      <w:tr w:rsidR="00531999" w:rsidRPr="00486288" w14:paraId="47C60B54" w14:textId="77777777" w:rsidTr="00A94494">
        <w:trPr>
          <w:trHeight w:val="470"/>
        </w:trPr>
        <w:tc>
          <w:tcPr>
            <w:tcW w:w="1774" w:type="pct"/>
            <w:vMerge w:val="restart"/>
            <w:tcBorders>
              <w:top w:val="nil"/>
              <w:left w:val="single" w:sz="8" w:space="0" w:color="auto"/>
              <w:bottom w:val="nil"/>
              <w:right w:val="single" w:sz="8" w:space="0" w:color="auto"/>
            </w:tcBorders>
            <w:noWrap/>
            <w:vAlign w:val="center"/>
            <w:hideMark/>
          </w:tcPr>
          <w:p w14:paraId="0E2E516F" w14:textId="77777777" w:rsidR="00486288" w:rsidRPr="00486288" w:rsidRDefault="00486288" w:rsidP="00486288">
            <w:pPr>
              <w:rPr>
                <w:rFonts w:eastAsia="Times New Roman"/>
                <w:noProof/>
                <w:color w:val="000000"/>
                <w:sz w:val="18"/>
                <w:szCs w:val="18"/>
                <w:lang w:val="en-IE" w:eastAsia="en-IE"/>
              </w:rPr>
            </w:pPr>
            <w:r w:rsidRPr="00486288">
              <w:rPr>
                <w:rFonts w:eastAsia="Times New Roman"/>
                <w:noProof/>
                <w:color w:val="000000"/>
                <w:sz w:val="18"/>
                <w:szCs w:val="18"/>
                <w:lang w:val="en-IE" w:eastAsia="en-IE"/>
              </w:rPr>
              <w:t>budget line [XX.YY.YY.YY] Registry - operational expenditure</w:t>
            </w:r>
          </w:p>
          <w:p w14:paraId="21F6CF2A" w14:textId="77777777" w:rsidR="00486288" w:rsidRPr="00486288" w:rsidRDefault="00486288" w:rsidP="00486288">
            <w:pPr>
              <w:spacing w:before="0" w:after="0"/>
              <w:jc w:val="left"/>
              <w:rPr>
                <w:rFonts w:eastAsia="Times New Roman"/>
                <w:noProof/>
                <w:color w:val="000000"/>
                <w:sz w:val="18"/>
                <w:szCs w:val="18"/>
                <w:lang w:val="en-IE" w:eastAsia="en-IE"/>
              </w:rPr>
            </w:pPr>
          </w:p>
        </w:tc>
        <w:tc>
          <w:tcPr>
            <w:tcW w:w="485" w:type="pct"/>
            <w:tcBorders>
              <w:top w:val="nil"/>
              <w:left w:val="nil"/>
              <w:bottom w:val="single" w:sz="8" w:space="0" w:color="auto"/>
              <w:right w:val="single" w:sz="8" w:space="0" w:color="auto"/>
            </w:tcBorders>
            <w:vAlign w:val="center"/>
            <w:hideMark/>
          </w:tcPr>
          <w:p w14:paraId="14764ECF"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Commitments</w:t>
            </w:r>
          </w:p>
        </w:tc>
        <w:tc>
          <w:tcPr>
            <w:tcW w:w="347" w:type="pct"/>
            <w:tcBorders>
              <w:top w:val="nil"/>
              <w:left w:val="nil"/>
              <w:bottom w:val="single" w:sz="8" w:space="0" w:color="auto"/>
              <w:right w:val="single" w:sz="8" w:space="0" w:color="auto"/>
            </w:tcBorders>
            <w:vAlign w:val="center"/>
            <w:hideMark/>
          </w:tcPr>
          <w:p w14:paraId="19BA18CB"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(1a)</w:t>
            </w:r>
          </w:p>
        </w:tc>
        <w:tc>
          <w:tcPr>
            <w:tcW w:w="319" w:type="pct"/>
            <w:tcBorders>
              <w:top w:val="nil"/>
              <w:left w:val="nil"/>
              <w:bottom w:val="single" w:sz="8" w:space="0" w:color="auto"/>
              <w:right w:val="single" w:sz="8" w:space="0" w:color="auto"/>
            </w:tcBorders>
            <w:hideMark/>
          </w:tcPr>
          <w:p w14:paraId="1355E310"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2.604</w:t>
            </w:r>
          </w:p>
        </w:tc>
        <w:tc>
          <w:tcPr>
            <w:tcW w:w="308" w:type="pct"/>
            <w:tcBorders>
              <w:top w:val="nil"/>
              <w:left w:val="nil"/>
              <w:bottom w:val="single" w:sz="8" w:space="0" w:color="auto"/>
              <w:right w:val="single" w:sz="8" w:space="0" w:color="auto"/>
            </w:tcBorders>
            <w:hideMark/>
          </w:tcPr>
          <w:p w14:paraId="60F4A2F2"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11.126</w:t>
            </w:r>
          </w:p>
        </w:tc>
        <w:tc>
          <w:tcPr>
            <w:tcW w:w="299" w:type="pct"/>
            <w:tcBorders>
              <w:top w:val="nil"/>
              <w:left w:val="nil"/>
              <w:bottom w:val="single" w:sz="8" w:space="0" w:color="auto"/>
              <w:right w:val="single" w:sz="8" w:space="0" w:color="auto"/>
            </w:tcBorders>
            <w:hideMark/>
          </w:tcPr>
          <w:p w14:paraId="241BF85B"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17.636</w:t>
            </w:r>
          </w:p>
        </w:tc>
        <w:tc>
          <w:tcPr>
            <w:tcW w:w="290" w:type="pct"/>
            <w:tcBorders>
              <w:top w:val="nil"/>
              <w:left w:val="nil"/>
              <w:bottom w:val="single" w:sz="8" w:space="0" w:color="auto"/>
              <w:right w:val="single" w:sz="8" w:space="0" w:color="auto"/>
            </w:tcBorders>
            <w:hideMark/>
          </w:tcPr>
          <w:p w14:paraId="601377C0"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14.275</w:t>
            </w:r>
          </w:p>
        </w:tc>
        <w:tc>
          <w:tcPr>
            <w:tcW w:w="283" w:type="pct"/>
            <w:tcBorders>
              <w:top w:val="nil"/>
              <w:left w:val="nil"/>
              <w:bottom w:val="single" w:sz="8" w:space="0" w:color="auto"/>
              <w:right w:val="single" w:sz="8" w:space="0" w:color="auto"/>
            </w:tcBorders>
            <w:hideMark/>
          </w:tcPr>
          <w:p w14:paraId="65E5DF88"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14.275</w:t>
            </w:r>
          </w:p>
        </w:tc>
        <w:tc>
          <w:tcPr>
            <w:tcW w:w="277" w:type="pct"/>
            <w:tcBorders>
              <w:top w:val="nil"/>
              <w:left w:val="nil"/>
              <w:bottom w:val="single" w:sz="8" w:space="0" w:color="auto"/>
              <w:right w:val="single" w:sz="8" w:space="0" w:color="auto"/>
            </w:tcBorders>
            <w:hideMark/>
          </w:tcPr>
          <w:p w14:paraId="3EBD5BFE"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14.275</w:t>
            </w:r>
          </w:p>
        </w:tc>
        <w:tc>
          <w:tcPr>
            <w:tcW w:w="271" w:type="pct"/>
            <w:tcBorders>
              <w:top w:val="nil"/>
              <w:left w:val="nil"/>
              <w:bottom w:val="single" w:sz="8" w:space="0" w:color="auto"/>
              <w:right w:val="single" w:sz="8" w:space="0" w:color="auto"/>
            </w:tcBorders>
            <w:hideMark/>
          </w:tcPr>
          <w:p w14:paraId="017EF538"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14.275</w:t>
            </w:r>
          </w:p>
        </w:tc>
        <w:tc>
          <w:tcPr>
            <w:tcW w:w="347" w:type="pct"/>
            <w:tcBorders>
              <w:top w:val="nil"/>
              <w:left w:val="nil"/>
              <w:bottom w:val="single" w:sz="8" w:space="0" w:color="auto"/>
              <w:right w:val="single" w:sz="8" w:space="0" w:color="auto"/>
            </w:tcBorders>
            <w:shd w:val="clear" w:color="000000" w:fill="D9D9D9"/>
            <w:hideMark/>
          </w:tcPr>
          <w:p w14:paraId="7E9225EE" w14:textId="77777777" w:rsidR="00486288" w:rsidRPr="00486288" w:rsidRDefault="00A94494" w:rsidP="00486288">
            <w:pPr>
              <w:spacing w:before="0" w:after="0"/>
              <w:jc w:val="right"/>
              <w:rPr>
                <w:rFonts w:eastAsia="Times New Roman"/>
                <w:b/>
                <w:bCs/>
                <w:noProof/>
                <w:color w:val="000000"/>
                <w:sz w:val="18"/>
                <w:szCs w:val="18"/>
                <w:lang w:val="en-IE" w:eastAsia="en-IE"/>
              </w:rPr>
            </w:pPr>
            <w:r w:rsidRPr="00A94494">
              <w:rPr>
                <w:b/>
                <w:bCs/>
                <w:noProof/>
                <w:sz w:val="18"/>
                <w:szCs w:val="18"/>
              </w:rPr>
              <w:t>90,266</w:t>
            </w:r>
          </w:p>
        </w:tc>
      </w:tr>
      <w:tr w:rsidR="008A5C14" w:rsidRPr="00486288" w14:paraId="4FA9A420" w14:textId="77777777" w:rsidTr="00A94494">
        <w:trPr>
          <w:trHeight w:val="300"/>
        </w:trPr>
        <w:tc>
          <w:tcPr>
            <w:tcW w:w="1774" w:type="pct"/>
            <w:vMerge/>
            <w:tcBorders>
              <w:top w:val="nil"/>
              <w:left w:val="single" w:sz="8" w:space="0" w:color="auto"/>
              <w:bottom w:val="nil"/>
              <w:right w:val="single" w:sz="8" w:space="0" w:color="auto"/>
            </w:tcBorders>
            <w:vAlign w:val="center"/>
            <w:hideMark/>
          </w:tcPr>
          <w:p w14:paraId="13AD823D" w14:textId="77777777" w:rsidR="00486288" w:rsidRPr="00486288" w:rsidRDefault="00486288" w:rsidP="00486288">
            <w:pPr>
              <w:spacing w:before="0" w:after="0"/>
              <w:jc w:val="left"/>
              <w:rPr>
                <w:rFonts w:eastAsia="Times New Roman"/>
                <w:noProof/>
                <w:color w:val="000000"/>
                <w:sz w:val="22"/>
                <w:lang w:val="en-IE" w:eastAsia="en-IE"/>
              </w:rPr>
            </w:pPr>
          </w:p>
        </w:tc>
        <w:tc>
          <w:tcPr>
            <w:tcW w:w="485" w:type="pct"/>
            <w:tcBorders>
              <w:top w:val="nil"/>
              <w:left w:val="nil"/>
              <w:bottom w:val="single" w:sz="8" w:space="0" w:color="auto"/>
              <w:right w:val="single" w:sz="8" w:space="0" w:color="auto"/>
            </w:tcBorders>
            <w:vAlign w:val="center"/>
            <w:hideMark/>
          </w:tcPr>
          <w:p w14:paraId="026A2725"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Payments</w:t>
            </w:r>
          </w:p>
        </w:tc>
        <w:tc>
          <w:tcPr>
            <w:tcW w:w="347" w:type="pct"/>
            <w:tcBorders>
              <w:top w:val="nil"/>
              <w:left w:val="nil"/>
              <w:bottom w:val="single" w:sz="8" w:space="0" w:color="auto"/>
              <w:right w:val="single" w:sz="8" w:space="0" w:color="auto"/>
            </w:tcBorders>
            <w:vAlign w:val="center"/>
            <w:hideMark/>
          </w:tcPr>
          <w:p w14:paraId="3D6C66C5"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(2a)</w:t>
            </w:r>
          </w:p>
        </w:tc>
        <w:tc>
          <w:tcPr>
            <w:tcW w:w="319" w:type="pct"/>
            <w:tcBorders>
              <w:top w:val="nil"/>
              <w:left w:val="nil"/>
              <w:bottom w:val="single" w:sz="8" w:space="0" w:color="auto"/>
              <w:right w:val="single" w:sz="8" w:space="0" w:color="auto"/>
            </w:tcBorders>
            <w:hideMark/>
          </w:tcPr>
          <w:p w14:paraId="02AF737B" w14:textId="77777777" w:rsidR="00486288" w:rsidRPr="00486288" w:rsidRDefault="00486288" w:rsidP="00486288">
            <w:pPr>
              <w:spacing w:before="0" w:after="0"/>
              <w:jc w:val="right"/>
              <w:rPr>
                <w:rFonts w:eastAsia="Times New Roman"/>
                <w:noProof/>
                <w:color w:val="000000"/>
                <w:sz w:val="18"/>
                <w:szCs w:val="18"/>
                <w:lang w:val="en-IE" w:eastAsia="en-IE"/>
              </w:rPr>
            </w:pPr>
          </w:p>
        </w:tc>
        <w:tc>
          <w:tcPr>
            <w:tcW w:w="308" w:type="pct"/>
            <w:tcBorders>
              <w:top w:val="nil"/>
              <w:left w:val="nil"/>
              <w:bottom w:val="single" w:sz="8" w:space="0" w:color="auto"/>
              <w:right w:val="single" w:sz="8" w:space="0" w:color="auto"/>
            </w:tcBorders>
            <w:hideMark/>
          </w:tcPr>
          <w:p w14:paraId="1FEDECFC"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2.604</w:t>
            </w:r>
          </w:p>
        </w:tc>
        <w:tc>
          <w:tcPr>
            <w:tcW w:w="299" w:type="pct"/>
            <w:tcBorders>
              <w:top w:val="nil"/>
              <w:left w:val="nil"/>
              <w:bottom w:val="single" w:sz="8" w:space="0" w:color="auto"/>
              <w:right w:val="single" w:sz="8" w:space="0" w:color="auto"/>
            </w:tcBorders>
            <w:hideMark/>
          </w:tcPr>
          <w:p w14:paraId="05A934FA"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11.126</w:t>
            </w:r>
          </w:p>
        </w:tc>
        <w:tc>
          <w:tcPr>
            <w:tcW w:w="290" w:type="pct"/>
            <w:tcBorders>
              <w:top w:val="nil"/>
              <w:left w:val="nil"/>
              <w:bottom w:val="single" w:sz="8" w:space="0" w:color="auto"/>
              <w:right w:val="single" w:sz="8" w:space="0" w:color="auto"/>
            </w:tcBorders>
            <w:hideMark/>
          </w:tcPr>
          <w:p w14:paraId="4762127E"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17.636</w:t>
            </w:r>
          </w:p>
        </w:tc>
        <w:tc>
          <w:tcPr>
            <w:tcW w:w="283" w:type="pct"/>
            <w:tcBorders>
              <w:top w:val="nil"/>
              <w:left w:val="nil"/>
              <w:bottom w:val="single" w:sz="8" w:space="0" w:color="auto"/>
              <w:right w:val="single" w:sz="8" w:space="0" w:color="auto"/>
            </w:tcBorders>
            <w:hideMark/>
          </w:tcPr>
          <w:p w14:paraId="186C440B"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14.275</w:t>
            </w:r>
          </w:p>
        </w:tc>
        <w:tc>
          <w:tcPr>
            <w:tcW w:w="277" w:type="pct"/>
            <w:tcBorders>
              <w:top w:val="nil"/>
              <w:left w:val="nil"/>
              <w:bottom w:val="single" w:sz="8" w:space="0" w:color="auto"/>
              <w:right w:val="single" w:sz="8" w:space="0" w:color="auto"/>
            </w:tcBorders>
            <w:hideMark/>
          </w:tcPr>
          <w:p w14:paraId="0C7B0C6D"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14.275</w:t>
            </w:r>
          </w:p>
        </w:tc>
        <w:tc>
          <w:tcPr>
            <w:tcW w:w="271" w:type="pct"/>
            <w:tcBorders>
              <w:top w:val="nil"/>
              <w:left w:val="nil"/>
              <w:bottom w:val="single" w:sz="8" w:space="0" w:color="auto"/>
              <w:right w:val="single" w:sz="8" w:space="0" w:color="auto"/>
            </w:tcBorders>
            <w:hideMark/>
          </w:tcPr>
          <w:p w14:paraId="67986E70" w14:textId="77777777" w:rsidR="00486288" w:rsidRPr="00486288" w:rsidRDefault="00486288" w:rsidP="00486288">
            <w:pPr>
              <w:spacing w:before="0" w:after="0"/>
              <w:jc w:val="right"/>
              <w:rPr>
                <w:rFonts w:eastAsia="Times New Roman"/>
                <w:noProof/>
                <w:color w:val="000000"/>
                <w:sz w:val="18"/>
                <w:szCs w:val="18"/>
                <w:lang w:val="en-IE" w:eastAsia="en-IE"/>
              </w:rPr>
            </w:pPr>
            <w:r w:rsidRPr="00486288">
              <w:rPr>
                <w:noProof/>
                <w:sz w:val="18"/>
                <w:szCs w:val="18"/>
              </w:rPr>
              <w:t>14.275</w:t>
            </w:r>
          </w:p>
        </w:tc>
        <w:tc>
          <w:tcPr>
            <w:tcW w:w="347" w:type="pct"/>
            <w:tcBorders>
              <w:top w:val="nil"/>
              <w:left w:val="nil"/>
              <w:bottom w:val="single" w:sz="8" w:space="0" w:color="auto"/>
              <w:right w:val="single" w:sz="8" w:space="0" w:color="auto"/>
            </w:tcBorders>
            <w:shd w:val="clear" w:color="000000" w:fill="D9D9D9"/>
            <w:hideMark/>
          </w:tcPr>
          <w:p w14:paraId="5DD1AB68" w14:textId="77777777" w:rsidR="00486288" w:rsidRPr="00486288" w:rsidRDefault="00A94494" w:rsidP="00486288">
            <w:pPr>
              <w:spacing w:before="0" w:after="0"/>
              <w:jc w:val="right"/>
              <w:rPr>
                <w:rFonts w:eastAsia="Times New Roman"/>
                <w:b/>
                <w:bCs/>
                <w:noProof/>
                <w:color w:val="000000"/>
                <w:sz w:val="18"/>
                <w:szCs w:val="18"/>
                <w:lang w:val="en-IE" w:eastAsia="en-IE"/>
              </w:rPr>
            </w:pPr>
            <w:r w:rsidRPr="00A94494">
              <w:rPr>
                <w:b/>
                <w:bCs/>
                <w:noProof/>
                <w:sz w:val="18"/>
                <w:szCs w:val="18"/>
              </w:rPr>
              <w:t>75,541</w:t>
            </w:r>
          </w:p>
        </w:tc>
      </w:tr>
      <w:tr w:rsidR="00531999" w:rsidRPr="00486288" w14:paraId="1D41D629" w14:textId="77777777" w:rsidTr="00A94494">
        <w:trPr>
          <w:trHeight w:val="470"/>
        </w:trPr>
        <w:tc>
          <w:tcPr>
            <w:tcW w:w="1774" w:type="pct"/>
            <w:vMerge w:val="restart"/>
            <w:tcBorders>
              <w:top w:val="nil"/>
              <w:left w:val="single" w:sz="8" w:space="0" w:color="auto"/>
              <w:bottom w:val="single" w:sz="8" w:space="0" w:color="000000"/>
              <w:right w:val="single" w:sz="8" w:space="0" w:color="auto"/>
            </w:tcBorders>
            <w:vAlign w:val="center"/>
            <w:hideMark/>
          </w:tcPr>
          <w:p w14:paraId="3A0A3651" w14:textId="77777777" w:rsidR="00486288" w:rsidRPr="00486288" w:rsidRDefault="00486288" w:rsidP="00486288">
            <w:pPr>
              <w:spacing w:before="0" w:after="0"/>
              <w:rPr>
                <w:rFonts w:eastAsia="Times New Roman"/>
                <w:noProof/>
                <w:color w:val="000000"/>
                <w:sz w:val="20"/>
                <w:szCs w:val="20"/>
                <w:lang w:val="en-IE" w:eastAsia="en-IE"/>
              </w:rPr>
            </w:pPr>
            <w:r w:rsidRPr="00486288">
              <w:rPr>
                <w:rFonts w:eastAsia="Times New Roman"/>
                <w:noProof/>
                <w:color w:val="000000"/>
                <w:sz w:val="20"/>
                <w:szCs w:val="20"/>
                <w:lang w:val="en-IE" w:eastAsia="en-IE"/>
              </w:rPr>
              <w:t>Budget line</w:t>
            </w:r>
          </w:p>
        </w:tc>
        <w:tc>
          <w:tcPr>
            <w:tcW w:w="485" w:type="pct"/>
            <w:tcBorders>
              <w:top w:val="nil"/>
              <w:left w:val="nil"/>
              <w:bottom w:val="single" w:sz="8" w:space="0" w:color="auto"/>
              <w:right w:val="single" w:sz="8" w:space="0" w:color="auto"/>
            </w:tcBorders>
            <w:vAlign w:val="center"/>
            <w:hideMark/>
          </w:tcPr>
          <w:p w14:paraId="34D2A156"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Commitments</w:t>
            </w:r>
          </w:p>
        </w:tc>
        <w:tc>
          <w:tcPr>
            <w:tcW w:w="347" w:type="pct"/>
            <w:tcBorders>
              <w:top w:val="nil"/>
              <w:left w:val="nil"/>
              <w:bottom w:val="single" w:sz="8" w:space="0" w:color="auto"/>
              <w:right w:val="single" w:sz="8" w:space="0" w:color="auto"/>
            </w:tcBorders>
            <w:vAlign w:val="center"/>
            <w:hideMark/>
          </w:tcPr>
          <w:p w14:paraId="0F8426E7"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(1b)</w:t>
            </w:r>
          </w:p>
        </w:tc>
        <w:tc>
          <w:tcPr>
            <w:tcW w:w="319" w:type="pct"/>
            <w:tcBorders>
              <w:top w:val="nil"/>
              <w:left w:val="nil"/>
              <w:bottom w:val="single" w:sz="8" w:space="0" w:color="auto"/>
              <w:right w:val="single" w:sz="8" w:space="0" w:color="auto"/>
            </w:tcBorders>
            <w:vAlign w:val="center"/>
            <w:hideMark/>
          </w:tcPr>
          <w:p w14:paraId="5BD52A68"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308" w:type="pct"/>
            <w:tcBorders>
              <w:top w:val="nil"/>
              <w:left w:val="nil"/>
              <w:bottom w:val="single" w:sz="8" w:space="0" w:color="auto"/>
              <w:right w:val="single" w:sz="8" w:space="0" w:color="auto"/>
            </w:tcBorders>
            <w:vAlign w:val="center"/>
            <w:hideMark/>
          </w:tcPr>
          <w:p w14:paraId="1BC8C45B"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99" w:type="pct"/>
            <w:tcBorders>
              <w:top w:val="nil"/>
              <w:left w:val="nil"/>
              <w:bottom w:val="single" w:sz="8" w:space="0" w:color="auto"/>
              <w:right w:val="single" w:sz="8" w:space="0" w:color="auto"/>
            </w:tcBorders>
            <w:vAlign w:val="center"/>
            <w:hideMark/>
          </w:tcPr>
          <w:p w14:paraId="0021921B"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90" w:type="pct"/>
            <w:tcBorders>
              <w:top w:val="nil"/>
              <w:left w:val="nil"/>
              <w:bottom w:val="single" w:sz="8" w:space="0" w:color="auto"/>
              <w:right w:val="single" w:sz="8" w:space="0" w:color="auto"/>
            </w:tcBorders>
            <w:vAlign w:val="center"/>
            <w:hideMark/>
          </w:tcPr>
          <w:p w14:paraId="22EECE62"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83" w:type="pct"/>
            <w:tcBorders>
              <w:top w:val="nil"/>
              <w:left w:val="nil"/>
              <w:bottom w:val="single" w:sz="8" w:space="0" w:color="auto"/>
              <w:right w:val="single" w:sz="8" w:space="0" w:color="auto"/>
            </w:tcBorders>
            <w:vAlign w:val="center"/>
            <w:hideMark/>
          </w:tcPr>
          <w:p w14:paraId="3E703E66"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77" w:type="pct"/>
            <w:tcBorders>
              <w:top w:val="nil"/>
              <w:left w:val="nil"/>
              <w:bottom w:val="single" w:sz="8" w:space="0" w:color="auto"/>
              <w:right w:val="single" w:sz="8" w:space="0" w:color="auto"/>
            </w:tcBorders>
            <w:vAlign w:val="center"/>
            <w:hideMark/>
          </w:tcPr>
          <w:p w14:paraId="7316AB24"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71" w:type="pct"/>
            <w:tcBorders>
              <w:top w:val="nil"/>
              <w:left w:val="nil"/>
              <w:bottom w:val="single" w:sz="8" w:space="0" w:color="auto"/>
              <w:right w:val="single" w:sz="8" w:space="0" w:color="auto"/>
            </w:tcBorders>
            <w:vAlign w:val="center"/>
            <w:hideMark/>
          </w:tcPr>
          <w:p w14:paraId="47B066FC"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347" w:type="pct"/>
            <w:tcBorders>
              <w:top w:val="nil"/>
              <w:left w:val="nil"/>
              <w:bottom w:val="single" w:sz="8" w:space="0" w:color="auto"/>
              <w:right w:val="single" w:sz="8" w:space="0" w:color="auto"/>
            </w:tcBorders>
            <w:shd w:val="clear" w:color="000000" w:fill="D9D9D9"/>
            <w:vAlign w:val="center"/>
            <w:hideMark/>
          </w:tcPr>
          <w:p w14:paraId="556BA265" w14:textId="77777777" w:rsidR="00486288" w:rsidRPr="00486288" w:rsidRDefault="00486288" w:rsidP="00486288">
            <w:pPr>
              <w:spacing w:before="0" w:after="0"/>
              <w:jc w:val="right"/>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0</w:t>
            </w:r>
          </w:p>
        </w:tc>
      </w:tr>
      <w:tr w:rsidR="008A5C14" w:rsidRPr="00486288" w14:paraId="605B2528" w14:textId="77777777" w:rsidTr="00A94494">
        <w:trPr>
          <w:trHeight w:val="300"/>
        </w:trPr>
        <w:tc>
          <w:tcPr>
            <w:tcW w:w="1774" w:type="pct"/>
            <w:vMerge/>
            <w:tcBorders>
              <w:top w:val="nil"/>
              <w:left w:val="single" w:sz="8" w:space="0" w:color="auto"/>
              <w:bottom w:val="single" w:sz="8" w:space="0" w:color="000000"/>
              <w:right w:val="single" w:sz="8" w:space="0" w:color="auto"/>
            </w:tcBorders>
            <w:vAlign w:val="center"/>
            <w:hideMark/>
          </w:tcPr>
          <w:p w14:paraId="01C191BB" w14:textId="77777777" w:rsidR="00486288" w:rsidRPr="00486288" w:rsidRDefault="00486288" w:rsidP="00486288">
            <w:pPr>
              <w:spacing w:before="0" w:after="0"/>
              <w:jc w:val="left"/>
              <w:rPr>
                <w:rFonts w:eastAsia="Times New Roman"/>
                <w:noProof/>
                <w:color w:val="000000"/>
                <w:sz w:val="20"/>
                <w:szCs w:val="20"/>
                <w:lang w:val="en-IE" w:eastAsia="en-IE"/>
              </w:rPr>
            </w:pPr>
          </w:p>
        </w:tc>
        <w:tc>
          <w:tcPr>
            <w:tcW w:w="485" w:type="pct"/>
            <w:tcBorders>
              <w:top w:val="nil"/>
              <w:left w:val="nil"/>
              <w:bottom w:val="single" w:sz="8" w:space="0" w:color="auto"/>
              <w:right w:val="single" w:sz="8" w:space="0" w:color="auto"/>
            </w:tcBorders>
            <w:vAlign w:val="center"/>
            <w:hideMark/>
          </w:tcPr>
          <w:p w14:paraId="7A005433"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Payments</w:t>
            </w:r>
          </w:p>
        </w:tc>
        <w:tc>
          <w:tcPr>
            <w:tcW w:w="347" w:type="pct"/>
            <w:tcBorders>
              <w:top w:val="nil"/>
              <w:left w:val="nil"/>
              <w:bottom w:val="single" w:sz="8" w:space="0" w:color="auto"/>
              <w:right w:val="single" w:sz="8" w:space="0" w:color="auto"/>
            </w:tcBorders>
            <w:vAlign w:val="center"/>
            <w:hideMark/>
          </w:tcPr>
          <w:p w14:paraId="79AB1B3E"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(2b)</w:t>
            </w:r>
          </w:p>
        </w:tc>
        <w:tc>
          <w:tcPr>
            <w:tcW w:w="319" w:type="pct"/>
            <w:tcBorders>
              <w:top w:val="nil"/>
              <w:left w:val="nil"/>
              <w:bottom w:val="single" w:sz="8" w:space="0" w:color="auto"/>
              <w:right w:val="single" w:sz="8" w:space="0" w:color="auto"/>
            </w:tcBorders>
            <w:vAlign w:val="center"/>
            <w:hideMark/>
          </w:tcPr>
          <w:p w14:paraId="34410DE3"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308" w:type="pct"/>
            <w:tcBorders>
              <w:top w:val="nil"/>
              <w:left w:val="nil"/>
              <w:bottom w:val="single" w:sz="8" w:space="0" w:color="auto"/>
              <w:right w:val="single" w:sz="8" w:space="0" w:color="auto"/>
            </w:tcBorders>
            <w:vAlign w:val="center"/>
            <w:hideMark/>
          </w:tcPr>
          <w:p w14:paraId="3EBE9AC0"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99" w:type="pct"/>
            <w:tcBorders>
              <w:top w:val="nil"/>
              <w:left w:val="nil"/>
              <w:bottom w:val="single" w:sz="8" w:space="0" w:color="auto"/>
              <w:right w:val="single" w:sz="8" w:space="0" w:color="auto"/>
            </w:tcBorders>
            <w:vAlign w:val="center"/>
            <w:hideMark/>
          </w:tcPr>
          <w:p w14:paraId="3143970F"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90" w:type="pct"/>
            <w:tcBorders>
              <w:top w:val="nil"/>
              <w:left w:val="nil"/>
              <w:bottom w:val="single" w:sz="8" w:space="0" w:color="auto"/>
              <w:right w:val="single" w:sz="8" w:space="0" w:color="auto"/>
            </w:tcBorders>
            <w:vAlign w:val="center"/>
            <w:hideMark/>
          </w:tcPr>
          <w:p w14:paraId="0906F617"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83" w:type="pct"/>
            <w:tcBorders>
              <w:top w:val="nil"/>
              <w:left w:val="nil"/>
              <w:bottom w:val="single" w:sz="8" w:space="0" w:color="auto"/>
              <w:right w:val="single" w:sz="8" w:space="0" w:color="auto"/>
            </w:tcBorders>
            <w:vAlign w:val="center"/>
            <w:hideMark/>
          </w:tcPr>
          <w:p w14:paraId="6B1B8973"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77" w:type="pct"/>
            <w:tcBorders>
              <w:top w:val="nil"/>
              <w:left w:val="nil"/>
              <w:bottom w:val="single" w:sz="8" w:space="0" w:color="auto"/>
              <w:right w:val="single" w:sz="8" w:space="0" w:color="auto"/>
            </w:tcBorders>
            <w:vAlign w:val="center"/>
            <w:hideMark/>
          </w:tcPr>
          <w:p w14:paraId="1A74EA5B"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271" w:type="pct"/>
            <w:tcBorders>
              <w:top w:val="nil"/>
              <w:left w:val="nil"/>
              <w:bottom w:val="single" w:sz="8" w:space="0" w:color="auto"/>
              <w:right w:val="single" w:sz="8" w:space="0" w:color="auto"/>
            </w:tcBorders>
            <w:vAlign w:val="center"/>
            <w:hideMark/>
          </w:tcPr>
          <w:p w14:paraId="124F55FD" w14:textId="77777777" w:rsidR="00486288" w:rsidRPr="00486288" w:rsidRDefault="00486288" w:rsidP="00486288">
            <w:pPr>
              <w:spacing w:before="0" w:after="0"/>
              <w:jc w:val="right"/>
              <w:rPr>
                <w:rFonts w:eastAsia="Times New Roman"/>
                <w:noProof/>
                <w:color w:val="000000"/>
                <w:sz w:val="20"/>
                <w:szCs w:val="20"/>
                <w:lang w:val="en-IE" w:eastAsia="en-IE"/>
              </w:rPr>
            </w:pPr>
          </w:p>
        </w:tc>
        <w:tc>
          <w:tcPr>
            <w:tcW w:w="347" w:type="pct"/>
            <w:tcBorders>
              <w:top w:val="nil"/>
              <w:left w:val="nil"/>
              <w:bottom w:val="single" w:sz="8" w:space="0" w:color="auto"/>
              <w:right w:val="single" w:sz="8" w:space="0" w:color="auto"/>
            </w:tcBorders>
            <w:shd w:val="clear" w:color="000000" w:fill="D9D9D9"/>
            <w:vAlign w:val="center"/>
            <w:hideMark/>
          </w:tcPr>
          <w:p w14:paraId="08A295D8" w14:textId="77777777" w:rsidR="00486288" w:rsidRPr="00486288" w:rsidRDefault="00486288" w:rsidP="00486288">
            <w:pPr>
              <w:spacing w:before="0" w:after="0"/>
              <w:jc w:val="right"/>
              <w:rPr>
                <w:rFonts w:eastAsia="Times New Roman"/>
                <w:b/>
                <w:bCs/>
                <w:noProof/>
                <w:color w:val="000000"/>
                <w:sz w:val="20"/>
                <w:szCs w:val="20"/>
                <w:lang w:val="en-IE" w:eastAsia="en-IE"/>
              </w:rPr>
            </w:pPr>
            <w:r w:rsidRPr="00486288">
              <w:rPr>
                <w:rFonts w:eastAsia="Times New Roman"/>
                <w:b/>
                <w:bCs/>
                <w:noProof/>
                <w:color w:val="000000"/>
                <w:sz w:val="20"/>
                <w:szCs w:val="20"/>
                <w:lang w:val="en-IE" w:eastAsia="en-IE"/>
              </w:rPr>
              <w:t>0</w:t>
            </w:r>
          </w:p>
        </w:tc>
      </w:tr>
      <w:tr w:rsidR="00486288" w:rsidRPr="00486288" w14:paraId="4BFE1B00" w14:textId="77777777" w:rsidTr="00445C9D">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14:paraId="23AD5762" w14:textId="77777777" w:rsidR="00486288" w:rsidRPr="00486288" w:rsidRDefault="00486288" w:rsidP="00486288">
            <w:pPr>
              <w:spacing w:before="0" w:after="0"/>
              <w:jc w:val="left"/>
              <w:rPr>
                <w:rFonts w:eastAsia="Times New Roman"/>
                <w:noProof/>
                <w:sz w:val="22"/>
                <w:lang w:val="en-IE" w:eastAsia="en-IE"/>
              </w:rPr>
            </w:pPr>
            <w:r w:rsidRPr="00486288">
              <w:rPr>
                <w:rFonts w:eastAsia="Times New Roman"/>
                <w:noProof/>
                <w:sz w:val="22"/>
                <w:lang w:val="en-IE" w:eastAsia="en-IE"/>
              </w:rPr>
              <w:t>Appropriations of an administrative nature financed from the envelope of specific programmes</w:t>
            </w:r>
            <w:r w:rsidR="00E67DD0">
              <w:rPr>
                <w:rStyle w:val="FootnoteReference"/>
                <w:rFonts w:eastAsia="Times New Roman"/>
                <w:noProof/>
                <w:sz w:val="22"/>
                <w:lang w:val="en-IE" w:eastAsia="en-IE"/>
              </w:rPr>
              <w:footnoteReference w:id="88"/>
            </w:r>
          </w:p>
        </w:tc>
      </w:tr>
      <w:tr w:rsidR="00531999" w:rsidRPr="00486288" w14:paraId="48FA7017" w14:textId="77777777" w:rsidTr="00A94494">
        <w:trPr>
          <w:trHeight w:val="530"/>
        </w:trPr>
        <w:tc>
          <w:tcPr>
            <w:tcW w:w="1774" w:type="pct"/>
            <w:tcBorders>
              <w:top w:val="nil"/>
              <w:left w:val="single" w:sz="8" w:space="0" w:color="auto"/>
              <w:bottom w:val="single" w:sz="8" w:space="0" w:color="auto"/>
              <w:right w:val="single" w:sz="8" w:space="0" w:color="auto"/>
            </w:tcBorders>
            <w:vAlign w:val="center"/>
            <w:hideMark/>
          </w:tcPr>
          <w:p w14:paraId="6E5EA504" w14:textId="77777777" w:rsidR="00486288" w:rsidRPr="00486288" w:rsidRDefault="00486288" w:rsidP="00486288">
            <w:pPr>
              <w:spacing w:before="0" w:after="0"/>
              <w:rPr>
                <w:rFonts w:eastAsia="Times New Roman"/>
                <w:noProof/>
                <w:color w:val="000000"/>
                <w:sz w:val="20"/>
                <w:szCs w:val="20"/>
                <w:lang w:val="en-IE" w:eastAsia="en-IE"/>
              </w:rPr>
            </w:pPr>
            <w:r w:rsidRPr="00486288">
              <w:rPr>
                <w:rFonts w:eastAsia="Times New Roman"/>
                <w:noProof/>
                <w:color w:val="000000"/>
                <w:sz w:val="20"/>
                <w:szCs w:val="20"/>
                <w:lang w:val="en-IE" w:eastAsia="en-IE"/>
              </w:rPr>
              <w:t>Budget line</w:t>
            </w:r>
          </w:p>
        </w:tc>
        <w:tc>
          <w:tcPr>
            <w:tcW w:w="485" w:type="pct"/>
            <w:tcBorders>
              <w:top w:val="nil"/>
              <w:left w:val="nil"/>
              <w:bottom w:val="single" w:sz="8" w:space="0" w:color="auto"/>
              <w:right w:val="single" w:sz="8" w:space="0" w:color="auto"/>
            </w:tcBorders>
            <w:vAlign w:val="center"/>
            <w:hideMark/>
          </w:tcPr>
          <w:p w14:paraId="3FED7860" w14:textId="77777777" w:rsidR="00486288" w:rsidRPr="00486288" w:rsidRDefault="00486288" w:rsidP="00486288">
            <w:pPr>
              <w:spacing w:before="0" w:after="0"/>
              <w:jc w:val="right"/>
              <w:rPr>
                <w:rFonts w:eastAsia="Times New Roman"/>
                <w:noProof/>
                <w:color w:val="000000"/>
                <w:sz w:val="18"/>
                <w:szCs w:val="18"/>
                <w:lang w:val="en-IE" w:eastAsia="en-IE"/>
              </w:rPr>
            </w:pPr>
          </w:p>
        </w:tc>
        <w:tc>
          <w:tcPr>
            <w:tcW w:w="347" w:type="pct"/>
            <w:tcBorders>
              <w:top w:val="nil"/>
              <w:left w:val="nil"/>
              <w:bottom w:val="single" w:sz="8" w:space="0" w:color="auto"/>
              <w:right w:val="single" w:sz="8" w:space="0" w:color="auto"/>
            </w:tcBorders>
            <w:vAlign w:val="center"/>
            <w:hideMark/>
          </w:tcPr>
          <w:p w14:paraId="142FC056"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(3)</w:t>
            </w:r>
          </w:p>
        </w:tc>
        <w:tc>
          <w:tcPr>
            <w:tcW w:w="319" w:type="pct"/>
            <w:tcBorders>
              <w:top w:val="nil"/>
              <w:left w:val="nil"/>
              <w:bottom w:val="single" w:sz="8" w:space="0" w:color="auto"/>
              <w:right w:val="single" w:sz="8" w:space="0" w:color="auto"/>
            </w:tcBorders>
            <w:hideMark/>
          </w:tcPr>
          <w:p w14:paraId="06F26555"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noProof/>
                <w:sz w:val="18"/>
                <w:szCs w:val="18"/>
              </w:rPr>
              <w:t>6.604</w:t>
            </w:r>
          </w:p>
        </w:tc>
        <w:tc>
          <w:tcPr>
            <w:tcW w:w="308" w:type="pct"/>
            <w:tcBorders>
              <w:top w:val="nil"/>
              <w:left w:val="nil"/>
              <w:bottom w:val="single" w:sz="8" w:space="0" w:color="auto"/>
              <w:right w:val="single" w:sz="8" w:space="0" w:color="auto"/>
            </w:tcBorders>
            <w:hideMark/>
          </w:tcPr>
          <w:p w14:paraId="1C26294D"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noProof/>
                <w:sz w:val="18"/>
                <w:szCs w:val="18"/>
              </w:rPr>
              <w:t>14.178</w:t>
            </w:r>
          </w:p>
        </w:tc>
        <w:tc>
          <w:tcPr>
            <w:tcW w:w="299" w:type="pct"/>
            <w:tcBorders>
              <w:top w:val="nil"/>
              <w:left w:val="nil"/>
              <w:bottom w:val="single" w:sz="8" w:space="0" w:color="auto"/>
              <w:right w:val="single" w:sz="8" w:space="0" w:color="auto"/>
            </w:tcBorders>
            <w:hideMark/>
          </w:tcPr>
          <w:p w14:paraId="7F0B2405"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noProof/>
                <w:sz w:val="18"/>
                <w:szCs w:val="18"/>
              </w:rPr>
              <w:t>23.491</w:t>
            </w:r>
          </w:p>
        </w:tc>
        <w:tc>
          <w:tcPr>
            <w:tcW w:w="290" w:type="pct"/>
            <w:tcBorders>
              <w:top w:val="nil"/>
              <w:left w:val="nil"/>
              <w:bottom w:val="single" w:sz="8" w:space="0" w:color="auto"/>
              <w:right w:val="single" w:sz="8" w:space="0" w:color="auto"/>
            </w:tcBorders>
            <w:hideMark/>
          </w:tcPr>
          <w:p w14:paraId="6971C4BB"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noProof/>
                <w:sz w:val="18"/>
                <w:szCs w:val="18"/>
              </w:rPr>
              <w:t>23.491</w:t>
            </w:r>
          </w:p>
        </w:tc>
        <w:tc>
          <w:tcPr>
            <w:tcW w:w="283" w:type="pct"/>
            <w:tcBorders>
              <w:top w:val="nil"/>
              <w:left w:val="nil"/>
              <w:bottom w:val="single" w:sz="8" w:space="0" w:color="auto"/>
              <w:right w:val="single" w:sz="8" w:space="0" w:color="auto"/>
            </w:tcBorders>
            <w:hideMark/>
          </w:tcPr>
          <w:p w14:paraId="4C952FF2"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noProof/>
                <w:sz w:val="18"/>
                <w:szCs w:val="18"/>
              </w:rPr>
              <w:t>23.491</w:t>
            </w:r>
          </w:p>
        </w:tc>
        <w:tc>
          <w:tcPr>
            <w:tcW w:w="277" w:type="pct"/>
            <w:tcBorders>
              <w:top w:val="nil"/>
              <w:left w:val="nil"/>
              <w:bottom w:val="single" w:sz="8" w:space="0" w:color="auto"/>
              <w:right w:val="single" w:sz="8" w:space="0" w:color="auto"/>
            </w:tcBorders>
            <w:hideMark/>
          </w:tcPr>
          <w:p w14:paraId="125D33FA"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noProof/>
                <w:sz w:val="18"/>
                <w:szCs w:val="18"/>
              </w:rPr>
              <w:t>23.491</w:t>
            </w:r>
          </w:p>
        </w:tc>
        <w:tc>
          <w:tcPr>
            <w:tcW w:w="271" w:type="pct"/>
            <w:tcBorders>
              <w:top w:val="nil"/>
              <w:left w:val="nil"/>
              <w:bottom w:val="single" w:sz="8" w:space="0" w:color="auto"/>
              <w:right w:val="single" w:sz="8" w:space="0" w:color="auto"/>
            </w:tcBorders>
            <w:hideMark/>
          </w:tcPr>
          <w:p w14:paraId="1C9FC83A"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noProof/>
                <w:sz w:val="18"/>
                <w:szCs w:val="18"/>
              </w:rPr>
              <w:t>23.491</w:t>
            </w:r>
          </w:p>
        </w:tc>
        <w:tc>
          <w:tcPr>
            <w:tcW w:w="347" w:type="pct"/>
            <w:tcBorders>
              <w:top w:val="nil"/>
              <w:left w:val="nil"/>
              <w:bottom w:val="single" w:sz="8" w:space="0" w:color="auto"/>
              <w:right w:val="single" w:sz="8" w:space="0" w:color="auto"/>
            </w:tcBorders>
            <w:shd w:val="clear" w:color="000000" w:fill="D9D9D9"/>
            <w:hideMark/>
          </w:tcPr>
          <w:p w14:paraId="38D11AB5"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noProof/>
                <w:sz w:val="18"/>
                <w:szCs w:val="18"/>
              </w:rPr>
              <w:t>138.239</w:t>
            </w:r>
          </w:p>
        </w:tc>
      </w:tr>
      <w:tr w:rsidR="00531999" w:rsidRPr="00486288" w14:paraId="3E648C28" w14:textId="77777777" w:rsidTr="00A94494">
        <w:trPr>
          <w:trHeight w:val="850"/>
        </w:trPr>
        <w:tc>
          <w:tcPr>
            <w:tcW w:w="1774" w:type="pct"/>
            <w:tcBorders>
              <w:top w:val="single" w:sz="8" w:space="0" w:color="auto"/>
              <w:left w:val="single" w:sz="8" w:space="0" w:color="auto"/>
              <w:bottom w:val="nil"/>
              <w:right w:val="single" w:sz="8" w:space="0" w:color="auto"/>
            </w:tcBorders>
            <w:vAlign w:val="center"/>
            <w:hideMark/>
          </w:tcPr>
          <w:p w14:paraId="4AAAF021" w14:textId="77777777" w:rsidR="00486288" w:rsidRPr="00486288" w:rsidRDefault="00486288" w:rsidP="00486288">
            <w:pPr>
              <w:spacing w:before="0" w:after="0"/>
              <w:jc w:val="center"/>
              <w:rPr>
                <w:rFonts w:eastAsia="Times New Roman"/>
                <w:b/>
                <w:bCs/>
                <w:noProof/>
                <w:color w:val="000000"/>
                <w:sz w:val="22"/>
                <w:lang w:val="en-IE" w:eastAsia="en-IE"/>
              </w:rPr>
            </w:pPr>
            <w:r w:rsidRPr="00486288">
              <w:rPr>
                <w:rFonts w:eastAsia="Times New Roman"/>
                <w:b/>
                <w:bCs/>
                <w:noProof/>
                <w:color w:val="000000"/>
                <w:sz w:val="22"/>
                <w:lang w:val="en-IE" w:eastAsia="en-IE"/>
              </w:rPr>
              <w:t>TOTAL appropriations</w:t>
            </w:r>
          </w:p>
        </w:tc>
        <w:tc>
          <w:tcPr>
            <w:tcW w:w="485" w:type="pct"/>
            <w:tcBorders>
              <w:top w:val="nil"/>
              <w:left w:val="nil"/>
              <w:bottom w:val="single" w:sz="8" w:space="0" w:color="auto"/>
              <w:right w:val="single" w:sz="8" w:space="0" w:color="auto"/>
            </w:tcBorders>
            <w:vAlign w:val="center"/>
            <w:hideMark/>
          </w:tcPr>
          <w:p w14:paraId="1ACB10A9"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Commitments</w:t>
            </w:r>
          </w:p>
        </w:tc>
        <w:tc>
          <w:tcPr>
            <w:tcW w:w="347" w:type="pct"/>
            <w:tcBorders>
              <w:top w:val="nil"/>
              <w:left w:val="nil"/>
              <w:bottom w:val="single" w:sz="8" w:space="0" w:color="auto"/>
              <w:right w:val="single" w:sz="8" w:space="0" w:color="auto"/>
            </w:tcBorders>
            <w:vAlign w:val="center"/>
            <w:hideMark/>
          </w:tcPr>
          <w:p w14:paraId="7B4AE1BB"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=1a+1b+3</w:t>
            </w:r>
          </w:p>
        </w:tc>
        <w:tc>
          <w:tcPr>
            <w:tcW w:w="319" w:type="pct"/>
            <w:tcBorders>
              <w:top w:val="nil"/>
              <w:left w:val="nil"/>
              <w:bottom w:val="single" w:sz="8" w:space="0" w:color="auto"/>
              <w:right w:val="single" w:sz="8" w:space="0" w:color="auto"/>
            </w:tcBorders>
            <w:shd w:val="clear" w:color="000000" w:fill="D9D9D9"/>
            <w:vAlign w:val="center"/>
            <w:hideMark/>
          </w:tcPr>
          <w:p w14:paraId="02C2C7EF"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9.209</w:t>
            </w:r>
          </w:p>
        </w:tc>
        <w:tc>
          <w:tcPr>
            <w:tcW w:w="308" w:type="pct"/>
            <w:tcBorders>
              <w:top w:val="nil"/>
              <w:left w:val="nil"/>
              <w:bottom w:val="single" w:sz="8" w:space="0" w:color="auto"/>
              <w:right w:val="single" w:sz="8" w:space="0" w:color="auto"/>
            </w:tcBorders>
            <w:shd w:val="clear" w:color="000000" w:fill="D9D9D9"/>
            <w:vAlign w:val="center"/>
            <w:hideMark/>
          </w:tcPr>
          <w:p w14:paraId="057CDF30"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25.303</w:t>
            </w:r>
          </w:p>
        </w:tc>
        <w:tc>
          <w:tcPr>
            <w:tcW w:w="299" w:type="pct"/>
            <w:tcBorders>
              <w:top w:val="nil"/>
              <w:left w:val="nil"/>
              <w:bottom w:val="single" w:sz="8" w:space="0" w:color="auto"/>
              <w:right w:val="single" w:sz="8" w:space="0" w:color="auto"/>
            </w:tcBorders>
            <w:shd w:val="clear" w:color="000000" w:fill="D9D9D9"/>
            <w:vAlign w:val="center"/>
            <w:hideMark/>
          </w:tcPr>
          <w:p w14:paraId="228AF33B"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41.128</w:t>
            </w:r>
          </w:p>
        </w:tc>
        <w:tc>
          <w:tcPr>
            <w:tcW w:w="290" w:type="pct"/>
            <w:tcBorders>
              <w:top w:val="nil"/>
              <w:left w:val="nil"/>
              <w:bottom w:val="single" w:sz="8" w:space="0" w:color="auto"/>
              <w:right w:val="single" w:sz="8" w:space="0" w:color="auto"/>
            </w:tcBorders>
            <w:shd w:val="clear" w:color="000000" w:fill="D9D9D9"/>
            <w:vAlign w:val="center"/>
            <w:hideMark/>
          </w:tcPr>
          <w:p w14:paraId="47A1F125"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37.766</w:t>
            </w:r>
          </w:p>
        </w:tc>
        <w:tc>
          <w:tcPr>
            <w:tcW w:w="283" w:type="pct"/>
            <w:tcBorders>
              <w:top w:val="nil"/>
              <w:left w:val="nil"/>
              <w:bottom w:val="single" w:sz="8" w:space="0" w:color="auto"/>
              <w:right w:val="single" w:sz="8" w:space="0" w:color="auto"/>
            </w:tcBorders>
            <w:shd w:val="clear" w:color="000000" w:fill="D9D9D9"/>
            <w:vAlign w:val="center"/>
            <w:hideMark/>
          </w:tcPr>
          <w:p w14:paraId="2AACF76A"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37.766</w:t>
            </w:r>
          </w:p>
        </w:tc>
        <w:tc>
          <w:tcPr>
            <w:tcW w:w="277" w:type="pct"/>
            <w:tcBorders>
              <w:top w:val="nil"/>
              <w:left w:val="nil"/>
              <w:bottom w:val="single" w:sz="8" w:space="0" w:color="auto"/>
              <w:right w:val="single" w:sz="8" w:space="0" w:color="auto"/>
            </w:tcBorders>
            <w:shd w:val="clear" w:color="000000" w:fill="D9D9D9"/>
            <w:vAlign w:val="center"/>
            <w:hideMark/>
          </w:tcPr>
          <w:p w14:paraId="489C6CEE"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37.766</w:t>
            </w:r>
          </w:p>
        </w:tc>
        <w:tc>
          <w:tcPr>
            <w:tcW w:w="271" w:type="pct"/>
            <w:tcBorders>
              <w:top w:val="nil"/>
              <w:left w:val="nil"/>
              <w:bottom w:val="single" w:sz="8" w:space="0" w:color="auto"/>
              <w:right w:val="single" w:sz="8" w:space="0" w:color="auto"/>
            </w:tcBorders>
            <w:shd w:val="clear" w:color="000000" w:fill="D9D9D9"/>
            <w:vAlign w:val="center"/>
            <w:hideMark/>
          </w:tcPr>
          <w:p w14:paraId="340BD4FB"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37.766</w:t>
            </w:r>
          </w:p>
        </w:tc>
        <w:tc>
          <w:tcPr>
            <w:tcW w:w="347" w:type="pct"/>
            <w:tcBorders>
              <w:top w:val="nil"/>
              <w:left w:val="nil"/>
              <w:bottom w:val="single" w:sz="8" w:space="0" w:color="auto"/>
              <w:right w:val="single" w:sz="8" w:space="0" w:color="auto"/>
            </w:tcBorders>
            <w:shd w:val="clear" w:color="000000" w:fill="D9D9D9"/>
            <w:vAlign w:val="center"/>
            <w:hideMark/>
          </w:tcPr>
          <w:p w14:paraId="44F677F3" w14:textId="77777777" w:rsidR="00486288" w:rsidRPr="00486288" w:rsidRDefault="007F03AC" w:rsidP="00486288">
            <w:pPr>
              <w:spacing w:before="0" w:after="0"/>
              <w:jc w:val="right"/>
              <w:rPr>
                <w:rFonts w:eastAsia="Times New Roman"/>
                <w:b/>
                <w:bCs/>
                <w:noProof/>
                <w:color w:val="000000"/>
                <w:sz w:val="18"/>
                <w:szCs w:val="18"/>
                <w:lang w:val="en-IE" w:eastAsia="en-IE"/>
              </w:rPr>
            </w:pPr>
            <w:r w:rsidRPr="007F03AC">
              <w:rPr>
                <w:b/>
                <w:bCs/>
                <w:noProof/>
                <w:sz w:val="18"/>
                <w:szCs w:val="18"/>
              </w:rPr>
              <w:t>228,505</w:t>
            </w:r>
          </w:p>
        </w:tc>
      </w:tr>
      <w:tr w:rsidR="00C256C9" w:rsidRPr="00486288" w14:paraId="2AA92556" w14:textId="77777777" w:rsidTr="007F03AC">
        <w:trPr>
          <w:trHeight w:val="570"/>
        </w:trPr>
        <w:tc>
          <w:tcPr>
            <w:tcW w:w="1774" w:type="pct"/>
            <w:tcBorders>
              <w:top w:val="nil"/>
              <w:left w:val="single" w:sz="8" w:space="0" w:color="auto"/>
              <w:bottom w:val="single" w:sz="4" w:space="0" w:color="auto"/>
              <w:right w:val="single" w:sz="8" w:space="0" w:color="auto"/>
            </w:tcBorders>
            <w:vAlign w:val="center"/>
            <w:hideMark/>
          </w:tcPr>
          <w:p w14:paraId="32619D12" w14:textId="77777777" w:rsidR="00486288" w:rsidRPr="00486288" w:rsidRDefault="00486288" w:rsidP="00486288">
            <w:pPr>
              <w:spacing w:before="0" w:after="0"/>
              <w:jc w:val="center"/>
              <w:rPr>
                <w:rFonts w:eastAsia="Times New Roman"/>
                <w:b/>
                <w:bCs/>
                <w:noProof/>
                <w:color w:val="000000"/>
                <w:sz w:val="22"/>
                <w:lang w:val="en-IE" w:eastAsia="en-IE"/>
              </w:rPr>
            </w:pPr>
            <w:r w:rsidRPr="00486288">
              <w:rPr>
                <w:rFonts w:eastAsia="Times New Roman"/>
                <w:b/>
                <w:bCs/>
                <w:noProof/>
                <w:color w:val="000000"/>
                <w:sz w:val="22"/>
                <w:lang w:val="en-IE" w:eastAsia="en-IE"/>
              </w:rPr>
              <w:t xml:space="preserve">for DG </w:t>
            </w:r>
            <w:r w:rsidRPr="00486288">
              <w:rPr>
                <w:rFonts w:eastAsia="Times New Roman"/>
                <w:noProof/>
                <w:color w:val="000000"/>
                <w:sz w:val="22"/>
                <w:lang w:val="en-IE" w:eastAsia="en-IE"/>
              </w:rPr>
              <w:t>&lt; CLIMA - registry &gt;</w:t>
            </w:r>
          </w:p>
        </w:tc>
        <w:tc>
          <w:tcPr>
            <w:tcW w:w="485" w:type="pct"/>
            <w:tcBorders>
              <w:top w:val="nil"/>
              <w:left w:val="nil"/>
              <w:bottom w:val="single" w:sz="8" w:space="0" w:color="auto"/>
              <w:right w:val="single" w:sz="8" w:space="0" w:color="auto"/>
            </w:tcBorders>
            <w:vAlign w:val="center"/>
            <w:hideMark/>
          </w:tcPr>
          <w:p w14:paraId="65D37A67" w14:textId="77777777" w:rsidR="00486288" w:rsidRPr="00486288" w:rsidRDefault="00486288" w:rsidP="00486288">
            <w:pPr>
              <w:spacing w:before="0" w:after="0"/>
              <w:rPr>
                <w:rFonts w:eastAsia="Times New Roman"/>
                <w:noProof/>
                <w:color w:val="000000"/>
                <w:sz w:val="18"/>
                <w:szCs w:val="18"/>
                <w:lang w:val="en-IE" w:eastAsia="en-IE"/>
              </w:rPr>
            </w:pPr>
            <w:r w:rsidRPr="00486288">
              <w:rPr>
                <w:rFonts w:eastAsia="Times New Roman"/>
                <w:noProof/>
                <w:color w:val="000000"/>
                <w:sz w:val="18"/>
                <w:szCs w:val="18"/>
                <w:lang w:val="en-IE" w:eastAsia="en-IE"/>
              </w:rPr>
              <w:t>Payments</w:t>
            </w:r>
          </w:p>
        </w:tc>
        <w:tc>
          <w:tcPr>
            <w:tcW w:w="347" w:type="pct"/>
            <w:tcBorders>
              <w:top w:val="nil"/>
              <w:left w:val="nil"/>
              <w:bottom w:val="single" w:sz="8" w:space="0" w:color="auto"/>
              <w:right w:val="single" w:sz="8" w:space="0" w:color="auto"/>
            </w:tcBorders>
            <w:vAlign w:val="center"/>
            <w:hideMark/>
          </w:tcPr>
          <w:p w14:paraId="7D0BAA77" w14:textId="77777777" w:rsidR="00486288" w:rsidRPr="00486288" w:rsidRDefault="00486288" w:rsidP="00486288">
            <w:pPr>
              <w:spacing w:before="0" w:after="0"/>
              <w:jc w:val="center"/>
              <w:rPr>
                <w:rFonts w:eastAsia="Times New Roman"/>
                <w:noProof/>
                <w:color w:val="000000"/>
                <w:sz w:val="14"/>
                <w:szCs w:val="14"/>
                <w:lang w:val="en-IE" w:eastAsia="en-IE"/>
              </w:rPr>
            </w:pPr>
            <w:r w:rsidRPr="00486288">
              <w:rPr>
                <w:rFonts w:eastAsia="Times New Roman"/>
                <w:noProof/>
                <w:color w:val="000000"/>
                <w:sz w:val="14"/>
                <w:szCs w:val="14"/>
                <w:lang w:val="en-IE" w:eastAsia="en-IE"/>
              </w:rPr>
              <w:t>=2a+2b+3</w:t>
            </w:r>
          </w:p>
        </w:tc>
        <w:tc>
          <w:tcPr>
            <w:tcW w:w="319" w:type="pct"/>
            <w:tcBorders>
              <w:top w:val="nil"/>
              <w:left w:val="nil"/>
              <w:bottom w:val="single" w:sz="8" w:space="0" w:color="auto"/>
              <w:right w:val="single" w:sz="8" w:space="0" w:color="auto"/>
            </w:tcBorders>
            <w:shd w:val="clear" w:color="000000" w:fill="D9D9D9"/>
            <w:vAlign w:val="center"/>
            <w:hideMark/>
          </w:tcPr>
          <w:p w14:paraId="43978A65"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6.604</w:t>
            </w:r>
          </w:p>
        </w:tc>
        <w:tc>
          <w:tcPr>
            <w:tcW w:w="308" w:type="pct"/>
            <w:tcBorders>
              <w:top w:val="nil"/>
              <w:left w:val="nil"/>
              <w:bottom w:val="single" w:sz="8" w:space="0" w:color="auto"/>
              <w:right w:val="single" w:sz="8" w:space="0" w:color="auto"/>
            </w:tcBorders>
            <w:shd w:val="clear" w:color="000000" w:fill="D9D9D9"/>
            <w:vAlign w:val="center"/>
            <w:hideMark/>
          </w:tcPr>
          <w:p w14:paraId="27A52593"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16.782</w:t>
            </w:r>
          </w:p>
        </w:tc>
        <w:tc>
          <w:tcPr>
            <w:tcW w:w="299" w:type="pct"/>
            <w:tcBorders>
              <w:top w:val="nil"/>
              <w:left w:val="nil"/>
              <w:bottom w:val="single" w:sz="8" w:space="0" w:color="auto"/>
              <w:right w:val="single" w:sz="8" w:space="0" w:color="auto"/>
            </w:tcBorders>
            <w:shd w:val="clear" w:color="000000" w:fill="D9D9D9"/>
            <w:vAlign w:val="center"/>
            <w:hideMark/>
          </w:tcPr>
          <w:p w14:paraId="059F4CED"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34.617</w:t>
            </w:r>
          </w:p>
        </w:tc>
        <w:tc>
          <w:tcPr>
            <w:tcW w:w="290" w:type="pct"/>
            <w:tcBorders>
              <w:top w:val="nil"/>
              <w:left w:val="nil"/>
              <w:bottom w:val="single" w:sz="8" w:space="0" w:color="auto"/>
              <w:right w:val="single" w:sz="8" w:space="0" w:color="auto"/>
            </w:tcBorders>
            <w:shd w:val="clear" w:color="000000" w:fill="D9D9D9"/>
            <w:vAlign w:val="center"/>
            <w:hideMark/>
          </w:tcPr>
          <w:p w14:paraId="4B56CF61"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41.128</w:t>
            </w:r>
          </w:p>
        </w:tc>
        <w:tc>
          <w:tcPr>
            <w:tcW w:w="283" w:type="pct"/>
            <w:tcBorders>
              <w:top w:val="nil"/>
              <w:left w:val="nil"/>
              <w:bottom w:val="single" w:sz="8" w:space="0" w:color="auto"/>
              <w:right w:val="single" w:sz="8" w:space="0" w:color="auto"/>
            </w:tcBorders>
            <w:shd w:val="clear" w:color="000000" w:fill="D9D9D9"/>
            <w:vAlign w:val="center"/>
            <w:hideMark/>
          </w:tcPr>
          <w:p w14:paraId="5C5E8751"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37.766</w:t>
            </w:r>
          </w:p>
        </w:tc>
        <w:tc>
          <w:tcPr>
            <w:tcW w:w="277" w:type="pct"/>
            <w:tcBorders>
              <w:top w:val="nil"/>
              <w:left w:val="nil"/>
              <w:bottom w:val="single" w:sz="8" w:space="0" w:color="auto"/>
              <w:right w:val="single" w:sz="8" w:space="0" w:color="auto"/>
            </w:tcBorders>
            <w:shd w:val="clear" w:color="000000" w:fill="D9D9D9"/>
            <w:vAlign w:val="center"/>
            <w:hideMark/>
          </w:tcPr>
          <w:p w14:paraId="317A086A"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37.766</w:t>
            </w:r>
          </w:p>
        </w:tc>
        <w:tc>
          <w:tcPr>
            <w:tcW w:w="271" w:type="pct"/>
            <w:tcBorders>
              <w:top w:val="nil"/>
              <w:left w:val="nil"/>
              <w:bottom w:val="single" w:sz="8" w:space="0" w:color="auto"/>
              <w:right w:val="single" w:sz="8" w:space="0" w:color="auto"/>
            </w:tcBorders>
            <w:shd w:val="clear" w:color="000000" w:fill="D9D9D9"/>
            <w:vAlign w:val="center"/>
            <w:hideMark/>
          </w:tcPr>
          <w:p w14:paraId="31A1AA1E" w14:textId="77777777" w:rsidR="00486288" w:rsidRPr="00486288" w:rsidRDefault="00486288" w:rsidP="00486288">
            <w:pPr>
              <w:spacing w:before="0" w:after="0"/>
              <w:jc w:val="right"/>
              <w:rPr>
                <w:rFonts w:eastAsia="Times New Roman"/>
                <w:b/>
                <w:bCs/>
                <w:noProof/>
                <w:color w:val="000000"/>
                <w:sz w:val="18"/>
                <w:szCs w:val="18"/>
                <w:lang w:val="en-IE" w:eastAsia="en-IE"/>
              </w:rPr>
            </w:pPr>
            <w:r w:rsidRPr="00486288">
              <w:rPr>
                <w:b/>
                <w:bCs/>
                <w:noProof/>
                <w:sz w:val="18"/>
                <w:szCs w:val="18"/>
              </w:rPr>
              <w:t>37.766</w:t>
            </w:r>
          </w:p>
        </w:tc>
        <w:tc>
          <w:tcPr>
            <w:tcW w:w="347" w:type="pct"/>
            <w:tcBorders>
              <w:top w:val="nil"/>
              <w:left w:val="nil"/>
              <w:bottom w:val="single" w:sz="8" w:space="0" w:color="auto"/>
              <w:right w:val="single" w:sz="8" w:space="0" w:color="auto"/>
            </w:tcBorders>
            <w:shd w:val="clear" w:color="000000" w:fill="D9D9D9"/>
            <w:vAlign w:val="center"/>
            <w:hideMark/>
          </w:tcPr>
          <w:p w14:paraId="2208120C" w14:textId="77777777" w:rsidR="00486288" w:rsidRPr="00486288" w:rsidRDefault="007F03AC" w:rsidP="00486288">
            <w:pPr>
              <w:spacing w:before="0" w:after="0"/>
              <w:jc w:val="right"/>
              <w:rPr>
                <w:rFonts w:eastAsia="Times New Roman"/>
                <w:b/>
                <w:bCs/>
                <w:noProof/>
                <w:color w:val="000000"/>
                <w:sz w:val="18"/>
                <w:szCs w:val="18"/>
                <w:lang w:val="en-IE" w:eastAsia="en-IE"/>
              </w:rPr>
            </w:pPr>
            <w:r w:rsidRPr="007F03AC">
              <w:rPr>
                <w:b/>
                <w:bCs/>
                <w:noProof/>
                <w:sz w:val="18"/>
                <w:szCs w:val="18"/>
              </w:rPr>
              <w:t>213,780</w:t>
            </w:r>
          </w:p>
        </w:tc>
      </w:tr>
    </w:tbl>
    <w:p w14:paraId="360A18F4" w14:textId="77777777" w:rsidR="00486288" w:rsidRDefault="00486288" w:rsidP="00445C9D">
      <w:pPr>
        <w:rPr>
          <w:noProof/>
          <w:sz w:val="16"/>
        </w:rPr>
      </w:pPr>
    </w:p>
    <w:tbl>
      <w:tblPr>
        <w:tblW w:w="5000" w:type="pct"/>
        <w:tblLook w:val="04A0" w:firstRow="1" w:lastRow="0" w:firstColumn="1" w:lastColumn="0" w:noHBand="0" w:noVBand="1"/>
      </w:tblPr>
      <w:tblGrid>
        <w:gridCol w:w="2185"/>
        <w:gridCol w:w="1669"/>
        <w:gridCol w:w="1069"/>
        <w:gridCol w:w="1149"/>
        <w:gridCol w:w="1149"/>
        <w:gridCol w:w="1149"/>
        <w:gridCol w:w="1149"/>
        <w:gridCol w:w="1149"/>
        <w:gridCol w:w="1149"/>
        <w:gridCol w:w="1149"/>
        <w:gridCol w:w="1254"/>
      </w:tblGrid>
      <w:tr w:rsidR="00486288" w:rsidRPr="00EB2752" w14:paraId="617614B7" w14:textId="77777777" w:rsidTr="00445C9D">
        <w:trPr>
          <w:trHeight w:val="302"/>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3C6C11C5" w14:textId="77777777" w:rsidR="00486288" w:rsidRPr="00EB2752" w:rsidRDefault="00486288" w:rsidP="00445C9D">
            <w:pPr>
              <w:spacing w:before="0" w:after="0"/>
              <w:jc w:val="center"/>
              <w:rPr>
                <w:rFonts w:eastAsia="Times New Roman"/>
                <w:b/>
                <w:bCs/>
                <w:noProof/>
                <w:color w:val="000000"/>
                <w:sz w:val="22"/>
                <w:lang w:val="en-IE" w:eastAsia="en-IE"/>
              </w:rPr>
            </w:pPr>
          </w:p>
        </w:tc>
        <w:tc>
          <w:tcPr>
            <w:tcW w:w="404" w:type="pct"/>
            <w:tcBorders>
              <w:top w:val="single" w:sz="8" w:space="0" w:color="auto"/>
              <w:left w:val="nil"/>
              <w:bottom w:val="single" w:sz="8" w:space="0" w:color="auto"/>
              <w:right w:val="single" w:sz="8" w:space="0" w:color="auto"/>
            </w:tcBorders>
            <w:vAlign w:val="center"/>
            <w:hideMark/>
          </w:tcPr>
          <w:p w14:paraId="18F29733"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2D9F30D5"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4F2122C9"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454056D4"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504FECBD"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2539F3D1"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3B4B54A5"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53FB0EDD"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TOTAL MFF 2028-2034</w:t>
            </w:r>
          </w:p>
        </w:tc>
      </w:tr>
      <w:tr w:rsidR="00486288" w:rsidRPr="00EB2752" w14:paraId="221E0EA7" w14:textId="77777777" w:rsidTr="00445C9D">
        <w:trPr>
          <w:trHeight w:val="54"/>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14:paraId="0A05A7EB" w14:textId="77777777" w:rsidR="00486288" w:rsidRPr="00EB2752" w:rsidRDefault="00486288" w:rsidP="00445C9D">
            <w:pPr>
              <w:spacing w:before="0" w:after="0"/>
              <w:jc w:val="left"/>
              <w:rPr>
                <w:rFonts w:eastAsia="Times New Roman"/>
                <w:b/>
                <w:bCs/>
                <w:noProof/>
                <w:color w:val="000000"/>
                <w:sz w:val="22"/>
                <w:lang w:val="en-IE" w:eastAsia="en-IE"/>
              </w:rPr>
            </w:pPr>
          </w:p>
        </w:tc>
        <w:tc>
          <w:tcPr>
            <w:tcW w:w="404" w:type="pct"/>
            <w:tcBorders>
              <w:top w:val="nil"/>
              <w:left w:val="nil"/>
              <w:bottom w:val="single" w:sz="8" w:space="0" w:color="auto"/>
              <w:right w:val="single" w:sz="8" w:space="0" w:color="auto"/>
            </w:tcBorders>
            <w:vAlign w:val="center"/>
            <w:hideMark/>
          </w:tcPr>
          <w:p w14:paraId="1607AA61"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2028</w:t>
            </w:r>
          </w:p>
        </w:tc>
        <w:tc>
          <w:tcPr>
            <w:tcW w:w="404" w:type="pct"/>
            <w:tcBorders>
              <w:top w:val="nil"/>
              <w:left w:val="nil"/>
              <w:bottom w:val="single" w:sz="8" w:space="0" w:color="auto"/>
              <w:right w:val="single" w:sz="8" w:space="0" w:color="auto"/>
            </w:tcBorders>
            <w:vAlign w:val="center"/>
            <w:hideMark/>
          </w:tcPr>
          <w:p w14:paraId="3F201412"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2029</w:t>
            </w:r>
          </w:p>
        </w:tc>
        <w:tc>
          <w:tcPr>
            <w:tcW w:w="404" w:type="pct"/>
            <w:tcBorders>
              <w:top w:val="nil"/>
              <w:left w:val="nil"/>
              <w:bottom w:val="single" w:sz="8" w:space="0" w:color="auto"/>
              <w:right w:val="single" w:sz="8" w:space="0" w:color="auto"/>
            </w:tcBorders>
            <w:vAlign w:val="center"/>
            <w:hideMark/>
          </w:tcPr>
          <w:p w14:paraId="4CAEBF4B"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2030</w:t>
            </w:r>
          </w:p>
        </w:tc>
        <w:tc>
          <w:tcPr>
            <w:tcW w:w="404" w:type="pct"/>
            <w:tcBorders>
              <w:top w:val="nil"/>
              <w:left w:val="nil"/>
              <w:bottom w:val="single" w:sz="8" w:space="0" w:color="auto"/>
              <w:right w:val="single" w:sz="8" w:space="0" w:color="auto"/>
            </w:tcBorders>
            <w:vAlign w:val="center"/>
            <w:hideMark/>
          </w:tcPr>
          <w:p w14:paraId="66ED8865"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2031</w:t>
            </w:r>
          </w:p>
        </w:tc>
        <w:tc>
          <w:tcPr>
            <w:tcW w:w="404" w:type="pct"/>
            <w:tcBorders>
              <w:top w:val="nil"/>
              <w:left w:val="nil"/>
              <w:bottom w:val="single" w:sz="8" w:space="0" w:color="auto"/>
              <w:right w:val="single" w:sz="8" w:space="0" w:color="auto"/>
            </w:tcBorders>
            <w:vAlign w:val="center"/>
            <w:hideMark/>
          </w:tcPr>
          <w:p w14:paraId="419676F7"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2032</w:t>
            </w:r>
          </w:p>
        </w:tc>
        <w:tc>
          <w:tcPr>
            <w:tcW w:w="404" w:type="pct"/>
            <w:tcBorders>
              <w:top w:val="nil"/>
              <w:left w:val="nil"/>
              <w:bottom w:val="single" w:sz="8" w:space="0" w:color="auto"/>
              <w:right w:val="single" w:sz="8" w:space="0" w:color="auto"/>
            </w:tcBorders>
            <w:vAlign w:val="center"/>
            <w:hideMark/>
          </w:tcPr>
          <w:p w14:paraId="445EA744"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2033</w:t>
            </w:r>
          </w:p>
        </w:tc>
        <w:tc>
          <w:tcPr>
            <w:tcW w:w="404" w:type="pct"/>
            <w:tcBorders>
              <w:top w:val="nil"/>
              <w:left w:val="nil"/>
              <w:bottom w:val="single" w:sz="8" w:space="0" w:color="auto"/>
              <w:right w:val="single" w:sz="8" w:space="0" w:color="auto"/>
            </w:tcBorders>
            <w:vAlign w:val="center"/>
            <w:hideMark/>
          </w:tcPr>
          <w:p w14:paraId="7E43A4C1"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04148424" w14:textId="77777777" w:rsidR="00486288" w:rsidRPr="00EB2752" w:rsidRDefault="00486288" w:rsidP="00445C9D">
            <w:pPr>
              <w:spacing w:before="0" w:after="0"/>
              <w:jc w:val="left"/>
              <w:rPr>
                <w:rFonts w:eastAsia="Times New Roman"/>
                <w:b/>
                <w:bCs/>
                <w:noProof/>
                <w:color w:val="000000"/>
                <w:sz w:val="20"/>
                <w:szCs w:val="20"/>
                <w:lang w:val="en-IE" w:eastAsia="en-IE"/>
              </w:rPr>
            </w:pPr>
          </w:p>
        </w:tc>
      </w:tr>
      <w:tr w:rsidR="00486288" w:rsidRPr="00EB2752" w14:paraId="0CA8A403" w14:textId="77777777" w:rsidTr="00445C9D">
        <w:trPr>
          <w:trHeight w:val="801"/>
        </w:trPr>
        <w:tc>
          <w:tcPr>
            <w:tcW w:w="768" w:type="pct"/>
            <w:vMerge w:val="restart"/>
            <w:tcBorders>
              <w:top w:val="nil"/>
              <w:left w:val="single" w:sz="8" w:space="0" w:color="auto"/>
              <w:bottom w:val="single" w:sz="8" w:space="0" w:color="000000"/>
              <w:right w:val="single" w:sz="8" w:space="0" w:color="auto"/>
            </w:tcBorders>
            <w:vAlign w:val="center"/>
            <w:hideMark/>
          </w:tcPr>
          <w:p w14:paraId="7624F1A2" w14:textId="77777777" w:rsidR="00486288" w:rsidRPr="00EB2752" w:rsidRDefault="00486288" w:rsidP="00445C9D">
            <w:pPr>
              <w:spacing w:before="0" w:after="0"/>
              <w:rPr>
                <w:rFonts w:eastAsia="Times New Roman"/>
                <w:noProof/>
                <w:color w:val="000000"/>
                <w:sz w:val="21"/>
                <w:szCs w:val="21"/>
                <w:lang w:val="en-IE" w:eastAsia="en-IE"/>
              </w:rPr>
            </w:pPr>
            <w:r w:rsidRPr="00EB2752">
              <w:rPr>
                <w:rFonts w:eastAsia="Times New Roman"/>
                <w:noProof/>
                <w:color w:val="000000"/>
                <w:sz w:val="21"/>
                <w:szCs w:val="21"/>
                <w:lang w:val="en-IE" w:eastAsia="en-IE"/>
              </w:rPr>
              <w:t>TOTAL operational appropriations</w:t>
            </w:r>
          </w:p>
        </w:tc>
        <w:tc>
          <w:tcPr>
            <w:tcW w:w="587" w:type="pct"/>
            <w:tcBorders>
              <w:top w:val="nil"/>
              <w:left w:val="nil"/>
              <w:bottom w:val="single" w:sz="8" w:space="0" w:color="auto"/>
              <w:right w:val="single" w:sz="8" w:space="0" w:color="auto"/>
            </w:tcBorders>
            <w:vAlign w:val="center"/>
            <w:hideMark/>
          </w:tcPr>
          <w:p w14:paraId="0256D34F" w14:textId="77777777" w:rsidR="00486288" w:rsidRPr="00EB2752" w:rsidRDefault="00486288" w:rsidP="00445C9D">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Commitments</w:t>
            </w:r>
          </w:p>
        </w:tc>
        <w:tc>
          <w:tcPr>
            <w:tcW w:w="376" w:type="pct"/>
            <w:tcBorders>
              <w:top w:val="nil"/>
              <w:left w:val="nil"/>
              <w:bottom w:val="single" w:sz="8" w:space="0" w:color="auto"/>
              <w:right w:val="single" w:sz="8" w:space="0" w:color="auto"/>
            </w:tcBorders>
            <w:vAlign w:val="center"/>
            <w:hideMark/>
          </w:tcPr>
          <w:p w14:paraId="57F53020" w14:textId="77777777" w:rsidR="00486288" w:rsidRPr="00EB2752"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EB2752">
              <w:rPr>
                <w:rFonts w:eastAsia="Times New Roman"/>
                <w:noProof/>
                <w:color w:val="000000"/>
                <w:sz w:val="14"/>
                <w:szCs w:val="14"/>
                <w:lang w:val="en-IE" w:eastAsia="en-IE"/>
              </w:rPr>
              <w:t>4</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hideMark/>
          </w:tcPr>
          <w:p w14:paraId="74441ED4"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2</w:t>
            </w:r>
            <w:r>
              <w:rPr>
                <w:noProof/>
                <w:sz w:val="18"/>
                <w:szCs w:val="18"/>
              </w:rPr>
              <w:t>.</w:t>
            </w:r>
            <w:r w:rsidRPr="004C5DFF">
              <w:rPr>
                <w:noProof/>
                <w:sz w:val="18"/>
                <w:szCs w:val="18"/>
              </w:rPr>
              <w:t>604</w:t>
            </w:r>
          </w:p>
        </w:tc>
        <w:tc>
          <w:tcPr>
            <w:tcW w:w="404" w:type="pct"/>
            <w:tcBorders>
              <w:top w:val="nil"/>
              <w:left w:val="nil"/>
              <w:bottom w:val="single" w:sz="8" w:space="0" w:color="auto"/>
              <w:right w:val="single" w:sz="8" w:space="0" w:color="auto"/>
            </w:tcBorders>
            <w:shd w:val="clear" w:color="000000" w:fill="D9D9D9"/>
            <w:hideMark/>
          </w:tcPr>
          <w:p w14:paraId="745FAEBD"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11</w:t>
            </w:r>
            <w:r>
              <w:rPr>
                <w:noProof/>
                <w:sz w:val="18"/>
                <w:szCs w:val="18"/>
              </w:rPr>
              <w:t>.</w:t>
            </w:r>
            <w:r w:rsidRPr="004C5DFF">
              <w:rPr>
                <w:noProof/>
                <w:sz w:val="18"/>
                <w:szCs w:val="18"/>
              </w:rPr>
              <w:t>126</w:t>
            </w:r>
          </w:p>
        </w:tc>
        <w:tc>
          <w:tcPr>
            <w:tcW w:w="404" w:type="pct"/>
            <w:tcBorders>
              <w:top w:val="nil"/>
              <w:left w:val="nil"/>
              <w:bottom w:val="single" w:sz="8" w:space="0" w:color="auto"/>
              <w:right w:val="single" w:sz="8" w:space="0" w:color="auto"/>
            </w:tcBorders>
            <w:shd w:val="clear" w:color="000000" w:fill="D9D9D9"/>
            <w:hideMark/>
          </w:tcPr>
          <w:p w14:paraId="15BF6F17"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17</w:t>
            </w:r>
            <w:r>
              <w:rPr>
                <w:noProof/>
                <w:sz w:val="18"/>
                <w:szCs w:val="18"/>
              </w:rPr>
              <w:t>.</w:t>
            </w:r>
            <w:r w:rsidRPr="004C5DFF">
              <w:rPr>
                <w:noProof/>
                <w:sz w:val="18"/>
                <w:szCs w:val="18"/>
              </w:rPr>
              <w:t>636</w:t>
            </w:r>
          </w:p>
        </w:tc>
        <w:tc>
          <w:tcPr>
            <w:tcW w:w="404" w:type="pct"/>
            <w:tcBorders>
              <w:top w:val="nil"/>
              <w:left w:val="nil"/>
              <w:bottom w:val="single" w:sz="8" w:space="0" w:color="auto"/>
              <w:right w:val="single" w:sz="8" w:space="0" w:color="auto"/>
            </w:tcBorders>
            <w:shd w:val="clear" w:color="000000" w:fill="D9D9D9"/>
            <w:hideMark/>
          </w:tcPr>
          <w:p w14:paraId="6C158485"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14</w:t>
            </w:r>
            <w:r>
              <w:rPr>
                <w:noProof/>
                <w:sz w:val="18"/>
                <w:szCs w:val="18"/>
              </w:rPr>
              <w:t>.</w:t>
            </w:r>
            <w:r w:rsidRPr="004C5DFF">
              <w:rPr>
                <w:noProof/>
                <w:sz w:val="18"/>
                <w:szCs w:val="18"/>
              </w:rPr>
              <w:t>275</w:t>
            </w:r>
          </w:p>
        </w:tc>
        <w:tc>
          <w:tcPr>
            <w:tcW w:w="404" w:type="pct"/>
            <w:tcBorders>
              <w:top w:val="nil"/>
              <w:left w:val="nil"/>
              <w:bottom w:val="single" w:sz="8" w:space="0" w:color="auto"/>
              <w:right w:val="single" w:sz="8" w:space="0" w:color="auto"/>
            </w:tcBorders>
            <w:shd w:val="clear" w:color="000000" w:fill="D9D9D9"/>
            <w:hideMark/>
          </w:tcPr>
          <w:p w14:paraId="1089C0E1"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14</w:t>
            </w:r>
            <w:r>
              <w:rPr>
                <w:noProof/>
                <w:sz w:val="18"/>
                <w:szCs w:val="18"/>
              </w:rPr>
              <w:t>.</w:t>
            </w:r>
            <w:r w:rsidRPr="004C5DFF">
              <w:rPr>
                <w:noProof/>
                <w:sz w:val="18"/>
                <w:szCs w:val="18"/>
              </w:rPr>
              <w:t>275</w:t>
            </w:r>
          </w:p>
        </w:tc>
        <w:tc>
          <w:tcPr>
            <w:tcW w:w="404" w:type="pct"/>
            <w:tcBorders>
              <w:top w:val="nil"/>
              <w:left w:val="nil"/>
              <w:bottom w:val="single" w:sz="8" w:space="0" w:color="auto"/>
              <w:right w:val="single" w:sz="8" w:space="0" w:color="auto"/>
            </w:tcBorders>
            <w:shd w:val="clear" w:color="000000" w:fill="D9D9D9"/>
            <w:hideMark/>
          </w:tcPr>
          <w:p w14:paraId="0FB93435"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14</w:t>
            </w:r>
            <w:r>
              <w:rPr>
                <w:noProof/>
                <w:sz w:val="18"/>
                <w:szCs w:val="18"/>
              </w:rPr>
              <w:t>.</w:t>
            </w:r>
            <w:r w:rsidRPr="004C5DFF">
              <w:rPr>
                <w:noProof/>
                <w:sz w:val="18"/>
                <w:szCs w:val="18"/>
              </w:rPr>
              <w:t>275</w:t>
            </w:r>
          </w:p>
        </w:tc>
        <w:tc>
          <w:tcPr>
            <w:tcW w:w="404" w:type="pct"/>
            <w:tcBorders>
              <w:top w:val="nil"/>
              <w:left w:val="nil"/>
              <w:bottom w:val="single" w:sz="8" w:space="0" w:color="auto"/>
              <w:right w:val="single" w:sz="8" w:space="0" w:color="auto"/>
            </w:tcBorders>
            <w:shd w:val="clear" w:color="000000" w:fill="D9D9D9"/>
            <w:hideMark/>
          </w:tcPr>
          <w:p w14:paraId="4F149F22"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14</w:t>
            </w:r>
            <w:r>
              <w:rPr>
                <w:noProof/>
                <w:sz w:val="18"/>
                <w:szCs w:val="18"/>
              </w:rPr>
              <w:t>.</w:t>
            </w:r>
            <w:r w:rsidRPr="004C5DFF">
              <w:rPr>
                <w:noProof/>
                <w:sz w:val="18"/>
                <w:szCs w:val="18"/>
              </w:rPr>
              <w:t>275</w:t>
            </w:r>
          </w:p>
        </w:tc>
        <w:tc>
          <w:tcPr>
            <w:tcW w:w="441" w:type="pct"/>
            <w:tcBorders>
              <w:top w:val="nil"/>
              <w:left w:val="nil"/>
              <w:bottom w:val="single" w:sz="8" w:space="0" w:color="auto"/>
              <w:right w:val="single" w:sz="8" w:space="0" w:color="auto"/>
            </w:tcBorders>
            <w:shd w:val="clear" w:color="000000" w:fill="D9D9D9"/>
            <w:hideMark/>
          </w:tcPr>
          <w:p w14:paraId="6529B8EF"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88</w:t>
            </w:r>
            <w:r>
              <w:rPr>
                <w:b/>
                <w:bCs/>
                <w:noProof/>
                <w:sz w:val="18"/>
                <w:szCs w:val="18"/>
              </w:rPr>
              <w:t>.</w:t>
            </w:r>
            <w:r w:rsidRPr="004C5DFF">
              <w:rPr>
                <w:b/>
                <w:bCs/>
                <w:noProof/>
                <w:sz w:val="18"/>
                <w:szCs w:val="18"/>
              </w:rPr>
              <w:t>466</w:t>
            </w:r>
          </w:p>
        </w:tc>
      </w:tr>
      <w:tr w:rsidR="00486288" w:rsidRPr="00EB2752" w14:paraId="1182A504" w14:textId="77777777" w:rsidTr="00445C9D">
        <w:trPr>
          <w:trHeight w:val="685"/>
        </w:trPr>
        <w:tc>
          <w:tcPr>
            <w:tcW w:w="768" w:type="pct"/>
            <w:vMerge/>
            <w:tcBorders>
              <w:top w:val="nil"/>
              <w:left w:val="single" w:sz="8" w:space="0" w:color="auto"/>
              <w:bottom w:val="single" w:sz="8" w:space="0" w:color="000000"/>
              <w:right w:val="single" w:sz="8" w:space="0" w:color="auto"/>
            </w:tcBorders>
            <w:vAlign w:val="center"/>
            <w:hideMark/>
          </w:tcPr>
          <w:p w14:paraId="3CA8ABE1" w14:textId="77777777" w:rsidR="00486288" w:rsidRPr="00EB2752" w:rsidRDefault="00486288" w:rsidP="00445C9D">
            <w:pPr>
              <w:spacing w:before="0" w:after="0"/>
              <w:jc w:val="left"/>
              <w:rPr>
                <w:rFonts w:eastAsia="Times New Roman"/>
                <w:noProof/>
                <w:color w:val="000000"/>
                <w:sz w:val="21"/>
                <w:szCs w:val="21"/>
                <w:lang w:val="en-IE" w:eastAsia="en-IE"/>
              </w:rPr>
            </w:pPr>
          </w:p>
        </w:tc>
        <w:tc>
          <w:tcPr>
            <w:tcW w:w="587" w:type="pct"/>
            <w:tcBorders>
              <w:top w:val="nil"/>
              <w:left w:val="nil"/>
              <w:bottom w:val="single" w:sz="8" w:space="0" w:color="auto"/>
              <w:right w:val="single" w:sz="8" w:space="0" w:color="auto"/>
            </w:tcBorders>
            <w:vAlign w:val="center"/>
            <w:hideMark/>
          </w:tcPr>
          <w:p w14:paraId="2DD6B7B2" w14:textId="77777777" w:rsidR="00486288" w:rsidRPr="00EB2752" w:rsidRDefault="00486288" w:rsidP="00445C9D">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Payments</w:t>
            </w:r>
          </w:p>
        </w:tc>
        <w:tc>
          <w:tcPr>
            <w:tcW w:w="376" w:type="pct"/>
            <w:tcBorders>
              <w:top w:val="nil"/>
              <w:left w:val="nil"/>
              <w:bottom w:val="single" w:sz="8" w:space="0" w:color="auto"/>
              <w:right w:val="single" w:sz="8" w:space="0" w:color="auto"/>
            </w:tcBorders>
            <w:vAlign w:val="center"/>
            <w:hideMark/>
          </w:tcPr>
          <w:p w14:paraId="21520327" w14:textId="77777777" w:rsidR="00486288" w:rsidRPr="00EB2752"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EB2752">
              <w:rPr>
                <w:rFonts w:eastAsia="Times New Roman"/>
                <w:noProof/>
                <w:color w:val="000000"/>
                <w:sz w:val="14"/>
                <w:szCs w:val="14"/>
                <w:lang w:val="en-IE" w:eastAsia="en-IE"/>
              </w:rPr>
              <w:t>5</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hideMark/>
          </w:tcPr>
          <w:p w14:paraId="624FC0B0" w14:textId="77777777" w:rsidR="00486288" w:rsidRPr="004C5DFF" w:rsidRDefault="00486288" w:rsidP="00445C9D">
            <w:pPr>
              <w:spacing w:before="0" w:after="0"/>
              <w:jc w:val="right"/>
              <w:rPr>
                <w:rFonts w:eastAsia="Times New Roman"/>
                <w:noProof/>
                <w:color w:val="000000"/>
                <w:sz w:val="18"/>
                <w:szCs w:val="18"/>
                <w:lang w:val="en-IE" w:eastAsia="en-IE"/>
              </w:rPr>
            </w:pPr>
          </w:p>
        </w:tc>
        <w:tc>
          <w:tcPr>
            <w:tcW w:w="404" w:type="pct"/>
            <w:tcBorders>
              <w:top w:val="nil"/>
              <w:left w:val="nil"/>
              <w:bottom w:val="single" w:sz="8" w:space="0" w:color="auto"/>
              <w:right w:val="single" w:sz="8" w:space="0" w:color="auto"/>
            </w:tcBorders>
            <w:shd w:val="clear" w:color="000000" w:fill="D9D9D9"/>
            <w:hideMark/>
          </w:tcPr>
          <w:p w14:paraId="28A011C1"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2</w:t>
            </w:r>
            <w:r>
              <w:rPr>
                <w:noProof/>
                <w:sz w:val="18"/>
                <w:szCs w:val="18"/>
              </w:rPr>
              <w:t>.</w:t>
            </w:r>
            <w:r w:rsidRPr="004C5DFF">
              <w:rPr>
                <w:noProof/>
                <w:sz w:val="18"/>
                <w:szCs w:val="18"/>
              </w:rPr>
              <w:t>604</w:t>
            </w:r>
          </w:p>
        </w:tc>
        <w:tc>
          <w:tcPr>
            <w:tcW w:w="404" w:type="pct"/>
            <w:tcBorders>
              <w:top w:val="nil"/>
              <w:left w:val="nil"/>
              <w:bottom w:val="single" w:sz="8" w:space="0" w:color="auto"/>
              <w:right w:val="single" w:sz="8" w:space="0" w:color="auto"/>
            </w:tcBorders>
            <w:shd w:val="clear" w:color="000000" w:fill="D9D9D9"/>
            <w:hideMark/>
          </w:tcPr>
          <w:p w14:paraId="1FD5EF95"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11</w:t>
            </w:r>
            <w:r>
              <w:rPr>
                <w:noProof/>
                <w:sz w:val="18"/>
                <w:szCs w:val="18"/>
              </w:rPr>
              <w:t>.</w:t>
            </w:r>
            <w:r w:rsidRPr="004C5DFF">
              <w:rPr>
                <w:noProof/>
                <w:sz w:val="18"/>
                <w:szCs w:val="18"/>
              </w:rPr>
              <w:t>126</w:t>
            </w:r>
          </w:p>
        </w:tc>
        <w:tc>
          <w:tcPr>
            <w:tcW w:w="404" w:type="pct"/>
            <w:tcBorders>
              <w:top w:val="nil"/>
              <w:left w:val="nil"/>
              <w:bottom w:val="single" w:sz="8" w:space="0" w:color="auto"/>
              <w:right w:val="single" w:sz="8" w:space="0" w:color="auto"/>
            </w:tcBorders>
            <w:shd w:val="clear" w:color="000000" w:fill="D9D9D9"/>
            <w:hideMark/>
          </w:tcPr>
          <w:p w14:paraId="6D54F221"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17</w:t>
            </w:r>
            <w:r>
              <w:rPr>
                <w:noProof/>
                <w:sz w:val="18"/>
                <w:szCs w:val="18"/>
              </w:rPr>
              <w:t>.</w:t>
            </w:r>
            <w:r w:rsidRPr="004C5DFF">
              <w:rPr>
                <w:noProof/>
                <w:sz w:val="18"/>
                <w:szCs w:val="18"/>
              </w:rPr>
              <w:t>636</w:t>
            </w:r>
          </w:p>
        </w:tc>
        <w:tc>
          <w:tcPr>
            <w:tcW w:w="404" w:type="pct"/>
            <w:tcBorders>
              <w:top w:val="nil"/>
              <w:left w:val="nil"/>
              <w:bottom w:val="single" w:sz="8" w:space="0" w:color="auto"/>
              <w:right w:val="single" w:sz="8" w:space="0" w:color="auto"/>
            </w:tcBorders>
            <w:shd w:val="clear" w:color="000000" w:fill="D9D9D9"/>
            <w:hideMark/>
          </w:tcPr>
          <w:p w14:paraId="6ED9D55F"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14</w:t>
            </w:r>
            <w:r>
              <w:rPr>
                <w:noProof/>
                <w:sz w:val="18"/>
                <w:szCs w:val="18"/>
              </w:rPr>
              <w:t>.</w:t>
            </w:r>
            <w:r w:rsidRPr="004C5DFF">
              <w:rPr>
                <w:noProof/>
                <w:sz w:val="18"/>
                <w:szCs w:val="18"/>
              </w:rPr>
              <w:t>275</w:t>
            </w:r>
          </w:p>
        </w:tc>
        <w:tc>
          <w:tcPr>
            <w:tcW w:w="404" w:type="pct"/>
            <w:tcBorders>
              <w:top w:val="nil"/>
              <w:left w:val="nil"/>
              <w:bottom w:val="single" w:sz="8" w:space="0" w:color="auto"/>
              <w:right w:val="single" w:sz="8" w:space="0" w:color="auto"/>
            </w:tcBorders>
            <w:shd w:val="clear" w:color="000000" w:fill="D9D9D9"/>
            <w:hideMark/>
          </w:tcPr>
          <w:p w14:paraId="35DB813E"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14</w:t>
            </w:r>
            <w:r>
              <w:rPr>
                <w:noProof/>
                <w:sz w:val="18"/>
                <w:szCs w:val="18"/>
              </w:rPr>
              <w:t>.</w:t>
            </w:r>
            <w:r w:rsidRPr="004C5DFF">
              <w:rPr>
                <w:noProof/>
                <w:sz w:val="18"/>
                <w:szCs w:val="18"/>
              </w:rPr>
              <w:t>275</w:t>
            </w:r>
          </w:p>
        </w:tc>
        <w:tc>
          <w:tcPr>
            <w:tcW w:w="404" w:type="pct"/>
            <w:tcBorders>
              <w:top w:val="nil"/>
              <w:left w:val="nil"/>
              <w:bottom w:val="single" w:sz="8" w:space="0" w:color="auto"/>
              <w:right w:val="single" w:sz="8" w:space="0" w:color="auto"/>
            </w:tcBorders>
            <w:shd w:val="clear" w:color="000000" w:fill="D9D9D9"/>
            <w:hideMark/>
          </w:tcPr>
          <w:p w14:paraId="40F9F85F"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14</w:t>
            </w:r>
            <w:r>
              <w:rPr>
                <w:noProof/>
                <w:sz w:val="18"/>
                <w:szCs w:val="18"/>
              </w:rPr>
              <w:t>.</w:t>
            </w:r>
            <w:r w:rsidRPr="004C5DFF">
              <w:rPr>
                <w:noProof/>
                <w:sz w:val="18"/>
                <w:szCs w:val="18"/>
              </w:rPr>
              <w:t>275</w:t>
            </w:r>
          </w:p>
        </w:tc>
        <w:tc>
          <w:tcPr>
            <w:tcW w:w="441" w:type="pct"/>
            <w:tcBorders>
              <w:top w:val="nil"/>
              <w:left w:val="nil"/>
              <w:bottom w:val="single" w:sz="8" w:space="0" w:color="auto"/>
              <w:right w:val="single" w:sz="8" w:space="0" w:color="auto"/>
            </w:tcBorders>
            <w:shd w:val="clear" w:color="000000" w:fill="D9D9D9"/>
            <w:hideMark/>
          </w:tcPr>
          <w:p w14:paraId="50BA2DFA"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74</w:t>
            </w:r>
            <w:r>
              <w:rPr>
                <w:b/>
                <w:bCs/>
                <w:noProof/>
                <w:sz w:val="18"/>
                <w:szCs w:val="18"/>
              </w:rPr>
              <w:t>.</w:t>
            </w:r>
            <w:r w:rsidRPr="004C5DFF">
              <w:rPr>
                <w:b/>
                <w:bCs/>
                <w:noProof/>
                <w:sz w:val="18"/>
                <w:szCs w:val="18"/>
              </w:rPr>
              <w:t>191</w:t>
            </w:r>
          </w:p>
        </w:tc>
      </w:tr>
      <w:tr w:rsidR="00486288" w:rsidRPr="00EB2752" w14:paraId="5F33221B" w14:textId="77777777" w:rsidTr="00445C9D">
        <w:trPr>
          <w:trHeight w:val="433"/>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5C015215" w14:textId="77777777" w:rsidR="00486288" w:rsidRPr="00EB2752" w:rsidRDefault="00486288" w:rsidP="00445C9D">
            <w:pPr>
              <w:spacing w:before="0" w:after="0"/>
              <w:rPr>
                <w:rFonts w:eastAsia="Times New Roman"/>
                <w:noProof/>
                <w:color w:val="000000"/>
                <w:sz w:val="21"/>
                <w:szCs w:val="21"/>
                <w:lang w:val="en-IE" w:eastAsia="en-IE"/>
              </w:rPr>
            </w:pPr>
            <w:r w:rsidRPr="00EB2752">
              <w:rPr>
                <w:rFonts w:eastAsia="Times New Roman"/>
                <w:noProof/>
                <w:color w:val="000000"/>
                <w:sz w:val="21"/>
                <w:szCs w:val="21"/>
                <w:lang w:val="en-IE" w:eastAsia="en-IE"/>
              </w:rPr>
              <w:t xml:space="preserve">TOTAL appropriations of an administrative nature financed from the envelope for specific programmes </w:t>
            </w:r>
          </w:p>
        </w:tc>
        <w:tc>
          <w:tcPr>
            <w:tcW w:w="376" w:type="pct"/>
            <w:tcBorders>
              <w:top w:val="nil"/>
              <w:left w:val="nil"/>
              <w:bottom w:val="single" w:sz="8" w:space="0" w:color="auto"/>
              <w:right w:val="single" w:sz="8" w:space="0" w:color="auto"/>
            </w:tcBorders>
            <w:vAlign w:val="center"/>
            <w:hideMark/>
          </w:tcPr>
          <w:p w14:paraId="39B6E258" w14:textId="77777777" w:rsidR="00486288" w:rsidRPr="00EB2752"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EB2752">
              <w:rPr>
                <w:rFonts w:eastAsia="Times New Roman"/>
                <w:noProof/>
                <w:color w:val="000000"/>
                <w:sz w:val="14"/>
                <w:szCs w:val="14"/>
                <w:lang w:val="en-IE" w:eastAsia="en-IE"/>
              </w:rPr>
              <w:t>6</w:t>
            </w:r>
            <w:r>
              <w:rPr>
                <w:rFonts w:eastAsia="Times New Roman"/>
                <w:noProof/>
                <w:color w:val="000000"/>
                <w:sz w:val="14"/>
                <w:szCs w:val="14"/>
                <w:lang w:val="en-IE" w:eastAsia="en-IE"/>
              </w:rPr>
              <w:t>)</w:t>
            </w:r>
          </w:p>
        </w:tc>
        <w:tc>
          <w:tcPr>
            <w:tcW w:w="404" w:type="pct"/>
            <w:tcBorders>
              <w:top w:val="nil"/>
              <w:left w:val="nil"/>
              <w:bottom w:val="single" w:sz="8" w:space="0" w:color="auto"/>
              <w:right w:val="single" w:sz="8" w:space="0" w:color="auto"/>
            </w:tcBorders>
            <w:shd w:val="clear" w:color="000000" w:fill="D9D9D9"/>
            <w:hideMark/>
          </w:tcPr>
          <w:p w14:paraId="38162755"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6,604</w:t>
            </w:r>
          </w:p>
        </w:tc>
        <w:tc>
          <w:tcPr>
            <w:tcW w:w="404" w:type="pct"/>
            <w:tcBorders>
              <w:top w:val="nil"/>
              <w:left w:val="nil"/>
              <w:bottom w:val="single" w:sz="8" w:space="0" w:color="auto"/>
              <w:right w:val="single" w:sz="8" w:space="0" w:color="auto"/>
            </w:tcBorders>
            <w:shd w:val="clear" w:color="000000" w:fill="D9D9D9"/>
            <w:hideMark/>
          </w:tcPr>
          <w:p w14:paraId="44EFA7CB"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14</w:t>
            </w:r>
            <w:r>
              <w:rPr>
                <w:noProof/>
                <w:sz w:val="18"/>
                <w:szCs w:val="18"/>
              </w:rPr>
              <w:t>.</w:t>
            </w:r>
            <w:r w:rsidRPr="004C5DFF">
              <w:rPr>
                <w:noProof/>
                <w:sz w:val="18"/>
                <w:szCs w:val="18"/>
              </w:rPr>
              <w:t>178</w:t>
            </w:r>
          </w:p>
        </w:tc>
        <w:tc>
          <w:tcPr>
            <w:tcW w:w="404" w:type="pct"/>
            <w:tcBorders>
              <w:top w:val="nil"/>
              <w:left w:val="nil"/>
              <w:bottom w:val="single" w:sz="8" w:space="0" w:color="auto"/>
              <w:right w:val="single" w:sz="8" w:space="0" w:color="auto"/>
            </w:tcBorders>
            <w:shd w:val="clear" w:color="000000" w:fill="D9D9D9"/>
            <w:hideMark/>
          </w:tcPr>
          <w:p w14:paraId="3904EE43"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23</w:t>
            </w:r>
            <w:r>
              <w:rPr>
                <w:noProof/>
                <w:sz w:val="18"/>
                <w:szCs w:val="18"/>
              </w:rPr>
              <w:t>.</w:t>
            </w:r>
            <w:r w:rsidRPr="004C5DFF">
              <w:rPr>
                <w:noProof/>
                <w:sz w:val="18"/>
                <w:szCs w:val="18"/>
              </w:rPr>
              <w:t>491</w:t>
            </w:r>
          </w:p>
        </w:tc>
        <w:tc>
          <w:tcPr>
            <w:tcW w:w="404" w:type="pct"/>
            <w:tcBorders>
              <w:top w:val="nil"/>
              <w:left w:val="nil"/>
              <w:bottom w:val="single" w:sz="8" w:space="0" w:color="auto"/>
              <w:right w:val="single" w:sz="8" w:space="0" w:color="auto"/>
            </w:tcBorders>
            <w:shd w:val="clear" w:color="000000" w:fill="D9D9D9"/>
            <w:hideMark/>
          </w:tcPr>
          <w:p w14:paraId="0D35602D"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23</w:t>
            </w:r>
            <w:r>
              <w:rPr>
                <w:noProof/>
                <w:sz w:val="18"/>
                <w:szCs w:val="18"/>
              </w:rPr>
              <w:t>.</w:t>
            </w:r>
            <w:r w:rsidRPr="004C5DFF">
              <w:rPr>
                <w:noProof/>
                <w:sz w:val="18"/>
                <w:szCs w:val="18"/>
              </w:rPr>
              <w:t>491</w:t>
            </w:r>
          </w:p>
        </w:tc>
        <w:tc>
          <w:tcPr>
            <w:tcW w:w="404" w:type="pct"/>
            <w:tcBorders>
              <w:top w:val="nil"/>
              <w:left w:val="nil"/>
              <w:bottom w:val="single" w:sz="8" w:space="0" w:color="auto"/>
              <w:right w:val="single" w:sz="8" w:space="0" w:color="auto"/>
            </w:tcBorders>
            <w:shd w:val="clear" w:color="000000" w:fill="D9D9D9"/>
            <w:hideMark/>
          </w:tcPr>
          <w:p w14:paraId="53B75E09"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23</w:t>
            </w:r>
            <w:r>
              <w:rPr>
                <w:noProof/>
                <w:sz w:val="18"/>
                <w:szCs w:val="18"/>
              </w:rPr>
              <w:t>.</w:t>
            </w:r>
            <w:r w:rsidRPr="004C5DFF">
              <w:rPr>
                <w:noProof/>
                <w:sz w:val="18"/>
                <w:szCs w:val="18"/>
              </w:rPr>
              <w:t>491</w:t>
            </w:r>
          </w:p>
        </w:tc>
        <w:tc>
          <w:tcPr>
            <w:tcW w:w="404" w:type="pct"/>
            <w:tcBorders>
              <w:top w:val="nil"/>
              <w:left w:val="nil"/>
              <w:bottom w:val="single" w:sz="8" w:space="0" w:color="auto"/>
              <w:right w:val="single" w:sz="8" w:space="0" w:color="auto"/>
            </w:tcBorders>
            <w:shd w:val="clear" w:color="000000" w:fill="D9D9D9"/>
            <w:hideMark/>
          </w:tcPr>
          <w:p w14:paraId="3C9F683F"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23</w:t>
            </w:r>
            <w:r>
              <w:rPr>
                <w:noProof/>
                <w:sz w:val="18"/>
                <w:szCs w:val="18"/>
              </w:rPr>
              <w:t>.</w:t>
            </w:r>
            <w:r w:rsidRPr="004C5DFF">
              <w:rPr>
                <w:noProof/>
                <w:sz w:val="18"/>
                <w:szCs w:val="18"/>
              </w:rPr>
              <w:t>491</w:t>
            </w:r>
          </w:p>
        </w:tc>
        <w:tc>
          <w:tcPr>
            <w:tcW w:w="404" w:type="pct"/>
            <w:tcBorders>
              <w:top w:val="nil"/>
              <w:left w:val="nil"/>
              <w:bottom w:val="single" w:sz="8" w:space="0" w:color="auto"/>
              <w:right w:val="single" w:sz="8" w:space="0" w:color="auto"/>
            </w:tcBorders>
            <w:shd w:val="clear" w:color="000000" w:fill="D9D9D9"/>
            <w:hideMark/>
          </w:tcPr>
          <w:p w14:paraId="4A6EFEB8"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23</w:t>
            </w:r>
            <w:r>
              <w:rPr>
                <w:noProof/>
                <w:sz w:val="18"/>
                <w:szCs w:val="18"/>
              </w:rPr>
              <w:t>.</w:t>
            </w:r>
            <w:r w:rsidRPr="004C5DFF">
              <w:rPr>
                <w:noProof/>
                <w:sz w:val="18"/>
                <w:szCs w:val="18"/>
              </w:rPr>
              <w:t>491</w:t>
            </w:r>
          </w:p>
        </w:tc>
        <w:tc>
          <w:tcPr>
            <w:tcW w:w="441" w:type="pct"/>
            <w:tcBorders>
              <w:top w:val="nil"/>
              <w:left w:val="nil"/>
              <w:bottom w:val="single" w:sz="8" w:space="0" w:color="auto"/>
              <w:right w:val="single" w:sz="8" w:space="0" w:color="auto"/>
            </w:tcBorders>
            <w:shd w:val="clear" w:color="000000" w:fill="D9D9D9"/>
            <w:hideMark/>
          </w:tcPr>
          <w:p w14:paraId="1F2EBDC6"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138</w:t>
            </w:r>
            <w:r>
              <w:rPr>
                <w:b/>
                <w:bCs/>
                <w:noProof/>
                <w:sz w:val="18"/>
                <w:szCs w:val="18"/>
              </w:rPr>
              <w:t>.</w:t>
            </w:r>
            <w:r w:rsidRPr="004C5DFF">
              <w:rPr>
                <w:b/>
                <w:bCs/>
                <w:noProof/>
                <w:sz w:val="18"/>
                <w:szCs w:val="18"/>
              </w:rPr>
              <w:t>239</w:t>
            </w:r>
          </w:p>
        </w:tc>
      </w:tr>
      <w:tr w:rsidR="00486288" w:rsidRPr="00EB2752" w14:paraId="01EF14F1" w14:textId="77777777" w:rsidTr="00445C9D">
        <w:trPr>
          <w:trHeight w:val="418"/>
        </w:trPr>
        <w:tc>
          <w:tcPr>
            <w:tcW w:w="768" w:type="pct"/>
            <w:tcBorders>
              <w:top w:val="nil"/>
              <w:left w:val="single" w:sz="8" w:space="0" w:color="auto"/>
              <w:bottom w:val="nil"/>
              <w:right w:val="single" w:sz="8" w:space="0" w:color="auto"/>
            </w:tcBorders>
            <w:shd w:val="thinDiagStripe" w:color="C0C0C0" w:fill="E6E6E6"/>
            <w:vAlign w:val="center"/>
            <w:hideMark/>
          </w:tcPr>
          <w:p w14:paraId="47B04318" w14:textId="77777777" w:rsidR="00486288" w:rsidRPr="00EB2752" w:rsidRDefault="00486288" w:rsidP="00445C9D">
            <w:pPr>
              <w:spacing w:before="0" w:after="0"/>
              <w:jc w:val="center"/>
              <w:rPr>
                <w:rFonts w:eastAsia="Times New Roman"/>
                <w:b/>
                <w:bCs/>
                <w:noProof/>
                <w:color w:val="000000"/>
                <w:sz w:val="22"/>
                <w:lang w:val="en-IE" w:eastAsia="en-IE"/>
              </w:rPr>
            </w:pPr>
            <w:r w:rsidRPr="00EB2752">
              <w:rPr>
                <w:rFonts w:eastAsia="Times New Roman"/>
                <w:b/>
                <w:bCs/>
                <w:noProof/>
                <w:color w:val="000000"/>
                <w:sz w:val="22"/>
                <w:lang w:val="en-IE" w:eastAsia="en-IE"/>
              </w:rPr>
              <w:t xml:space="preserve">TOTAL appropriations under HEADING </w:t>
            </w:r>
            <w:r>
              <w:rPr>
                <w:rFonts w:eastAsia="Times New Roman"/>
                <w:b/>
                <w:bCs/>
                <w:noProof/>
                <w:color w:val="000000"/>
                <w:sz w:val="22"/>
                <w:lang w:val="en-IE" w:eastAsia="en-IE"/>
              </w:rPr>
              <w:t>2</w:t>
            </w:r>
          </w:p>
        </w:tc>
        <w:tc>
          <w:tcPr>
            <w:tcW w:w="587" w:type="pct"/>
            <w:tcBorders>
              <w:top w:val="nil"/>
              <w:left w:val="nil"/>
              <w:bottom w:val="single" w:sz="8" w:space="0" w:color="auto"/>
              <w:right w:val="single" w:sz="8" w:space="0" w:color="auto"/>
            </w:tcBorders>
            <w:vAlign w:val="center"/>
            <w:hideMark/>
          </w:tcPr>
          <w:p w14:paraId="500ACF07" w14:textId="77777777" w:rsidR="00486288" w:rsidRPr="00EB2752" w:rsidRDefault="00486288" w:rsidP="00445C9D">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Commitments</w:t>
            </w:r>
          </w:p>
        </w:tc>
        <w:tc>
          <w:tcPr>
            <w:tcW w:w="376" w:type="pct"/>
            <w:tcBorders>
              <w:top w:val="nil"/>
              <w:left w:val="nil"/>
              <w:bottom w:val="single" w:sz="8" w:space="0" w:color="auto"/>
              <w:right w:val="single" w:sz="8" w:space="0" w:color="auto"/>
            </w:tcBorders>
            <w:vAlign w:val="center"/>
            <w:hideMark/>
          </w:tcPr>
          <w:p w14:paraId="49B51B2E" w14:textId="77777777" w:rsidR="00486288" w:rsidRPr="00EB2752"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404" w:type="pct"/>
            <w:tcBorders>
              <w:top w:val="nil"/>
              <w:left w:val="nil"/>
              <w:bottom w:val="single" w:sz="8" w:space="0" w:color="auto"/>
              <w:right w:val="single" w:sz="8" w:space="0" w:color="auto"/>
            </w:tcBorders>
            <w:shd w:val="clear" w:color="000000" w:fill="D9D9D9"/>
            <w:hideMark/>
          </w:tcPr>
          <w:p w14:paraId="43E0932B"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9</w:t>
            </w:r>
            <w:r>
              <w:rPr>
                <w:b/>
                <w:bCs/>
                <w:noProof/>
                <w:sz w:val="18"/>
                <w:szCs w:val="18"/>
              </w:rPr>
              <w:t>.</w:t>
            </w:r>
            <w:r w:rsidRPr="004C5DFF">
              <w:rPr>
                <w:b/>
                <w:bCs/>
                <w:noProof/>
                <w:sz w:val="18"/>
                <w:szCs w:val="18"/>
              </w:rPr>
              <w:t>209</w:t>
            </w:r>
          </w:p>
        </w:tc>
        <w:tc>
          <w:tcPr>
            <w:tcW w:w="404" w:type="pct"/>
            <w:tcBorders>
              <w:top w:val="nil"/>
              <w:left w:val="nil"/>
              <w:bottom w:val="single" w:sz="8" w:space="0" w:color="auto"/>
              <w:right w:val="single" w:sz="8" w:space="0" w:color="auto"/>
            </w:tcBorders>
            <w:shd w:val="clear" w:color="000000" w:fill="D9D9D9"/>
            <w:hideMark/>
          </w:tcPr>
          <w:p w14:paraId="197AC233"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25</w:t>
            </w:r>
            <w:r>
              <w:rPr>
                <w:b/>
                <w:bCs/>
                <w:noProof/>
                <w:sz w:val="18"/>
                <w:szCs w:val="18"/>
              </w:rPr>
              <w:t>.</w:t>
            </w:r>
            <w:r w:rsidRPr="004C5DFF">
              <w:rPr>
                <w:b/>
                <w:bCs/>
                <w:noProof/>
                <w:sz w:val="18"/>
                <w:szCs w:val="18"/>
              </w:rPr>
              <w:t>303</w:t>
            </w:r>
          </w:p>
        </w:tc>
        <w:tc>
          <w:tcPr>
            <w:tcW w:w="404" w:type="pct"/>
            <w:tcBorders>
              <w:top w:val="nil"/>
              <w:left w:val="nil"/>
              <w:bottom w:val="single" w:sz="8" w:space="0" w:color="auto"/>
              <w:right w:val="single" w:sz="8" w:space="0" w:color="auto"/>
            </w:tcBorders>
            <w:shd w:val="clear" w:color="000000" w:fill="D9D9D9"/>
            <w:hideMark/>
          </w:tcPr>
          <w:p w14:paraId="1578CF62"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41</w:t>
            </w:r>
            <w:r>
              <w:rPr>
                <w:b/>
                <w:bCs/>
                <w:noProof/>
                <w:sz w:val="18"/>
                <w:szCs w:val="18"/>
              </w:rPr>
              <w:t>.</w:t>
            </w:r>
            <w:r w:rsidRPr="004C5DFF">
              <w:rPr>
                <w:b/>
                <w:bCs/>
                <w:noProof/>
                <w:sz w:val="18"/>
                <w:szCs w:val="18"/>
              </w:rPr>
              <w:t>128</w:t>
            </w:r>
          </w:p>
        </w:tc>
        <w:tc>
          <w:tcPr>
            <w:tcW w:w="404" w:type="pct"/>
            <w:tcBorders>
              <w:top w:val="nil"/>
              <w:left w:val="nil"/>
              <w:bottom w:val="single" w:sz="8" w:space="0" w:color="auto"/>
              <w:right w:val="single" w:sz="8" w:space="0" w:color="auto"/>
            </w:tcBorders>
            <w:shd w:val="clear" w:color="000000" w:fill="D9D9D9"/>
            <w:hideMark/>
          </w:tcPr>
          <w:p w14:paraId="56B8A68F"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37</w:t>
            </w:r>
            <w:r>
              <w:rPr>
                <w:b/>
                <w:bCs/>
                <w:noProof/>
                <w:sz w:val="18"/>
                <w:szCs w:val="18"/>
              </w:rPr>
              <w:t>.</w:t>
            </w:r>
            <w:r w:rsidRPr="004C5DFF">
              <w:rPr>
                <w:b/>
                <w:bCs/>
                <w:noProof/>
                <w:sz w:val="18"/>
                <w:szCs w:val="18"/>
              </w:rPr>
              <w:t>766</w:t>
            </w:r>
          </w:p>
        </w:tc>
        <w:tc>
          <w:tcPr>
            <w:tcW w:w="404" w:type="pct"/>
            <w:tcBorders>
              <w:top w:val="nil"/>
              <w:left w:val="nil"/>
              <w:bottom w:val="single" w:sz="8" w:space="0" w:color="auto"/>
              <w:right w:val="single" w:sz="8" w:space="0" w:color="auto"/>
            </w:tcBorders>
            <w:shd w:val="clear" w:color="000000" w:fill="D9D9D9"/>
            <w:hideMark/>
          </w:tcPr>
          <w:p w14:paraId="04DAB27D"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37</w:t>
            </w:r>
            <w:r>
              <w:rPr>
                <w:b/>
                <w:bCs/>
                <w:noProof/>
                <w:sz w:val="18"/>
                <w:szCs w:val="18"/>
              </w:rPr>
              <w:t>.</w:t>
            </w:r>
            <w:r w:rsidRPr="004C5DFF">
              <w:rPr>
                <w:b/>
                <w:bCs/>
                <w:noProof/>
                <w:sz w:val="18"/>
                <w:szCs w:val="18"/>
              </w:rPr>
              <w:t>766</w:t>
            </w:r>
          </w:p>
        </w:tc>
        <w:tc>
          <w:tcPr>
            <w:tcW w:w="404" w:type="pct"/>
            <w:tcBorders>
              <w:top w:val="nil"/>
              <w:left w:val="nil"/>
              <w:bottom w:val="single" w:sz="8" w:space="0" w:color="auto"/>
              <w:right w:val="single" w:sz="8" w:space="0" w:color="auto"/>
            </w:tcBorders>
            <w:shd w:val="clear" w:color="000000" w:fill="D9D9D9"/>
            <w:hideMark/>
          </w:tcPr>
          <w:p w14:paraId="54FE2686"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37</w:t>
            </w:r>
            <w:r>
              <w:rPr>
                <w:b/>
                <w:bCs/>
                <w:noProof/>
                <w:sz w:val="18"/>
                <w:szCs w:val="18"/>
              </w:rPr>
              <w:t>.</w:t>
            </w:r>
            <w:r w:rsidRPr="004C5DFF">
              <w:rPr>
                <w:b/>
                <w:bCs/>
                <w:noProof/>
                <w:sz w:val="18"/>
                <w:szCs w:val="18"/>
              </w:rPr>
              <w:t>766</w:t>
            </w:r>
          </w:p>
        </w:tc>
        <w:tc>
          <w:tcPr>
            <w:tcW w:w="404" w:type="pct"/>
            <w:tcBorders>
              <w:top w:val="nil"/>
              <w:left w:val="nil"/>
              <w:bottom w:val="single" w:sz="8" w:space="0" w:color="auto"/>
              <w:right w:val="single" w:sz="8" w:space="0" w:color="auto"/>
            </w:tcBorders>
            <w:shd w:val="clear" w:color="000000" w:fill="D9D9D9"/>
            <w:hideMark/>
          </w:tcPr>
          <w:p w14:paraId="3518B69A"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37</w:t>
            </w:r>
            <w:r>
              <w:rPr>
                <w:b/>
                <w:bCs/>
                <w:noProof/>
                <w:sz w:val="18"/>
                <w:szCs w:val="18"/>
              </w:rPr>
              <w:t>.</w:t>
            </w:r>
            <w:r w:rsidRPr="004C5DFF">
              <w:rPr>
                <w:b/>
                <w:bCs/>
                <w:noProof/>
                <w:sz w:val="18"/>
                <w:szCs w:val="18"/>
              </w:rPr>
              <w:t>766</w:t>
            </w:r>
          </w:p>
        </w:tc>
        <w:tc>
          <w:tcPr>
            <w:tcW w:w="441" w:type="pct"/>
            <w:tcBorders>
              <w:top w:val="nil"/>
              <w:left w:val="nil"/>
              <w:bottom w:val="single" w:sz="8" w:space="0" w:color="auto"/>
              <w:right w:val="single" w:sz="8" w:space="0" w:color="auto"/>
            </w:tcBorders>
            <w:shd w:val="clear" w:color="000000" w:fill="D9D9D9"/>
            <w:hideMark/>
          </w:tcPr>
          <w:p w14:paraId="1021F635"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226</w:t>
            </w:r>
            <w:r>
              <w:rPr>
                <w:b/>
                <w:bCs/>
                <w:noProof/>
                <w:sz w:val="18"/>
                <w:szCs w:val="18"/>
              </w:rPr>
              <w:t>.</w:t>
            </w:r>
            <w:r w:rsidRPr="004C5DFF">
              <w:rPr>
                <w:b/>
                <w:bCs/>
                <w:noProof/>
                <w:sz w:val="18"/>
                <w:szCs w:val="18"/>
              </w:rPr>
              <w:t>705</w:t>
            </w:r>
          </w:p>
        </w:tc>
      </w:tr>
      <w:tr w:rsidR="00486288" w:rsidRPr="00EB2752" w14:paraId="6E22D929" w14:textId="77777777" w:rsidTr="00445C9D">
        <w:trPr>
          <w:trHeight w:val="268"/>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4C03122E" w14:textId="77777777" w:rsidR="00486288" w:rsidRPr="00EB2752" w:rsidRDefault="00486288" w:rsidP="00445C9D">
            <w:pPr>
              <w:spacing w:before="0" w:after="0"/>
              <w:jc w:val="center"/>
              <w:rPr>
                <w:rFonts w:eastAsia="Times New Roman"/>
                <w:noProof/>
                <w:color w:val="000000"/>
                <w:sz w:val="22"/>
                <w:lang w:val="en-IE" w:eastAsia="en-IE"/>
              </w:rPr>
            </w:pPr>
            <w:r w:rsidRPr="00EB2752">
              <w:rPr>
                <w:rFonts w:eastAsia="Times New Roman"/>
                <w:noProof/>
                <w:color w:val="000000"/>
                <w:sz w:val="22"/>
                <w:lang w:val="en-IE" w:eastAsia="en-IE"/>
              </w:rPr>
              <w:t>of the multiannual financial framework</w:t>
            </w:r>
          </w:p>
        </w:tc>
        <w:tc>
          <w:tcPr>
            <w:tcW w:w="587" w:type="pct"/>
            <w:tcBorders>
              <w:top w:val="nil"/>
              <w:left w:val="nil"/>
              <w:bottom w:val="single" w:sz="8" w:space="0" w:color="auto"/>
              <w:right w:val="single" w:sz="8" w:space="0" w:color="auto"/>
            </w:tcBorders>
            <w:vAlign w:val="center"/>
            <w:hideMark/>
          </w:tcPr>
          <w:p w14:paraId="2CDD4422" w14:textId="77777777" w:rsidR="00486288" w:rsidRPr="00EB2752" w:rsidRDefault="00486288" w:rsidP="00445C9D">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Payments</w:t>
            </w:r>
          </w:p>
        </w:tc>
        <w:tc>
          <w:tcPr>
            <w:tcW w:w="376" w:type="pct"/>
            <w:tcBorders>
              <w:top w:val="nil"/>
              <w:left w:val="nil"/>
              <w:bottom w:val="single" w:sz="8" w:space="0" w:color="auto"/>
              <w:right w:val="single" w:sz="8" w:space="0" w:color="auto"/>
            </w:tcBorders>
            <w:vAlign w:val="center"/>
            <w:hideMark/>
          </w:tcPr>
          <w:p w14:paraId="3F8B9987" w14:textId="77777777" w:rsidR="00486288" w:rsidRPr="00EB2752"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404" w:type="pct"/>
            <w:tcBorders>
              <w:top w:val="nil"/>
              <w:left w:val="nil"/>
              <w:bottom w:val="single" w:sz="8" w:space="0" w:color="auto"/>
              <w:right w:val="single" w:sz="8" w:space="0" w:color="auto"/>
            </w:tcBorders>
            <w:shd w:val="clear" w:color="000000" w:fill="D9D9D9"/>
            <w:hideMark/>
          </w:tcPr>
          <w:p w14:paraId="698DAD54"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6</w:t>
            </w:r>
            <w:r>
              <w:rPr>
                <w:b/>
                <w:bCs/>
                <w:noProof/>
                <w:sz w:val="18"/>
                <w:szCs w:val="18"/>
              </w:rPr>
              <w:t>.</w:t>
            </w:r>
            <w:r w:rsidRPr="004C5DFF">
              <w:rPr>
                <w:b/>
                <w:bCs/>
                <w:noProof/>
                <w:sz w:val="18"/>
                <w:szCs w:val="18"/>
              </w:rPr>
              <w:t>604</w:t>
            </w:r>
          </w:p>
        </w:tc>
        <w:tc>
          <w:tcPr>
            <w:tcW w:w="404" w:type="pct"/>
            <w:tcBorders>
              <w:top w:val="nil"/>
              <w:left w:val="nil"/>
              <w:bottom w:val="single" w:sz="8" w:space="0" w:color="auto"/>
              <w:right w:val="single" w:sz="8" w:space="0" w:color="auto"/>
            </w:tcBorders>
            <w:shd w:val="clear" w:color="000000" w:fill="D9D9D9"/>
            <w:hideMark/>
          </w:tcPr>
          <w:p w14:paraId="7B3F4ED2"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16</w:t>
            </w:r>
            <w:r>
              <w:rPr>
                <w:b/>
                <w:bCs/>
                <w:noProof/>
                <w:sz w:val="18"/>
                <w:szCs w:val="18"/>
              </w:rPr>
              <w:t>.</w:t>
            </w:r>
            <w:r w:rsidRPr="004C5DFF">
              <w:rPr>
                <w:b/>
                <w:bCs/>
                <w:noProof/>
                <w:sz w:val="18"/>
                <w:szCs w:val="18"/>
              </w:rPr>
              <w:t>782</w:t>
            </w:r>
          </w:p>
        </w:tc>
        <w:tc>
          <w:tcPr>
            <w:tcW w:w="404" w:type="pct"/>
            <w:tcBorders>
              <w:top w:val="nil"/>
              <w:left w:val="nil"/>
              <w:bottom w:val="single" w:sz="8" w:space="0" w:color="auto"/>
              <w:right w:val="single" w:sz="8" w:space="0" w:color="auto"/>
            </w:tcBorders>
            <w:shd w:val="clear" w:color="000000" w:fill="D9D9D9"/>
            <w:hideMark/>
          </w:tcPr>
          <w:p w14:paraId="46BFD04A"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34</w:t>
            </w:r>
            <w:r>
              <w:rPr>
                <w:b/>
                <w:bCs/>
                <w:noProof/>
                <w:sz w:val="18"/>
                <w:szCs w:val="18"/>
              </w:rPr>
              <w:t>.</w:t>
            </w:r>
            <w:r w:rsidRPr="004C5DFF">
              <w:rPr>
                <w:b/>
                <w:bCs/>
                <w:noProof/>
                <w:sz w:val="18"/>
                <w:szCs w:val="18"/>
              </w:rPr>
              <w:t>617</w:t>
            </w:r>
          </w:p>
        </w:tc>
        <w:tc>
          <w:tcPr>
            <w:tcW w:w="404" w:type="pct"/>
            <w:tcBorders>
              <w:top w:val="nil"/>
              <w:left w:val="nil"/>
              <w:bottom w:val="single" w:sz="8" w:space="0" w:color="auto"/>
              <w:right w:val="single" w:sz="8" w:space="0" w:color="auto"/>
            </w:tcBorders>
            <w:shd w:val="clear" w:color="000000" w:fill="D9D9D9"/>
            <w:hideMark/>
          </w:tcPr>
          <w:p w14:paraId="47A6866B"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41</w:t>
            </w:r>
            <w:r>
              <w:rPr>
                <w:b/>
                <w:bCs/>
                <w:noProof/>
                <w:sz w:val="18"/>
                <w:szCs w:val="18"/>
              </w:rPr>
              <w:t>.</w:t>
            </w:r>
            <w:r w:rsidRPr="004C5DFF">
              <w:rPr>
                <w:b/>
                <w:bCs/>
                <w:noProof/>
                <w:sz w:val="18"/>
                <w:szCs w:val="18"/>
              </w:rPr>
              <w:t>128</w:t>
            </w:r>
          </w:p>
        </w:tc>
        <w:tc>
          <w:tcPr>
            <w:tcW w:w="404" w:type="pct"/>
            <w:tcBorders>
              <w:top w:val="nil"/>
              <w:left w:val="nil"/>
              <w:bottom w:val="single" w:sz="8" w:space="0" w:color="auto"/>
              <w:right w:val="single" w:sz="8" w:space="0" w:color="auto"/>
            </w:tcBorders>
            <w:shd w:val="clear" w:color="000000" w:fill="D9D9D9"/>
            <w:hideMark/>
          </w:tcPr>
          <w:p w14:paraId="5A7F810C"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37</w:t>
            </w:r>
            <w:r>
              <w:rPr>
                <w:b/>
                <w:bCs/>
                <w:noProof/>
                <w:sz w:val="18"/>
                <w:szCs w:val="18"/>
              </w:rPr>
              <w:t>.</w:t>
            </w:r>
            <w:r w:rsidRPr="004C5DFF">
              <w:rPr>
                <w:b/>
                <w:bCs/>
                <w:noProof/>
                <w:sz w:val="18"/>
                <w:szCs w:val="18"/>
              </w:rPr>
              <w:t>766</w:t>
            </w:r>
          </w:p>
        </w:tc>
        <w:tc>
          <w:tcPr>
            <w:tcW w:w="404" w:type="pct"/>
            <w:tcBorders>
              <w:top w:val="nil"/>
              <w:left w:val="nil"/>
              <w:bottom w:val="single" w:sz="8" w:space="0" w:color="auto"/>
              <w:right w:val="single" w:sz="8" w:space="0" w:color="auto"/>
            </w:tcBorders>
            <w:shd w:val="clear" w:color="000000" w:fill="D9D9D9"/>
            <w:hideMark/>
          </w:tcPr>
          <w:p w14:paraId="6886A2D1"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37</w:t>
            </w:r>
            <w:r>
              <w:rPr>
                <w:b/>
                <w:bCs/>
                <w:noProof/>
                <w:sz w:val="18"/>
                <w:szCs w:val="18"/>
              </w:rPr>
              <w:t>.</w:t>
            </w:r>
            <w:r w:rsidRPr="004C5DFF">
              <w:rPr>
                <w:b/>
                <w:bCs/>
                <w:noProof/>
                <w:sz w:val="18"/>
                <w:szCs w:val="18"/>
              </w:rPr>
              <w:t>766</w:t>
            </w:r>
          </w:p>
        </w:tc>
        <w:tc>
          <w:tcPr>
            <w:tcW w:w="404" w:type="pct"/>
            <w:tcBorders>
              <w:top w:val="nil"/>
              <w:left w:val="nil"/>
              <w:bottom w:val="single" w:sz="8" w:space="0" w:color="auto"/>
              <w:right w:val="single" w:sz="8" w:space="0" w:color="auto"/>
            </w:tcBorders>
            <w:shd w:val="clear" w:color="000000" w:fill="D9D9D9"/>
            <w:hideMark/>
          </w:tcPr>
          <w:p w14:paraId="102116A0"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37</w:t>
            </w:r>
            <w:r>
              <w:rPr>
                <w:b/>
                <w:bCs/>
                <w:noProof/>
                <w:sz w:val="18"/>
                <w:szCs w:val="18"/>
              </w:rPr>
              <w:t>.</w:t>
            </w:r>
            <w:r w:rsidRPr="004C5DFF">
              <w:rPr>
                <w:b/>
                <w:bCs/>
                <w:noProof/>
                <w:sz w:val="18"/>
                <w:szCs w:val="18"/>
              </w:rPr>
              <w:t>766</w:t>
            </w:r>
          </w:p>
        </w:tc>
        <w:tc>
          <w:tcPr>
            <w:tcW w:w="441" w:type="pct"/>
            <w:tcBorders>
              <w:top w:val="nil"/>
              <w:left w:val="nil"/>
              <w:bottom w:val="single" w:sz="8" w:space="0" w:color="auto"/>
              <w:right w:val="single" w:sz="8" w:space="0" w:color="auto"/>
            </w:tcBorders>
            <w:shd w:val="clear" w:color="000000" w:fill="D9D9D9"/>
            <w:hideMark/>
          </w:tcPr>
          <w:p w14:paraId="606DC4C6"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212</w:t>
            </w:r>
            <w:r>
              <w:rPr>
                <w:b/>
                <w:bCs/>
                <w:noProof/>
                <w:sz w:val="18"/>
                <w:szCs w:val="18"/>
              </w:rPr>
              <w:t>.</w:t>
            </w:r>
            <w:r w:rsidRPr="004C5DFF">
              <w:rPr>
                <w:b/>
                <w:bCs/>
                <w:noProof/>
                <w:sz w:val="18"/>
                <w:szCs w:val="18"/>
              </w:rPr>
              <w:t>430</w:t>
            </w:r>
          </w:p>
        </w:tc>
      </w:tr>
    </w:tbl>
    <w:p w14:paraId="49F1F60D" w14:textId="77777777" w:rsidR="00486288" w:rsidRDefault="00486288" w:rsidP="00445C9D">
      <w:pPr>
        <w:rPr>
          <w:noProof/>
          <w:sz w:val="16"/>
        </w:rPr>
      </w:pPr>
    </w:p>
    <w:tbl>
      <w:tblPr>
        <w:tblW w:w="5000" w:type="pct"/>
        <w:tblLook w:val="04A0" w:firstRow="1" w:lastRow="0" w:firstColumn="1" w:lastColumn="0" w:noHBand="0" w:noVBand="1"/>
      </w:tblPr>
      <w:tblGrid>
        <w:gridCol w:w="2001"/>
        <w:gridCol w:w="1526"/>
        <w:gridCol w:w="1186"/>
        <w:gridCol w:w="1186"/>
        <w:gridCol w:w="1024"/>
        <w:gridCol w:w="1024"/>
        <w:gridCol w:w="1027"/>
        <w:gridCol w:w="1027"/>
        <w:gridCol w:w="1027"/>
        <w:gridCol w:w="1027"/>
        <w:gridCol w:w="1027"/>
        <w:gridCol w:w="1138"/>
      </w:tblGrid>
      <w:tr w:rsidR="00486288" w:rsidRPr="00EB2752" w14:paraId="60F765A0" w14:textId="77777777" w:rsidTr="00445C9D">
        <w:trPr>
          <w:trHeight w:val="410"/>
        </w:trPr>
        <w:tc>
          <w:tcPr>
            <w:tcW w:w="704" w:type="pct"/>
            <w:tcBorders>
              <w:top w:val="nil"/>
              <w:left w:val="nil"/>
              <w:bottom w:val="nil"/>
              <w:right w:val="nil"/>
            </w:tcBorders>
            <w:noWrap/>
            <w:vAlign w:val="bottom"/>
            <w:hideMark/>
          </w:tcPr>
          <w:p w14:paraId="627929D0" w14:textId="77777777" w:rsidR="00486288" w:rsidRPr="00EB2752" w:rsidRDefault="00486288" w:rsidP="00445C9D">
            <w:pPr>
              <w:spacing w:before="0" w:after="0"/>
              <w:jc w:val="left"/>
              <w:rPr>
                <w:rFonts w:eastAsia="Times New Roman"/>
                <w:noProof/>
                <w:sz w:val="20"/>
                <w:szCs w:val="24"/>
                <w:lang w:val="en-IE" w:eastAsia="en-IE"/>
              </w:rPr>
            </w:pPr>
          </w:p>
        </w:tc>
        <w:tc>
          <w:tcPr>
            <w:tcW w:w="537" w:type="pct"/>
            <w:tcBorders>
              <w:top w:val="nil"/>
              <w:left w:val="nil"/>
              <w:bottom w:val="nil"/>
              <w:right w:val="nil"/>
            </w:tcBorders>
            <w:noWrap/>
            <w:vAlign w:val="bottom"/>
            <w:hideMark/>
          </w:tcPr>
          <w:p w14:paraId="5D45E947" w14:textId="77777777" w:rsidR="00486288" w:rsidRPr="00EB2752" w:rsidRDefault="00486288" w:rsidP="00445C9D">
            <w:pPr>
              <w:spacing w:before="0" w:after="0"/>
              <w:jc w:val="left"/>
              <w:rPr>
                <w:rFonts w:eastAsia="Times New Roman"/>
                <w:noProof/>
                <w:sz w:val="20"/>
                <w:szCs w:val="20"/>
                <w:lang w:val="en-IE" w:eastAsia="en-IE"/>
              </w:rPr>
            </w:pPr>
          </w:p>
        </w:tc>
        <w:tc>
          <w:tcPr>
            <w:tcW w:w="417" w:type="pct"/>
            <w:tcBorders>
              <w:top w:val="nil"/>
              <w:left w:val="nil"/>
              <w:bottom w:val="nil"/>
              <w:right w:val="nil"/>
            </w:tcBorders>
            <w:noWrap/>
            <w:vAlign w:val="bottom"/>
            <w:hideMark/>
          </w:tcPr>
          <w:p w14:paraId="5E132507" w14:textId="77777777" w:rsidR="00486288" w:rsidRPr="00EB2752" w:rsidRDefault="00486288" w:rsidP="00445C9D">
            <w:pPr>
              <w:spacing w:before="0" w:after="0"/>
              <w:jc w:val="left"/>
              <w:rPr>
                <w:rFonts w:eastAsia="Times New Roman"/>
                <w:noProof/>
                <w:sz w:val="20"/>
                <w:szCs w:val="20"/>
                <w:lang w:val="en-IE" w:eastAsia="en-IE"/>
              </w:rPr>
            </w:pPr>
          </w:p>
        </w:tc>
        <w:tc>
          <w:tcPr>
            <w:tcW w:w="417" w:type="pct"/>
            <w:tcBorders>
              <w:top w:val="nil"/>
              <w:left w:val="nil"/>
              <w:bottom w:val="nil"/>
              <w:right w:val="single" w:sz="8" w:space="0" w:color="auto"/>
            </w:tcBorders>
            <w:noWrap/>
            <w:vAlign w:val="bottom"/>
            <w:hideMark/>
          </w:tcPr>
          <w:p w14:paraId="1F806E63" w14:textId="77777777" w:rsidR="00486288" w:rsidRPr="00EB2752" w:rsidRDefault="00486288" w:rsidP="00445C9D">
            <w:pPr>
              <w:spacing w:before="0" w:after="0"/>
              <w:jc w:val="left"/>
              <w:rPr>
                <w:rFonts w:ascii="Calibri" w:eastAsia="Times New Roman" w:hAnsi="Calibri" w:cs="Calibri"/>
                <w:noProof/>
                <w:color w:val="000000"/>
                <w:sz w:val="22"/>
                <w:lang w:val="en-IE" w:eastAsia="en-IE"/>
              </w:rPr>
            </w:pPr>
          </w:p>
        </w:tc>
        <w:tc>
          <w:tcPr>
            <w:tcW w:w="360" w:type="pct"/>
            <w:tcBorders>
              <w:top w:val="single" w:sz="8" w:space="0" w:color="auto"/>
              <w:left w:val="nil"/>
              <w:bottom w:val="nil"/>
              <w:right w:val="single" w:sz="8" w:space="0" w:color="auto"/>
            </w:tcBorders>
            <w:vAlign w:val="center"/>
            <w:hideMark/>
          </w:tcPr>
          <w:p w14:paraId="1D179493"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60" w:type="pct"/>
            <w:tcBorders>
              <w:top w:val="single" w:sz="8" w:space="0" w:color="auto"/>
              <w:left w:val="nil"/>
              <w:bottom w:val="nil"/>
              <w:right w:val="single" w:sz="8" w:space="0" w:color="auto"/>
            </w:tcBorders>
            <w:vAlign w:val="center"/>
            <w:hideMark/>
          </w:tcPr>
          <w:p w14:paraId="2CAB7F41"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61" w:type="pct"/>
            <w:tcBorders>
              <w:top w:val="single" w:sz="8" w:space="0" w:color="auto"/>
              <w:left w:val="nil"/>
              <w:bottom w:val="nil"/>
              <w:right w:val="single" w:sz="8" w:space="0" w:color="auto"/>
            </w:tcBorders>
            <w:vAlign w:val="center"/>
            <w:hideMark/>
          </w:tcPr>
          <w:p w14:paraId="4A3DAEC3"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61" w:type="pct"/>
            <w:tcBorders>
              <w:top w:val="single" w:sz="8" w:space="0" w:color="auto"/>
              <w:left w:val="nil"/>
              <w:bottom w:val="nil"/>
              <w:right w:val="single" w:sz="8" w:space="0" w:color="auto"/>
            </w:tcBorders>
            <w:vAlign w:val="center"/>
            <w:hideMark/>
          </w:tcPr>
          <w:p w14:paraId="3B6659FD"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61" w:type="pct"/>
            <w:tcBorders>
              <w:top w:val="single" w:sz="8" w:space="0" w:color="auto"/>
              <w:left w:val="nil"/>
              <w:bottom w:val="nil"/>
              <w:right w:val="single" w:sz="8" w:space="0" w:color="auto"/>
            </w:tcBorders>
            <w:vAlign w:val="center"/>
            <w:hideMark/>
          </w:tcPr>
          <w:p w14:paraId="60970F02"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61" w:type="pct"/>
            <w:tcBorders>
              <w:top w:val="single" w:sz="8" w:space="0" w:color="auto"/>
              <w:left w:val="nil"/>
              <w:bottom w:val="nil"/>
              <w:right w:val="single" w:sz="8" w:space="0" w:color="auto"/>
            </w:tcBorders>
            <w:vAlign w:val="center"/>
            <w:hideMark/>
          </w:tcPr>
          <w:p w14:paraId="1E27A03D"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61" w:type="pct"/>
            <w:tcBorders>
              <w:top w:val="single" w:sz="8" w:space="0" w:color="auto"/>
              <w:left w:val="nil"/>
              <w:bottom w:val="nil"/>
              <w:right w:val="single" w:sz="8" w:space="0" w:color="auto"/>
            </w:tcBorders>
            <w:vAlign w:val="center"/>
            <w:hideMark/>
          </w:tcPr>
          <w:p w14:paraId="713AF5D6"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14:paraId="7DF5FCFD"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TOTAL MFF 2028-2034</w:t>
            </w:r>
          </w:p>
        </w:tc>
      </w:tr>
      <w:tr w:rsidR="00486288" w:rsidRPr="00EB2752" w14:paraId="1D592E5E" w14:textId="77777777" w:rsidTr="00445C9D">
        <w:trPr>
          <w:trHeight w:val="300"/>
        </w:trPr>
        <w:tc>
          <w:tcPr>
            <w:tcW w:w="704" w:type="pct"/>
            <w:tcBorders>
              <w:top w:val="nil"/>
              <w:left w:val="nil"/>
              <w:bottom w:val="nil"/>
              <w:right w:val="nil"/>
            </w:tcBorders>
            <w:noWrap/>
            <w:vAlign w:val="bottom"/>
            <w:hideMark/>
          </w:tcPr>
          <w:p w14:paraId="0E02A4BD" w14:textId="77777777" w:rsidR="00486288" w:rsidRPr="00EB2752" w:rsidRDefault="00486288" w:rsidP="00445C9D">
            <w:pPr>
              <w:spacing w:before="0" w:after="0"/>
              <w:jc w:val="center"/>
              <w:rPr>
                <w:rFonts w:eastAsia="Times New Roman"/>
                <w:b/>
                <w:bCs/>
                <w:noProof/>
                <w:color w:val="000000"/>
                <w:sz w:val="20"/>
                <w:szCs w:val="20"/>
                <w:lang w:val="en-IE" w:eastAsia="en-IE"/>
              </w:rPr>
            </w:pPr>
          </w:p>
        </w:tc>
        <w:tc>
          <w:tcPr>
            <w:tcW w:w="537" w:type="pct"/>
            <w:tcBorders>
              <w:top w:val="nil"/>
              <w:left w:val="nil"/>
              <w:bottom w:val="nil"/>
              <w:right w:val="nil"/>
            </w:tcBorders>
            <w:noWrap/>
            <w:vAlign w:val="bottom"/>
            <w:hideMark/>
          </w:tcPr>
          <w:p w14:paraId="16769292" w14:textId="77777777" w:rsidR="00486288" w:rsidRPr="00EB2752" w:rsidRDefault="00486288" w:rsidP="00445C9D">
            <w:pPr>
              <w:spacing w:before="0" w:after="0"/>
              <w:jc w:val="left"/>
              <w:rPr>
                <w:rFonts w:eastAsia="Times New Roman"/>
                <w:noProof/>
                <w:sz w:val="20"/>
                <w:szCs w:val="20"/>
                <w:lang w:val="en-IE" w:eastAsia="en-IE"/>
              </w:rPr>
            </w:pPr>
          </w:p>
        </w:tc>
        <w:tc>
          <w:tcPr>
            <w:tcW w:w="417" w:type="pct"/>
            <w:tcBorders>
              <w:top w:val="nil"/>
              <w:left w:val="nil"/>
              <w:bottom w:val="nil"/>
              <w:right w:val="nil"/>
            </w:tcBorders>
            <w:noWrap/>
            <w:vAlign w:val="bottom"/>
            <w:hideMark/>
          </w:tcPr>
          <w:p w14:paraId="5DE1AF72" w14:textId="77777777" w:rsidR="00486288" w:rsidRPr="00EB2752" w:rsidRDefault="00486288" w:rsidP="00445C9D">
            <w:pPr>
              <w:spacing w:before="0" w:after="0"/>
              <w:jc w:val="left"/>
              <w:rPr>
                <w:rFonts w:eastAsia="Times New Roman"/>
                <w:noProof/>
                <w:sz w:val="20"/>
                <w:szCs w:val="20"/>
                <w:lang w:val="en-IE" w:eastAsia="en-IE"/>
              </w:rPr>
            </w:pPr>
          </w:p>
        </w:tc>
        <w:tc>
          <w:tcPr>
            <w:tcW w:w="417" w:type="pct"/>
            <w:tcBorders>
              <w:top w:val="nil"/>
              <w:left w:val="nil"/>
              <w:bottom w:val="nil"/>
              <w:right w:val="single" w:sz="8" w:space="0" w:color="auto"/>
            </w:tcBorders>
            <w:noWrap/>
            <w:vAlign w:val="bottom"/>
            <w:hideMark/>
          </w:tcPr>
          <w:p w14:paraId="3614A266" w14:textId="77777777" w:rsidR="00486288" w:rsidRPr="00EB2752" w:rsidRDefault="00486288" w:rsidP="00445C9D">
            <w:pPr>
              <w:spacing w:before="0" w:after="0"/>
              <w:jc w:val="left"/>
              <w:rPr>
                <w:rFonts w:ascii="Calibri" w:eastAsia="Times New Roman" w:hAnsi="Calibri" w:cs="Calibri"/>
                <w:noProof/>
                <w:color w:val="000000"/>
                <w:sz w:val="22"/>
                <w:lang w:val="en-IE" w:eastAsia="en-IE"/>
              </w:rPr>
            </w:pPr>
          </w:p>
        </w:tc>
        <w:tc>
          <w:tcPr>
            <w:tcW w:w="360" w:type="pct"/>
            <w:tcBorders>
              <w:top w:val="nil"/>
              <w:left w:val="nil"/>
              <w:bottom w:val="single" w:sz="8" w:space="0" w:color="auto"/>
              <w:right w:val="single" w:sz="8" w:space="0" w:color="auto"/>
            </w:tcBorders>
            <w:vAlign w:val="center"/>
            <w:hideMark/>
          </w:tcPr>
          <w:p w14:paraId="50A6F1CE"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2028</w:t>
            </w:r>
          </w:p>
        </w:tc>
        <w:tc>
          <w:tcPr>
            <w:tcW w:w="360" w:type="pct"/>
            <w:tcBorders>
              <w:top w:val="nil"/>
              <w:left w:val="nil"/>
              <w:bottom w:val="single" w:sz="8" w:space="0" w:color="auto"/>
              <w:right w:val="single" w:sz="8" w:space="0" w:color="auto"/>
            </w:tcBorders>
            <w:vAlign w:val="center"/>
            <w:hideMark/>
          </w:tcPr>
          <w:p w14:paraId="2F974201"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2029</w:t>
            </w:r>
          </w:p>
        </w:tc>
        <w:tc>
          <w:tcPr>
            <w:tcW w:w="361" w:type="pct"/>
            <w:tcBorders>
              <w:top w:val="nil"/>
              <w:left w:val="nil"/>
              <w:bottom w:val="single" w:sz="8" w:space="0" w:color="auto"/>
              <w:right w:val="single" w:sz="8" w:space="0" w:color="auto"/>
            </w:tcBorders>
            <w:vAlign w:val="center"/>
            <w:hideMark/>
          </w:tcPr>
          <w:p w14:paraId="58CBF5DB"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2030</w:t>
            </w:r>
          </w:p>
        </w:tc>
        <w:tc>
          <w:tcPr>
            <w:tcW w:w="361" w:type="pct"/>
            <w:tcBorders>
              <w:top w:val="nil"/>
              <w:left w:val="nil"/>
              <w:bottom w:val="single" w:sz="8" w:space="0" w:color="auto"/>
              <w:right w:val="single" w:sz="8" w:space="0" w:color="auto"/>
            </w:tcBorders>
            <w:vAlign w:val="center"/>
            <w:hideMark/>
          </w:tcPr>
          <w:p w14:paraId="23A3B611"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2031</w:t>
            </w:r>
          </w:p>
        </w:tc>
        <w:tc>
          <w:tcPr>
            <w:tcW w:w="361" w:type="pct"/>
            <w:tcBorders>
              <w:top w:val="nil"/>
              <w:left w:val="nil"/>
              <w:bottom w:val="single" w:sz="8" w:space="0" w:color="auto"/>
              <w:right w:val="single" w:sz="8" w:space="0" w:color="auto"/>
            </w:tcBorders>
            <w:vAlign w:val="center"/>
            <w:hideMark/>
          </w:tcPr>
          <w:p w14:paraId="5A8C660B"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2032</w:t>
            </w:r>
          </w:p>
        </w:tc>
        <w:tc>
          <w:tcPr>
            <w:tcW w:w="361" w:type="pct"/>
            <w:tcBorders>
              <w:top w:val="nil"/>
              <w:left w:val="nil"/>
              <w:bottom w:val="single" w:sz="8" w:space="0" w:color="auto"/>
              <w:right w:val="single" w:sz="8" w:space="0" w:color="auto"/>
            </w:tcBorders>
            <w:vAlign w:val="center"/>
            <w:hideMark/>
          </w:tcPr>
          <w:p w14:paraId="573392DB"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2033</w:t>
            </w:r>
          </w:p>
        </w:tc>
        <w:tc>
          <w:tcPr>
            <w:tcW w:w="361" w:type="pct"/>
            <w:tcBorders>
              <w:top w:val="nil"/>
              <w:left w:val="nil"/>
              <w:bottom w:val="single" w:sz="8" w:space="0" w:color="auto"/>
              <w:right w:val="single" w:sz="8" w:space="0" w:color="auto"/>
            </w:tcBorders>
            <w:vAlign w:val="center"/>
            <w:hideMark/>
          </w:tcPr>
          <w:p w14:paraId="7095B3BF"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14:paraId="3A1D9E93" w14:textId="77777777" w:rsidR="00486288" w:rsidRPr="00EB2752" w:rsidRDefault="00486288" w:rsidP="00445C9D">
            <w:pPr>
              <w:spacing w:before="0" w:after="0"/>
              <w:jc w:val="left"/>
              <w:rPr>
                <w:rFonts w:eastAsia="Times New Roman"/>
                <w:b/>
                <w:bCs/>
                <w:noProof/>
                <w:color w:val="000000"/>
                <w:sz w:val="20"/>
                <w:szCs w:val="20"/>
                <w:lang w:val="en-IE" w:eastAsia="en-IE"/>
              </w:rPr>
            </w:pPr>
          </w:p>
        </w:tc>
      </w:tr>
      <w:tr w:rsidR="00486288" w:rsidRPr="00EB2752" w14:paraId="3D461405" w14:textId="77777777" w:rsidTr="00445C9D">
        <w:trPr>
          <w:trHeight w:val="63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14:paraId="01549223" w14:textId="77777777" w:rsidR="00486288" w:rsidRPr="00EB2752" w:rsidRDefault="00486288" w:rsidP="00445C9D">
            <w:pPr>
              <w:spacing w:before="0" w:after="0"/>
              <w:rPr>
                <w:rFonts w:ascii="Calibri" w:eastAsia="Times New Roman" w:hAnsi="Calibri" w:cs="Calibri"/>
                <w:noProof/>
                <w:color w:val="000000"/>
                <w:sz w:val="21"/>
                <w:szCs w:val="21"/>
                <w:lang w:val="en-IE" w:eastAsia="en-IE"/>
              </w:rPr>
            </w:pPr>
            <w:r w:rsidRPr="00EB2752">
              <w:rPr>
                <w:rFonts w:ascii="Calibri" w:eastAsia="Times New Roman" w:hAnsi="Calibri" w:cs="Calibri"/>
                <w:noProof/>
                <w:color w:val="000000"/>
                <w:sz w:val="21"/>
                <w:szCs w:val="21"/>
                <w:lang w:val="en-IE" w:eastAsia="en-IE"/>
              </w:rPr>
              <w:t xml:space="preserve">• </w:t>
            </w:r>
            <w:r w:rsidRPr="00EB2752">
              <w:rPr>
                <w:rFonts w:eastAsia="Times New Roman"/>
                <w:noProof/>
                <w:color w:val="000000"/>
                <w:sz w:val="21"/>
                <w:szCs w:val="21"/>
                <w:lang w:val="en-IE" w:eastAsia="en-IE"/>
              </w:rPr>
              <w:t>TOTAL operational appropriations (all operational headings)</w:t>
            </w:r>
          </w:p>
        </w:tc>
        <w:tc>
          <w:tcPr>
            <w:tcW w:w="537" w:type="pct"/>
            <w:tcBorders>
              <w:top w:val="single" w:sz="8" w:space="0" w:color="auto"/>
              <w:left w:val="nil"/>
              <w:bottom w:val="single" w:sz="8" w:space="0" w:color="auto"/>
              <w:right w:val="single" w:sz="8" w:space="0" w:color="auto"/>
            </w:tcBorders>
            <w:vAlign w:val="center"/>
            <w:hideMark/>
          </w:tcPr>
          <w:p w14:paraId="2476EEDB" w14:textId="77777777" w:rsidR="00486288" w:rsidRPr="00EB2752" w:rsidRDefault="00486288" w:rsidP="00445C9D">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Commitments</w:t>
            </w:r>
          </w:p>
        </w:tc>
        <w:tc>
          <w:tcPr>
            <w:tcW w:w="834" w:type="pct"/>
            <w:gridSpan w:val="2"/>
            <w:tcBorders>
              <w:top w:val="single" w:sz="8" w:space="0" w:color="auto"/>
              <w:left w:val="nil"/>
              <w:bottom w:val="single" w:sz="8" w:space="0" w:color="auto"/>
              <w:right w:val="single" w:sz="8" w:space="0" w:color="000000"/>
            </w:tcBorders>
            <w:vAlign w:val="center"/>
            <w:hideMark/>
          </w:tcPr>
          <w:p w14:paraId="01B60C7F" w14:textId="77777777" w:rsidR="00486288" w:rsidRPr="00EB2752"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EB2752">
              <w:rPr>
                <w:rFonts w:eastAsia="Times New Roman"/>
                <w:noProof/>
                <w:color w:val="000000"/>
                <w:sz w:val="14"/>
                <w:szCs w:val="14"/>
                <w:lang w:val="en-IE" w:eastAsia="en-IE"/>
              </w:rPr>
              <w:t>4</w:t>
            </w:r>
            <w:r>
              <w:rPr>
                <w:rFonts w:eastAsia="Times New Roman"/>
                <w:noProof/>
                <w:color w:val="000000"/>
                <w:sz w:val="14"/>
                <w:szCs w:val="14"/>
                <w:lang w:val="en-IE" w:eastAsia="en-IE"/>
              </w:rPr>
              <w:t>)</w:t>
            </w:r>
          </w:p>
        </w:tc>
        <w:tc>
          <w:tcPr>
            <w:tcW w:w="360" w:type="pct"/>
            <w:tcBorders>
              <w:top w:val="nil"/>
              <w:left w:val="nil"/>
              <w:bottom w:val="single" w:sz="8" w:space="0" w:color="auto"/>
              <w:right w:val="single" w:sz="8" w:space="0" w:color="auto"/>
            </w:tcBorders>
            <w:shd w:val="clear" w:color="000000" w:fill="D9D9D9"/>
            <w:hideMark/>
          </w:tcPr>
          <w:p w14:paraId="400A274F"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0" w:type="pct"/>
            <w:tcBorders>
              <w:top w:val="nil"/>
              <w:left w:val="nil"/>
              <w:bottom w:val="single" w:sz="8" w:space="0" w:color="auto"/>
              <w:right w:val="single" w:sz="8" w:space="0" w:color="auto"/>
            </w:tcBorders>
            <w:shd w:val="clear" w:color="000000" w:fill="D9D9D9"/>
            <w:hideMark/>
          </w:tcPr>
          <w:p w14:paraId="6092E89D"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7EF2BF33"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419E0482"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661FC82A"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6C4EE466"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299D0189"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400" w:type="pct"/>
            <w:tcBorders>
              <w:top w:val="nil"/>
              <w:left w:val="nil"/>
              <w:bottom w:val="single" w:sz="8" w:space="0" w:color="auto"/>
              <w:right w:val="single" w:sz="8" w:space="0" w:color="auto"/>
            </w:tcBorders>
            <w:shd w:val="clear" w:color="000000" w:fill="D9D9D9"/>
            <w:hideMark/>
          </w:tcPr>
          <w:p w14:paraId="0750AE94"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r>
      <w:tr w:rsidR="00486288" w:rsidRPr="00EB2752" w14:paraId="21A82B0C" w14:textId="77777777" w:rsidTr="00445C9D">
        <w:trPr>
          <w:trHeight w:val="372"/>
        </w:trPr>
        <w:tc>
          <w:tcPr>
            <w:tcW w:w="704" w:type="pct"/>
            <w:vMerge/>
            <w:tcBorders>
              <w:top w:val="single" w:sz="8" w:space="0" w:color="auto"/>
              <w:left w:val="single" w:sz="8" w:space="0" w:color="auto"/>
              <w:bottom w:val="single" w:sz="8" w:space="0" w:color="000000"/>
              <w:right w:val="single" w:sz="8" w:space="0" w:color="auto"/>
            </w:tcBorders>
            <w:vAlign w:val="center"/>
            <w:hideMark/>
          </w:tcPr>
          <w:p w14:paraId="447ADCC2" w14:textId="77777777" w:rsidR="00486288" w:rsidRPr="00EB2752" w:rsidRDefault="00486288" w:rsidP="00445C9D">
            <w:pPr>
              <w:spacing w:before="0" w:after="0"/>
              <w:jc w:val="left"/>
              <w:rPr>
                <w:rFonts w:ascii="Calibri" w:eastAsia="Times New Roman" w:hAnsi="Calibri" w:cs="Calibri"/>
                <w:noProof/>
                <w:color w:val="000000"/>
                <w:sz w:val="21"/>
                <w:szCs w:val="21"/>
                <w:lang w:val="en-IE" w:eastAsia="en-IE"/>
              </w:rPr>
            </w:pPr>
          </w:p>
        </w:tc>
        <w:tc>
          <w:tcPr>
            <w:tcW w:w="537" w:type="pct"/>
            <w:tcBorders>
              <w:top w:val="nil"/>
              <w:left w:val="nil"/>
              <w:bottom w:val="single" w:sz="8" w:space="0" w:color="auto"/>
              <w:right w:val="single" w:sz="8" w:space="0" w:color="auto"/>
            </w:tcBorders>
            <w:vAlign w:val="center"/>
            <w:hideMark/>
          </w:tcPr>
          <w:p w14:paraId="3873C941" w14:textId="77777777" w:rsidR="00486288" w:rsidRPr="00EB2752" w:rsidRDefault="00486288" w:rsidP="00445C9D">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Payments</w:t>
            </w:r>
          </w:p>
        </w:tc>
        <w:tc>
          <w:tcPr>
            <w:tcW w:w="834" w:type="pct"/>
            <w:gridSpan w:val="2"/>
            <w:tcBorders>
              <w:top w:val="single" w:sz="8" w:space="0" w:color="auto"/>
              <w:left w:val="nil"/>
              <w:bottom w:val="single" w:sz="8" w:space="0" w:color="auto"/>
              <w:right w:val="single" w:sz="8" w:space="0" w:color="000000"/>
            </w:tcBorders>
            <w:vAlign w:val="center"/>
            <w:hideMark/>
          </w:tcPr>
          <w:p w14:paraId="4CFCA717" w14:textId="77777777" w:rsidR="00486288" w:rsidRPr="00EB2752"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w:t>
            </w:r>
            <w:r w:rsidRPr="00EB2752">
              <w:rPr>
                <w:rFonts w:eastAsia="Times New Roman"/>
                <w:noProof/>
                <w:color w:val="000000"/>
                <w:sz w:val="14"/>
                <w:szCs w:val="14"/>
                <w:lang w:val="en-IE" w:eastAsia="en-IE"/>
              </w:rPr>
              <w:t>5</w:t>
            </w:r>
            <w:r>
              <w:rPr>
                <w:rFonts w:eastAsia="Times New Roman"/>
                <w:noProof/>
                <w:color w:val="000000"/>
                <w:sz w:val="14"/>
                <w:szCs w:val="14"/>
                <w:lang w:val="en-IE" w:eastAsia="en-IE"/>
              </w:rPr>
              <w:t>)</w:t>
            </w:r>
          </w:p>
        </w:tc>
        <w:tc>
          <w:tcPr>
            <w:tcW w:w="360" w:type="pct"/>
            <w:tcBorders>
              <w:top w:val="nil"/>
              <w:left w:val="nil"/>
              <w:bottom w:val="single" w:sz="8" w:space="0" w:color="auto"/>
              <w:right w:val="single" w:sz="8" w:space="0" w:color="auto"/>
            </w:tcBorders>
            <w:shd w:val="clear" w:color="000000" w:fill="D9D9D9"/>
            <w:hideMark/>
          </w:tcPr>
          <w:p w14:paraId="13A30D74"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0" w:type="pct"/>
            <w:tcBorders>
              <w:top w:val="nil"/>
              <w:left w:val="nil"/>
              <w:bottom w:val="single" w:sz="8" w:space="0" w:color="auto"/>
              <w:right w:val="single" w:sz="8" w:space="0" w:color="auto"/>
            </w:tcBorders>
            <w:shd w:val="clear" w:color="000000" w:fill="D9D9D9"/>
            <w:hideMark/>
          </w:tcPr>
          <w:p w14:paraId="7147C46C"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694766A8"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733A2BF2"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19B4D8DB"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49EFF970"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16411A27"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400" w:type="pct"/>
            <w:tcBorders>
              <w:top w:val="nil"/>
              <w:left w:val="nil"/>
              <w:bottom w:val="single" w:sz="8" w:space="0" w:color="auto"/>
              <w:right w:val="single" w:sz="8" w:space="0" w:color="auto"/>
            </w:tcBorders>
            <w:shd w:val="clear" w:color="000000" w:fill="D9D9D9"/>
            <w:hideMark/>
          </w:tcPr>
          <w:p w14:paraId="5A950330"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r>
      <w:tr w:rsidR="00486288" w:rsidRPr="00EB2752" w14:paraId="65D006BB" w14:textId="77777777" w:rsidTr="00445C9D">
        <w:trPr>
          <w:trHeight w:val="371"/>
        </w:trPr>
        <w:tc>
          <w:tcPr>
            <w:tcW w:w="1240" w:type="pct"/>
            <w:gridSpan w:val="2"/>
            <w:tcBorders>
              <w:top w:val="single" w:sz="8" w:space="0" w:color="auto"/>
              <w:left w:val="single" w:sz="8" w:space="0" w:color="auto"/>
              <w:bottom w:val="single" w:sz="8" w:space="0" w:color="auto"/>
              <w:right w:val="single" w:sz="8" w:space="0" w:color="000000"/>
            </w:tcBorders>
            <w:vAlign w:val="center"/>
            <w:hideMark/>
          </w:tcPr>
          <w:p w14:paraId="4B882055" w14:textId="77777777" w:rsidR="00486288" w:rsidRPr="00EB2752" w:rsidRDefault="00486288" w:rsidP="00445C9D">
            <w:pPr>
              <w:spacing w:before="0" w:after="0"/>
              <w:rPr>
                <w:rFonts w:ascii="Calibri" w:eastAsia="Times New Roman" w:hAnsi="Calibri" w:cs="Calibri"/>
                <w:noProof/>
                <w:color w:val="000000"/>
                <w:sz w:val="21"/>
                <w:szCs w:val="21"/>
                <w:lang w:val="en-IE" w:eastAsia="en-IE"/>
              </w:rPr>
            </w:pPr>
            <w:r w:rsidRPr="00EB2752">
              <w:rPr>
                <w:rFonts w:ascii="Calibri" w:eastAsia="Times New Roman" w:hAnsi="Calibri" w:cs="Calibri"/>
                <w:noProof/>
                <w:color w:val="000000"/>
                <w:sz w:val="21"/>
                <w:szCs w:val="21"/>
                <w:lang w:val="en-IE" w:eastAsia="en-IE"/>
              </w:rPr>
              <w:t>•</w:t>
            </w:r>
            <w:r w:rsidRPr="00EB2752">
              <w:rPr>
                <w:rFonts w:eastAsia="Times New Roman"/>
                <w:noProof/>
                <w:color w:val="000000"/>
                <w:sz w:val="21"/>
                <w:szCs w:val="21"/>
                <w:lang w:val="en-IE" w:eastAsia="en-IE"/>
              </w:rPr>
              <w:t xml:space="preserve"> TOTAL appropriations of an administrative nature financed from the envelope for specific programmes (all operational headings)</w:t>
            </w:r>
          </w:p>
        </w:tc>
        <w:tc>
          <w:tcPr>
            <w:tcW w:w="834" w:type="pct"/>
            <w:gridSpan w:val="2"/>
            <w:tcBorders>
              <w:top w:val="single" w:sz="8" w:space="0" w:color="auto"/>
              <w:left w:val="nil"/>
              <w:bottom w:val="single" w:sz="8" w:space="0" w:color="auto"/>
              <w:right w:val="single" w:sz="8" w:space="0" w:color="000000"/>
            </w:tcBorders>
            <w:vAlign w:val="center"/>
            <w:hideMark/>
          </w:tcPr>
          <w:p w14:paraId="404D46D4" w14:textId="77777777" w:rsidR="00486288" w:rsidRPr="00EB2752"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(6)</w:t>
            </w:r>
          </w:p>
        </w:tc>
        <w:tc>
          <w:tcPr>
            <w:tcW w:w="360" w:type="pct"/>
            <w:tcBorders>
              <w:top w:val="nil"/>
              <w:left w:val="nil"/>
              <w:bottom w:val="single" w:sz="8" w:space="0" w:color="auto"/>
              <w:right w:val="single" w:sz="8" w:space="0" w:color="auto"/>
            </w:tcBorders>
            <w:shd w:val="clear" w:color="000000" w:fill="D9D9D9"/>
            <w:vAlign w:val="center"/>
            <w:hideMark/>
          </w:tcPr>
          <w:p w14:paraId="6FA306B5"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rFonts w:eastAsia="Times New Roman"/>
                <w:noProof/>
                <w:color w:val="000000"/>
                <w:sz w:val="18"/>
                <w:szCs w:val="18"/>
                <w:lang w:val="en-IE" w:eastAsia="en-IE"/>
              </w:rPr>
              <w:t>p.m.</w:t>
            </w:r>
          </w:p>
        </w:tc>
        <w:tc>
          <w:tcPr>
            <w:tcW w:w="360" w:type="pct"/>
            <w:tcBorders>
              <w:top w:val="nil"/>
              <w:left w:val="nil"/>
              <w:bottom w:val="single" w:sz="8" w:space="0" w:color="auto"/>
              <w:right w:val="single" w:sz="8" w:space="0" w:color="auto"/>
            </w:tcBorders>
            <w:shd w:val="clear" w:color="000000" w:fill="D9D9D9"/>
            <w:hideMark/>
          </w:tcPr>
          <w:p w14:paraId="5C4549D5"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692E68C9"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3476E340"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4FF8EE3C"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1BD8416D"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5252ACF7" w14:textId="77777777" w:rsidR="00486288" w:rsidRPr="004C5DFF" w:rsidRDefault="00486288" w:rsidP="00445C9D">
            <w:pPr>
              <w:spacing w:before="0" w:after="0"/>
              <w:jc w:val="right"/>
              <w:rPr>
                <w:rFonts w:eastAsia="Times New Roman"/>
                <w:noProof/>
                <w:color w:val="000000"/>
                <w:sz w:val="18"/>
                <w:szCs w:val="18"/>
                <w:lang w:val="en-IE" w:eastAsia="en-IE"/>
              </w:rPr>
            </w:pPr>
            <w:r w:rsidRPr="004C5DFF">
              <w:rPr>
                <w:noProof/>
                <w:sz w:val="18"/>
                <w:szCs w:val="18"/>
              </w:rPr>
              <w:t>p.m.</w:t>
            </w:r>
          </w:p>
        </w:tc>
        <w:tc>
          <w:tcPr>
            <w:tcW w:w="400" w:type="pct"/>
            <w:tcBorders>
              <w:top w:val="nil"/>
              <w:left w:val="nil"/>
              <w:bottom w:val="single" w:sz="8" w:space="0" w:color="auto"/>
              <w:right w:val="single" w:sz="8" w:space="0" w:color="auto"/>
            </w:tcBorders>
            <w:shd w:val="clear" w:color="000000" w:fill="D9D9D9"/>
            <w:hideMark/>
          </w:tcPr>
          <w:p w14:paraId="48C26CAD"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r>
      <w:tr w:rsidR="00486288" w:rsidRPr="00EB2752" w14:paraId="21426B0F" w14:textId="77777777" w:rsidTr="00445C9D">
        <w:trPr>
          <w:trHeight w:val="547"/>
        </w:trPr>
        <w:tc>
          <w:tcPr>
            <w:tcW w:w="704" w:type="pct"/>
            <w:tcBorders>
              <w:top w:val="nil"/>
              <w:left w:val="single" w:sz="8" w:space="0" w:color="auto"/>
              <w:bottom w:val="nil"/>
              <w:right w:val="single" w:sz="8" w:space="0" w:color="auto"/>
            </w:tcBorders>
            <w:shd w:val="thinDiagStripe" w:color="C0C0C0" w:fill="E6E6E6"/>
            <w:vAlign w:val="center"/>
            <w:hideMark/>
          </w:tcPr>
          <w:p w14:paraId="789F249F" w14:textId="77777777" w:rsidR="00486288" w:rsidRPr="00EB2752" w:rsidRDefault="00486288" w:rsidP="00445C9D">
            <w:pPr>
              <w:spacing w:before="0" w:after="0"/>
              <w:jc w:val="center"/>
              <w:rPr>
                <w:rFonts w:eastAsia="Times New Roman"/>
                <w:b/>
                <w:bCs/>
                <w:noProof/>
                <w:color w:val="000000"/>
                <w:sz w:val="22"/>
                <w:lang w:val="en-IE" w:eastAsia="en-IE"/>
              </w:rPr>
            </w:pPr>
            <w:r w:rsidRPr="00EB2752">
              <w:rPr>
                <w:rFonts w:eastAsia="Times New Roman"/>
                <w:b/>
                <w:bCs/>
                <w:noProof/>
                <w:color w:val="000000"/>
                <w:sz w:val="22"/>
                <w:lang w:val="en-IE" w:eastAsia="en-IE"/>
              </w:rPr>
              <w:t xml:space="preserve">TOTAL appropriations under Headings 1 to </w:t>
            </w:r>
            <w:r>
              <w:rPr>
                <w:rFonts w:eastAsia="Times New Roman"/>
                <w:b/>
                <w:bCs/>
                <w:noProof/>
                <w:color w:val="000000"/>
                <w:sz w:val="22"/>
                <w:lang w:val="en-IE" w:eastAsia="en-IE"/>
              </w:rPr>
              <w:t>3</w:t>
            </w:r>
          </w:p>
        </w:tc>
        <w:tc>
          <w:tcPr>
            <w:tcW w:w="537" w:type="pct"/>
            <w:tcBorders>
              <w:top w:val="nil"/>
              <w:left w:val="nil"/>
              <w:bottom w:val="nil"/>
              <w:right w:val="single" w:sz="8" w:space="0" w:color="auto"/>
            </w:tcBorders>
            <w:vAlign w:val="center"/>
            <w:hideMark/>
          </w:tcPr>
          <w:p w14:paraId="0C4CEF29" w14:textId="77777777" w:rsidR="00486288" w:rsidRPr="00EB2752" w:rsidRDefault="00486288" w:rsidP="00445C9D">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Commitments</w:t>
            </w:r>
          </w:p>
        </w:tc>
        <w:tc>
          <w:tcPr>
            <w:tcW w:w="834" w:type="pct"/>
            <w:gridSpan w:val="2"/>
            <w:tcBorders>
              <w:top w:val="single" w:sz="8" w:space="0" w:color="auto"/>
              <w:left w:val="nil"/>
              <w:bottom w:val="single" w:sz="8" w:space="0" w:color="auto"/>
              <w:right w:val="single" w:sz="8" w:space="0" w:color="000000"/>
            </w:tcBorders>
            <w:vAlign w:val="center"/>
            <w:hideMark/>
          </w:tcPr>
          <w:p w14:paraId="7E7FB40F" w14:textId="77777777" w:rsidR="00486288" w:rsidRPr="00EB2752"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360" w:type="pct"/>
            <w:tcBorders>
              <w:top w:val="nil"/>
              <w:left w:val="nil"/>
              <w:bottom w:val="single" w:sz="8" w:space="0" w:color="auto"/>
              <w:right w:val="single" w:sz="8" w:space="0" w:color="auto"/>
            </w:tcBorders>
            <w:shd w:val="clear" w:color="000000" w:fill="D9D9D9"/>
            <w:hideMark/>
          </w:tcPr>
          <w:p w14:paraId="042B9E30"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0" w:type="pct"/>
            <w:tcBorders>
              <w:top w:val="nil"/>
              <w:left w:val="nil"/>
              <w:bottom w:val="single" w:sz="8" w:space="0" w:color="auto"/>
              <w:right w:val="single" w:sz="8" w:space="0" w:color="auto"/>
            </w:tcBorders>
            <w:shd w:val="clear" w:color="000000" w:fill="D9D9D9"/>
            <w:hideMark/>
          </w:tcPr>
          <w:p w14:paraId="186038EF"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3E74E3B8"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2550DAD8"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29E85182"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508BB52D"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1AB26E18"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400" w:type="pct"/>
            <w:tcBorders>
              <w:top w:val="nil"/>
              <w:left w:val="nil"/>
              <w:bottom w:val="single" w:sz="8" w:space="0" w:color="auto"/>
              <w:right w:val="single" w:sz="8" w:space="0" w:color="auto"/>
            </w:tcBorders>
            <w:shd w:val="clear" w:color="000000" w:fill="D9D9D9"/>
            <w:hideMark/>
          </w:tcPr>
          <w:p w14:paraId="4A365407"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r>
      <w:tr w:rsidR="00486288" w:rsidRPr="00EB2752" w14:paraId="33408E23" w14:textId="77777777" w:rsidTr="00445C9D">
        <w:trPr>
          <w:trHeight w:val="401"/>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14:paraId="0C11E21D"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of the multiannual financial framework (Reference amount)</w:t>
            </w:r>
          </w:p>
        </w:tc>
        <w:tc>
          <w:tcPr>
            <w:tcW w:w="537" w:type="pct"/>
            <w:tcBorders>
              <w:top w:val="nil"/>
              <w:left w:val="nil"/>
              <w:bottom w:val="single" w:sz="8" w:space="0" w:color="auto"/>
              <w:right w:val="single" w:sz="8" w:space="0" w:color="auto"/>
            </w:tcBorders>
            <w:vAlign w:val="center"/>
            <w:hideMark/>
          </w:tcPr>
          <w:p w14:paraId="251C26D6" w14:textId="77777777" w:rsidR="00486288" w:rsidRPr="00EB2752" w:rsidRDefault="00486288" w:rsidP="00445C9D">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Payments</w:t>
            </w:r>
          </w:p>
        </w:tc>
        <w:tc>
          <w:tcPr>
            <w:tcW w:w="834" w:type="pct"/>
            <w:gridSpan w:val="2"/>
            <w:tcBorders>
              <w:top w:val="single" w:sz="8" w:space="0" w:color="auto"/>
              <w:left w:val="nil"/>
              <w:bottom w:val="single" w:sz="8" w:space="0" w:color="auto"/>
              <w:right w:val="single" w:sz="8" w:space="0" w:color="000000"/>
            </w:tcBorders>
            <w:vAlign w:val="center"/>
            <w:hideMark/>
          </w:tcPr>
          <w:p w14:paraId="440AB157" w14:textId="77777777" w:rsidR="00486288" w:rsidRPr="00EB2752" w:rsidRDefault="00486288" w:rsidP="00445C9D">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360" w:type="pct"/>
            <w:tcBorders>
              <w:top w:val="nil"/>
              <w:left w:val="nil"/>
              <w:bottom w:val="single" w:sz="8" w:space="0" w:color="auto"/>
              <w:right w:val="single" w:sz="8" w:space="0" w:color="auto"/>
            </w:tcBorders>
            <w:shd w:val="clear" w:color="000000" w:fill="D9D9D9"/>
            <w:hideMark/>
          </w:tcPr>
          <w:p w14:paraId="69422906"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0" w:type="pct"/>
            <w:tcBorders>
              <w:top w:val="nil"/>
              <w:left w:val="nil"/>
              <w:bottom w:val="single" w:sz="8" w:space="0" w:color="auto"/>
              <w:right w:val="single" w:sz="8" w:space="0" w:color="auto"/>
            </w:tcBorders>
            <w:shd w:val="clear" w:color="000000" w:fill="D9D9D9"/>
            <w:hideMark/>
          </w:tcPr>
          <w:p w14:paraId="2A2CC3E4"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1263CD36"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19C439C1"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17E8703E"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4B26A6CE"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361" w:type="pct"/>
            <w:tcBorders>
              <w:top w:val="nil"/>
              <w:left w:val="nil"/>
              <w:bottom w:val="single" w:sz="8" w:space="0" w:color="auto"/>
              <w:right w:val="single" w:sz="8" w:space="0" w:color="auto"/>
            </w:tcBorders>
            <w:shd w:val="clear" w:color="000000" w:fill="D9D9D9"/>
            <w:hideMark/>
          </w:tcPr>
          <w:p w14:paraId="24DA1417"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c>
          <w:tcPr>
            <w:tcW w:w="400" w:type="pct"/>
            <w:tcBorders>
              <w:top w:val="nil"/>
              <w:left w:val="nil"/>
              <w:bottom w:val="single" w:sz="8" w:space="0" w:color="auto"/>
              <w:right w:val="single" w:sz="8" w:space="0" w:color="auto"/>
            </w:tcBorders>
            <w:shd w:val="clear" w:color="000000" w:fill="D9D9D9"/>
            <w:hideMark/>
          </w:tcPr>
          <w:p w14:paraId="5D41755E" w14:textId="77777777" w:rsidR="00486288" w:rsidRPr="004C5DFF" w:rsidRDefault="00486288" w:rsidP="00445C9D">
            <w:pPr>
              <w:spacing w:before="0" w:after="0"/>
              <w:jc w:val="right"/>
              <w:rPr>
                <w:rFonts w:eastAsia="Times New Roman"/>
                <w:b/>
                <w:bCs/>
                <w:noProof/>
                <w:color w:val="000000"/>
                <w:sz w:val="18"/>
                <w:szCs w:val="18"/>
                <w:lang w:val="en-IE" w:eastAsia="en-IE"/>
              </w:rPr>
            </w:pPr>
            <w:r w:rsidRPr="004C5DFF">
              <w:rPr>
                <w:b/>
                <w:bCs/>
                <w:noProof/>
                <w:sz w:val="18"/>
                <w:szCs w:val="18"/>
              </w:rPr>
              <w:t>p.m.</w:t>
            </w:r>
          </w:p>
        </w:tc>
      </w:tr>
    </w:tbl>
    <w:p w14:paraId="4E999946" w14:textId="77777777" w:rsidR="00486288" w:rsidRDefault="00486288" w:rsidP="00445C9D">
      <w:pPr>
        <w:rPr>
          <w:noProof/>
          <w:sz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486288" w:rsidRPr="00486288" w14:paraId="2F5AE5B4" w14:textId="77777777" w:rsidTr="00445C9D">
        <w:trPr>
          <w:jc w:val="center"/>
        </w:trPr>
        <w:tc>
          <w:tcPr>
            <w:tcW w:w="1668" w:type="pct"/>
            <w:shd w:val="thinDiagStripe" w:color="C0C0C0" w:fill="auto"/>
            <w:vAlign w:val="center"/>
          </w:tcPr>
          <w:p w14:paraId="7599F3FC" w14:textId="77777777" w:rsidR="00486288" w:rsidRPr="00486288" w:rsidRDefault="00486288" w:rsidP="00486288">
            <w:pPr>
              <w:spacing w:before="60" w:after="60"/>
              <w:jc w:val="center"/>
              <w:rPr>
                <w:b/>
                <w:noProof/>
                <w:lang w:val="en-IE"/>
              </w:rPr>
            </w:pPr>
            <w:r w:rsidRPr="00486288">
              <w:rPr>
                <w:noProof/>
                <w:sz w:val="22"/>
                <w:lang w:val="en-IE"/>
              </w:rPr>
              <w:br w:type="page"/>
            </w:r>
            <w:r w:rsidRPr="00486288">
              <w:rPr>
                <w:b/>
                <w:noProof/>
                <w:sz w:val="22"/>
                <w:lang w:val="en-IE"/>
              </w:rPr>
              <w:t xml:space="preserve">Heading of multiannual financial framework </w:t>
            </w:r>
          </w:p>
        </w:tc>
        <w:tc>
          <w:tcPr>
            <w:tcW w:w="380" w:type="pct"/>
            <w:shd w:val="thinDiagStripe" w:color="C0C0C0" w:fill="auto"/>
            <w:vAlign w:val="center"/>
          </w:tcPr>
          <w:p w14:paraId="2E31F76B" w14:textId="77777777" w:rsidR="00486288" w:rsidRPr="00486288" w:rsidRDefault="00486288" w:rsidP="00486288">
            <w:pPr>
              <w:spacing w:before="60" w:after="60"/>
              <w:jc w:val="center"/>
              <w:rPr>
                <w:noProof/>
              </w:rPr>
            </w:pPr>
            <w:r w:rsidRPr="00486288">
              <w:rPr>
                <w:noProof/>
              </w:rPr>
              <w:t>4</w:t>
            </w:r>
          </w:p>
        </w:tc>
        <w:tc>
          <w:tcPr>
            <w:tcW w:w="2749" w:type="pct"/>
            <w:vAlign w:val="center"/>
          </w:tcPr>
          <w:p w14:paraId="4DED9ADD" w14:textId="77777777" w:rsidR="00486288" w:rsidRPr="00486288" w:rsidRDefault="00486288" w:rsidP="00486288">
            <w:pPr>
              <w:spacing w:before="60" w:after="60"/>
              <w:rPr>
                <w:noProof/>
              </w:rPr>
            </w:pPr>
            <w:r w:rsidRPr="00486288">
              <w:rPr>
                <w:noProof/>
                <w:sz w:val="22"/>
              </w:rPr>
              <w:t>‘Administrative expenditure’</w:t>
            </w:r>
            <w:r w:rsidR="00044E2D">
              <w:rPr>
                <w:noProof/>
                <w:sz w:val="22"/>
              </w:rPr>
              <w:t xml:space="preserve"> – EMSA subsidy</w:t>
            </w:r>
          </w:p>
        </w:tc>
      </w:tr>
    </w:tbl>
    <w:p w14:paraId="4D2B06ED" w14:textId="77777777" w:rsidR="00486288" w:rsidRDefault="00486288" w:rsidP="00445C9D">
      <w:pPr>
        <w:rPr>
          <w:noProof/>
          <w:sz w:val="16"/>
        </w:rPr>
      </w:pPr>
    </w:p>
    <w:tbl>
      <w:tblPr>
        <w:tblW w:w="5000" w:type="pct"/>
        <w:tblLook w:val="04A0" w:firstRow="1" w:lastRow="0" w:firstColumn="1" w:lastColumn="0" w:noHBand="0" w:noVBand="1"/>
      </w:tblPr>
      <w:tblGrid>
        <w:gridCol w:w="1986"/>
        <w:gridCol w:w="2726"/>
        <w:gridCol w:w="726"/>
        <w:gridCol w:w="728"/>
        <w:gridCol w:w="995"/>
        <w:gridCol w:w="995"/>
        <w:gridCol w:w="995"/>
        <w:gridCol w:w="995"/>
        <w:gridCol w:w="995"/>
        <w:gridCol w:w="995"/>
        <w:gridCol w:w="995"/>
        <w:gridCol w:w="1089"/>
      </w:tblGrid>
      <w:tr w:rsidR="00486288" w:rsidRPr="00EB2752" w14:paraId="0ED8DC77" w14:textId="77777777" w:rsidTr="000C1FFA">
        <w:trPr>
          <w:trHeight w:val="410"/>
        </w:trPr>
        <w:tc>
          <w:tcPr>
            <w:tcW w:w="2167"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06B59874" w14:textId="77777777" w:rsidR="00486288" w:rsidRPr="00EB2752" w:rsidRDefault="00486288" w:rsidP="00445C9D">
            <w:pPr>
              <w:spacing w:before="0" w:after="0"/>
              <w:jc w:val="center"/>
              <w:rPr>
                <w:rFonts w:eastAsia="Times New Roman"/>
                <w:noProof/>
                <w:color w:val="000000"/>
                <w:szCs w:val="24"/>
                <w:lang w:val="en-IE" w:eastAsia="en-IE"/>
              </w:rPr>
            </w:pPr>
            <w:r w:rsidRPr="00EB2752">
              <w:rPr>
                <w:rFonts w:eastAsia="Times New Roman"/>
                <w:noProof/>
                <w:color w:val="000000"/>
                <w:szCs w:val="24"/>
                <w:lang w:val="en-IE" w:eastAsia="en-IE"/>
              </w:rPr>
              <w:t>DG: &lt;</w:t>
            </w:r>
            <w:r>
              <w:rPr>
                <w:rFonts w:eastAsia="Times New Roman"/>
                <w:noProof/>
                <w:color w:val="000000"/>
                <w:szCs w:val="24"/>
                <w:lang w:val="en-IE" w:eastAsia="en-IE"/>
              </w:rPr>
              <w:t>CLIMA</w:t>
            </w:r>
            <w:r w:rsidRPr="00EB2752">
              <w:rPr>
                <w:rFonts w:eastAsia="Times New Roman"/>
                <w:noProof/>
                <w:color w:val="000000"/>
                <w:szCs w:val="24"/>
                <w:lang w:val="en-IE" w:eastAsia="en-IE"/>
              </w:rPr>
              <w:t>&gt;</w:t>
            </w:r>
          </w:p>
        </w:tc>
        <w:tc>
          <w:tcPr>
            <w:tcW w:w="350" w:type="pct"/>
            <w:tcBorders>
              <w:top w:val="single" w:sz="8" w:space="0" w:color="auto"/>
              <w:left w:val="nil"/>
              <w:bottom w:val="nil"/>
              <w:right w:val="single" w:sz="8" w:space="0" w:color="auto"/>
            </w:tcBorders>
            <w:vAlign w:val="center"/>
            <w:hideMark/>
          </w:tcPr>
          <w:p w14:paraId="7FA65242"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2AAEB00E"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0AA4C927"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6EC59C41"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2E086792"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137A0C8E"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4C40661F"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384" w:type="pct"/>
            <w:vMerge w:val="restart"/>
            <w:tcBorders>
              <w:top w:val="single" w:sz="8" w:space="0" w:color="auto"/>
              <w:left w:val="single" w:sz="8" w:space="0" w:color="auto"/>
              <w:bottom w:val="single" w:sz="8" w:space="0" w:color="000000"/>
              <w:right w:val="single" w:sz="8" w:space="0" w:color="auto"/>
            </w:tcBorders>
            <w:vAlign w:val="center"/>
            <w:hideMark/>
          </w:tcPr>
          <w:p w14:paraId="5D9A987D"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TOTAL MFF 2028-2034</w:t>
            </w:r>
          </w:p>
        </w:tc>
      </w:tr>
      <w:tr w:rsidR="00486288" w:rsidRPr="00EB2752" w14:paraId="73D29A8B" w14:textId="77777777" w:rsidTr="000C1FFA">
        <w:trPr>
          <w:trHeight w:val="300"/>
        </w:trPr>
        <w:tc>
          <w:tcPr>
            <w:tcW w:w="2167" w:type="pct"/>
            <w:gridSpan w:val="4"/>
            <w:vMerge/>
            <w:tcBorders>
              <w:top w:val="single" w:sz="8" w:space="0" w:color="auto"/>
              <w:left w:val="single" w:sz="8" w:space="0" w:color="auto"/>
              <w:bottom w:val="single" w:sz="8" w:space="0" w:color="000000"/>
              <w:right w:val="single" w:sz="8" w:space="0" w:color="000000"/>
            </w:tcBorders>
            <w:vAlign w:val="center"/>
            <w:hideMark/>
          </w:tcPr>
          <w:p w14:paraId="308E67AC" w14:textId="77777777" w:rsidR="00486288" w:rsidRPr="00EB2752" w:rsidRDefault="00486288" w:rsidP="00445C9D">
            <w:pPr>
              <w:spacing w:before="0" w:after="0"/>
              <w:jc w:val="left"/>
              <w:rPr>
                <w:rFonts w:eastAsia="Times New Roman"/>
                <w:noProof/>
                <w:color w:val="000000"/>
                <w:szCs w:val="24"/>
                <w:lang w:val="en-IE" w:eastAsia="en-IE"/>
              </w:rPr>
            </w:pPr>
          </w:p>
        </w:tc>
        <w:tc>
          <w:tcPr>
            <w:tcW w:w="350" w:type="pct"/>
            <w:tcBorders>
              <w:top w:val="nil"/>
              <w:left w:val="nil"/>
              <w:bottom w:val="single" w:sz="8" w:space="0" w:color="auto"/>
              <w:right w:val="single" w:sz="8" w:space="0" w:color="auto"/>
            </w:tcBorders>
            <w:vAlign w:val="center"/>
            <w:hideMark/>
          </w:tcPr>
          <w:p w14:paraId="622BEBED"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2028</w:t>
            </w:r>
          </w:p>
        </w:tc>
        <w:tc>
          <w:tcPr>
            <w:tcW w:w="350" w:type="pct"/>
            <w:tcBorders>
              <w:top w:val="nil"/>
              <w:left w:val="nil"/>
              <w:bottom w:val="single" w:sz="8" w:space="0" w:color="auto"/>
              <w:right w:val="single" w:sz="8" w:space="0" w:color="auto"/>
            </w:tcBorders>
            <w:vAlign w:val="center"/>
            <w:hideMark/>
          </w:tcPr>
          <w:p w14:paraId="4A06D703"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2029</w:t>
            </w:r>
          </w:p>
        </w:tc>
        <w:tc>
          <w:tcPr>
            <w:tcW w:w="350" w:type="pct"/>
            <w:tcBorders>
              <w:top w:val="nil"/>
              <w:left w:val="nil"/>
              <w:bottom w:val="single" w:sz="8" w:space="0" w:color="auto"/>
              <w:right w:val="single" w:sz="8" w:space="0" w:color="auto"/>
            </w:tcBorders>
            <w:vAlign w:val="center"/>
            <w:hideMark/>
          </w:tcPr>
          <w:p w14:paraId="037367DC"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2030</w:t>
            </w:r>
          </w:p>
        </w:tc>
        <w:tc>
          <w:tcPr>
            <w:tcW w:w="350" w:type="pct"/>
            <w:tcBorders>
              <w:top w:val="nil"/>
              <w:left w:val="nil"/>
              <w:bottom w:val="single" w:sz="8" w:space="0" w:color="auto"/>
              <w:right w:val="single" w:sz="8" w:space="0" w:color="auto"/>
            </w:tcBorders>
            <w:vAlign w:val="center"/>
            <w:hideMark/>
          </w:tcPr>
          <w:p w14:paraId="7D640742"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2031</w:t>
            </w:r>
          </w:p>
        </w:tc>
        <w:tc>
          <w:tcPr>
            <w:tcW w:w="350" w:type="pct"/>
            <w:tcBorders>
              <w:top w:val="nil"/>
              <w:left w:val="nil"/>
              <w:bottom w:val="single" w:sz="8" w:space="0" w:color="auto"/>
              <w:right w:val="single" w:sz="8" w:space="0" w:color="auto"/>
            </w:tcBorders>
            <w:vAlign w:val="center"/>
            <w:hideMark/>
          </w:tcPr>
          <w:p w14:paraId="017772DB"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2032</w:t>
            </w:r>
          </w:p>
        </w:tc>
        <w:tc>
          <w:tcPr>
            <w:tcW w:w="350" w:type="pct"/>
            <w:tcBorders>
              <w:top w:val="nil"/>
              <w:left w:val="nil"/>
              <w:bottom w:val="single" w:sz="8" w:space="0" w:color="auto"/>
              <w:right w:val="single" w:sz="8" w:space="0" w:color="auto"/>
            </w:tcBorders>
            <w:vAlign w:val="center"/>
            <w:hideMark/>
          </w:tcPr>
          <w:p w14:paraId="5E7DE30B"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2033</w:t>
            </w:r>
          </w:p>
        </w:tc>
        <w:tc>
          <w:tcPr>
            <w:tcW w:w="350" w:type="pct"/>
            <w:tcBorders>
              <w:top w:val="nil"/>
              <w:left w:val="nil"/>
              <w:bottom w:val="single" w:sz="8" w:space="0" w:color="auto"/>
              <w:right w:val="single" w:sz="8" w:space="0" w:color="auto"/>
            </w:tcBorders>
            <w:vAlign w:val="center"/>
            <w:hideMark/>
          </w:tcPr>
          <w:p w14:paraId="1E7C12A3"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2034</w:t>
            </w:r>
          </w:p>
        </w:tc>
        <w:tc>
          <w:tcPr>
            <w:tcW w:w="384" w:type="pct"/>
            <w:vMerge/>
            <w:tcBorders>
              <w:top w:val="single" w:sz="8" w:space="0" w:color="auto"/>
              <w:left w:val="single" w:sz="8" w:space="0" w:color="auto"/>
              <w:bottom w:val="single" w:sz="8" w:space="0" w:color="000000"/>
              <w:right w:val="single" w:sz="8" w:space="0" w:color="auto"/>
            </w:tcBorders>
            <w:vAlign w:val="center"/>
            <w:hideMark/>
          </w:tcPr>
          <w:p w14:paraId="18E3BCE7" w14:textId="77777777" w:rsidR="00486288" w:rsidRPr="00EB2752" w:rsidRDefault="00486288" w:rsidP="00445C9D">
            <w:pPr>
              <w:spacing w:before="0" w:after="0"/>
              <w:jc w:val="left"/>
              <w:rPr>
                <w:rFonts w:eastAsia="Times New Roman"/>
                <w:b/>
                <w:bCs/>
                <w:noProof/>
                <w:color w:val="000000"/>
                <w:sz w:val="20"/>
                <w:szCs w:val="20"/>
                <w:lang w:val="en-IE" w:eastAsia="en-IE"/>
              </w:rPr>
            </w:pPr>
          </w:p>
        </w:tc>
      </w:tr>
      <w:tr w:rsidR="00486288" w:rsidRPr="00EB2752" w14:paraId="69D52EF3" w14:textId="77777777" w:rsidTr="000C1FFA">
        <w:trPr>
          <w:trHeight w:val="300"/>
        </w:trPr>
        <w:tc>
          <w:tcPr>
            <w:tcW w:w="2167" w:type="pct"/>
            <w:gridSpan w:val="4"/>
            <w:tcBorders>
              <w:top w:val="single" w:sz="8" w:space="0" w:color="auto"/>
              <w:left w:val="single" w:sz="8" w:space="0" w:color="auto"/>
              <w:bottom w:val="single" w:sz="8" w:space="0" w:color="auto"/>
              <w:right w:val="single" w:sz="8" w:space="0" w:color="000000"/>
            </w:tcBorders>
            <w:vAlign w:val="center"/>
            <w:hideMark/>
          </w:tcPr>
          <w:p w14:paraId="717FC246" w14:textId="77777777" w:rsidR="00486288" w:rsidRPr="00EB2752" w:rsidRDefault="00486288" w:rsidP="00445C9D">
            <w:pPr>
              <w:spacing w:before="0" w:after="0"/>
              <w:jc w:val="left"/>
              <w:rPr>
                <w:rFonts w:ascii="Wingdings" w:eastAsia="Times New Roman" w:hAnsi="Wingdings"/>
                <w:noProof/>
                <w:color w:val="000000"/>
                <w:sz w:val="22"/>
                <w:lang w:val="en-IE" w:eastAsia="en-IE"/>
              </w:rPr>
            </w:pPr>
            <w:r w:rsidRPr="00EB2752">
              <w:rPr>
                <w:rFonts w:ascii="Wingdings" w:eastAsia="Times New Roman" w:hAnsi="Wingdings"/>
                <w:noProof/>
                <w:color w:val="000000"/>
                <w:sz w:val="22"/>
                <w:lang w:val="en-IE" w:eastAsia="en-IE"/>
              </w:rPr>
              <w:t></w:t>
            </w:r>
            <w:r w:rsidRPr="00EB2752">
              <w:rPr>
                <w:rFonts w:eastAsia="Times New Roman"/>
                <w:noProof/>
                <w:color w:val="000000"/>
                <w:sz w:val="22"/>
                <w:lang w:val="en-IE" w:eastAsia="en-IE"/>
              </w:rPr>
              <w:t xml:space="preserve"> Human resources </w:t>
            </w:r>
          </w:p>
        </w:tc>
        <w:tc>
          <w:tcPr>
            <w:tcW w:w="350" w:type="pct"/>
            <w:tcBorders>
              <w:top w:val="nil"/>
              <w:left w:val="nil"/>
              <w:bottom w:val="single" w:sz="8" w:space="0" w:color="auto"/>
              <w:right w:val="single" w:sz="8" w:space="0" w:color="auto"/>
            </w:tcBorders>
            <w:shd w:val="clear" w:color="000000" w:fill="D9D9D9"/>
            <w:vAlign w:val="center"/>
            <w:hideMark/>
          </w:tcPr>
          <w:p w14:paraId="4D4CFA54"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D2C4EF2"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47DD5901"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1AC52F5"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AF74172"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A966DFC"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8061F89"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84" w:type="pct"/>
            <w:tcBorders>
              <w:top w:val="nil"/>
              <w:left w:val="nil"/>
              <w:bottom w:val="single" w:sz="8" w:space="0" w:color="auto"/>
              <w:right w:val="single" w:sz="8" w:space="0" w:color="auto"/>
            </w:tcBorders>
            <w:shd w:val="clear" w:color="000000" w:fill="D9D9D9"/>
            <w:vAlign w:val="center"/>
            <w:hideMark/>
          </w:tcPr>
          <w:p w14:paraId="3DF48D15" w14:textId="77777777" w:rsidR="00486288" w:rsidRPr="00EB2752" w:rsidRDefault="00486288" w:rsidP="00445C9D">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r>
      <w:tr w:rsidR="00894819" w:rsidRPr="00EB2752" w14:paraId="0678345B" w14:textId="77777777" w:rsidTr="000C1FFA">
        <w:trPr>
          <w:trHeight w:val="300"/>
        </w:trPr>
        <w:tc>
          <w:tcPr>
            <w:tcW w:w="2167" w:type="pct"/>
            <w:gridSpan w:val="4"/>
            <w:tcBorders>
              <w:top w:val="single" w:sz="8" w:space="0" w:color="auto"/>
              <w:left w:val="single" w:sz="8" w:space="0" w:color="auto"/>
              <w:bottom w:val="single" w:sz="8" w:space="0" w:color="auto"/>
              <w:right w:val="single" w:sz="8" w:space="0" w:color="000000"/>
            </w:tcBorders>
            <w:vAlign w:val="center"/>
          </w:tcPr>
          <w:p w14:paraId="327715B1" w14:textId="77777777" w:rsidR="00894819" w:rsidRPr="00EB2752" w:rsidRDefault="00894819" w:rsidP="00894819">
            <w:pPr>
              <w:spacing w:before="0" w:after="0"/>
              <w:jc w:val="left"/>
              <w:rPr>
                <w:rFonts w:ascii="Wingdings" w:eastAsia="Times New Roman" w:hAnsi="Wingdings"/>
                <w:noProof/>
                <w:color w:val="000000"/>
                <w:sz w:val="22"/>
                <w:lang w:val="en-IE" w:eastAsia="en-IE"/>
              </w:rPr>
            </w:pPr>
            <w:r w:rsidRPr="00EB2752">
              <w:rPr>
                <w:rFonts w:ascii="Wingdings" w:eastAsia="Times New Roman" w:hAnsi="Wingdings"/>
                <w:noProof/>
                <w:color w:val="000000"/>
                <w:sz w:val="22"/>
                <w:lang w:val="en-IE" w:eastAsia="en-IE"/>
              </w:rPr>
              <w:t></w:t>
            </w:r>
            <w:r w:rsidRPr="00EB2752">
              <w:rPr>
                <w:rFonts w:eastAsia="Times New Roman"/>
                <w:noProof/>
                <w:color w:val="000000"/>
                <w:sz w:val="22"/>
                <w:lang w:val="en-IE" w:eastAsia="en-IE"/>
              </w:rPr>
              <w:t xml:space="preserve"> </w:t>
            </w:r>
            <w:r>
              <w:rPr>
                <w:rFonts w:eastAsia="Times New Roman"/>
                <w:noProof/>
                <w:color w:val="000000"/>
                <w:sz w:val="22"/>
                <w:lang w:val="en-IE" w:eastAsia="en-IE"/>
              </w:rPr>
              <w:t>EMSA subsidy</w:t>
            </w:r>
          </w:p>
        </w:tc>
        <w:tc>
          <w:tcPr>
            <w:tcW w:w="350" w:type="pct"/>
            <w:tcBorders>
              <w:top w:val="nil"/>
              <w:left w:val="nil"/>
              <w:bottom w:val="single" w:sz="8" w:space="0" w:color="auto"/>
              <w:right w:val="single" w:sz="8" w:space="0" w:color="auto"/>
            </w:tcBorders>
            <w:shd w:val="clear" w:color="000000" w:fill="D9D9D9"/>
          </w:tcPr>
          <w:p w14:paraId="1D87F2FB" w14:textId="77777777" w:rsidR="00894819" w:rsidRPr="00EB2752" w:rsidRDefault="00894819" w:rsidP="00894819">
            <w:pPr>
              <w:spacing w:before="0" w:after="0"/>
              <w:jc w:val="right"/>
              <w:rPr>
                <w:rFonts w:eastAsia="Times New Roman"/>
                <w:noProof/>
                <w:color w:val="000000"/>
                <w:sz w:val="20"/>
                <w:szCs w:val="20"/>
                <w:lang w:val="en-IE" w:eastAsia="en-IE"/>
              </w:rPr>
            </w:pPr>
            <w:r w:rsidRPr="00894819">
              <w:rPr>
                <w:rFonts w:eastAsia="Times New Roman"/>
                <w:noProof/>
                <w:color w:val="000000"/>
                <w:sz w:val="20"/>
                <w:szCs w:val="20"/>
                <w:lang w:val="en-IE" w:eastAsia="en-IE"/>
              </w:rPr>
              <w:t>4.032</w:t>
            </w:r>
          </w:p>
        </w:tc>
        <w:tc>
          <w:tcPr>
            <w:tcW w:w="350" w:type="pct"/>
            <w:tcBorders>
              <w:top w:val="nil"/>
              <w:left w:val="nil"/>
              <w:bottom w:val="single" w:sz="8" w:space="0" w:color="auto"/>
              <w:right w:val="single" w:sz="8" w:space="0" w:color="auto"/>
            </w:tcBorders>
            <w:shd w:val="clear" w:color="000000" w:fill="D9D9D9"/>
          </w:tcPr>
          <w:p w14:paraId="03814C32" w14:textId="77777777" w:rsidR="00894819" w:rsidRPr="00EB2752" w:rsidRDefault="00894819" w:rsidP="00894819">
            <w:pPr>
              <w:spacing w:before="0" w:after="0"/>
              <w:jc w:val="right"/>
              <w:rPr>
                <w:rFonts w:eastAsia="Times New Roman"/>
                <w:noProof/>
                <w:color w:val="000000"/>
                <w:sz w:val="20"/>
                <w:szCs w:val="20"/>
                <w:lang w:val="en-IE" w:eastAsia="en-IE"/>
              </w:rPr>
            </w:pPr>
            <w:r w:rsidRPr="00894819">
              <w:rPr>
                <w:rFonts w:eastAsia="Times New Roman"/>
                <w:noProof/>
                <w:color w:val="000000"/>
                <w:sz w:val="20"/>
                <w:szCs w:val="20"/>
                <w:lang w:val="en-IE" w:eastAsia="en-IE"/>
              </w:rPr>
              <w:t>4.032</w:t>
            </w:r>
          </w:p>
        </w:tc>
        <w:tc>
          <w:tcPr>
            <w:tcW w:w="350" w:type="pct"/>
            <w:tcBorders>
              <w:top w:val="nil"/>
              <w:left w:val="nil"/>
              <w:bottom w:val="single" w:sz="8" w:space="0" w:color="auto"/>
              <w:right w:val="single" w:sz="8" w:space="0" w:color="auto"/>
            </w:tcBorders>
            <w:shd w:val="clear" w:color="000000" w:fill="D9D9D9"/>
          </w:tcPr>
          <w:p w14:paraId="1254D8CF" w14:textId="77777777" w:rsidR="00894819" w:rsidRPr="00EB2752" w:rsidRDefault="00894819" w:rsidP="00894819">
            <w:pPr>
              <w:spacing w:before="0" w:after="0"/>
              <w:jc w:val="right"/>
              <w:rPr>
                <w:rFonts w:eastAsia="Times New Roman"/>
                <w:noProof/>
                <w:color w:val="000000"/>
                <w:sz w:val="20"/>
                <w:szCs w:val="20"/>
                <w:lang w:val="en-IE" w:eastAsia="en-IE"/>
              </w:rPr>
            </w:pPr>
            <w:r w:rsidRPr="00894819">
              <w:rPr>
                <w:rFonts w:eastAsia="Times New Roman"/>
                <w:noProof/>
                <w:color w:val="000000"/>
                <w:sz w:val="20"/>
                <w:szCs w:val="20"/>
                <w:lang w:val="en-IE" w:eastAsia="en-IE"/>
              </w:rPr>
              <w:t>4.032</w:t>
            </w:r>
          </w:p>
        </w:tc>
        <w:tc>
          <w:tcPr>
            <w:tcW w:w="350" w:type="pct"/>
            <w:tcBorders>
              <w:top w:val="nil"/>
              <w:left w:val="nil"/>
              <w:bottom w:val="single" w:sz="8" w:space="0" w:color="auto"/>
              <w:right w:val="single" w:sz="8" w:space="0" w:color="auto"/>
            </w:tcBorders>
            <w:shd w:val="clear" w:color="000000" w:fill="D9D9D9"/>
          </w:tcPr>
          <w:p w14:paraId="5C0E2AFB" w14:textId="77777777" w:rsidR="00894819" w:rsidRPr="00EB2752" w:rsidRDefault="00894819" w:rsidP="00894819">
            <w:pPr>
              <w:spacing w:before="0" w:after="0"/>
              <w:jc w:val="right"/>
              <w:rPr>
                <w:rFonts w:eastAsia="Times New Roman"/>
                <w:noProof/>
                <w:color w:val="000000"/>
                <w:sz w:val="20"/>
                <w:szCs w:val="20"/>
                <w:lang w:val="en-IE" w:eastAsia="en-IE"/>
              </w:rPr>
            </w:pPr>
            <w:r w:rsidRPr="00894819">
              <w:rPr>
                <w:rFonts w:eastAsia="Times New Roman"/>
                <w:noProof/>
                <w:color w:val="000000"/>
                <w:sz w:val="20"/>
                <w:szCs w:val="20"/>
                <w:lang w:val="en-IE" w:eastAsia="en-IE"/>
              </w:rPr>
              <w:t>3.702</w:t>
            </w:r>
          </w:p>
        </w:tc>
        <w:tc>
          <w:tcPr>
            <w:tcW w:w="350" w:type="pct"/>
            <w:tcBorders>
              <w:top w:val="nil"/>
              <w:left w:val="nil"/>
              <w:bottom w:val="single" w:sz="8" w:space="0" w:color="auto"/>
              <w:right w:val="single" w:sz="8" w:space="0" w:color="auto"/>
            </w:tcBorders>
            <w:shd w:val="clear" w:color="000000" w:fill="D9D9D9"/>
          </w:tcPr>
          <w:p w14:paraId="2693B85A" w14:textId="77777777" w:rsidR="00894819" w:rsidRPr="00EB2752" w:rsidRDefault="00894819" w:rsidP="00894819">
            <w:pPr>
              <w:spacing w:before="0" w:after="0"/>
              <w:jc w:val="right"/>
              <w:rPr>
                <w:rFonts w:eastAsia="Times New Roman"/>
                <w:noProof/>
                <w:color w:val="000000"/>
                <w:sz w:val="20"/>
                <w:szCs w:val="20"/>
                <w:lang w:val="en-IE" w:eastAsia="en-IE"/>
              </w:rPr>
            </w:pPr>
            <w:r w:rsidRPr="00894819">
              <w:rPr>
                <w:rFonts w:eastAsia="Times New Roman"/>
                <w:noProof/>
                <w:color w:val="000000"/>
                <w:sz w:val="20"/>
                <w:szCs w:val="20"/>
                <w:lang w:val="en-IE" w:eastAsia="en-IE"/>
              </w:rPr>
              <w:t>3.702</w:t>
            </w:r>
          </w:p>
        </w:tc>
        <w:tc>
          <w:tcPr>
            <w:tcW w:w="350" w:type="pct"/>
            <w:tcBorders>
              <w:top w:val="nil"/>
              <w:left w:val="nil"/>
              <w:bottom w:val="single" w:sz="8" w:space="0" w:color="auto"/>
              <w:right w:val="single" w:sz="8" w:space="0" w:color="auto"/>
            </w:tcBorders>
            <w:shd w:val="clear" w:color="000000" w:fill="D9D9D9"/>
          </w:tcPr>
          <w:p w14:paraId="0C140E05" w14:textId="77777777" w:rsidR="00894819" w:rsidRPr="00EB2752" w:rsidRDefault="00894819" w:rsidP="00894819">
            <w:pPr>
              <w:spacing w:before="0" w:after="0"/>
              <w:jc w:val="right"/>
              <w:rPr>
                <w:rFonts w:eastAsia="Times New Roman"/>
                <w:noProof/>
                <w:color w:val="000000"/>
                <w:sz w:val="20"/>
                <w:szCs w:val="20"/>
                <w:lang w:val="en-IE" w:eastAsia="en-IE"/>
              </w:rPr>
            </w:pPr>
            <w:r w:rsidRPr="00894819">
              <w:rPr>
                <w:rFonts w:eastAsia="Times New Roman"/>
                <w:noProof/>
                <w:color w:val="000000"/>
                <w:sz w:val="20"/>
                <w:szCs w:val="20"/>
                <w:lang w:val="en-IE" w:eastAsia="en-IE"/>
              </w:rPr>
              <w:t>3.702</w:t>
            </w:r>
          </w:p>
        </w:tc>
        <w:tc>
          <w:tcPr>
            <w:tcW w:w="350" w:type="pct"/>
            <w:tcBorders>
              <w:top w:val="nil"/>
              <w:left w:val="nil"/>
              <w:bottom w:val="single" w:sz="8" w:space="0" w:color="auto"/>
              <w:right w:val="single" w:sz="8" w:space="0" w:color="auto"/>
            </w:tcBorders>
            <w:shd w:val="clear" w:color="000000" w:fill="D9D9D9"/>
          </w:tcPr>
          <w:p w14:paraId="786A8791" w14:textId="77777777" w:rsidR="00894819" w:rsidRPr="00EB2752" w:rsidRDefault="00894819" w:rsidP="00894819">
            <w:pPr>
              <w:spacing w:before="0" w:after="0"/>
              <w:jc w:val="right"/>
              <w:rPr>
                <w:rFonts w:eastAsia="Times New Roman"/>
                <w:noProof/>
                <w:color w:val="000000"/>
                <w:sz w:val="20"/>
                <w:szCs w:val="20"/>
                <w:lang w:val="en-IE" w:eastAsia="en-IE"/>
              </w:rPr>
            </w:pPr>
            <w:r w:rsidRPr="00894819">
              <w:rPr>
                <w:rFonts w:eastAsia="Times New Roman"/>
                <w:noProof/>
                <w:color w:val="000000"/>
                <w:sz w:val="20"/>
                <w:szCs w:val="20"/>
                <w:lang w:val="en-IE" w:eastAsia="en-IE"/>
              </w:rPr>
              <w:t>3.702</w:t>
            </w:r>
          </w:p>
        </w:tc>
        <w:tc>
          <w:tcPr>
            <w:tcW w:w="384" w:type="pct"/>
            <w:tcBorders>
              <w:top w:val="nil"/>
              <w:left w:val="nil"/>
              <w:bottom w:val="single" w:sz="8" w:space="0" w:color="auto"/>
              <w:right w:val="single" w:sz="8" w:space="0" w:color="auto"/>
            </w:tcBorders>
            <w:shd w:val="clear" w:color="000000" w:fill="D9D9D9"/>
          </w:tcPr>
          <w:p w14:paraId="29DFB6E5" w14:textId="77777777" w:rsidR="00894819" w:rsidRPr="00894819" w:rsidRDefault="00894819" w:rsidP="00894819">
            <w:pPr>
              <w:spacing w:before="0" w:after="0"/>
              <w:jc w:val="right"/>
              <w:rPr>
                <w:rFonts w:eastAsia="Times New Roman"/>
                <w:noProof/>
                <w:color w:val="000000"/>
                <w:sz w:val="20"/>
                <w:szCs w:val="20"/>
                <w:lang w:val="en-IE" w:eastAsia="en-IE"/>
              </w:rPr>
            </w:pPr>
            <w:r w:rsidRPr="00894819">
              <w:rPr>
                <w:rFonts w:eastAsia="Times New Roman"/>
                <w:b/>
                <w:bCs/>
                <w:noProof/>
                <w:color w:val="000000"/>
                <w:sz w:val="20"/>
                <w:szCs w:val="20"/>
                <w:lang w:val="en-IE" w:eastAsia="en-IE"/>
              </w:rPr>
              <w:t>26.907</w:t>
            </w:r>
          </w:p>
        </w:tc>
      </w:tr>
      <w:tr w:rsidR="00486288" w:rsidRPr="00EB2752" w14:paraId="4B162454" w14:textId="77777777" w:rsidTr="000C1FFA">
        <w:trPr>
          <w:trHeight w:val="300"/>
        </w:trPr>
        <w:tc>
          <w:tcPr>
            <w:tcW w:w="2167" w:type="pct"/>
            <w:gridSpan w:val="4"/>
            <w:tcBorders>
              <w:top w:val="single" w:sz="8" w:space="0" w:color="auto"/>
              <w:left w:val="single" w:sz="8" w:space="0" w:color="auto"/>
              <w:bottom w:val="single" w:sz="8" w:space="0" w:color="auto"/>
              <w:right w:val="single" w:sz="8" w:space="0" w:color="000000"/>
            </w:tcBorders>
            <w:vAlign w:val="center"/>
            <w:hideMark/>
          </w:tcPr>
          <w:p w14:paraId="4C7D2D46" w14:textId="77777777" w:rsidR="00486288" w:rsidRPr="00EB2752" w:rsidRDefault="00486288" w:rsidP="00445C9D">
            <w:pPr>
              <w:spacing w:before="0" w:after="0"/>
              <w:jc w:val="left"/>
              <w:rPr>
                <w:rFonts w:ascii="Wingdings" w:eastAsia="Times New Roman" w:hAnsi="Wingdings"/>
                <w:noProof/>
                <w:color w:val="000000"/>
                <w:sz w:val="22"/>
                <w:lang w:val="en-IE" w:eastAsia="en-IE"/>
              </w:rPr>
            </w:pPr>
            <w:r w:rsidRPr="00EB2752">
              <w:rPr>
                <w:rFonts w:ascii="Wingdings" w:eastAsia="Times New Roman" w:hAnsi="Wingdings"/>
                <w:noProof/>
                <w:color w:val="000000"/>
                <w:sz w:val="22"/>
                <w:lang w:val="en-IE" w:eastAsia="en-IE"/>
              </w:rPr>
              <w:t></w:t>
            </w:r>
            <w:r w:rsidRPr="00EB2752">
              <w:rPr>
                <w:rFonts w:eastAsia="Times New Roman"/>
                <w:noProof/>
                <w:color w:val="000000"/>
                <w:sz w:val="22"/>
                <w:lang w:val="en-IE" w:eastAsia="en-IE"/>
              </w:rPr>
              <w:t xml:space="preserve"> Other administrative expenditure </w:t>
            </w:r>
          </w:p>
        </w:tc>
        <w:tc>
          <w:tcPr>
            <w:tcW w:w="350" w:type="pct"/>
            <w:tcBorders>
              <w:top w:val="nil"/>
              <w:left w:val="nil"/>
              <w:bottom w:val="single" w:sz="8" w:space="0" w:color="auto"/>
              <w:right w:val="single" w:sz="8" w:space="0" w:color="auto"/>
            </w:tcBorders>
            <w:shd w:val="clear" w:color="000000" w:fill="D9D9D9"/>
            <w:vAlign w:val="center"/>
            <w:hideMark/>
          </w:tcPr>
          <w:p w14:paraId="793EA254"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72E670CA"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0D81F464"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4D894F4F"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27B45F45"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4DB79E2D"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183C0276" w14:textId="77777777" w:rsidR="00486288" w:rsidRPr="00EB2752" w:rsidRDefault="00486288" w:rsidP="00445C9D">
            <w:pPr>
              <w:spacing w:before="0" w:after="0"/>
              <w:jc w:val="right"/>
              <w:rPr>
                <w:rFonts w:eastAsia="Times New Roman"/>
                <w:noProof/>
                <w:color w:val="000000"/>
                <w:sz w:val="20"/>
                <w:szCs w:val="20"/>
                <w:lang w:val="en-IE" w:eastAsia="en-IE"/>
              </w:rPr>
            </w:pPr>
            <w:r w:rsidRPr="00EB2752">
              <w:rPr>
                <w:rFonts w:eastAsia="Times New Roman"/>
                <w:noProof/>
                <w:color w:val="000000"/>
                <w:sz w:val="20"/>
                <w:szCs w:val="20"/>
                <w:lang w:val="en-IE" w:eastAsia="en-IE"/>
              </w:rPr>
              <w:t>0</w:t>
            </w:r>
          </w:p>
        </w:tc>
        <w:tc>
          <w:tcPr>
            <w:tcW w:w="384" w:type="pct"/>
            <w:tcBorders>
              <w:top w:val="nil"/>
              <w:left w:val="nil"/>
              <w:bottom w:val="single" w:sz="8" w:space="0" w:color="auto"/>
              <w:right w:val="single" w:sz="8" w:space="0" w:color="auto"/>
            </w:tcBorders>
            <w:shd w:val="clear" w:color="000000" w:fill="D9D9D9"/>
            <w:vAlign w:val="center"/>
            <w:hideMark/>
          </w:tcPr>
          <w:p w14:paraId="513721BD" w14:textId="77777777" w:rsidR="00486288" w:rsidRPr="00EB2752" w:rsidRDefault="00486288" w:rsidP="00445C9D">
            <w:pPr>
              <w:spacing w:before="0" w:after="0"/>
              <w:jc w:val="right"/>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0</w:t>
            </w:r>
          </w:p>
        </w:tc>
      </w:tr>
      <w:tr w:rsidR="00894819" w:rsidRPr="00EB2752" w14:paraId="2E02EB2D" w14:textId="77777777" w:rsidTr="000C1FFA">
        <w:trPr>
          <w:trHeight w:val="850"/>
        </w:trPr>
        <w:tc>
          <w:tcPr>
            <w:tcW w:w="698" w:type="pct"/>
            <w:tcBorders>
              <w:top w:val="nil"/>
              <w:left w:val="single" w:sz="8" w:space="0" w:color="auto"/>
              <w:bottom w:val="single" w:sz="8" w:space="0" w:color="auto"/>
              <w:right w:val="single" w:sz="8" w:space="0" w:color="auto"/>
            </w:tcBorders>
            <w:vAlign w:val="center"/>
            <w:hideMark/>
          </w:tcPr>
          <w:p w14:paraId="2B7C8E19" w14:textId="77777777" w:rsidR="00894819" w:rsidRPr="00EB2752" w:rsidRDefault="00894819" w:rsidP="00894819">
            <w:pPr>
              <w:spacing w:before="0" w:after="0"/>
              <w:jc w:val="center"/>
              <w:rPr>
                <w:rFonts w:eastAsia="Times New Roman"/>
                <w:b/>
                <w:bCs/>
                <w:noProof/>
                <w:color w:val="000000"/>
                <w:sz w:val="22"/>
                <w:lang w:val="en-IE" w:eastAsia="en-IE"/>
              </w:rPr>
            </w:pPr>
            <w:r w:rsidRPr="00EB2752">
              <w:rPr>
                <w:rFonts w:eastAsia="Times New Roman"/>
                <w:b/>
                <w:bCs/>
                <w:noProof/>
                <w:color w:val="000000"/>
                <w:sz w:val="22"/>
                <w:lang w:val="en-IE" w:eastAsia="en-IE"/>
              </w:rPr>
              <w:t xml:space="preserve">TOTAL DG </w:t>
            </w:r>
            <w:r w:rsidRPr="00EB2752">
              <w:rPr>
                <w:rFonts w:eastAsia="Times New Roman"/>
                <w:noProof/>
                <w:color w:val="000000"/>
                <w:sz w:val="22"/>
                <w:lang w:val="en-IE" w:eastAsia="en-IE"/>
              </w:rPr>
              <w:t>&lt;</w:t>
            </w:r>
            <w:r>
              <w:rPr>
                <w:rFonts w:eastAsia="Times New Roman"/>
                <w:noProof/>
                <w:color w:val="000000"/>
                <w:sz w:val="22"/>
                <w:lang w:val="en-IE" w:eastAsia="en-IE"/>
              </w:rPr>
              <w:t>CLIMA</w:t>
            </w:r>
            <w:r w:rsidRPr="00EB2752">
              <w:rPr>
                <w:rFonts w:eastAsia="Times New Roman"/>
                <w:noProof/>
                <w:color w:val="000000"/>
                <w:sz w:val="22"/>
                <w:lang w:val="en-IE" w:eastAsia="en-IE"/>
              </w:rPr>
              <w:t>&gt;</w:t>
            </w:r>
          </w:p>
        </w:tc>
        <w:tc>
          <w:tcPr>
            <w:tcW w:w="1469" w:type="pct"/>
            <w:gridSpan w:val="3"/>
            <w:tcBorders>
              <w:top w:val="single" w:sz="8" w:space="0" w:color="auto"/>
              <w:left w:val="nil"/>
              <w:bottom w:val="single" w:sz="8" w:space="0" w:color="auto"/>
              <w:right w:val="single" w:sz="8" w:space="0" w:color="000000"/>
            </w:tcBorders>
            <w:vAlign w:val="center"/>
            <w:hideMark/>
          </w:tcPr>
          <w:p w14:paraId="646417EB" w14:textId="77777777" w:rsidR="00894819" w:rsidRPr="00EB2752" w:rsidRDefault="00894819" w:rsidP="00894819">
            <w:pPr>
              <w:spacing w:before="0" w:after="0"/>
              <w:jc w:val="left"/>
              <w:rPr>
                <w:rFonts w:eastAsia="Times New Roman"/>
                <w:noProof/>
                <w:color w:val="000000"/>
                <w:sz w:val="18"/>
                <w:szCs w:val="18"/>
                <w:lang w:val="en-IE" w:eastAsia="en-IE"/>
              </w:rPr>
            </w:pPr>
            <w:r w:rsidRPr="00EB2752">
              <w:rPr>
                <w:rFonts w:eastAsia="Times New Roman"/>
                <w:noProof/>
                <w:color w:val="000000"/>
                <w:sz w:val="18"/>
                <w:szCs w:val="18"/>
                <w:lang w:val="en-IE" w:eastAsia="en-IE"/>
              </w:rPr>
              <w:t xml:space="preserve">Appropriations </w:t>
            </w:r>
          </w:p>
        </w:tc>
        <w:tc>
          <w:tcPr>
            <w:tcW w:w="350" w:type="pct"/>
            <w:tcBorders>
              <w:top w:val="nil"/>
              <w:left w:val="nil"/>
              <w:bottom w:val="single" w:sz="8" w:space="0" w:color="auto"/>
              <w:right w:val="single" w:sz="8" w:space="0" w:color="auto"/>
            </w:tcBorders>
            <w:shd w:val="clear" w:color="000000" w:fill="D9D9D9"/>
            <w:vAlign w:val="center"/>
            <w:hideMark/>
          </w:tcPr>
          <w:p w14:paraId="6EF66D1B" w14:textId="77777777" w:rsidR="00894819" w:rsidRPr="00894819" w:rsidRDefault="00894819" w:rsidP="00894819">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4.032</w:t>
            </w:r>
          </w:p>
        </w:tc>
        <w:tc>
          <w:tcPr>
            <w:tcW w:w="350" w:type="pct"/>
            <w:tcBorders>
              <w:top w:val="nil"/>
              <w:left w:val="nil"/>
              <w:bottom w:val="single" w:sz="8" w:space="0" w:color="auto"/>
              <w:right w:val="single" w:sz="8" w:space="0" w:color="auto"/>
            </w:tcBorders>
            <w:shd w:val="clear" w:color="000000" w:fill="D9D9D9"/>
            <w:vAlign w:val="center"/>
            <w:hideMark/>
          </w:tcPr>
          <w:p w14:paraId="7EC4A3BC" w14:textId="77777777" w:rsidR="00894819" w:rsidRPr="00894819" w:rsidRDefault="00894819" w:rsidP="00894819">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4.032</w:t>
            </w:r>
          </w:p>
        </w:tc>
        <w:tc>
          <w:tcPr>
            <w:tcW w:w="350" w:type="pct"/>
            <w:tcBorders>
              <w:top w:val="nil"/>
              <w:left w:val="nil"/>
              <w:bottom w:val="single" w:sz="8" w:space="0" w:color="auto"/>
              <w:right w:val="single" w:sz="8" w:space="0" w:color="auto"/>
            </w:tcBorders>
            <w:shd w:val="clear" w:color="000000" w:fill="D9D9D9"/>
            <w:vAlign w:val="center"/>
            <w:hideMark/>
          </w:tcPr>
          <w:p w14:paraId="58CA581C" w14:textId="77777777" w:rsidR="00894819" w:rsidRPr="00894819" w:rsidRDefault="00894819" w:rsidP="00894819">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4.032</w:t>
            </w:r>
          </w:p>
        </w:tc>
        <w:tc>
          <w:tcPr>
            <w:tcW w:w="350" w:type="pct"/>
            <w:tcBorders>
              <w:top w:val="nil"/>
              <w:left w:val="nil"/>
              <w:bottom w:val="single" w:sz="8" w:space="0" w:color="auto"/>
              <w:right w:val="single" w:sz="8" w:space="0" w:color="auto"/>
            </w:tcBorders>
            <w:shd w:val="clear" w:color="000000" w:fill="D9D9D9"/>
            <w:vAlign w:val="center"/>
            <w:hideMark/>
          </w:tcPr>
          <w:p w14:paraId="65A30AE7" w14:textId="77777777" w:rsidR="00894819" w:rsidRPr="00894819" w:rsidRDefault="00894819" w:rsidP="00894819">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3.702</w:t>
            </w:r>
          </w:p>
        </w:tc>
        <w:tc>
          <w:tcPr>
            <w:tcW w:w="350" w:type="pct"/>
            <w:tcBorders>
              <w:top w:val="nil"/>
              <w:left w:val="nil"/>
              <w:bottom w:val="single" w:sz="8" w:space="0" w:color="auto"/>
              <w:right w:val="single" w:sz="8" w:space="0" w:color="auto"/>
            </w:tcBorders>
            <w:shd w:val="clear" w:color="000000" w:fill="D9D9D9"/>
            <w:vAlign w:val="center"/>
            <w:hideMark/>
          </w:tcPr>
          <w:p w14:paraId="3AE62CDD" w14:textId="77777777" w:rsidR="00894819" w:rsidRPr="00894819" w:rsidRDefault="00894819" w:rsidP="00894819">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3.702</w:t>
            </w:r>
          </w:p>
        </w:tc>
        <w:tc>
          <w:tcPr>
            <w:tcW w:w="350" w:type="pct"/>
            <w:tcBorders>
              <w:top w:val="nil"/>
              <w:left w:val="nil"/>
              <w:bottom w:val="single" w:sz="8" w:space="0" w:color="auto"/>
              <w:right w:val="single" w:sz="8" w:space="0" w:color="auto"/>
            </w:tcBorders>
            <w:shd w:val="clear" w:color="000000" w:fill="D9D9D9"/>
            <w:vAlign w:val="center"/>
            <w:hideMark/>
          </w:tcPr>
          <w:p w14:paraId="2B53F82C" w14:textId="77777777" w:rsidR="00894819" w:rsidRPr="00894819" w:rsidRDefault="00894819" w:rsidP="00894819">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3.702</w:t>
            </w:r>
          </w:p>
        </w:tc>
        <w:tc>
          <w:tcPr>
            <w:tcW w:w="350" w:type="pct"/>
            <w:tcBorders>
              <w:top w:val="nil"/>
              <w:left w:val="nil"/>
              <w:bottom w:val="single" w:sz="8" w:space="0" w:color="auto"/>
              <w:right w:val="single" w:sz="8" w:space="0" w:color="auto"/>
            </w:tcBorders>
            <w:shd w:val="clear" w:color="000000" w:fill="D9D9D9"/>
            <w:vAlign w:val="center"/>
            <w:hideMark/>
          </w:tcPr>
          <w:p w14:paraId="4F647A50" w14:textId="77777777" w:rsidR="00894819" w:rsidRPr="00894819" w:rsidRDefault="00894819" w:rsidP="00894819">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3.702</w:t>
            </w:r>
          </w:p>
        </w:tc>
        <w:tc>
          <w:tcPr>
            <w:tcW w:w="384" w:type="pct"/>
            <w:tcBorders>
              <w:top w:val="nil"/>
              <w:left w:val="nil"/>
              <w:bottom w:val="single" w:sz="8" w:space="0" w:color="auto"/>
              <w:right w:val="single" w:sz="8" w:space="0" w:color="auto"/>
            </w:tcBorders>
            <w:shd w:val="clear" w:color="000000" w:fill="D9D9D9"/>
            <w:vAlign w:val="center"/>
            <w:hideMark/>
          </w:tcPr>
          <w:p w14:paraId="5CB53018" w14:textId="77777777" w:rsidR="00894819" w:rsidRPr="00894819" w:rsidRDefault="00894819" w:rsidP="00894819">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26.907</w:t>
            </w:r>
          </w:p>
        </w:tc>
      </w:tr>
      <w:tr w:rsidR="00486288" w:rsidRPr="00EB2752" w14:paraId="423E70B1" w14:textId="77777777" w:rsidTr="000C1FFA">
        <w:trPr>
          <w:trHeight w:val="300"/>
        </w:trPr>
        <w:tc>
          <w:tcPr>
            <w:tcW w:w="698" w:type="pct"/>
            <w:tcBorders>
              <w:top w:val="nil"/>
              <w:left w:val="nil"/>
              <w:bottom w:val="nil"/>
              <w:right w:val="nil"/>
            </w:tcBorders>
            <w:noWrap/>
            <w:vAlign w:val="bottom"/>
            <w:hideMark/>
          </w:tcPr>
          <w:p w14:paraId="4104EAC0" w14:textId="77777777" w:rsidR="00486288" w:rsidRPr="00EB2752" w:rsidRDefault="00486288" w:rsidP="00445C9D">
            <w:pPr>
              <w:spacing w:before="0" w:after="0"/>
              <w:jc w:val="right"/>
              <w:rPr>
                <w:rFonts w:eastAsia="Times New Roman"/>
                <w:b/>
                <w:bCs/>
                <w:noProof/>
                <w:color w:val="000000"/>
                <w:sz w:val="20"/>
                <w:szCs w:val="20"/>
                <w:lang w:val="en-IE" w:eastAsia="en-IE"/>
              </w:rPr>
            </w:pPr>
          </w:p>
        </w:tc>
        <w:tc>
          <w:tcPr>
            <w:tcW w:w="957" w:type="pct"/>
            <w:tcBorders>
              <w:top w:val="nil"/>
              <w:left w:val="nil"/>
              <w:bottom w:val="nil"/>
              <w:right w:val="nil"/>
            </w:tcBorders>
            <w:noWrap/>
            <w:vAlign w:val="bottom"/>
            <w:hideMark/>
          </w:tcPr>
          <w:p w14:paraId="74AE9393" w14:textId="77777777" w:rsidR="00486288" w:rsidRPr="00EB2752" w:rsidRDefault="00486288" w:rsidP="00445C9D">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686067B6" w14:textId="77777777" w:rsidR="00486288" w:rsidRPr="00EB2752" w:rsidRDefault="00486288" w:rsidP="00445C9D">
            <w:pPr>
              <w:spacing w:before="0" w:after="0"/>
              <w:jc w:val="left"/>
              <w:rPr>
                <w:rFonts w:eastAsia="Times New Roman"/>
                <w:noProof/>
                <w:sz w:val="20"/>
                <w:szCs w:val="20"/>
                <w:lang w:val="en-IE" w:eastAsia="en-IE"/>
              </w:rPr>
            </w:pPr>
          </w:p>
        </w:tc>
        <w:tc>
          <w:tcPr>
            <w:tcW w:w="256" w:type="pct"/>
            <w:tcBorders>
              <w:top w:val="nil"/>
              <w:left w:val="nil"/>
              <w:bottom w:val="nil"/>
              <w:right w:val="nil"/>
            </w:tcBorders>
            <w:noWrap/>
            <w:vAlign w:val="bottom"/>
            <w:hideMark/>
          </w:tcPr>
          <w:p w14:paraId="55778DF4" w14:textId="77777777" w:rsidR="00486288" w:rsidRPr="00EB2752" w:rsidRDefault="00486288" w:rsidP="00445C9D">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668DA580" w14:textId="77777777" w:rsidR="00486288" w:rsidRPr="00EB2752" w:rsidRDefault="00486288" w:rsidP="00445C9D">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631313DD" w14:textId="77777777" w:rsidR="00486288" w:rsidRPr="00EB2752" w:rsidRDefault="00486288" w:rsidP="00445C9D">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6DEDE27E" w14:textId="77777777" w:rsidR="00486288" w:rsidRPr="00EB2752" w:rsidRDefault="00486288" w:rsidP="00445C9D">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5A16FA7A" w14:textId="77777777" w:rsidR="00486288" w:rsidRPr="00EB2752" w:rsidRDefault="00486288" w:rsidP="00445C9D">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3E93FA27" w14:textId="77777777" w:rsidR="00486288" w:rsidRPr="00EB2752" w:rsidRDefault="00486288" w:rsidP="00445C9D">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4DF09038" w14:textId="77777777" w:rsidR="00486288" w:rsidRPr="00EB2752" w:rsidRDefault="00486288" w:rsidP="00445C9D">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20D99D52" w14:textId="77777777" w:rsidR="00486288" w:rsidRPr="00EB2752" w:rsidRDefault="00486288" w:rsidP="00445C9D">
            <w:pPr>
              <w:spacing w:before="0" w:after="0"/>
              <w:jc w:val="left"/>
              <w:rPr>
                <w:rFonts w:eastAsia="Times New Roman"/>
                <w:noProof/>
                <w:sz w:val="20"/>
                <w:szCs w:val="20"/>
                <w:lang w:val="en-IE" w:eastAsia="en-IE"/>
              </w:rPr>
            </w:pPr>
          </w:p>
        </w:tc>
        <w:tc>
          <w:tcPr>
            <w:tcW w:w="384" w:type="pct"/>
            <w:tcBorders>
              <w:top w:val="nil"/>
              <w:left w:val="nil"/>
              <w:bottom w:val="nil"/>
              <w:right w:val="nil"/>
            </w:tcBorders>
            <w:noWrap/>
            <w:vAlign w:val="bottom"/>
            <w:hideMark/>
          </w:tcPr>
          <w:p w14:paraId="5775189F" w14:textId="77777777" w:rsidR="00486288" w:rsidRPr="00EB2752" w:rsidRDefault="00486288" w:rsidP="00445C9D">
            <w:pPr>
              <w:spacing w:before="0" w:after="0"/>
              <w:jc w:val="left"/>
              <w:rPr>
                <w:rFonts w:eastAsia="Times New Roman"/>
                <w:noProof/>
                <w:sz w:val="20"/>
                <w:szCs w:val="20"/>
                <w:lang w:val="en-IE" w:eastAsia="en-IE"/>
              </w:rPr>
            </w:pPr>
          </w:p>
        </w:tc>
      </w:tr>
      <w:tr w:rsidR="000C1FFA" w:rsidRPr="00EB2752" w14:paraId="5A7C77BF" w14:textId="77777777" w:rsidTr="000C1FFA">
        <w:trPr>
          <w:trHeight w:val="1430"/>
        </w:trPr>
        <w:tc>
          <w:tcPr>
            <w:tcW w:w="1656"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70760379" w14:textId="77777777" w:rsidR="000C1FFA" w:rsidRPr="00EB2752" w:rsidRDefault="000C1FFA" w:rsidP="000C1FFA">
            <w:pPr>
              <w:spacing w:before="0" w:after="0"/>
              <w:jc w:val="center"/>
              <w:rPr>
                <w:rFonts w:eastAsia="Times New Roman"/>
                <w:b/>
                <w:bCs/>
                <w:noProof/>
                <w:color w:val="000000"/>
                <w:sz w:val="22"/>
                <w:lang w:val="en-IE" w:eastAsia="en-IE"/>
              </w:rPr>
            </w:pPr>
            <w:r w:rsidRPr="00EB2752">
              <w:rPr>
                <w:rFonts w:eastAsia="Times New Roman"/>
                <w:b/>
                <w:bCs/>
                <w:noProof/>
                <w:color w:val="000000"/>
                <w:sz w:val="22"/>
                <w:lang w:val="en-IE" w:eastAsia="en-IE"/>
              </w:rPr>
              <w:t>TOTAL appropriations under HEADING </w:t>
            </w:r>
            <w:r>
              <w:rPr>
                <w:rFonts w:eastAsia="Times New Roman"/>
                <w:b/>
                <w:bCs/>
                <w:noProof/>
                <w:color w:val="000000"/>
                <w:sz w:val="22"/>
                <w:lang w:val="en-IE" w:eastAsia="en-IE"/>
              </w:rPr>
              <w:t>4</w:t>
            </w:r>
            <w:r w:rsidRPr="00EB2752">
              <w:rPr>
                <w:rFonts w:eastAsia="Times New Roman"/>
                <w:b/>
                <w:bCs/>
                <w:noProof/>
                <w:color w:val="000000"/>
                <w:sz w:val="22"/>
                <w:lang w:val="en-IE" w:eastAsia="en-IE"/>
              </w:rPr>
              <w:t xml:space="preserve"> of the multiannual financial framework </w:t>
            </w:r>
          </w:p>
        </w:tc>
        <w:tc>
          <w:tcPr>
            <w:tcW w:w="511" w:type="pct"/>
            <w:gridSpan w:val="2"/>
            <w:tcBorders>
              <w:top w:val="single" w:sz="8" w:space="0" w:color="auto"/>
              <w:left w:val="nil"/>
              <w:bottom w:val="single" w:sz="8" w:space="0" w:color="auto"/>
              <w:right w:val="single" w:sz="8" w:space="0" w:color="000000"/>
            </w:tcBorders>
            <w:vAlign w:val="center"/>
            <w:hideMark/>
          </w:tcPr>
          <w:p w14:paraId="7A703C9A" w14:textId="77777777" w:rsidR="000C1FFA" w:rsidRPr="00EB2752" w:rsidRDefault="000C1FFA" w:rsidP="000C1FFA">
            <w:pPr>
              <w:spacing w:before="0" w:after="0"/>
              <w:jc w:val="center"/>
              <w:rPr>
                <w:rFonts w:eastAsia="Times New Roman"/>
                <w:noProof/>
                <w:color w:val="000000"/>
                <w:sz w:val="18"/>
                <w:szCs w:val="18"/>
                <w:lang w:val="en-IE" w:eastAsia="en-IE"/>
              </w:rPr>
            </w:pPr>
            <w:r w:rsidRPr="00EB2752">
              <w:rPr>
                <w:rFonts w:eastAsia="Times New Roman"/>
                <w:noProof/>
                <w:color w:val="000000"/>
                <w:sz w:val="18"/>
                <w:szCs w:val="18"/>
                <w:lang w:val="en-IE" w:eastAsia="en-IE"/>
              </w:rPr>
              <w:t>(Total commitments = Total payments)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ED1E5B1" w14:textId="77777777" w:rsidR="000C1FFA" w:rsidRPr="00EB2752" w:rsidRDefault="000C1FFA" w:rsidP="000C1FFA">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4.032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56599FC" w14:textId="77777777" w:rsidR="000C1FFA" w:rsidRPr="00EB2752" w:rsidRDefault="000C1FFA" w:rsidP="000C1FFA">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4.032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75D1147D" w14:textId="77777777" w:rsidR="000C1FFA" w:rsidRPr="00EB2752" w:rsidRDefault="000C1FFA" w:rsidP="000C1FFA">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4.032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710BE53C" w14:textId="77777777" w:rsidR="000C1FFA" w:rsidRPr="00EB2752" w:rsidRDefault="000C1FFA" w:rsidP="000C1FFA">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3.702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7066294D" w14:textId="77777777" w:rsidR="000C1FFA" w:rsidRPr="00EB2752" w:rsidRDefault="000C1FFA" w:rsidP="000C1FFA">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3.702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A4B6E94" w14:textId="77777777" w:rsidR="000C1FFA" w:rsidRPr="00EB2752" w:rsidRDefault="000C1FFA" w:rsidP="000C1FFA">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3.702</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ADDE421" w14:textId="77777777" w:rsidR="000C1FFA" w:rsidRPr="00EB2752" w:rsidRDefault="000C1FFA" w:rsidP="000C1FFA">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3.702</w:t>
            </w:r>
          </w:p>
        </w:tc>
        <w:tc>
          <w:tcPr>
            <w:tcW w:w="384" w:type="pct"/>
            <w:tcBorders>
              <w:top w:val="single" w:sz="8" w:space="0" w:color="auto"/>
              <w:left w:val="nil"/>
              <w:bottom w:val="single" w:sz="8" w:space="0" w:color="auto"/>
              <w:right w:val="single" w:sz="8" w:space="0" w:color="auto"/>
            </w:tcBorders>
            <w:shd w:val="clear" w:color="000000" w:fill="D9D9D9"/>
            <w:vAlign w:val="center"/>
            <w:hideMark/>
          </w:tcPr>
          <w:p w14:paraId="0D85A0F4" w14:textId="77777777" w:rsidR="000C1FFA" w:rsidRPr="00EB2752" w:rsidRDefault="000C1FFA" w:rsidP="000C1FFA">
            <w:pPr>
              <w:spacing w:before="0" w:after="0"/>
              <w:jc w:val="right"/>
              <w:rPr>
                <w:rFonts w:eastAsia="Times New Roman"/>
                <w:b/>
                <w:bCs/>
                <w:noProof/>
                <w:color w:val="000000"/>
                <w:sz w:val="20"/>
                <w:szCs w:val="20"/>
                <w:lang w:val="en-IE" w:eastAsia="en-IE"/>
              </w:rPr>
            </w:pPr>
            <w:r w:rsidRPr="00894819">
              <w:rPr>
                <w:rFonts w:eastAsia="Times New Roman"/>
                <w:b/>
                <w:bCs/>
                <w:noProof/>
                <w:color w:val="000000"/>
                <w:sz w:val="20"/>
                <w:szCs w:val="20"/>
                <w:lang w:val="en-IE" w:eastAsia="en-IE"/>
              </w:rPr>
              <w:t>26.907</w:t>
            </w:r>
          </w:p>
        </w:tc>
      </w:tr>
    </w:tbl>
    <w:p w14:paraId="740AC2AF" w14:textId="77777777" w:rsidR="00486288" w:rsidRDefault="00486288" w:rsidP="00445C9D">
      <w:pPr>
        <w:rPr>
          <w:noProof/>
          <w:sz w:val="16"/>
        </w:rPr>
      </w:pPr>
    </w:p>
    <w:tbl>
      <w:tblPr>
        <w:tblW w:w="5000" w:type="pct"/>
        <w:tblLook w:val="04A0" w:firstRow="1" w:lastRow="0" w:firstColumn="1" w:lastColumn="0" w:noHBand="0" w:noVBand="1"/>
      </w:tblPr>
      <w:tblGrid>
        <w:gridCol w:w="2404"/>
        <w:gridCol w:w="1838"/>
        <w:gridCol w:w="1229"/>
        <w:gridCol w:w="1229"/>
        <w:gridCol w:w="1231"/>
        <w:gridCol w:w="1231"/>
        <w:gridCol w:w="1231"/>
        <w:gridCol w:w="1231"/>
        <w:gridCol w:w="1231"/>
        <w:gridCol w:w="1365"/>
      </w:tblGrid>
      <w:tr w:rsidR="00486288" w:rsidRPr="00EB2752" w14:paraId="3FEF54A1" w14:textId="77777777" w:rsidTr="00445C9D">
        <w:trPr>
          <w:trHeight w:val="410"/>
        </w:trPr>
        <w:tc>
          <w:tcPr>
            <w:tcW w:w="1491"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5BDBADC8" w14:textId="77777777" w:rsidR="00486288" w:rsidRPr="00EB2752" w:rsidRDefault="00486288" w:rsidP="00445C9D">
            <w:pPr>
              <w:spacing w:before="0" w:after="0"/>
              <w:jc w:val="center"/>
              <w:rPr>
                <w:rFonts w:eastAsia="Times New Roman"/>
                <w:noProof/>
                <w:color w:val="000000"/>
                <w:szCs w:val="24"/>
                <w:lang w:val="en-IE" w:eastAsia="en-IE"/>
              </w:rPr>
            </w:pPr>
          </w:p>
        </w:tc>
        <w:tc>
          <w:tcPr>
            <w:tcW w:w="432" w:type="pct"/>
            <w:tcBorders>
              <w:top w:val="single" w:sz="8" w:space="0" w:color="auto"/>
              <w:left w:val="nil"/>
              <w:bottom w:val="nil"/>
              <w:right w:val="single" w:sz="8" w:space="0" w:color="auto"/>
            </w:tcBorders>
            <w:vAlign w:val="center"/>
            <w:hideMark/>
          </w:tcPr>
          <w:p w14:paraId="15A6B564"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32" w:type="pct"/>
            <w:tcBorders>
              <w:top w:val="single" w:sz="8" w:space="0" w:color="auto"/>
              <w:left w:val="nil"/>
              <w:bottom w:val="nil"/>
              <w:right w:val="single" w:sz="8" w:space="0" w:color="auto"/>
            </w:tcBorders>
            <w:vAlign w:val="center"/>
            <w:hideMark/>
          </w:tcPr>
          <w:p w14:paraId="378967BD"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2D5D9028"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797027D8"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5EB57716"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72A67D4D"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7821EBE7" w14:textId="77777777" w:rsidR="00486288" w:rsidRPr="00EB2752" w:rsidRDefault="00486288" w:rsidP="00445C9D">
            <w:pPr>
              <w:spacing w:before="0" w:after="0"/>
              <w:jc w:val="center"/>
              <w:rPr>
                <w:rFonts w:eastAsia="Times New Roman"/>
                <w:noProof/>
                <w:color w:val="000000"/>
                <w:sz w:val="20"/>
                <w:szCs w:val="20"/>
                <w:lang w:val="en-IE" w:eastAsia="en-IE"/>
              </w:rPr>
            </w:pPr>
            <w:r w:rsidRPr="00EB2752">
              <w:rPr>
                <w:rFonts w:eastAsia="Times New Roman"/>
                <w:noProof/>
                <w:color w:val="000000"/>
                <w:sz w:val="20"/>
                <w:szCs w:val="20"/>
                <w:lang w:val="en-IE" w:eastAsia="en-IE"/>
              </w:rPr>
              <w:t>Year</w:t>
            </w:r>
          </w:p>
        </w:tc>
        <w:tc>
          <w:tcPr>
            <w:tcW w:w="481" w:type="pct"/>
            <w:vMerge w:val="restart"/>
            <w:tcBorders>
              <w:top w:val="single" w:sz="8" w:space="0" w:color="auto"/>
              <w:left w:val="single" w:sz="8" w:space="0" w:color="auto"/>
              <w:bottom w:val="single" w:sz="8" w:space="0" w:color="000000"/>
              <w:right w:val="single" w:sz="8" w:space="0" w:color="auto"/>
            </w:tcBorders>
            <w:vAlign w:val="center"/>
            <w:hideMark/>
          </w:tcPr>
          <w:p w14:paraId="486403B7"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TOTAL MFF 2028-2034</w:t>
            </w:r>
          </w:p>
        </w:tc>
      </w:tr>
      <w:tr w:rsidR="00486288" w:rsidRPr="00EB2752" w14:paraId="4FBC98CC" w14:textId="77777777" w:rsidTr="00445C9D">
        <w:trPr>
          <w:trHeight w:val="300"/>
        </w:trPr>
        <w:tc>
          <w:tcPr>
            <w:tcW w:w="1491" w:type="pct"/>
            <w:gridSpan w:val="2"/>
            <w:vMerge/>
            <w:tcBorders>
              <w:top w:val="single" w:sz="8" w:space="0" w:color="auto"/>
              <w:left w:val="single" w:sz="8" w:space="0" w:color="auto"/>
              <w:bottom w:val="single" w:sz="8" w:space="0" w:color="000000"/>
              <w:right w:val="single" w:sz="8" w:space="0" w:color="000000"/>
            </w:tcBorders>
            <w:vAlign w:val="center"/>
            <w:hideMark/>
          </w:tcPr>
          <w:p w14:paraId="5B8E7376" w14:textId="77777777" w:rsidR="00486288" w:rsidRPr="00EB2752" w:rsidRDefault="00486288" w:rsidP="00445C9D">
            <w:pPr>
              <w:spacing w:before="0" w:after="0"/>
              <w:jc w:val="left"/>
              <w:rPr>
                <w:rFonts w:eastAsia="Times New Roman"/>
                <w:noProof/>
                <w:color w:val="000000"/>
                <w:szCs w:val="24"/>
                <w:lang w:val="en-IE" w:eastAsia="en-IE"/>
              </w:rPr>
            </w:pPr>
          </w:p>
        </w:tc>
        <w:tc>
          <w:tcPr>
            <w:tcW w:w="432" w:type="pct"/>
            <w:tcBorders>
              <w:top w:val="nil"/>
              <w:left w:val="nil"/>
              <w:bottom w:val="single" w:sz="8" w:space="0" w:color="auto"/>
              <w:right w:val="single" w:sz="8" w:space="0" w:color="auto"/>
            </w:tcBorders>
            <w:vAlign w:val="center"/>
            <w:hideMark/>
          </w:tcPr>
          <w:p w14:paraId="02F060F2"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2028</w:t>
            </w:r>
          </w:p>
        </w:tc>
        <w:tc>
          <w:tcPr>
            <w:tcW w:w="432" w:type="pct"/>
            <w:tcBorders>
              <w:top w:val="nil"/>
              <w:left w:val="nil"/>
              <w:bottom w:val="single" w:sz="8" w:space="0" w:color="auto"/>
              <w:right w:val="single" w:sz="8" w:space="0" w:color="auto"/>
            </w:tcBorders>
            <w:vAlign w:val="center"/>
            <w:hideMark/>
          </w:tcPr>
          <w:p w14:paraId="5AC3C6AE"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2029</w:t>
            </w:r>
          </w:p>
        </w:tc>
        <w:tc>
          <w:tcPr>
            <w:tcW w:w="433" w:type="pct"/>
            <w:tcBorders>
              <w:top w:val="nil"/>
              <w:left w:val="nil"/>
              <w:bottom w:val="single" w:sz="8" w:space="0" w:color="auto"/>
              <w:right w:val="single" w:sz="8" w:space="0" w:color="auto"/>
            </w:tcBorders>
            <w:vAlign w:val="center"/>
            <w:hideMark/>
          </w:tcPr>
          <w:p w14:paraId="23A9E5D8"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2030</w:t>
            </w:r>
          </w:p>
        </w:tc>
        <w:tc>
          <w:tcPr>
            <w:tcW w:w="433" w:type="pct"/>
            <w:tcBorders>
              <w:top w:val="nil"/>
              <w:left w:val="nil"/>
              <w:bottom w:val="single" w:sz="8" w:space="0" w:color="auto"/>
              <w:right w:val="single" w:sz="8" w:space="0" w:color="auto"/>
            </w:tcBorders>
            <w:vAlign w:val="center"/>
            <w:hideMark/>
          </w:tcPr>
          <w:p w14:paraId="47E357C6"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2031</w:t>
            </w:r>
          </w:p>
        </w:tc>
        <w:tc>
          <w:tcPr>
            <w:tcW w:w="433" w:type="pct"/>
            <w:tcBorders>
              <w:top w:val="nil"/>
              <w:left w:val="nil"/>
              <w:bottom w:val="single" w:sz="8" w:space="0" w:color="auto"/>
              <w:right w:val="single" w:sz="8" w:space="0" w:color="auto"/>
            </w:tcBorders>
            <w:vAlign w:val="center"/>
            <w:hideMark/>
          </w:tcPr>
          <w:p w14:paraId="77AB2BA1"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2032</w:t>
            </w:r>
          </w:p>
        </w:tc>
        <w:tc>
          <w:tcPr>
            <w:tcW w:w="433" w:type="pct"/>
            <w:tcBorders>
              <w:top w:val="nil"/>
              <w:left w:val="nil"/>
              <w:bottom w:val="single" w:sz="8" w:space="0" w:color="auto"/>
              <w:right w:val="single" w:sz="8" w:space="0" w:color="auto"/>
            </w:tcBorders>
            <w:vAlign w:val="center"/>
            <w:hideMark/>
          </w:tcPr>
          <w:p w14:paraId="7CB5C47C"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2033</w:t>
            </w:r>
          </w:p>
        </w:tc>
        <w:tc>
          <w:tcPr>
            <w:tcW w:w="433" w:type="pct"/>
            <w:tcBorders>
              <w:top w:val="nil"/>
              <w:left w:val="nil"/>
              <w:bottom w:val="single" w:sz="8" w:space="0" w:color="auto"/>
              <w:right w:val="single" w:sz="8" w:space="0" w:color="auto"/>
            </w:tcBorders>
            <w:vAlign w:val="center"/>
            <w:hideMark/>
          </w:tcPr>
          <w:p w14:paraId="643FB2C5" w14:textId="77777777" w:rsidR="00486288" w:rsidRPr="00EB2752" w:rsidRDefault="00486288" w:rsidP="00445C9D">
            <w:pPr>
              <w:spacing w:before="0" w:after="0"/>
              <w:jc w:val="center"/>
              <w:rPr>
                <w:rFonts w:eastAsia="Times New Roman"/>
                <w:b/>
                <w:bCs/>
                <w:noProof/>
                <w:color w:val="000000"/>
                <w:sz w:val="20"/>
                <w:szCs w:val="20"/>
                <w:lang w:val="en-IE" w:eastAsia="en-IE"/>
              </w:rPr>
            </w:pPr>
            <w:r w:rsidRPr="00EB2752">
              <w:rPr>
                <w:rFonts w:eastAsia="Times New Roman"/>
                <w:b/>
                <w:bCs/>
                <w:noProof/>
                <w:color w:val="000000"/>
                <w:sz w:val="20"/>
                <w:szCs w:val="20"/>
                <w:lang w:val="en-IE" w:eastAsia="en-IE"/>
              </w:rPr>
              <w:t>2034</w:t>
            </w:r>
          </w:p>
        </w:tc>
        <w:tc>
          <w:tcPr>
            <w:tcW w:w="481" w:type="pct"/>
            <w:vMerge/>
            <w:tcBorders>
              <w:top w:val="single" w:sz="8" w:space="0" w:color="auto"/>
              <w:left w:val="single" w:sz="8" w:space="0" w:color="auto"/>
              <w:bottom w:val="single" w:sz="8" w:space="0" w:color="000000"/>
              <w:right w:val="single" w:sz="8" w:space="0" w:color="auto"/>
            </w:tcBorders>
            <w:vAlign w:val="center"/>
            <w:hideMark/>
          </w:tcPr>
          <w:p w14:paraId="7ABA14CB" w14:textId="77777777" w:rsidR="00486288" w:rsidRPr="00EB2752" w:rsidRDefault="00486288" w:rsidP="00445C9D">
            <w:pPr>
              <w:spacing w:before="0" w:after="0"/>
              <w:jc w:val="left"/>
              <w:rPr>
                <w:rFonts w:eastAsia="Times New Roman"/>
                <w:b/>
                <w:bCs/>
                <w:noProof/>
                <w:color w:val="000000"/>
                <w:sz w:val="20"/>
                <w:szCs w:val="20"/>
                <w:lang w:val="en-IE" w:eastAsia="en-IE"/>
              </w:rPr>
            </w:pPr>
          </w:p>
        </w:tc>
      </w:tr>
      <w:tr w:rsidR="00486288" w:rsidRPr="00EB2752" w14:paraId="1BBC6573" w14:textId="77777777" w:rsidTr="00445C9D">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113E9710" w14:textId="77777777" w:rsidR="00486288" w:rsidRPr="00EB2752" w:rsidRDefault="00486288" w:rsidP="00445C9D">
            <w:pPr>
              <w:spacing w:before="0" w:after="0"/>
              <w:jc w:val="center"/>
              <w:rPr>
                <w:rFonts w:eastAsia="Times New Roman"/>
                <w:b/>
                <w:bCs/>
                <w:noProof/>
                <w:color w:val="000000"/>
                <w:sz w:val="22"/>
                <w:lang w:val="en-IE" w:eastAsia="en-IE"/>
              </w:rPr>
            </w:pPr>
            <w:r w:rsidRPr="00EB2752">
              <w:rPr>
                <w:rFonts w:eastAsia="Times New Roman"/>
                <w:b/>
                <w:bCs/>
                <w:noProof/>
                <w:color w:val="000000"/>
                <w:sz w:val="22"/>
                <w:lang w:val="en-IE" w:eastAsia="en-IE"/>
              </w:rPr>
              <w:t xml:space="preserve">TOTAL appropriations under HEADINGS 1 to </w:t>
            </w:r>
            <w:r>
              <w:rPr>
                <w:rFonts w:eastAsia="Times New Roman"/>
                <w:b/>
                <w:bCs/>
                <w:noProof/>
                <w:color w:val="000000"/>
                <w:sz w:val="22"/>
                <w:lang w:val="en-IE" w:eastAsia="en-IE"/>
              </w:rPr>
              <w:t>4</w:t>
            </w:r>
          </w:p>
        </w:tc>
        <w:tc>
          <w:tcPr>
            <w:tcW w:w="645" w:type="pct"/>
            <w:tcBorders>
              <w:top w:val="nil"/>
              <w:left w:val="nil"/>
              <w:bottom w:val="single" w:sz="8" w:space="0" w:color="auto"/>
              <w:right w:val="single" w:sz="8" w:space="0" w:color="auto"/>
            </w:tcBorders>
            <w:vAlign w:val="center"/>
            <w:hideMark/>
          </w:tcPr>
          <w:p w14:paraId="29360932" w14:textId="77777777" w:rsidR="00486288" w:rsidRPr="00EB2752" w:rsidRDefault="00486288" w:rsidP="00445C9D">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Commitments</w:t>
            </w:r>
          </w:p>
        </w:tc>
        <w:tc>
          <w:tcPr>
            <w:tcW w:w="432" w:type="pct"/>
            <w:tcBorders>
              <w:top w:val="nil"/>
              <w:left w:val="nil"/>
              <w:bottom w:val="single" w:sz="8" w:space="0" w:color="auto"/>
              <w:right w:val="single" w:sz="8" w:space="0" w:color="auto"/>
            </w:tcBorders>
            <w:shd w:val="clear" w:color="000000" w:fill="D9D9D9"/>
            <w:hideMark/>
          </w:tcPr>
          <w:p w14:paraId="190B887A"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2" w:type="pct"/>
            <w:tcBorders>
              <w:top w:val="nil"/>
              <w:left w:val="nil"/>
              <w:bottom w:val="single" w:sz="8" w:space="0" w:color="auto"/>
              <w:right w:val="single" w:sz="8" w:space="0" w:color="auto"/>
            </w:tcBorders>
            <w:shd w:val="clear" w:color="000000" w:fill="D9D9D9"/>
            <w:hideMark/>
          </w:tcPr>
          <w:p w14:paraId="6A7F6478"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3" w:type="pct"/>
            <w:tcBorders>
              <w:top w:val="nil"/>
              <w:left w:val="nil"/>
              <w:bottom w:val="single" w:sz="8" w:space="0" w:color="auto"/>
              <w:right w:val="single" w:sz="8" w:space="0" w:color="auto"/>
            </w:tcBorders>
            <w:shd w:val="clear" w:color="000000" w:fill="D9D9D9"/>
            <w:hideMark/>
          </w:tcPr>
          <w:p w14:paraId="343E399E"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3" w:type="pct"/>
            <w:tcBorders>
              <w:top w:val="nil"/>
              <w:left w:val="nil"/>
              <w:bottom w:val="single" w:sz="8" w:space="0" w:color="auto"/>
              <w:right w:val="single" w:sz="8" w:space="0" w:color="auto"/>
            </w:tcBorders>
            <w:shd w:val="clear" w:color="000000" w:fill="D9D9D9"/>
            <w:hideMark/>
          </w:tcPr>
          <w:p w14:paraId="52353D10"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3" w:type="pct"/>
            <w:tcBorders>
              <w:top w:val="nil"/>
              <w:left w:val="nil"/>
              <w:bottom w:val="single" w:sz="8" w:space="0" w:color="auto"/>
              <w:right w:val="single" w:sz="8" w:space="0" w:color="auto"/>
            </w:tcBorders>
            <w:shd w:val="clear" w:color="000000" w:fill="D9D9D9"/>
            <w:hideMark/>
          </w:tcPr>
          <w:p w14:paraId="5F746068"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3" w:type="pct"/>
            <w:tcBorders>
              <w:top w:val="nil"/>
              <w:left w:val="nil"/>
              <w:bottom w:val="single" w:sz="8" w:space="0" w:color="auto"/>
              <w:right w:val="single" w:sz="8" w:space="0" w:color="auto"/>
            </w:tcBorders>
            <w:shd w:val="clear" w:color="000000" w:fill="D9D9D9"/>
            <w:hideMark/>
          </w:tcPr>
          <w:p w14:paraId="0EA36E92"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3" w:type="pct"/>
            <w:tcBorders>
              <w:top w:val="nil"/>
              <w:left w:val="nil"/>
              <w:bottom w:val="single" w:sz="8" w:space="0" w:color="auto"/>
              <w:right w:val="single" w:sz="8" w:space="0" w:color="auto"/>
            </w:tcBorders>
            <w:shd w:val="clear" w:color="000000" w:fill="D9D9D9"/>
            <w:hideMark/>
          </w:tcPr>
          <w:p w14:paraId="2ED58306"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81" w:type="pct"/>
            <w:tcBorders>
              <w:top w:val="nil"/>
              <w:left w:val="nil"/>
              <w:bottom w:val="single" w:sz="8" w:space="0" w:color="auto"/>
              <w:right w:val="single" w:sz="8" w:space="0" w:color="auto"/>
            </w:tcBorders>
            <w:shd w:val="clear" w:color="000000" w:fill="D9D9D9"/>
            <w:hideMark/>
          </w:tcPr>
          <w:p w14:paraId="5010488F"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r>
      <w:tr w:rsidR="00486288" w:rsidRPr="00EB2752" w14:paraId="35AB97D9" w14:textId="77777777" w:rsidTr="00445C9D">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258CBBE7" w14:textId="77777777" w:rsidR="00486288" w:rsidRPr="00EB2752" w:rsidRDefault="00486288" w:rsidP="00445C9D">
            <w:pPr>
              <w:spacing w:before="0" w:after="0"/>
              <w:jc w:val="center"/>
              <w:rPr>
                <w:rFonts w:eastAsia="Times New Roman"/>
                <w:noProof/>
                <w:color w:val="000000"/>
                <w:sz w:val="22"/>
                <w:lang w:val="en-IE" w:eastAsia="en-IE"/>
              </w:rPr>
            </w:pPr>
            <w:r w:rsidRPr="00EB2752">
              <w:rPr>
                <w:rFonts w:eastAsia="Times New Roman"/>
                <w:noProof/>
                <w:color w:val="000000"/>
                <w:sz w:val="22"/>
                <w:lang w:val="en-IE" w:eastAsia="en-IE"/>
              </w:rPr>
              <w:t>of the multiannual financial framework</w:t>
            </w:r>
            <w:r w:rsidRPr="00EB2752">
              <w:rPr>
                <w:rFonts w:eastAsia="Times New Roman"/>
                <w:b/>
                <w:bCs/>
                <w:noProof/>
                <w:color w:val="000000"/>
                <w:sz w:val="22"/>
                <w:lang w:val="en-IE" w:eastAsia="en-IE"/>
              </w:rPr>
              <w:t xml:space="preserve"> </w:t>
            </w:r>
          </w:p>
        </w:tc>
        <w:tc>
          <w:tcPr>
            <w:tcW w:w="645" w:type="pct"/>
            <w:tcBorders>
              <w:top w:val="nil"/>
              <w:left w:val="nil"/>
              <w:bottom w:val="single" w:sz="8" w:space="0" w:color="auto"/>
              <w:right w:val="single" w:sz="8" w:space="0" w:color="auto"/>
            </w:tcBorders>
            <w:vAlign w:val="center"/>
            <w:hideMark/>
          </w:tcPr>
          <w:p w14:paraId="23115F91" w14:textId="77777777" w:rsidR="00486288" w:rsidRPr="00EB2752" w:rsidRDefault="00486288" w:rsidP="00445C9D">
            <w:pPr>
              <w:spacing w:before="0" w:after="0"/>
              <w:rPr>
                <w:rFonts w:eastAsia="Times New Roman"/>
                <w:noProof/>
                <w:color w:val="000000"/>
                <w:sz w:val="18"/>
                <w:szCs w:val="18"/>
                <w:lang w:val="en-IE" w:eastAsia="en-IE"/>
              </w:rPr>
            </w:pPr>
            <w:r w:rsidRPr="00EB2752">
              <w:rPr>
                <w:rFonts w:eastAsia="Times New Roman"/>
                <w:noProof/>
                <w:color w:val="000000"/>
                <w:sz w:val="18"/>
                <w:szCs w:val="18"/>
                <w:lang w:val="en-IE" w:eastAsia="en-IE"/>
              </w:rPr>
              <w:t>Payments</w:t>
            </w:r>
          </w:p>
        </w:tc>
        <w:tc>
          <w:tcPr>
            <w:tcW w:w="432" w:type="pct"/>
            <w:tcBorders>
              <w:top w:val="nil"/>
              <w:left w:val="nil"/>
              <w:bottom w:val="single" w:sz="8" w:space="0" w:color="auto"/>
              <w:right w:val="single" w:sz="8" w:space="0" w:color="auto"/>
            </w:tcBorders>
            <w:shd w:val="clear" w:color="000000" w:fill="D9D9D9"/>
            <w:hideMark/>
          </w:tcPr>
          <w:p w14:paraId="6C8BFE90"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2" w:type="pct"/>
            <w:tcBorders>
              <w:top w:val="nil"/>
              <w:left w:val="nil"/>
              <w:bottom w:val="single" w:sz="8" w:space="0" w:color="auto"/>
              <w:right w:val="single" w:sz="8" w:space="0" w:color="auto"/>
            </w:tcBorders>
            <w:shd w:val="clear" w:color="000000" w:fill="D9D9D9"/>
            <w:hideMark/>
          </w:tcPr>
          <w:p w14:paraId="51B1BFB1"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3" w:type="pct"/>
            <w:tcBorders>
              <w:top w:val="nil"/>
              <w:left w:val="nil"/>
              <w:bottom w:val="single" w:sz="8" w:space="0" w:color="auto"/>
              <w:right w:val="single" w:sz="8" w:space="0" w:color="auto"/>
            </w:tcBorders>
            <w:shd w:val="clear" w:color="000000" w:fill="D9D9D9"/>
            <w:hideMark/>
          </w:tcPr>
          <w:p w14:paraId="2B13BA00"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3" w:type="pct"/>
            <w:tcBorders>
              <w:top w:val="nil"/>
              <w:left w:val="nil"/>
              <w:bottom w:val="single" w:sz="8" w:space="0" w:color="auto"/>
              <w:right w:val="single" w:sz="8" w:space="0" w:color="auto"/>
            </w:tcBorders>
            <w:shd w:val="clear" w:color="000000" w:fill="D9D9D9"/>
            <w:hideMark/>
          </w:tcPr>
          <w:p w14:paraId="2ED35D87"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3" w:type="pct"/>
            <w:tcBorders>
              <w:top w:val="nil"/>
              <w:left w:val="nil"/>
              <w:bottom w:val="single" w:sz="8" w:space="0" w:color="auto"/>
              <w:right w:val="single" w:sz="8" w:space="0" w:color="auto"/>
            </w:tcBorders>
            <w:shd w:val="clear" w:color="000000" w:fill="D9D9D9"/>
            <w:hideMark/>
          </w:tcPr>
          <w:p w14:paraId="7DB7E17A"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3" w:type="pct"/>
            <w:tcBorders>
              <w:top w:val="nil"/>
              <w:left w:val="nil"/>
              <w:bottom w:val="single" w:sz="8" w:space="0" w:color="auto"/>
              <w:right w:val="single" w:sz="8" w:space="0" w:color="auto"/>
            </w:tcBorders>
            <w:shd w:val="clear" w:color="000000" w:fill="D9D9D9"/>
            <w:hideMark/>
          </w:tcPr>
          <w:p w14:paraId="1251F292"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33" w:type="pct"/>
            <w:tcBorders>
              <w:top w:val="nil"/>
              <w:left w:val="nil"/>
              <w:bottom w:val="single" w:sz="8" w:space="0" w:color="auto"/>
              <w:right w:val="single" w:sz="8" w:space="0" w:color="auto"/>
            </w:tcBorders>
            <w:shd w:val="clear" w:color="000000" w:fill="D9D9D9"/>
            <w:hideMark/>
          </w:tcPr>
          <w:p w14:paraId="6CD37838"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c>
          <w:tcPr>
            <w:tcW w:w="481" w:type="pct"/>
            <w:tcBorders>
              <w:top w:val="nil"/>
              <w:left w:val="nil"/>
              <w:bottom w:val="single" w:sz="8" w:space="0" w:color="auto"/>
              <w:right w:val="single" w:sz="8" w:space="0" w:color="auto"/>
            </w:tcBorders>
            <w:shd w:val="clear" w:color="000000" w:fill="D9D9D9"/>
            <w:hideMark/>
          </w:tcPr>
          <w:p w14:paraId="07B7EA7E" w14:textId="77777777" w:rsidR="00486288" w:rsidRPr="00DC502B" w:rsidRDefault="00486288" w:rsidP="00445C9D">
            <w:pPr>
              <w:spacing w:before="0" w:after="0"/>
              <w:jc w:val="right"/>
              <w:rPr>
                <w:rFonts w:eastAsia="Times New Roman"/>
                <w:b/>
                <w:noProof/>
                <w:color w:val="000000"/>
                <w:sz w:val="18"/>
                <w:szCs w:val="18"/>
                <w:lang w:val="en-IE" w:eastAsia="en-IE"/>
              </w:rPr>
            </w:pPr>
            <w:r w:rsidRPr="00DC502B">
              <w:rPr>
                <w:b/>
                <w:bCs/>
                <w:noProof/>
                <w:sz w:val="18"/>
                <w:szCs w:val="18"/>
              </w:rPr>
              <w:t>p.m.</w:t>
            </w:r>
          </w:p>
        </w:tc>
      </w:tr>
    </w:tbl>
    <w:p w14:paraId="12ED42E4" w14:textId="77777777" w:rsidR="00486288" w:rsidRDefault="00486288" w:rsidP="00445C9D">
      <w:pPr>
        <w:rPr>
          <w:noProof/>
          <w:sz w:val="16"/>
        </w:rPr>
      </w:pPr>
    </w:p>
    <w:p w14:paraId="332BDD40" w14:textId="77777777" w:rsidR="006052EE" w:rsidRDefault="006052EE" w:rsidP="00486288">
      <w:pPr>
        <w:pStyle w:val="ManualHeading3"/>
        <w:ind w:left="0" w:firstLine="0"/>
        <w:rPr>
          <w:bCs/>
          <w:noProof/>
          <w:szCs w:val="24"/>
        </w:rPr>
      </w:pPr>
      <w:bookmarkStart w:id="156" w:name="_Toc514938054"/>
      <w:bookmarkStart w:id="157" w:name="_Toc520485053"/>
      <w:bookmarkStart w:id="158" w:name="_Toc160804597"/>
      <w:bookmarkStart w:id="159" w:name="_Toc167220289"/>
      <w:bookmarkStart w:id="160" w:name="_Toc177549022"/>
      <w:r w:rsidRPr="0021790A">
        <w:rPr>
          <w:noProof/>
        </w:rPr>
        <w:t>3.2.2.</w:t>
      </w:r>
      <w:r w:rsidRPr="0021790A">
        <w:rPr>
          <w:noProof/>
        </w:rPr>
        <w:tab/>
      </w:r>
      <w:r>
        <w:rPr>
          <w:noProof/>
        </w:rPr>
        <w:t xml:space="preserve">Estimated output funded from operational </w:t>
      </w:r>
      <w:r w:rsidRPr="009C39E5">
        <w:rPr>
          <w:noProof/>
        </w:rPr>
        <w:t>appropriations</w:t>
      </w:r>
      <w:bookmarkEnd w:id="156"/>
      <w:bookmarkEnd w:id="157"/>
      <w:r w:rsidRPr="009C39E5">
        <w:rPr>
          <w:noProof/>
        </w:rPr>
        <w:t xml:space="preserve"> (not to be completed for decentralised agencies)</w:t>
      </w:r>
      <w:bookmarkEnd w:id="158"/>
      <w:bookmarkEnd w:id="159"/>
      <w:bookmarkEnd w:id="160"/>
    </w:p>
    <w:p w14:paraId="34D3B179" w14:textId="77777777" w:rsidR="00486288" w:rsidRPr="00486288" w:rsidRDefault="006052EE" w:rsidP="00486288">
      <w:pPr>
        <w:jc w:val="right"/>
        <w:rPr>
          <w:noProof/>
          <w:sz w:val="20"/>
          <w:lang w:val="en-IE"/>
        </w:rPr>
      </w:pPr>
      <w:r w:rsidRPr="003A769F">
        <w:rPr>
          <w:noProof/>
          <w:sz w:val="20"/>
          <w:lang w:val="en-IE"/>
        </w:rPr>
        <w:t>Commitment appropriations in EUR million (to three decimal places)</w:t>
      </w:r>
    </w:p>
    <w:tbl>
      <w:tblPr>
        <w:tblW w:w="5096" w:type="pct"/>
        <w:tblInd w:w="118" w:type="dxa"/>
        <w:tblLayout w:type="fixed"/>
        <w:tblLook w:val="04A0" w:firstRow="1" w:lastRow="0" w:firstColumn="1" w:lastColumn="0" w:noHBand="0" w:noVBand="1"/>
      </w:tblPr>
      <w:tblGrid>
        <w:gridCol w:w="1865"/>
        <w:gridCol w:w="703"/>
        <w:gridCol w:w="820"/>
        <w:gridCol w:w="542"/>
        <w:gridCol w:w="830"/>
        <w:gridCol w:w="692"/>
        <w:gridCol w:w="747"/>
        <w:gridCol w:w="692"/>
        <w:gridCol w:w="692"/>
        <w:gridCol w:w="542"/>
        <w:gridCol w:w="830"/>
        <w:gridCol w:w="692"/>
        <w:gridCol w:w="692"/>
        <w:gridCol w:w="692"/>
        <w:gridCol w:w="703"/>
        <w:gridCol w:w="746"/>
        <w:gridCol w:w="703"/>
        <w:gridCol w:w="423"/>
        <w:gridCol w:w="887"/>
      </w:tblGrid>
      <w:tr w:rsidR="00486288" w:rsidRPr="00195933" w14:paraId="0B46F87F" w14:textId="77777777" w:rsidTr="00445C9D">
        <w:trPr>
          <w:trHeight w:val="300"/>
        </w:trPr>
        <w:tc>
          <w:tcPr>
            <w:tcW w:w="1884" w:type="dxa"/>
            <w:tcBorders>
              <w:top w:val="single" w:sz="8" w:space="0" w:color="000000"/>
              <w:left w:val="single" w:sz="8" w:space="0" w:color="000000"/>
              <w:bottom w:val="single" w:sz="4" w:space="0" w:color="000000"/>
              <w:right w:val="single" w:sz="4" w:space="0" w:color="000000"/>
            </w:tcBorders>
            <w:vAlign w:val="bottom"/>
            <w:hideMark/>
          </w:tcPr>
          <w:p w14:paraId="384C44E7" w14:textId="77777777" w:rsidR="00486288" w:rsidRPr="00195933" w:rsidRDefault="00486288" w:rsidP="00445C9D">
            <w:pPr>
              <w:spacing w:before="0" w:after="0"/>
              <w:jc w:val="lef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Indicate objectives and outputs</w:t>
            </w:r>
          </w:p>
        </w:tc>
        <w:tc>
          <w:tcPr>
            <w:tcW w:w="586" w:type="dxa"/>
            <w:tcBorders>
              <w:top w:val="single" w:sz="8" w:space="0" w:color="000000"/>
              <w:left w:val="nil"/>
              <w:bottom w:val="single" w:sz="4" w:space="0" w:color="000000"/>
              <w:right w:val="single" w:sz="4" w:space="0" w:color="000000"/>
            </w:tcBorders>
            <w:noWrap/>
            <w:vAlign w:val="bottom"/>
            <w:hideMark/>
          </w:tcPr>
          <w:p w14:paraId="60FC128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single" w:sz="8" w:space="0" w:color="000000"/>
              <w:left w:val="nil"/>
              <w:bottom w:val="single" w:sz="4" w:space="0" w:color="000000"/>
              <w:right w:val="single" w:sz="4" w:space="0" w:color="000000"/>
            </w:tcBorders>
            <w:noWrap/>
            <w:vAlign w:val="bottom"/>
            <w:hideMark/>
          </w:tcPr>
          <w:p w14:paraId="415ECEB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1383" w:type="dxa"/>
            <w:gridSpan w:val="2"/>
            <w:tcBorders>
              <w:top w:val="single" w:sz="8" w:space="0" w:color="000000"/>
              <w:left w:val="nil"/>
              <w:bottom w:val="single" w:sz="4" w:space="0" w:color="000000"/>
              <w:right w:val="single" w:sz="4" w:space="0" w:color="000000"/>
            </w:tcBorders>
            <w:vAlign w:val="center"/>
            <w:hideMark/>
          </w:tcPr>
          <w:p w14:paraId="6D2DBD0A"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Year</w:t>
            </w:r>
          </w:p>
        </w:tc>
        <w:tc>
          <w:tcPr>
            <w:tcW w:w="1451" w:type="dxa"/>
            <w:gridSpan w:val="2"/>
            <w:tcBorders>
              <w:top w:val="single" w:sz="8" w:space="0" w:color="000000"/>
              <w:left w:val="nil"/>
              <w:bottom w:val="single" w:sz="4" w:space="0" w:color="000000"/>
              <w:right w:val="single" w:sz="4" w:space="0" w:color="000000"/>
            </w:tcBorders>
            <w:vAlign w:val="center"/>
            <w:hideMark/>
          </w:tcPr>
          <w:p w14:paraId="0EBA120F"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Year</w:t>
            </w:r>
          </w:p>
        </w:tc>
        <w:tc>
          <w:tcPr>
            <w:tcW w:w="1396" w:type="dxa"/>
            <w:gridSpan w:val="2"/>
            <w:tcBorders>
              <w:top w:val="single" w:sz="8" w:space="0" w:color="000000"/>
              <w:left w:val="nil"/>
              <w:bottom w:val="single" w:sz="4" w:space="0" w:color="000000"/>
              <w:right w:val="single" w:sz="4" w:space="0" w:color="000000"/>
            </w:tcBorders>
            <w:vAlign w:val="center"/>
            <w:hideMark/>
          </w:tcPr>
          <w:p w14:paraId="135392CF"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Year</w:t>
            </w:r>
          </w:p>
        </w:tc>
        <w:tc>
          <w:tcPr>
            <w:tcW w:w="1383" w:type="dxa"/>
            <w:gridSpan w:val="2"/>
            <w:tcBorders>
              <w:top w:val="single" w:sz="8" w:space="0" w:color="000000"/>
              <w:left w:val="nil"/>
              <w:bottom w:val="single" w:sz="4" w:space="0" w:color="000000"/>
              <w:right w:val="single" w:sz="4" w:space="0" w:color="000000"/>
            </w:tcBorders>
            <w:vAlign w:val="center"/>
            <w:hideMark/>
          </w:tcPr>
          <w:p w14:paraId="0833BC03"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Year</w:t>
            </w:r>
          </w:p>
        </w:tc>
        <w:tc>
          <w:tcPr>
            <w:tcW w:w="1396" w:type="dxa"/>
            <w:gridSpan w:val="2"/>
            <w:tcBorders>
              <w:top w:val="single" w:sz="8" w:space="0" w:color="000000"/>
              <w:left w:val="nil"/>
              <w:bottom w:val="single" w:sz="4" w:space="0" w:color="000000"/>
              <w:right w:val="single" w:sz="4" w:space="0" w:color="000000"/>
            </w:tcBorders>
            <w:vAlign w:val="center"/>
            <w:hideMark/>
          </w:tcPr>
          <w:p w14:paraId="43C06408"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Year</w:t>
            </w:r>
          </w:p>
        </w:tc>
        <w:tc>
          <w:tcPr>
            <w:tcW w:w="1407" w:type="dxa"/>
            <w:gridSpan w:val="2"/>
            <w:tcBorders>
              <w:top w:val="single" w:sz="8" w:space="0" w:color="000000"/>
              <w:left w:val="nil"/>
              <w:bottom w:val="single" w:sz="4" w:space="0" w:color="000000"/>
              <w:right w:val="single" w:sz="4" w:space="0" w:color="000000"/>
            </w:tcBorders>
            <w:vAlign w:val="center"/>
            <w:hideMark/>
          </w:tcPr>
          <w:p w14:paraId="46CA4F70"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Year</w:t>
            </w:r>
          </w:p>
        </w:tc>
        <w:tc>
          <w:tcPr>
            <w:tcW w:w="1461" w:type="dxa"/>
            <w:gridSpan w:val="2"/>
            <w:tcBorders>
              <w:top w:val="single" w:sz="8" w:space="0" w:color="000000"/>
              <w:left w:val="nil"/>
              <w:bottom w:val="single" w:sz="4" w:space="0" w:color="000000"/>
              <w:right w:val="single" w:sz="4" w:space="0" w:color="000000"/>
            </w:tcBorders>
            <w:vAlign w:val="center"/>
            <w:hideMark/>
          </w:tcPr>
          <w:p w14:paraId="5A564EEE"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Year</w:t>
            </w:r>
          </w:p>
        </w:tc>
        <w:tc>
          <w:tcPr>
            <w:tcW w:w="1320" w:type="dxa"/>
            <w:gridSpan w:val="2"/>
            <w:vMerge w:val="restart"/>
            <w:tcBorders>
              <w:top w:val="single" w:sz="8" w:space="0" w:color="000000"/>
              <w:left w:val="single" w:sz="4" w:space="0" w:color="000000"/>
              <w:bottom w:val="single" w:sz="4" w:space="0" w:color="000000"/>
              <w:right w:val="single" w:sz="4" w:space="0" w:color="000000"/>
            </w:tcBorders>
            <w:vAlign w:val="center"/>
            <w:hideMark/>
          </w:tcPr>
          <w:p w14:paraId="3C1EF919" w14:textId="77777777" w:rsidR="00486288" w:rsidRPr="00195933" w:rsidRDefault="00486288" w:rsidP="00445C9D">
            <w:pPr>
              <w:spacing w:before="0" w:after="0"/>
              <w:jc w:val="center"/>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TOTAL</w:t>
            </w:r>
            <w:r w:rsidRPr="00195933">
              <w:rPr>
                <w:rFonts w:eastAsia="Times New Roman"/>
                <w:b/>
                <w:bCs/>
                <w:noProof/>
                <w:color w:val="000000"/>
                <w:sz w:val="18"/>
                <w:szCs w:val="18"/>
                <w:lang w:val="en-IE" w:eastAsia="en-IE"/>
              </w:rPr>
              <w:br/>
              <w:t>2028-2034</w:t>
            </w:r>
          </w:p>
        </w:tc>
      </w:tr>
      <w:tr w:rsidR="00486288" w:rsidRPr="00195933" w14:paraId="0F71210B"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3CB7CD65" w14:textId="77777777" w:rsidR="00486288" w:rsidRPr="00195933" w:rsidRDefault="00486288" w:rsidP="00445C9D">
            <w:pPr>
              <w:spacing w:before="0" w:after="0"/>
              <w:jc w:val="center"/>
              <w:rPr>
                <w:rFonts w:ascii="Wingdings" w:eastAsia="Times New Roman" w:hAnsi="Wingdings" w:cs="Calibri"/>
                <w:noProof/>
                <w:color w:val="000000"/>
                <w:sz w:val="18"/>
                <w:szCs w:val="18"/>
                <w:lang w:val="en-IE" w:eastAsia="en-IE"/>
              </w:rPr>
            </w:pPr>
            <w:r w:rsidRPr="00195933">
              <w:rPr>
                <w:rFonts w:ascii="Wingdings" w:eastAsia="Times New Roman" w:hAnsi="Wingdings" w:cs="Calibri"/>
                <w:noProof/>
                <w:color w:val="000000"/>
                <w:sz w:val="18"/>
                <w:szCs w:val="18"/>
                <w:lang w:val="en-IE" w:eastAsia="en-IE"/>
              </w:rPr>
              <w:t></w:t>
            </w:r>
          </w:p>
        </w:tc>
        <w:tc>
          <w:tcPr>
            <w:tcW w:w="586" w:type="dxa"/>
            <w:tcBorders>
              <w:top w:val="nil"/>
              <w:left w:val="nil"/>
              <w:bottom w:val="single" w:sz="4" w:space="0" w:color="000000"/>
              <w:right w:val="single" w:sz="4" w:space="0" w:color="000000"/>
            </w:tcBorders>
            <w:noWrap/>
            <w:vAlign w:val="bottom"/>
            <w:hideMark/>
          </w:tcPr>
          <w:p w14:paraId="724F6A70" w14:textId="77777777" w:rsidR="00486288" w:rsidRPr="00195933" w:rsidRDefault="00486288" w:rsidP="00445C9D">
            <w:pPr>
              <w:spacing w:before="0" w:after="0"/>
              <w:jc w:val="left"/>
              <w:rPr>
                <w:rFonts w:ascii="Calibri" w:eastAsia="Times New Roman" w:hAnsi="Calibri" w:cs="Calibri"/>
                <w:noProof/>
                <w:color w:val="000000"/>
                <w:sz w:val="22"/>
                <w:lang w:val="en-IE" w:eastAsia="en-IE"/>
              </w:rPr>
            </w:pPr>
          </w:p>
        </w:tc>
        <w:tc>
          <w:tcPr>
            <w:tcW w:w="826" w:type="dxa"/>
            <w:tcBorders>
              <w:top w:val="nil"/>
              <w:left w:val="nil"/>
              <w:bottom w:val="single" w:sz="4" w:space="0" w:color="000000"/>
              <w:right w:val="single" w:sz="4" w:space="0" w:color="000000"/>
            </w:tcBorders>
            <w:noWrap/>
            <w:vAlign w:val="bottom"/>
            <w:hideMark/>
          </w:tcPr>
          <w:p w14:paraId="6BB34737" w14:textId="77777777" w:rsidR="00486288" w:rsidRPr="00195933" w:rsidRDefault="00486288" w:rsidP="00445C9D">
            <w:pPr>
              <w:spacing w:before="0" w:after="0"/>
              <w:jc w:val="left"/>
              <w:rPr>
                <w:rFonts w:ascii="Calibri" w:eastAsia="Times New Roman" w:hAnsi="Calibri" w:cs="Calibri"/>
                <w:noProof/>
                <w:color w:val="000000"/>
                <w:sz w:val="22"/>
                <w:lang w:val="en-IE" w:eastAsia="en-IE"/>
              </w:rPr>
            </w:pPr>
          </w:p>
        </w:tc>
        <w:tc>
          <w:tcPr>
            <w:tcW w:w="1383" w:type="dxa"/>
            <w:gridSpan w:val="2"/>
            <w:tcBorders>
              <w:top w:val="single" w:sz="4" w:space="0" w:color="000000"/>
              <w:left w:val="nil"/>
              <w:bottom w:val="single" w:sz="4" w:space="0" w:color="000000"/>
              <w:right w:val="single" w:sz="4" w:space="0" w:color="000000"/>
            </w:tcBorders>
            <w:vAlign w:val="center"/>
            <w:hideMark/>
          </w:tcPr>
          <w:p w14:paraId="57C004FC"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2028</w:t>
            </w:r>
          </w:p>
        </w:tc>
        <w:tc>
          <w:tcPr>
            <w:tcW w:w="1451" w:type="dxa"/>
            <w:gridSpan w:val="2"/>
            <w:tcBorders>
              <w:top w:val="single" w:sz="4" w:space="0" w:color="000000"/>
              <w:left w:val="nil"/>
              <w:bottom w:val="single" w:sz="4" w:space="0" w:color="000000"/>
              <w:right w:val="single" w:sz="4" w:space="0" w:color="000000"/>
            </w:tcBorders>
            <w:vAlign w:val="center"/>
            <w:hideMark/>
          </w:tcPr>
          <w:p w14:paraId="7C8C290F"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2029</w:t>
            </w:r>
          </w:p>
        </w:tc>
        <w:tc>
          <w:tcPr>
            <w:tcW w:w="1396" w:type="dxa"/>
            <w:gridSpan w:val="2"/>
            <w:tcBorders>
              <w:top w:val="single" w:sz="4" w:space="0" w:color="000000"/>
              <w:left w:val="nil"/>
              <w:bottom w:val="single" w:sz="4" w:space="0" w:color="000000"/>
              <w:right w:val="single" w:sz="4" w:space="0" w:color="000000"/>
            </w:tcBorders>
            <w:vAlign w:val="center"/>
            <w:hideMark/>
          </w:tcPr>
          <w:p w14:paraId="28102BC6"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2030</w:t>
            </w:r>
          </w:p>
        </w:tc>
        <w:tc>
          <w:tcPr>
            <w:tcW w:w="1383" w:type="dxa"/>
            <w:gridSpan w:val="2"/>
            <w:tcBorders>
              <w:top w:val="single" w:sz="4" w:space="0" w:color="000000"/>
              <w:left w:val="nil"/>
              <w:bottom w:val="single" w:sz="4" w:space="0" w:color="000000"/>
              <w:right w:val="single" w:sz="4" w:space="0" w:color="000000"/>
            </w:tcBorders>
            <w:vAlign w:val="center"/>
            <w:hideMark/>
          </w:tcPr>
          <w:p w14:paraId="0F6C0035"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2031</w:t>
            </w:r>
          </w:p>
        </w:tc>
        <w:tc>
          <w:tcPr>
            <w:tcW w:w="1396" w:type="dxa"/>
            <w:gridSpan w:val="2"/>
            <w:tcBorders>
              <w:top w:val="single" w:sz="4" w:space="0" w:color="000000"/>
              <w:left w:val="nil"/>
              <w:bottom w:val="single" w:sz="4" w:space="0" w:color="000000"/>
              <w:right w:val="single" w:sz="4" w:space="0" w:color="000000"/>
            </w:tcBorders>
            <w:vAlign w:val="center"/>
            <w:hideMark/>
          </w:tcPr>
          <w:p w14:paraId="3D50AA5A"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2032</w:t>
            </w:r>
          </w:p>
        </w:tc>
        <w:tc>
          <w:tcPr>
            <w:tcW w:w="1407" w:type="dxa"/>
            <w:gridSpan w:val="2"/>
            <w:tcBorders>
              <w:top w:val="single" w:sz="4" w:space="0" w:color="000000"/>
              <w:left w:val="nil"/>
              <w:bottom w:val="single" w:sz="4" w:space="0" w:color="000000"/>
              <w:right w:val="single" w:sz="4" w:space="0" w:color="000000"/>
            </w:tcBorders>
            <w:vAlign w:val="center"/>
            <w:hideMark/>
          </w:tcPr>
          <w:p w14:paraId="5AA401E8"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2033</w:t>
            </w:r>
          </w:p>
        </w:tc>
        <w:tc>
          <w:tcPr>
            <w:tcW w:w="1461" w:type="dxa"/>
            <w:gridSpan w:val="2"/>
            <w:tcBorders>
              <w:top w:val="single" w:sz="4" w:space="0" w:color="000000"/>
              <w:left w:val="nil"/>
              <w:bottom w:val="single" w:sz="4" w:space="0" w:color="000000"/>
              <w:right w:val="single" w:sz="4" w:space="0" w:color="000000"/>
            </w:tcBorders>
            <w:vAlign w:val="center"/>
            <w:hideMark/>
          </w:tcPr>
          <w:p w14:paraId="60E9F87F" w14:textId="77777777" w:rsidR="00486288" w:rsidRPr="00195933" w:rsidRDefault="00486288" w:rsidP="00445C9D">
            <w:pPr>
              <w:spacing w:before="0" w:after="0"/>
              <w:jc w:val="center"/>
              <w:rPr>
                <w:rFonts w:eastAsia="Times New Roman"/>
                <w:b/>
                <w:bCs/>
                <w:noProof/>
                <w:color w:val="000000"/>
                <w:sz w:val="20"/>
                <w:szCs w:val="20"/>
                <w:lang w:val="en-IE" w:eastAsia="en-IE"/>
              </w:rPr>
            </w:pPr>
            <w:r w:rsidRPr="00195933">
              <w:rPr>
                <w:rFonts w:eastAsia="Times New Roman"/>
                <w:b/>
                <w:bCs/>
                <w:noProof/>
                <w:color w:val="000000"/>
                <w:sz w:val="20"/>
                <w:szCs w:val="20"/>
                <w:lang w:val="en-IE" w:eastAsia="en-IE"/>
              </w:rPr>
              <w:t>2034</w:t>
            </w:r>
          </w:p>
        </w:tc>
        <w:tc>
          <w:tcPr>
            <w:tcW w:w="1320" w:type="dxa"/>
            <w:gridSpan w:val="2"/>
            <w:vMerge/>
            <w:tcBorders>
              <w:top w:val="single" w:sz="8" w:space="0" w:color="000000"/>
              <w:left w:val="single" w:sz="4" w:space="0" w:color="000000"/>
              <w:bottom w:val="single" w:sz="4" w:space="0" w:color="000000"/>
              <w:right w:val="single" w:sz="4" w:space="0" w:color="000000"/>
            </w:tcBorders>
            <w:vAlign w:val="center"/>
            <w:hideMark/>
          </w:tcPr>
          <w:p w14:paraId="0AEF0A77" w14:textId="77777777" w:rsidR="00486288" w:rsidRPr="00195933" w:rsidRDefault="00486288" w:rsidP="00445C9D">
            <w:pPr>
              <w:spacing w:before="0" w:after="0"/>
              <w:jc w:val="left"/>
              <w:rPr>
                <w:rFonts w:eastAsia="Times New Roman"/>
                <w:b/>
                <w:bCs/>
                <w:noProof/>
                <w:color w:val="000000"/>
                <w:sz w:val="18"/>
                <w:szCs w:val="18"/>
                <w:lang w:val="en-IE" w:eastAsia="en-IE"/>
              </w:rPr>
            </w:pPr>
          </w:p>
        </w:tc>
      </w:tr>
      <w:tr w:rsidR="00486288" w:rsidRPr="00195933" w14:paraId="127B0EFC"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020D641D" w14:textId="77777777" w:rsidR="00486288" w:rsidRPr="00195933" w:rsidRDefault="00486288" w:rsidP="00445C9D">
            <w:pPr>
              <w:spacing w:before="0" w:after="0"/>
              <w:jc w:val="left"/>
              <w:rPr>
                <w:rFonts w:ascii="Calibri" w:eastAsia="Times New Roman" w:hAnsi="Calibri" w:cs="Calibri"/>
                <w:noProof/>
                <w:color w:val="000000"/>
                <w:sz w:val="22"/>
                <w:lang w:val="en-IE" w:eastAsia="en-IE"/>
              </w:rPr>
            </w:pPr>
          </w:p>
        </w:tc>
        <w:tc>
          <w:tcPr>
            <w:tcW w:w="12609" w:type="dxa"/>
            <w:gridSpan w:val="18"/>
            <w:tcBorders>
              <w:top w:val="single" w:sz="4" w:space="0" w:color="000000"/>
              <w:left w:val="nil"/>
              <w:bottom w:val="single" w:sz="4" w:space="0" w:color="000000"/>
              <w:right w:val="single" w:sz="4" w:space="0" w:color="000000"/>
            </w:tcBorders>
            <w:noWrap/>
            <w:vAlign w:val="bottom"/>
            <w:hideMark/>
          </w:tcPr>
          <w:p w14:paraId="56C65A17" w14:textId="77777777" w:rsidR="00486288" w:rsidRPr="00195933" w:rsidRDefault="00486288" w:rsidP="00445C9D">
            <w:pPr>
              <w:spacing w:before="0" w:after="0"/>
              <w:jc w:val="lef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OUTPUTS</w:t>
            </w:r>
          </w:p>
        </w:tc>
      </w:tr>
      <w:tr w:rsidR="00486288" w:rsidRPr="00195933" w14:paraId="09B57DC4" w14:textId="77777777" w:rsidTr="00445C9D">
        <w:trPr>
          <w:trHeight w:val="480"/>
        </w:trPr>
        <w:tc>
          <w:tcPr>
            <w:tcW w:w="1884" w:type="dxa"/>
            <w:tcBorders>
              <w:top w:val="nil"/>
              <w:left w:val="single" w:sz="8" w:space="0" w:color="000000"/>
              <w:bottom w:val="nil"/>
              <w:right w:val="single" w:sz="4" w:space="0" w:color="000000"/>
            </w:tcBorders>
            <w:noWrap/>
            <w:vAlign w:val="bottom"/>
            <w:hideMark/>
          </w:tcPr>
          <w:p w14:paraId="15FA8FDF" w14:textId="77777777" w:rsidR="00486288" w:rsidRPr="00195933" w:rsidRDefault="00486288" w:rsidP="00445C9D">
            <w:pPr>
              <w:spacing w:before="0" w:after="0"/>
              <w:jc w:val="left"/>
              <w:rPr>
                <w:rFonts w:ascii="Calibri" w:eastAsia="Times New Roman" w:hAnsi="Calibri" w:cs="Calibri"/>
                <w:noProof/>
                <w:color w:val="000000"/>
                <w:sz w:val="22"/>
                <w:lang w:val="en-IE" w:eastAsia="en-IE"/>
              </w:rPr>
            </w:pPr>
          </w:p>
        </w:tc>
        <w:tc>
          <w:tcPr>
            <w:tcW w:w="586" w:type="dxa"/>
            <w:tcBorders>
              <w:top w:val="nil"/>
              <w:left w:val="nil"/>
              <w:bottom w:val="nil"/>
              <w:right w:val="single" w:sz="4" w:space="0" w:color="000000"/>
            </w:tcBorders>
            <w:noWrap/>
            <w:vAlign w:val="center"/>
            <w:hideMark/>
          </w:tcPr>
          <w:p w14:paraId="486E2BF0" w14:textId="77777777" w:rsidR="00486288" w:rsidRPr="00195933" w:rsidRDefault="00486288" w:rsidP="00445C9D">
            <w:pPr>
              <w:spacing w:before="0" w:after="0"/>
              <w:jc w:val="center"/>
              <w:rPr>
                <w:rFonts w:eastAsia="Times New Roman"/>
                <w:noProof/>
                <w:color w:val="000000"/>
                <w:sz w:val="18"/>
                <w:szCs w:val="18"/>
                <w:lang w:val="en-IE" w:eastAsia="en-IE"/>
              </w:rPr>
            </w:pPr>
            <w:bookmarkStart w:id="161" w:name="RANGE!C5"/>
            <w:r w:rsidRPr="00195933">
              <w:rPr>
                <w:rFonts w:eastAsia="Times New Roman"/>
                <w:noProof/>
                <w:color w:val="000000"/>
                <w:sz w:val="18"/>
                <w:szCs w:val="18"/>
                <w:lang w:val="en-IE" w:eastAsia="en-IE"/>
              </w:rPr>
              <w:t>Type</w:t>
            </w:r>
            <w:bookmarkEnd w:id="161"/>
          </w:p>
        </w:tc>
        <w:tc>
          <w:tcPr>
            <w:tcW w:w="826" w:type="dxa"/>
            <w:tcBorders>
              <w:top w:val="nil"/>
              <w:left w:val="nil"/>
              <w:bottom w:val="nil"/>
              <w:right w:val="single" w:sz="4" w:space="0" w:color="000000"/>
            </w:tcBorders>
            <w:vAlign w:val="center"/>
            <w:hideMark/>
          </w:tcPr>
          <w:p w14:paraId="45986C6E"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Average</w:t>
            </w:r>
            <w:r w:rsidRPr="00195933">
              <w:rPr>
                <w:rFonts w:eastAsia="Times New Roman"/>
                <w:noProof/>
                <w:color w:val="000000"/>
                <w:sz w:val="18"/>
                <w:szCs w:val="18"/>
                <w:lang w:val="en-IE" w:eastAsia="en-IE"/>
              </w:rPr>
              <w:br/>
              <w:t>cost</w:t>
            </w:r>
          </w:p>
        </w:tc>
        <w:tc>
          <w:tcPr>
            <w:tcW w:w="546" w:type="dxa"/>
            <w:tcBorders>
              <w:top w:val="nil"/>
              <w:left w:val="nil"/>
              <w:bottom w:val="nil"/>
              <w:right w:val="single" w:sz="4" w:space="0" w:color="000000"/>
            </w:tcBorders>
            <w:noWrap/>
            <w:vAlign w:val="center"/>
            <w:hideMark/>
          </w:tcPr>
          <w:p w14:paraId="0384946D"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No</w:t>
            </w:r>
          </w:p>
        </w:tc>
        <w:tc>
          <w:tcPr>
            <w:tcW w:w="837" w:type="dxa"/>
            <w:tcBorders>
              <w:top w:val="nil"/>
              <w:left w:val="nil"/>
              <w:bottom w:val="nil"/>
              <w:right w:val="single" w:sz="4" w:space="0" w:color="000000"/>
            </w:tcBorders>
            <w:noWrap/>
            <w:vAlign w:val="center"/>
            <w:hideMark/>
          </w:tcPr>
          <w:p w14:paraId="103ED29F"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Cost</w:t>
            </w:r>
          </w:p>
        </w:tc>
        <w:tc>
          <w:tcPr>
            <w:tcW w:w="698" w:type="dxa"/>
            <w:tcBorders>
              <w:top w:val="nil"/>
              <w:left w:val="nil"/>
              <w:bottom w:val="nil"/>
              <w:right w:val="single" w:sz="4" w:space="0" w:color="000000"/>
            </w:tcBorders>
            <w:noWrap/>
            <w:vAlign w:val="center"/>
            <w:hideMark/>
          </w:tcPr>
          <w:p w14:paraId="5522DA01"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No</w:t>
            </w:r>
          </w:p>
        </w:tc>
        <w:tc>
          <w:tcPr>
            <w:tcW w:w="753" w:type="dxa"/>
            <w:tcBorders>
              <w:top w:val="nil"/>
              <w:left w:val="nil"/>
              <w:bottom w:val="nil"/>
              <w:right w:val="single" w:sz="4" w:space="0" w:color="000000"/>
            </w:tcBorders>
            <w:noWrap/>
            <w:vAlign w:val="center"/>
            <w:hideMark/>
          </w:tcPr>
          <w:p w14:paraId="351233B4"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Cost</w:t>
            </w:r>
          </w:p>
        </w:tc>
        <w:tc>
          <w:tcPr>
            <w:tcW w:w="698" w:type="dxa"/>
            <w:tcBorders>
              <w:top w:val="nil"/>
              <w:left w:val="nil"/>
              <w:bottom w:val="nil"/>
              <w:right w:val="single" w:sz="4" w:space="0" w:color="000000"/>
            </w:tcBorders>
            <w:noWrap/>
            <w:vAlign w:val="center"/>
            <w:hideMark/>
          </w:tcPr>
          <w:p w14:paraId="165643FB"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No</w:t>
            </w:r>
          </w:p>
        </w:tc>
        <w:tc>
          <w:tcPr>
            <w:tcW w:w="698" w:type="dxa"/>
            <w:tcBorders>
              <w:top w:val="nil"/>
              <w:left w:val="nil"/>
              <w:bottom w:val="nil"/>
              <w:right w:val="single" w:sz="4" w:space="0" w:color="000000"/>
            </w:tcBorders>
            <w:noWrap/>
            <w:vAlign w:val="center"/>
            <w:hideMark/>
          </w:tcPr>
          <w:p w14:paraId="067AA185"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Cost</w:t>
            </w:r>
          </w:p>
        </w:tc>
        <w:tc>
          <w:tcPr>
            <w:tcW w:w="546" w:type="dxa"/>
            <w:tcBorders>
              <w:top w:val="nil"/>
              <w:left w:val="nil"/>
              <w:bottom w:val="nil"/>
              <w:right w:val="single" w:sz="4" w:space="0" w:color="000000"/>
            </w:tcBorders>
            <w:noWrap/>
            <w:vAlign w:val="center"/>
            <w:hideMark/>
          </w:tcPr>
          <w:p w14:paraId="29931AAC"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No</w:t>
            </w:r>
          </w:p>
        </w:tc>
        <w:tc>
          <w:tcPr>
            <w:tcW w:w="837" w:type="dxa"/>
            <w:tcBorders>
              <w:top w:val="nil"/>
              <w:left w:val="nil"/>
              <w:bottom w:val="nil"/>
              <w:right w:val="single" w:sz="4" w:space="0" w:color="000000"/>
            </w:tcBorders>
            <w:noWrap/>
            <w:vAlign w:val="center"/>
            <w:hideMark/>
          </w:tcPr>
          <w:p w14:paraId="0B730A89"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Cost</w:t>
            </w:r>
          </w:p>
        </w:tc>
        <w:tc>
          <w:tcPr>
            <w:tcW w:w="698" w:type="dxa"/>
            <w:tcBorders>
              <w:top w:val="nil"/>
              <w:left w:val="nil"/>
              <w:bottom w:val="nil"/>
              <w:right w:val="single" w:sz="4" w:space="0" w:color="000000"/>
            </w:tcBorders>
            <w:noWrap/>
            <w:vAlign w:val="center"/>
            <w:hideMark/>
          </w:tcPr>
          <w:p w14:paraId="5767D946"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No</w:t>
            </w:r>
          </w:p>
        </w:tc>
        <w:tc>
          <w:tcPr>
            <w:tcW w:w="698" w:type="dxa"/>
            <w:tcBorders>
              <w:top w:val="nil"/>
              <w:left w:val="nil"/>
              <w:bottom w:val="nil"/>
              <w:right w:val="single" w:sz="4" w:space="0" w:color="000000"/>
            </w:tcBorders>
            <w:noWrap/>
            <w:vAlign w:val="center"/>
            <w:hideMark/>
          </w:tcPr>
          <w:p w14:paraId="4607326A"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Cost</w:t>
            </w:r>
          </w:p>
        </w:tc>
        <w:tc>
          <w:tcPr>
            <w:tcW w:w="698" w:type="dxa"/>
            <w:tcBorders>
              <w:top w:val="nil"/>
              <w:left w:val="nil"/>
              <w:bottom w:val="nil"/>
              <w:right w:val="single" w:sz="4" w:space="0" w:color="000000"/>
            </w:tcBorders>
            <w:noWrap/>
            <w:vAlign w:val="center"/>
            <w:hideMark/>
          </w:tcPr>
          <w:p w14:paraId="1D25DA23"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No</w:t>
            </w:r>
          </w:p>
        </w:tc>
        <w:tc>
          <w:tcPr>
            <w:tcW w:w="709" w:type="dxa"/>
            <w:tcBorders>
              <w:top w:val="nil"/>
              <w:left w:val="nil"/>
              <w:bottom w:val="nil"/>
              <w:right w:val="single" w:sz="4" w:space="0" w:color="000000"/>
            </w:tcBorders>
            <w:noWrap/>
            <w:vAlign w:val="center"/>
            <w:hideMark/>
          </w:tcPr>
          <w:p w14:paraId="502E2B15"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Cost</w:t>
            </w:r>
          </w:p>
        </w:tc>
        <w:tc>
          <w:tcPr>
            <w:tcW w:w="752" w:type="dxa"/>
            <w:tcBorders>
              <w:top w:val="nil"/>
              <w:left w:val="nil"/>
              <w:bottom w:val="nil"/>
              <w:right w:val="single" w:sz="4" w:space="0" w:color="000000"/>
            </w:tcBorders>
            <w:noWrap/>
            <w:vAlign w:val="center"/>
            <w:hideMark/>
          </w:tcPr>
          <w:p w14:paraId="1637B194"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No</w:t>
            </w:r>
          </w:p>
        </w:tc>
        <w:tc>
          <w:tcPr>
            <w:tcW w:w="709" w:type="dxa"/>
            <w:tcBorders>
              <w:top w:val="nil"/>
              <w:left w:val="nil"/>
              <w:bottom w:val="nil"/>
              <w:right w:val="single" w:sz="4" w:space="0" w:color="000000"/>
            </w:tcBorders>
            <w:noWrap/>
            <w:vAlign w:val="center"/>
            <w:hideMark/>
          </w:tcPr>
          <w:p w14:paraId="71A43249"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Cost</w:t>
            </w:r>
          </w:p>
        </w:tc>
        <w:tc>
          <w:tcPr>
            <w:tcW w:w="425" w:type="dxa"/>
            <w:tcBorders>
              <w:top w:val="nil"/>
              <w:left w:val="nil"/>
              <w:bottom w:val="nil"/>
              <w:right w:val="single" w:sz="4" w:space="0" w:color="000000"/>
            </w:tcBorders>
            <w:noWrap/>
            <w:vAlign w:val="center"/>
            <w:hideMark/>
          </w:tcPr>
          <w:p w14:paraId="432A0B36"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No</w:t>
            </w:r>
          </w:p>
        </w:tc>
        <w:tc>
          <w:tcPr>
            <w:tcW w:w="895" w:type="dxa"/>
            <w:tcBorders>
              <w:top w:val="nil"/>
              <w:left w:val="nil"/>
              <w:bottom w:val="nil"/>
              <w:right w:val="single" w:sz="4" w:space="0" w:color="000000"/>
            </w:tcBorders>
            <w:noWrap/>
            <w:vAlign w:val="center"/>
            <w:hideMark/>
          </w:tcPr>
          <w:p w14:paraId="3EFCF7A6" w14:textId="77777777" w:rsidR="00486288" w:rsidRPr="00195933" w:rsidRDefault="00486288" w:rsidP="00445C9D">
            <w:pPr>
              <w:spacing w:before="0" w:after="0"/>
              <w:jc w:val="center"/>
              <w:rPr>
                <w:rFonts w:eastAsia="Times New Roman"/>
                <w:noProof/>
                <w:color w:val="000000"/>
                <w:sz w:val="18"/>
                <w:szCs w:val="18"/>
                <w:lang w:val="en-IE" w:eastAsia="en-IE"/>
              </w:rPr>
            </w:pPr>
            <w:r w:rsidRPr="00195933">
              <w:rPr>
                <w:rFonts w:eastAsia="Times New Roman"/>
                <w:noProof/>
                <w:color w:val="000000"/>
                <w:sz w:val="18"/>
                <w:szCs w:val="18"/>
                <w:lang w:val="en-IE" w:eastAsia="en-IE"/>
              </w:rPr>
              <w:t>Cost</w:t>
            </w:r>
          </w:p>
        </w:tc>
      </w:tr>
      <w:tr w:rsidR="00486288" w:rsidRPr="00195933" w14:paraId="1606695B" w14:textId="77777777" w:rsidTr="00445C9D">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14:paraId="12A66F3E"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SPECIFIC OBJECTIVE No 1.1.2 - waste</w:t>
            </w:r>
          </w:p>
        </w:tc>
      </w:tr>
      <w:tr w:rsidR="00486288" w:rsidRPr="00195933" w14:paraId="4269ABE9"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0F0474A5"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Technical assistance on adapting MRV processes and regulations</w:t>
            </w:r>
          </w:p>
        </w:tc>
        <w:tc>
          <w:tcPr>
            <w:tcW w:w="586" w:type="dxa"/>
            <w:tcBorders>
              <w:top w:val="nil"/>
              <w:left w:val="nil"/>
              <w:bottom w:val="single" w:sz="4" w:space="0" w:color="000000"/>
              <w:right w:val="single" w:sz="4" w:space="0" w:color="000000"/>
            </w:tcBorders>
            <w:noWrap/>
            <w:vAlign w:val="bottom"/>
            <w:hideMark/>
          </w:tcPr>
          <w:p w14:paraId="38FB945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2676A28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3044DA9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5C83E29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A98E37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665A5A6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34B71B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056782E"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546" w:type="dxa"/>
            <w:tcBorders>
              <w:top w:val="nil"/>
              <w:left w:val="nil"/>
              <w:bottom w:val="single" w:sz="4" w:space="0" w:color="000000"/>
              <w:right w:val="single" w:sz="4" w:space="0" w:color="000000"/>
            </w:tcBorders>
            <w:noWrap/>
            <w:vAlign w:val="bottom"/>
            <w:hideMark/>
          </w:tcPr>
          <w:p w14:paraId="404D82D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78A1049C"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543ACFB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6F3F101E"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615A460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5F3D99EA"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752" w:type="dxa"/>
            <w:tcBorders>
              <w:top w:val="nil"/>
              <w:left w:val="nil"/>
              <w:bottom w:val="single" w:sz="4" w:space="0" w:color="000000"/>
              <w:right w:val="single" w:sz="4" w:space="0" w:color="000000"/>
            </w:tcBorders>
            <w:noWrap/>
            <w:vAlign w:val="bottom"/>
            <w:hideMark/>
          </w:tcPr>
          <w:p w14:paraId="59468D4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02A6025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35B52DAF"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02A65724"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2,000</w:t>
            </w:r>
          </w:p>
        </w:tc>
      </w:tr>
      <w:tr w:rsidR="00486288" w:rsidRPr="00195933" w14:paraId="306C7A77"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6AF4ED73"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Technical feasibility study and testing</w:t>
            </w:r>
          </w:p>
        </w:tc>
        <w:tc>
          <w:tcPr>
            <w:tcW w:w="586" w:type="dxa"/>
            <w:tcBorders>
              <w:top w:val="nil"/>
              <w:left w:val="nil"/>
              <w:bottom w:val="single" w:sz="4" w:space="0" w:color="000000"/>
              <w:right w:val="single" w:sz="4" w:space="0" w:color="000000"/>
            </w:tcBorders>
            <w:noWrap/>
            <w:vAlign w:val="bottom"/>
            <w:hideMark/>
          </w:tcPr>
          <w:p w14:paraId="5146438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0F99312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02FEF42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09E9D10B"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6A05480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67A9D5E8"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798002D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EFAD378"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546" w:type="dxa"/>
            <w:tcBorders>
              <w:top w:val="nil"/>
              <w:left w:val="nil"/>
              <w:bottom w:val="single" w:sz="4" w:space="0" w:color="000000"/>
              <w:right w:val="single" w:sz="4" w:space="0" w:color="000000"/>
            </w:tcBorders>
            <w:noWrap/>
            <w:vAlign w:val="bottom"/>
            <w:hideMark/>
          </w:tcPr>
          <w:p w14:paraId="378F6DB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14721959"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7843207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240FA0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1C4A9F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00BA721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0BB840D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369B3E9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7CBCC95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7185ADE1"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2,000</w:t>
            </w:r>
          </w:p>
        </w:tc>
      </w:tr>
      <w:tr w:rsidR="00486288" w:rsidRPr="00195933" w14:paraId="20620FC5" w14:textId="77777777" w:rsidTr="00445C9D">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14:paraId="4CA2E618"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SPECIFIC OBJECTIVE No 1.1.2 - CCU</w:t>
            </w:r>
          </w:p>
        </w:tc>
      </w:tr>
      <w:tr w:rsidR="00486288" w:rsidRPr="00195933" w14:paraId="38B6CD94" w14:textId="77777777" w:rsidTr="00445C9D">
        <w:trPr>
          <w:trHeight w:val="300"/>
        </w:trPr>
        <w:tc>
          <w:tcPr>
            <w:tcW w:w="1884" w:type="dxa"/>
            <w:tcBorders>
              <w:top w:val="nil"/>
              <w:left w:val="single" w:sz="8" w:space="0" w:color="000000"/>
              <w:bottom w:val="single" w:sz="4" w:space="0" w:color="000000"/>
              <w:right w:val="nil"/>
            </w:tcBorders>
            <w:noWrap/>
            <w:vAlign w:val="bottom"/>
            <w:hideMark/>
          </w:tcPr>
          <w:p w14:paraId="6D03C55E"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Support study for revision of secondary legislation</w:t>
            </w:r>
          </w:p>
        </w:tc>
        <w:tc>
          <w:tcPr>
            <w:tcW w:w="586" w:type="dxa"/>
            <w:tcBorders>
              <w:top w:val="nil"/>
              <w:left w:val="nil"/>
              <w:bottom w:val="single" w:sz="4" w:space="0" w:color="000000"/>
              <w:right w:val="nil"/>
            </w:tcBorders>
            <w:noWrap/>
            <w:vAlign w:val="bottom"/>
            <w:hideMark/>
          </w:tcPr>
          <w:p w14:paraId="44B787F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single" w:sz="4" w:space="0" w:color="000000"/>
              <w:bottom w:val="single" w:sz="4" w:space="0" w:color="000000"/>
              <w:right w:val="single" w:sz="4" w:space="0" w:color="000000"/>
            </w:tcBorders>
            <w:noWrap/>
            <w:vAlign w:val="bottom"/>
            <w:hideMark/>
          </w:tcPr>
          <w:p w14:paraId="4FE78F8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017B145B"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1</w:t>
            </w:r>
          </w:p>
        </w:tc>
        <w:tc>
          <w:tcPr>
            <w:tcW w:w="837" w:type="dxa"/>
            <w:tcBorders>
              <w:top w:val="nil"/>
              <w:left w:val="nil"/>
              <w:bottom w:val="single" w:sz="4" w:space="0" w:color="000000"/>
              <w:right w:val="single" w:sz="4" w:space="0" w:color="000000"/>
            </w:tcBorders>
            <w:noWrap/>
            <w:vAlign w:val="bottom"/>
            <w:hideMark/>
          </w:tcPr>
          <w:p w14:paraId="69C88B66"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4D98A59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741484F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23ECB8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E12F05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479BA5A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392DF1C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2A0FC1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64F2E86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5CB65A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7708940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1F22FBB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1C1FD0B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0B977EB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w:t>
            </w:r>
          </w:p>
        </w:tc>
        <w:tc>
          <w:tcPr>
            <w:tcW w:w="895" w:type="dxa"/>
            <w:tcBorders>
              <w:top w:val="nil"/>
              <w:left w:val="nil"/>
              <w:bottom w:val="single" w:sz="4" w:space="0" w:color="000000"/>
              <w:right w:val="single" w:sz="4" w:space="0" w:color="000000"/>
            </w:tcBorders>
            <w:shd w:val="clear" w:color="000000" w:fill="F2F2F2"/>
            <w:noWrap/>
            <w:vAlign w:val="bottom"/>
            <w:hideMark/>
          </w:tcPr>
          <w:p w14:paraId="4DE3D6DD"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r>
      <w:tr w:rsidR="00486288" w:rsidRPr="00195933" w14:paraId="5BE394ED"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57F972D1"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Support study to assess implementation</w:t>
            </w:r>
          </w:p>
        </w:tc>
        <w:tc>
          <w:tcPr>
            <w:tcW w:w="586" w:type="dxa"/>
            <w:tcBorders>
              <w:top w:val="nil"/>
              <w:left w:val="nil"/>
              <w:bottom w:val="single" w:sz="4" w:space="0" w:color="000000"/>
              <w:right w:val="single" w:sz="4" w:space="0" w:color="000000"/>
            </w:tcBorders>
            <w:noWrap/>
            <w:vAlign w:val="bottom"/>
            <w:hideMark/>
          </w:tcPr>
          <w:p w14:paraId="17B6A3C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54B5D9B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5F6D315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7B09DE5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4A3C1B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594B6B1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D59050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1B2216E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05D4D14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506DE10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225E4E3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16EA6B5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A23E12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0D80C5F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20379529"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1</w:t>
            </w:r>
          </w:p>
        </w:tc>
        <w:tc>
          <w:tcPr>
            <w:tcW w:w="709" w:type="dxa"/>
            <w:tcBorders>
              <w:top w:val="nil"/>
              <w:left w:val="nil"/>
              <w:bottom w:val="single" w:sz="4" w:space="0" w:color="000000"/>
              <w:right w:val="single" w:sz="4" w:space="0" w:color="000000"/>
            </w:tcBorders>
            <w:noWrap/>
            <w:vAlign w:val="bottom"/>
            <w:hideMark/>
          </w:tcPr>
          <w:p w14:paraId="0F62061D"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425" w:type="dxa"/>
            <w:tcBorders>
              <w:top w:val="nil"/>
              <w:left w:val="nil"/>
              <w:bottom w:val="single" w:sz="4" w:space="0" w:color="000000"/>
              <w:right w:val="single" w:sz="4" w:space="0" w:color="000000"/>
            </w:tcBorders>
            <w:shd w:val="clear" w:color="000000" w:fill="F2F2F2"/>
            <w:noWrap/>
            <w:vAlign w:val="bottom"/>
            <w:hideMark/>
          </w:tcPr>
          <w:p w14:paraId="3E912D33"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w:t>
            </w:r>
          </w:p>
        </w:tc>
        <w:tc>
          <w:tcPr>
            <w:tcW w:w="895" w:type="dxa"/>
            <w:tcBorders>
              <w:top w:val="nil"/>
              <w:left w:val="nil"/>
              <w:bottom w:val="single" w:sz="4" w:space="0" w:color="000000"/>
              <w:right w:val="single" w:sz="4" w:space="0" w:color="000000"/>
            </w:tcBorders>
            <w:shd w:val="clear" w:color="000000" w:fill="F2F2F2"/>
            <w:noWrap/>
            <w:vAlign w:val="bottom"/>
            <w:hideMark/>
          </w:tcPr>
          <w:p w14:paraId="627FCCE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r>
      <w:tr w:rsidR="006B0541" w:rsidRPr="00195933" w14:paraId="2D1A6A9C" w14:textId="77777777" w:rsidTr="00445C9D">
        <w:trPr>
          <w:trHeight w:val="300"/>
        </w:trPr>
        <w:tc>
          <w:tcPr>
            <w:tcW w:w="3296" w:type="dxa"/>
            <w:gridSpan w:val="3"/>
            <w:tcBorders>
              <w:top w:val="single" w:sz="4" w:space="0" w:color="000000"/>
              <w:left w:val="single" w:sz="8" w:space="0" w:color="000000"/>
              <w:bottom w:val="single" w:sz="4" w:space="0" w:color="000000"/>
              <w:right w:val="single" w:sz="4" w:space="0" w:color="000000"/>
            </w:tcBorders>
            <w:noWrap/>
            <w:vAlign w:val="bottom"/>
            <w:hideMark/>
          </w:tcPr>
          <w:p w14:paraId="44D522FC"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Subtotal for specific objective No 1.1.2</w:t>
            </w:r>
          </w:p>
        </w:tc>
        <w:tc>
          <w:tcPr>
            <w:tcW w:w="546" w:type="dxa"/>
            <w:tcBorders>
              <w:top w:val="nil"/>
              <w:left w:val="nil"/>
              <w:bottom w:val="single" w:sz="4" w:space="0" w:color="000000"/>
              <w:right w:val="single" w:sz="4" w:space="0" w:color="000000"/>
            </w:tcBorders>
            <w:shd w:val="clear" w:color="000000" w:fill="F2F2F2"/>
            <w:noWrap/>
            <w:vAlign w:val="bottom"/>
            <w:hideMark/>
          </w:tcPr>
          <w:p w14:paraId="3FAC040D"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w:t>
            </w:r>
          </w:p>
        </w:tc>
        <w:tc>
          <w:tcPr>
            <w:tcW w:w="837" w:type="dxa"/>
            <w:tcBorders>
              <w:top w:val="nil"/>
              <w:left w:val="nil"/>
              <w:bottom w:val="single" w:sz="4" w:space="0" w:color="000000"/>
              <w:right w:val="single" w:sz="4" w:space="0" w:color="000000"/>
            </w:tcBorders>
            <w:shd w:val="clear" w:color="000000" w:fill="F2F2F2"/>
            <w:noWrap/>
            <w:vAlign w:val="bottom"/>
            <w:hideMark/>
          </w:tcPr>
          <w:p w14:paraId="45242CC8"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1,000</w:t>
            </w:r>
          </w:p>
        </w:tc>
        <w:tc>
          <w:tcPr>
            <w:tcW w:w="698" w:type="dxa"/>
            <w:tcBorders>
              <w:top w:val="nil"/>
              <w:left w:val="nil"/>
              <w:bottom w:val="single" w:sz="4" w:space="0" w:color="000000"/>
              <w:right w:val="single" w:sz="4" w:space="0" w:color="000000"/>
            </w:tcBorders>
            <w:shd w:val="clear" w:color="000000" w:fill="F2F2F2"/>
            <w:noWrap/>
            <w:vAlign w:val="bottom"/>
            <w:hideMark/>
          </w:tcPr>
          <w:p w14:paraId="17D6C821"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53" w:type="dxa"/>
            <w:tcBorders>
              <w:top w:val="nil"/>
              <w:left w:val="nil"/>
              <w:bottom w:val="single" w:sz="4" w:space="0" w:color="000000"/>
              <w:right w:val="single" w:sz="4" w:space="0" w:color="000000"/>
            </w:tcBorders>
            <w:shd w:val="clear" w:color="000000" w:fill="F2F2F2"/>
            <w:noWrap/>
            <w:vAlign w:val="bottom"/>
            <w:hideMark/>
          </w:tcPr>
          <w:p w14:paraId="25C85ACE"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c>
          <w:tcPr>
            <w:tcW w:w="698" w:type="dxa"/>
            <w:tcBorders>
              <w:top w:val="nil"/>
              <w:left w:val="nil"/>
              <w:bottom w:val="single" w:sz="4" w:space="0" w:color="000000"/>
              <w:right w:val="single" w:sz="4" w:space="0" w:color="000000"/>
            </w:tcBorders>
            <w:shd w:val="clear" w:color="000000" w:fill="F2F2F2"/>
            <w:noWrap/>
            <w:vAlign w:val="bottom"/>
            <w:hideMark/>
          </w:tcPr>
          <w:p w14:paraId="125048E3"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698" w:type="dxa"/>
            <w:tcBorders>
              <w:top w:val="nil"/>
              <w:left w:val="nil"/>
              <w:bottom w:val="single" w:sz="4" w:space="0" w:color="000000"/>
              <w:right w:val="single" w:sz="4" w:space="0" w:color="000000"/>
            </w:tcBorders>
            <w:shd w:val="clear" w:color="000000" w:fill="F2F2F2"/>
            <w:noWrap/>
            <w:vAlign w:val="bottom"/>
            <w:hideMark/>
          </w:tcPr>
          <w:p w14:paraId="2D08DAD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1,000</w:t>
            </w:r>
          </w:p>
        </w:tc>
        <w:tc>
          <w:tcPr>
            <w:tcW w:w="546" w:type="dxa"/>
            <w:tcBorders>
              <w:top w:val="nil"/>
              <w:left w:val="nil"/>
              <w:bottom w:val="single" w:sz="4" w:space="0" w:color="000000"/>
              <w:right w:val="single" w:sz="4" w:space="0" w:color="000000"/>
            </w:tcBorders>
            <w:shd w:val="clear" w:color="000000" w:fill="F2F2F2"/>
            <w:noWrap/>
            <w:vAlign w:val="bottom"/>
            <w:hideMark/>
          </w:tcPr>
          <w:p w14:paraId="47C07B04"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37" w:type="dxa"/>
            <w:tcBorders>
              <w:top w:val="nil"/>
              <w:left w:val="nil"/>
              <w:bottom w:val="single" w:sz="4" w:space="0" w:color="000000"/>
              <w:right w:val="single" w:sz="4" w:space="0" w:color="000000"/>
            </w:tcBorders>
            <w:shd w:val="clear" w:color="000000" w:fill="F2F2F2"/>
            <w:noWrap/>
            <w:vAlign w:val="bottom"/>
            <w:hideMark/>
          </w:tcPr>
          <w:p w14:paraId="3E3C2D88"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1,000</w:t>
            </w:r>
          </w:p>
        </w:tc>
        <w:tc>
          <w:tcPr>
            <w:tcW w:w="698" w:type="dxa"/>
            <w:tcBorders>
              <w:top w:val="nil"/>
              <w:left w:val="nil"/>
              <w:bottom w:val="single" w:sz="4" w:space="0" w:color="000000"/>
              <w:right w:val="single" w:sz="4" w:space="0" w:color="000000"/>
            </w:tcBorders>
            <w:shd w:val="clear" w:color="000000" w:fill="F2F2F2"/>
            <w:noWrap/>
            <w:vAlign w:val="bottom"/>
            <w:hideMark/>
          </w:tcPr>
          <w:p w14:paraId="25AB958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698" w:type="dxa"/>
            <w:tcBorders>
              <w:top w:val="nil"/>
              <w:left w:val="nil"/>
              <w:bottom w:val="single" w:sz="4" w:space="0" w:color="000000"/>
              <w:right w:val="single" w:sz="4" w:space="0" w:color="000000"/>
            </w:tcBorders>
            <w:shd w:val="clear" w:color="000000" w:fill="F2F2F2"/>
            <w:noWrap/>
            <w:vAlign w:val="bottom"/>
            <w:hideMark/>
          </w:tcPr>
          <w:p w14:paraId="4293E45C"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c>
          <w:tcPr>
            <w:tcW w:w="698" w:type="dxa"/>
            <w:tcBorders>
              <w:top w:val="nil"/>
              <w:left w:val="nil"/>
              <w:bottom w:val="single" w:sz="4" w:space="0" w:color="000000"/>
              <w:right w:val="single" w:sz="4" w:space="0" w:color="000000"/>
            </w:tcBorders>
            <w:shd w:val="clear" w:color="000000" w:fill="F2F2F2"/>
            <w:noWrap/>
            <w:vAlign w:val="bottom"/>
            <w:hideMark/>
          </w:tcPr>
          <w:p w14:paraId="3EAC7D7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09" w:type="dxa"/>
            <w:tcBorders>
              <w:top w:val="nil"/>
              <w:left w:val="nil"/>
              <w:bottom w:val="single" w:sz="4" w:space="0" w:color="000000"/>
              <w:right w:val="single" w:sz="4" w:space="0" w:color="000000"/>
            </w:tcBorders>
            <w:shd w:val="clear" w:color="000000" w:fill="F2F2F2"/>
            <w:noWrap/>
            <w:vAlign w:val="bottom"/>
            <w:hideMark/>
          </w:tcPr>
          <w:p w14:paraId="7A56AC46"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c>
          <w:tcPr>
            <w:tcW w:w="752" w:type="dxa"/>
            <w:tcBorders>
              <w:top w:val="nil"/>
              <w:left w:val="nil"/>
              <w:bottom w:val="single" w:sz="4" w:space="0" w:color="000000"/>
              <w:right w:val="single" w:sz="4" w:space="0" w:color="000000"/>
            </w:tcBorders>
            <w:shd w:val="clear" w:color="000000" w:fill="F2F2F2"/>
            <w:noWrap/>
            <w:vAlign w:val="bottom"/>
            <w:hideMark/>
          </w:tcPr>
          <w:p w14:paraId="6A1BFC67"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w:t>
            </w:r>
          </w:p>
        </w:tc>
        <w:tc>
          <w:tcPr>
            <w:tcW w:w="709" w:type="dxa"/>
            <w:tcBorders>
              <w:top w:val="nil"/>
              <w:left w:val="nil"/>
              <w:bottom w:val="single" w:sz="4" w:space="0" w:color="000000"/>
              <w:right w:val="single" w:sz="4" w:space="0" w:color="000000"/>
            </w:tcBorders>
            <w:shd w:val="clear" w:color="000000" w:fill="F2F2F2"/>
            <w:noWrap/>
            <w:vAlign w:val="bottom"/>
            <w:hideMark/>
          </w:tcPr>
          <w:p w14:paraId="4EAEE8BD"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c>
          <w:tcPr>
            <w:tcW w:w="425" w:type="dxa"/>
            <w:tcBorders>
              <w:top w:val="nil"/>
              <w:left w:val="nil"/>
              <w:bottom w:val="single" w:sz="4" w:space="0" w:color="000000"/>
              <w:right w:val="single" w:sz="4" w:space="0" w:color="000000"/>
            </w:tcBorders>
            <w:shd w:val="clear" w:color="000000" w:fill="F2F2F2"/>
            <w:noWrap/>
            <w:vAlign w:val="bottom"/>
            <w:hideMark/>
          </w:tcPr>
          <w:p w14:paraId="27237507"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2</w:t>
            </w:r>
          </w:p>
        </w:tc>
        <w:tc>
          <w:tcPr>
            <w:tcW w:w="895" w:type="dxa"/>
            <w:tcBorders>
              <w:top w:val="nil"/>
              <w:left w:val="nil"/>
              <w:bottom w:val="single" w:sz="4" w:space="0" w:color="000000"/>
              <w:right w:val="single" w:sz="4" w:space="0" w:color="000000"/>
            </w:tcBorders>
            <w:shd w:val="clear" w:color="000000" w:fill="F2F2F2"/>
            <w:noWrap/>
            <w:vAlign w:val="bottom"/>
            <w:hideMark/>
          </w:tcPr>
          <w:p w14:paraId="164D434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5,000</w:t>
            </w:r>
          </w:p>
        </w:tc>
      </w:tr>
      <w:tr w:rsidR="00486288" w:rsidRPr="00195933" w14:paraId="029F83FF" w14:textId="77777777" w:rsidTr="00445C9D">
        <w:trPr>
          <w:trHeight w:val="300"/>
        </w:trPr>
        <w:tc>
          <w:tcPr>
            <w:tcW w:w="1884" w:type="dxa"/>
            <w:tcBorders>
              <w:top w:val="nil"/>
              <w:left w:val="single" w:sz="8" w:space="0" w:color="000000"/>
              <w:bottom w:val="single" w:sz="4" w:space="0" w:color="000000"/>
              <w:right w:val="nil"/>
            </w:tcBorders>
            <w:noWrap/>
            <w:vAlign w:val="bottom"/>
            <w:hideMark/>
          </w:tcPr>
          <w:p w14:paraId="6978B38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86" w:type="dxa"/>
            <w:tcBorders>
              <w:top w:val="nil"/>
              <w:left w:val="nil"/>
              <w:bottom w:val="single" w:sz="4" w:space="0" w:color="000000"/>
              <w:right w:val="nil"/>
            </w:tcBorders>
            <w:noWrap/>
            <w:vAlign w:val="bottom"/>
            <w:hideMark/>
          </w:tcPr>
          <w:p w14:paraId="568BCEC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nil"/>
            </w:tcBorders>
            <w:noWrap/>
            <w:vAlign w:val="bottom"/>
            <w:hideMark/>
          </w:tcPr>
          <w:p w14:paraId="4C88A3D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nil"/>
            </w:tcBorders>
            <w:noWrap/>
            <w:vAlign w:val="bottom"/>
            <w:hideMark/>
          </w:tcPr>
          <w:p w14:paraId="3102A9D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nil"/>
            </w:tcBorders>
            <w:noWrap/>
            <w:vAlign w:val="bottom"/>
            <w:hideMark/>
          </w:tcPr>
          <w:p w14:paraId="4E39F65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20AD518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nil"/>
            </w:tcBorders>
            <w:noWrap/>
            <w:vAlign w:val="bottom"/>
            <w:hideMark/>
          </w:tcPr>
          <w:p w14:paraId="341CCE8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502B026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1D07231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nil"/>
            </w:tcBorders>
            <w:noWrap/>
            <w:vAlign w:val="bottom"/>
            <w:hideMark/>
          </w:tcPr>
          <w:p w14:paraId="35D94F9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nil"/>
            </w:tcBorders>
            <w:noWrap/>
            <w:vAlign w:val="bottom"/>
            <w:hideMark/>
          </w:tcPr>
          <w:p w14:paraId="6CCF3CD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655D7D3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4E99658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6DD9790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nil"/>
            </w:tcBorders>
            <w:noWrap/>
            <w:vAlign w:val="bottom"/>
            <w:hideMark/>
          </w:tcPr>
          <w:p w14:paraId="4B052B8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nil"/>
            </w:tcBorders>
            <w:noWrap/>
            <w:vAlign w:val="bottom"/>
            <w:hideMark/>
          </w:tcPr>
          <w:p w14:paraId="2064C5F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nil"/>
            </w:tcBorders>
            <w:noWrap/>
            <w:vAlign w:val="bottom"/>
            <w:hideMark/>
          </w:tcPr>
          <w:p w14:paraId="550B9DB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nil"/>
            </w:tcBorders>
            <w:shd w:val="clear" w:color="000000" w:fill="F2F2F2"/>
            <w:noWrap/>
            <w:vAlign w:val="bottom"/>
            <w:hideMark/>
          </w:tcPr>
          <w:p w14:paraId="39ADB75E" w14:textId="77777777" w:rsidR="00486288" w:rsidRPr="00195933" w:rsidRDefault="00486288" w:rsidP="00445C9D">
            <w:pPr>
              <w:spacing w:before="0" w:after="0"/>
              <w:jc w:val="left"/>
              <w:rPr>
                <w:rFonts w:eastAsia="Times New Roman"/>
                <w:b/>
                <w:bCs/>
                <w:noProof/>
                <w:color w:val="000000"/>
                <w:sz w:val="18"/>
                <w:szCs w:val="18"/>
                <w:lang w:val="en-IE" w:eastAsia="en-IE"/>
              </w:rPr>
            </w:pPr>
          </w:p>
        </w:tc>
        <w:tc>
          <w:tcPr>
            <w:tcW w:w="895" w:type="dxa"/>
            <w:tcBorders>
              <w:top w:val="nil"/>
              <w:left w:val="nil"/>
              <w:bottom w:val="single" w:sz="4" w:space="0" w:color="000000"/>
              <w:right w:val="nil"/>
            </w:tcBorders>
            <w:shd w:val="clear" w:color="000000" w:fill="F2F2F2"/>
            <w:noWrap/>
            <w:vAlign w:val="bottom"/>
            <w:hideMark/>
          </w:tcPr>
          <w:p w14:paraId="586054BC" w14:textId="77777777" w:rsidR="00486288" w:rsidRPr="00195933" w:rsidRDefault="00486288" w:rsidP="00445C9D">
            <w:pPr>
              <w:spacing w:before="0" w:after="0"/>
              <w:jc w:val="left"/>
              <w:rPr>
                <w:rFonts w:eastAsia="Times New Roman"/>
                <w:b/>
                <w:bCs/>
                <w:noProof/>
                <w:color w:val="000000"/>
                <w:sz w:val="18"/>
                <w:szCs w:val="18"/>
                <w:lang w:val="en-IE" w:eastAsia="en-IE"/>
              </w:rPr>
            </w:pPr>
          </w:p>
        </w:tc>
      </w:tr>
      <w:tr w:rsidR="00486288" w:rsidRPr="00195933" w14:paraId="1AA2EE53" w14:textId="77777777" w:rsidTr="00445C9D">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14:paraId="3C977CFE" w14:textId="77777777" w:rsidR="00486288" w:rsidRPr="00195933" w:rsidRDefault="00486288" w:rsidP="00445C9D">
            <w:pPr>
              <w:spacing w:before="0" w:after="0"/>
              <w:jc w:val="left"/>
              <w:rPr>
                <w:rFonts w:eastAsia="Times New Roman"/>
                <w:noProof/>
                <w:color w:val="000000"/>
                <w:sz w:val="18"/>
                <w:szCs w:val="18"/>
                <w:lang w:val="en-IE" w:eastAsia="en-IE"/>
              </w:rPr>
            </w:pPr>
            <w:bookmarkStart w:id="162" w:name="RANGE!B18"/>
            <w:r w:rsidRPr="00195933">
              <w:rPr>
                <w:rFonts w:eastAsia="Times New Roman"/>
                <w:noProof/>
                <w:color w:val="000000"/>
                <w:sz w:val="18"/>
                <w:szCs w:val="18"/>
                <w:lang w:val="en-IE" w:eastAsia="en-IE"/>
              </w:rPr>
              <w:t>SPECIFIC OBJECTIVE No 1.1.3 - carbon leakage</w:t>
            </w:r>
            <w:bookmarkEnd w:id="162"/>
          </w:p>
        </w:tc>
      </w:tr>
      <w:tr w:rsidR="00486288" w:rsidRPr="00195933" w14:paraId="532BC126"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779DACA8" w14:textId="77777777" w:rsidR="00486288" w:rsidRPr="00195933" w:rsidRDefault="00486288" w:rsidP="00445C9D">
            <w:pPr>
              <w:spacing w:before="0" w:after="0"/>
              <w:jc w:val="left"/>
              <w:rPr>
                <w:rFonts w:eastAsia="Times New Roman"/>
                <w:noProof/>
                <w:color w:val="000000"/>
                <w:sz w:val="18"/>
                <w:szCs w:val="18"/>
                <w:lang w:val="en-IE" w:eastAsia="en-IE"/>
              </w:rPr>
            </w:pPr>
            <w:bookmarkStart w:id="163" w:name="RANGE!B19"/>
            <w:r w:rsidRPr="00195933">
              <w:rPr>
                <w:rFonts w:eastAsia="Times New Roman"/>
                <w:noProof/>
                <w:color w:val="000000"/>
                <w:sz w:val="18"/>
                <w:szCs w:val="18"/>
                <w:lang w:val="en-IE" w:eastAsia="en-IE"/>
              </w:rPr>
              <w:t>Sectoral fallback benchmarks, technical assistance for development</w:t>
            </w:r>
            <w:bookmarkEnd w:id="163"/>
          </w:p>
        </w:tc>
        <w:tc>
          <w:tcPr>
            <w:tcW w:w="586" w:type="dxa"/>
            <w:tcBorders>
              <w:top w:val="nil"/>
              <w:left w:val="nil"/>
              <w:bottom w:val="single" w:sz="4" w:space="0" w:color="000000"/>
              <w:right w:val="single" w:sz="4" w:space="0" w:color="000000"/>
            </w:tcBorders>
            <w:noWrap/>
            <w:vAlign w:val="bottom"/>
            <w:hideMark/>
          </w:tcPr>
          <w:p w14:paraId="76F5A64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48FA198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3DB1975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610711BC"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6740372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2591D068"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65F4E07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E537E3B"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546" w:type="dxa"/>
            <w:tcBorders>
              <w:top w:val="nil"/>
              <w:left w:val="nil"/>
              <w:bottom w:val="single" w:sz="4" w:space="0" w:color="000000"/>
              <w:right w:val="single" w:sz="4" w:space="0" w:color="000000"/>
            </w:tcBorders>
            <w:noWrap/>
            <w:vAlign w:val="bottom"/>
            <w:hideMark/>
          </w:tcPr>
          <w:p w14:paraId="641E913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03B51D6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636DEE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1211100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3A03EB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25930DC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1585866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3E8307B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43CB1A6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61C1642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1,500</w:t>
            </w:r>
          </w:p>
        </w:tc>
      </w:tr>
      <w:tr w:rsidR="00486288" w:rsidRPr="00195933" w14:paraId="3CE77BAE" w14:textId="77777777" w:rsidTr="00445C9D">
        <w:trPr>
          <w:trHeight w:val="300"/>
        </w:trPr>
        <w:tc>
          <w:tcPr>
            <w:tcW w:w="2592" w:type="dxa"/>
            <w:gridSpan w:val="2"/>
            <w:tcBorders>
              <w:top w:val="nil"/>
              <w:left w:val="single" w:sz="8" w:space="0" w:color="000000"/>
              <w:bottom w:val="single" w:sz="4" w:space="0" w:color="000000"/>
              <w:right w:val="nil"/>
            </w:tcBorders>
            <w:noWrap/>
            <w:vAlign w:val="bottom"/>
            <w:hideMark/>
          </w:tcPr>
          <w:p w14:paraId="509DA340"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Free allocation: post-2030 continuation of NIMS and FA processes</w:t>
            </w:r>
          </w:p>
        </w:tc>
        <w:tc>
          <w:tcPr>
            <w:tcW w:w="704" w:type="dxa"/>
            <w:tcBorders>
              <w:top w:val="nil"/>
              <w:left w:val="nil"/>
              <w:bottom w:val="single" w:sz="4" w:space="0" w:color="000000"/>
              <w:right w:val="nil"/>
            </w:tcBorders>
            <w:noWrap/>
            <w:vAlign w:val="bottom"/>
            <w:hideMark/>
          </w:tcPr>
          <w:p w14:paraId="4A8C9CE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nil"/>
            </w:tcBorders>
            <w:noWrap/>
            <w:vAlign w:val="bottom"/>
            <w:hideMark/>
          </w:tcPr>
          <w:p w14:paraId="0F6CFF4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single" w:sz="4" w:space="0" w:color="000000"/>
              <w:bottom w:val="single" w:sz="4" w:space="0" w:color="000000"/>
              <w:right w:val="single" w:sz="4" w:space="0" w:color="000000"/>
            </w:tcBorders>
            <w:noWrap/>
            <w:vAlign w:val="bottom"/>
            <w:hideMark/>
          </w:tcPr>
          <w:p w14:paraId="638AE039"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61C8CDD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6F8D707E"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2021853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1014B8E"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546" w:type="dxa"/>
            <w:tcBorders>
              <w:top w:val="nil"/>
              <w:left w:val="nil"/>
              <w:bottom w:val="single" w:sz="4" w:space="0" w:color="000000"/>
              <w:right w:val="nil"/>
            </w:tcBorders>
            <w:noWrap/>
            <w:vAlign w:val="bottom"/>
            <w:hideMark/>
          </w:tcPr>
          <w:p w14:paraId="69BC4A9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nil"/>
            </w:tcBorders>
            <w:noWrap/>
            <w:vAlign w:val="bottom"/>
            <w:hideMark/>
          </w:tcPr>
          <w:p w14:paraId="77878CE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26355D4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68481AD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313BD20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nil"/>
            </w:tcBorders>
            <w:noWrap/>
            <w:vAlign w:val="bottom"/>
            <w:hideMark/>
          </w:tcPr>
          <w:p w14:paraId="5EF60BE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nil"/>
            </w:tcBorders>
            <w:noWrap/>
            <w:vAlign w:val="bottom"/>
            <w:hideMark/>
          </w:tcPr>
          <w:p w14:paraId="2034365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nil"/>
            </w:tcBorders>
            <w:noWrap/>
            <w:vAlign w:val="bottom"/>
            <w:hideMark/>
          </w:tcPr>
          <w:p w14:paraId="0E15D77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single" w:sz="4" w:space="0" w:color="000000"/>
              <w:bottom w:val="single" w:sz="4" w:space="0" w:color="000000"/>
              <w:right w:val="single" w:sz="4" w:space="0" w:color="000000"/>
            </w:tcBorders>
            <w:shd w:val="clear" w:color="000000" w:fill="F2F2F2"/>
            <w:noWrap/>
            <w:vAlign w:val="bottom"/>
            <w:hideMark/>
          </w:tcPr>
          <w:p w14:paraId="76F7AF9E"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171933DE"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1,500</w:t>
            </w:r>
          </w:p>
        </w:tc>
      </w:tr>
      <w:tr w:rsidR="00486288" w:rsidRPr="00195933" w14:paraId="6D45D699" w14:textId="77777777" w:rsidTr="00445C9D">
        <w:trPr>
          <w:trHeight w:val="300"/>
        </w:trPr>
        <w:tc>
          <w:tcPr>
            <w:tcW w:w="2592" w:type="dxa"/>
            <w:gridSpan w:val="2"/>
            <w:tcBorders>
              <w:top w:val="nil"/>
              <w:left w:val="single" w:sz="8" w:space="0" w:color="000000"/>
              <w:bottom w:val="single" w:sz="4" w:space="0" w:color="000000"/>
              <w:right w:val="nil"/>
            </w:tcBorders>
            <w:noWrap/>
            <w:vAlign w:val="bottom"/>
            <w:hideMark/>
          </w:tcPr>
          <w:p w14:paraId="17808640"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Free allocation: develop and implement conditionality rules</w:t>
            </w:r>
          </w:p>
        </w:tc>
        <w:tc>
          <w:tcPr>
            <w:tcW w:w="704" w:type="dxa"/>
            <w:tcBorders>
              <w:top w:val="nil"/>
              <w:left w:val="nil"/>
              <w:bottom w:val="single" w:sz="4" w:space="0" w:color="000000"/>
              <w:right w:val="nil"/>
            </w:tcBorders>
            <w:noWrap/>
            <w:vAlign w:val="bottom"/>
            <w:hideMark/>
          </w:tcPr>
          <w:p w14:paraId="38AAF60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nil"/>
            </w:tcBorders>
            <w:noWrap/>
            <w:vAlign w:val="bottom"/>
            <w:hideMark/>
          </w:tcPr>
          <w:p w14:paraId="11AD4DE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single" w:sz="4" w:space="0" w:color="000000"/>
              <w:bottom w:val="single" w:sz="4" w:space="0" w:color="000000"/>
              <w:right w:val="single" w:sz="4" w:space="0" w:color="000000"/>
            </w:tcBorders>
            <w:noWrap/>
            <w:vAlign w:val="bottom"/>
            <w:hideMark/>
          </w:tcPr>
          <w:p w14:paraId="409244D9"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46681FE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239DEB45"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7C57689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0536CD9"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546" w:type="dxa"/>
            <w:tcBorders>
              <w:top w:val="nil"/>
              <w:left w:val="nil"/>
              <w:bottom w:val="single" w:sz="4" w:space="0" w:color="000000"/>
              <w:right w:val="nil"/>
            </w:tcBorders>
            <w:noWrap/>
            <w:vAlign w:val="bottom"/>
            <w:hideMark/>
          </w:tcPr>
          <w:p w14:paraId="5B83A98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nil"/>
            </w:tcBorders>
            <w:noWrap/>
            <w:vAlign w:val="bottom"/>
            <w:hideMark/>
          </w:tcPr>
          <w:p w14:paraId="650AB08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6623E04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095FA91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35E75C2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nil"/>
            </w:tcBorders>
            <w:noWrap/>
            <w:vAlign w:val="bottom"/>
            <w:hideMark/>
          </w:tcPr>
          <w:p w14:paraId="07C835B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nil"/>
            </w:tcBorders>
            <w:noWrap/>
            <w:vAlign w:val="bottom"/>
            <w:hideMark/>
          </w:tcPr>
          <w:p w14:paraId="26C181A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nil"/>
            </w:tcBorders>
            <w:noWrap/>
            <w:vAlign w:val="bottom"/>
            <w:hideMark/>
          </w:tcPr>
          <w:p w14:paraId="6896B04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single" w:sz="4" w:space="0" w:color="000000"/>
              <w:bottom w:val="single" w:sz="4" w:space="0" w:color="000000"/>
              <w:right w:val="single" w:sz="4" w:space="0" w:color="000000"/>
            </w:tcBorders>
            <w:shd w:val="clear" w:color="000000" w:fill="F2F2F2"/>
            <w:noWrap/>
            <w:vAlign w:val="bottom"/>
            <w:hideMark/>
          </w:tcPr>
          <w:p w14:paraId="77F5E69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2F9B20C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1,500</w:t>
            </w:r>
          </w:p>
        </w:tc>
      </w:tr>
      <w:tr w:rsidR="00486288" w:rsidRPr="00195933" w14:paraId="546CE576" w14:textId="77777777" w:rsidTr="00445C9D">
        <w:trPr>
          <w:trHeight w:val="300"/>
        </w:trPr>
        <w:tc>
          <w:tcPr>
            <w:tcW w:w="1884" w:type="dxa"/>
            <w:tcBorders>
              <w:top w:val="nil"/>
              <w:left w:val="single" w:sz="8" w:space="0" w:color="000000"/>
              <w:bottom w:val="single" w:sz="4" w:space="0" w:color="000000"/>
              <w:right w:val="nil"/>
            </w:tcBorders>
            <w:noWrap/>
            <w:vAlign w:val="bottom"/>
            <w:hideMark/>
          </w:tcPr>
          <w:p w14:paraId="2B469708"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Free allocation: training &amp; capacity building for NCAs</w:t>
            </w:r>
          </w:p>
        </w:tc>
        <w:tc>
          <w:tcPr>
            <w:tcW w:w="586" w:type="dxa"/>
            <w:tcBorders>
              <w:top w:val="nil"/>
              <w:left w:val="nil"/>
              <w:bottom w:val="single" w:sz="4" w:space="0" w:color="000000"/>
              <w:right w:val="nil"/>
            </w:tcBorders>
            <w:noWrap/>
            <w:vAlign w:val="bottom"/>
            <w:hideMark/>
          </w:tcPr>
          <w:p w14:paraId="4E1CD3A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nil"/>
            </w:tcBorders>
            <w:noWrap/>
            <w:vAlign w:val="bottom"/>
            <w:hideMark/>
          </w:tcPr>
          <w:p w14:paraId="42F0FEB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nil"/>
            </w:tcBorders>
            <w:noWrap/>
            <w:vAlign w:val="bottom"/>
            <w:hideMark/>
          </w:tcPr>
          <w:p w14:paraId="3268AA2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single" w:sz="4" w:space="0" w:color="000000"/>
              <w:bottom w:val="single" w:sz="4" w:space="0" w:color="000000"/>
              <w:right w:val="single" w:sz="4" w:space="0" w:color="000000"/>
            </w:tcBorders>
            <w:noWrap/>
            <w:vAlign w:val="bottom"/>
            <w:hideMark/>
          </w:tcPr>
          <w:p w14:paraId="745403F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629E3B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2012B9F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0975906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E30839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nil"/>
            </w:tcBorders>
            <w:noWrap/>
            <w:vAlign w:val="bottom"/>
            <w:hideMark/>
          </w:tcPr>
          <w:p w14:paraId="263469E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single" w:sz="4" w:space="0" w:color="000000"/>
              <w:bottom w:val="single" w:sz="4" w:space="0" w:color="000000"/>
              <w:right w:val="single" w:sz="4" w:space="0" w:color="000000"/>
            </w:tcBorders>
            <w:noWrap/>
            <w:vAlign w:val="bottom"/>
            <w:hideMark/>
          </w:tcPr>
          <w:p w14:paraId="43D0ACE6"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3785BA7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204E2E16"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724ABBD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3814E346"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752" w:type="dxa"/>
            <w:tcBorders>
              <w:top w:val="nil"/>
              <w:left w:val="nil"/>
              <w:bottom w:val="single" w:sz="4" w:space="0" w:color="000000"/>
              <w:right w:val="nil"/>
            </w:tcBorders>
            <w:noWrap/>
            <w:vAlign w:val="bottom"/>
            <w:hideMark/>
          </w:tcPr>
          <w:p w14:paraId="145FC8E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nil"/>
            </w:tcBorders>
            <w:noWrap/>
            <w:vAlign w:val="bottom"/>
            <w:hideMark/>
          </w:tcPr>
          <w:p w14:paraId="39AA080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single" w:sz="4" w:space="0" w:color="000000"/>
              <w:bottom w:val="single" w:sz="4" w:space="0" w:color="000000"/>
              <w:right w:val="single" w:sz="4" w:space="0" w:color="000000"/>
            </w:tcBorders>
            <w:shd w:val="clear" w:color="000000" w:fill="F2F2F2"/>
            <w:noWrap/>
            <w:vAlign w:val="bottom"/>
            <w:hideMark/>
          </w:tcPr>
          <w:p w14:paraId="4B03A9EC"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669A9C5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1,500</w:t>
            </w:r>
          </w:p>
        </w:tc>
      </w:tr>
      <w:tr w:rsidR="00486288" w:rsidRPr="00195933" w14:paraId="1C65987B" w14:textId="77777777" w:rsidTr="00445C9D">
        <w:trPr>
          <w:trHeight w:val="300"/>
        </w:trPr>
        <w:tc>
          <w:tcPr>
            <w:tcW w:w="3296" w:type="dxa"/>
            <w:gridSpan w:val="3"/>
            <w:tcBorders>
              <w:top w:val="nil"/>
              <w:left w:val="single" w:sz="8" w:space="0" w:color="000000"/>
              <w:bottom w:val="single" w:sz="4" w:space="0" w:color="000000"/>
              <w:right w:val="nil"/>
            </w:tcBorders>
            <w:noWrap/>
            <w:vAlign w:val="bottom"/>
            <w:hideMark/>
          </w:tcPr>
          <w:p w14:paraId="70ABC59E"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Free allocation: enhanced oversight, information to MS and administrative checks</w:t>
            </w:r>
          </w:p>
        </w:tc>
        <w:tc>
          <w:tcPr>
            <w:tcW w:w="546" w:type="dxa"/>
            <w:tcBorders>
              <w:top w:val="nil"/>
              <w:left w:val="nil"/>
              <w:bottom w:val="single" w:sz="4" w:space="0" w:color="000000"/>
              <w:right w:val="nil"/>
            </w:tcBorders>
            <w:noWrap/>
            <w:vAlign w:val="bottom"/>
            <w:hideMark/>
          </w:tcPr>
          <w:p w14:paraId="08C931D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single" w:sz="4" w:space="0" w:color="000000"/>
              <w:bottom w:val="single" w:sz="4" w:space="0" w:color="000000"/>
              <w:right w:val="single" w:sz="4" w:space="0" w:color="000000"/>
            </w:tcBorders>
            <w:noWrap/>
            <w:vAlign w:val="bottom"/>
            <w:hideMark/>
          </w:tcPr>
          <w:p w14:paraId="298AC1A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B34F43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498AEC0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18DABE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63086AD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nil"/>
            </w:tcBorders>
            <w:noWrap/>
            <w:vAlign w:val="bottom"/>
            <w:hideMark/>
          </w:tcPr>
          <w:p w14:paraId="54F7EE0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single" w:sz="4" w:space="0" w:color="000000"/>
              <w:bottom w:val="single" w:sz="4" w:space="0" w:color="000000"/>
              <w:right w:val="single" w:sz="4" w:space="0" w:color="000000"/>
            </w:tcBorders>
            <w:noWrap/>
            <w:vAlign w:val="bottom"/>
            <w:hideMark/>
          </w:tcPr>
          <w:p w14:paraId="4672A123"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369C907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2F5EC30E"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616DAEC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47D7C996"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752" w:type="dxa"/>
            <w:tcBorders>
              <w:top w:val="nil"/>
              <w:left w:val="nil"/>
              <w:bottom w:val="single" w:sz="4" w:space="0" w:color="000000"/>
              <w:right w:val="nil"/>
            </w:tcBorders>
            <w:noWrap/>
            <w:vAlign w:val="bottom"/>
            <w:hideMark/>
          </w:tcPr>
          <w:p w14:paraId="3C5D548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nil"/>
            </w:tcBorders>
            <w:noWrap/>
            <w:vAlign w:val="bottom"/>
            <w:hideMark/>
          </w:tcPr>
          <w:p w14:paraId="6380EBD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single" w:sz="4" w:space="0" w:color="000000"/>
              <w:bottom w:val="single" w:sz="4" w:space="0" w:color="000000"/>
              <w:right w:val="single" w:sz="4" w:space="0" w:color="000000"/>
            </w:tcBorders>
            <w:shd w:val="clear" w:color="000000" w:fill="F2F2F2"/>
            <w:noWrap/>
            <w:vAlign w:val="bottom"/>
            <w:hideMark/>
          </w:tcPr>
          <w:p w14:paraId="63E3F89C"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3BC5554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1,500</w:t>
            </w:r>
          </w:p>
        </w:tc>
      </w:tr>
      <w:tr w:rsidR="006B0541" w:rsidRPr="00195933" w14:paraId="56C4C148" w14:textId="77777777" w:rsidTr="00445C9D">
        <w:trPr>
          <w:trHeight w:val="300"/>
        </w:trPr>
        <w:tc>
          <w:tcPr>
            <w:tcW w:w="3296" w:type="dxa"/>
            <w:gridSpan w:val="3"/>
            <w:tcBorders>
              <w:top w:val="single" w:sz="4" w:space="0" w:color="000000"/>
              <w:left w:val="single" w:sz="8" w:space="0" w:color="000000"/>
              <w:bottom w:val="single" w:sz="4" w:space="0" w:color="000000"/>
              <w:right w:val="single" w:sz="4" w:space="0" w:color="000000"/>
            </w:tcBorders>
            <w:noWrap/>
            <w:vAlign w:val="bottom"/>
            <w:hideMark/>
          </w:tcPr>
          <w:p w14:paraId="00975AB0"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Subtotal for specific objective No 1.1.3</w:t>
            </w:r>
          </w:p>
        </w:tc>
        <w:tc>
          <w:tcPr>
            <w:tcW w:w="546" w:type="dxa"/>
            <w:tcBorders>
              <w:top w:val="nil"/>
              <w:left w:val="nil"/>
              <w:bottom w:val="single" w:sz="4" w:space="0" w:color="000000"/>
              <w:right w:val="single" w:sz="4" w:space="0" w:color="000000"/>
            </w:tcBorders>
            <w:shd w:val="clear" w:color="000000" w:fill="F2F2F2"/>
            <w:noWrap/>
            <w:vAlign w:val="bottom"/>
            <w:hideMark/>
          </w:tcPr>
          <w:p w14:paraId="497EC7A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37" w:type="dxa"/>
            <w:tcBorders>
              <w:top w:val="nil"/>
              <w:left w:val="nil"/>
              <w:bottom w:val="single" w:sz="4" w:space="0" w:color="000000"/>
              <w:right w:val="single" w:sz="4" w:space="0" w:color="000000"/>
            </w:tcBorders>
            <w:shd w:val="clear" w:color="000000" w:fill="F2F2F2"/>
            <w:noWrap/>
            <w:vAlign w:val="bottom"/>
            <w:hideMark/>
          </w:tcPr>
          <w:p w14:paraId="1FBE814E"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1,500</w:t>
            </w:r>
          </w:p>
        </w:tc>
        <w:tc>
          <w:tcPr>
            <w:tcW w:w="698" w:type="dxa"/>
            <w:tcBorders>
              <w:top w:val="nil"/>
              <w:left w:val="nil"/>
              <w:bottom w:val="single" w:sz="4" w:space="0" w:color="000000"/>
              <w:right w:val="single" w:sz="4" w:space="0" w:color="000000"/>
            </w:tcBorders>
            <w:shd w:val="clear" w:color="000000" w:fill="F2F2F2"/>
            <w:noWrap/>
            <w:vAlign w:val="bottom"/>
            <w:hideMark/>
          </w:tcPr>
          <w:p w14:paraId="6A734348"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53" w:type="dxa"/>
            <w:tcBorders>
              <w:top w:val="nil"/>
              <w:left w:val="nil"/>
              <w:bottom w:val="single" w:sz="4" w:space="0" w:color="000000"/>
              <w:right w:val="single" w:sz="4" w:space="0" w:color="000000"/>
            </w:tcBorders>
            <w:shd w:val="clear" w:color="000000" w:fill="F2F2F2"/>
            <w:noWrap/>
            <w:vAlign w:val="bottom"/>
            <w:hideMark/>
          </w:tcPr>
          <w:p w14:paraId="62E918F7"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1,500</w:t>
            </w:r>
          </w:p>
        </w:tc>
        <w:tc>
          <w:tcPr>
            <w:tcW w:w="698" w:type="dxa"/>
            <w:tcBorders>
              <w:top w:val="nil"/>
              <w:left w:val="nil"/>
              <w:bottom w:val="single" w:sz="4" w:space="0" w:color="000000"/>
              <w:right w:val="single" w:sz="4" w:space="0" w:color="000000"/>
            </w:tcBorders>
            <w:shd w:val="clear" w:color="000000" w:fill="F2F2F2"/>
            <w:noWrap/>
            <w:vAlign w:val="bottom"/>
            <w:hideMark/>
          </w:tcPr>
          <w:p w14:paraId="236FA69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698" w:type="dxa"/>
            <w:tcBorders>
              <w:top w:val="nil"/>
              <w:left w:val="nil"/>
              <w:bottom w:val="single" w:sz="4" w:space="0" w:color="000000"/>
              <w:right w:val="single" w:sz="4" w:space="0" w:color="000000"/>
            </w:tcBorders>
            <w:shd w:val="clear" w:color="000000" w:fill="F2F2F2"/>
            <w:noWrap/>
            <w:vAlign w:val="bottom"/>
            <w:hideMark/>
          </w:tcPr>
          <w:p w14:paraId="0D56565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1,500</w:t>
            </w:r>
          </w:p>
        </w:tc>
        <w:tc>
          <w:tcPr>
            <w:tcW w:w="546" w:type="dxa"/>
            <w:tcBorders>
              <w:top w:val="nil"/>
              <w:left w:val="nil"/>
              <w:bottom w:val="single" w:sz="4" w:space="0" w:color="000000"/>
              <w:right w:val="single" w:sz="4" w:space="0" w:color="000000"/>
            </w:tcBorders>
            <w:shd w:val="clear" w:color="000000" w:fill="F2F2F2"/>
            <w:noWrap/>
            <w:vAlign w:val="bottom"/>
            <w:hideMark/>
          </w:tcPr>
          <w:p w14:paraId="443BABB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37" w:type="dxa"/>
            <w:tcBorders>
              <w:top w:val="nil"/>
              <w:left w:val="nil"/>
              <w:bottom w:val="single" w:sz="4" w:space="0" w:color="000000"/>
              <w:right w:val="single" w:sz="4" w:space="0" w:color="000000"/>
            </w:tcBorders>
            <w:shd w:val="clear" w:color="000000" w:fill="F2F2F2"/>
            <w:noWrap/>
            <w:vAlign w:val="bottom"/>
            <w:hideMark/>
          </w:tcPr>
          <w:p w14:paraId="4036557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1,000</w:t>
            </w:r>
          </w:p>
        </w:tc>
        <w:tc>
          <w:tcPr>
            <w:tcW w:w="698" w:type="dxa"/>
            <w:tcBorders>
              <w:top w:val="nil"/>
              <w:left w:val="nil"/>
              <w:bottom w:val="single" w:sz="4" w:space="0" w:color="000000"/>
              <w:right w:val="single" w:sz="4" w:space="0" w:color="000000"/>
            </w:tcBorders>
            <w:shd w:val="clear" w:color="000000" w:fill="F2F2F2"/>
            <w:noWrap/>
            <w:vAlign w:val="bottom"/>
            <w:hideMark/>
          </w:tcPr>
          <w:p w14:paraId="7F7A21A7"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698" w:type="dxa"/>
            <w:tcBorders>
              <w:top w:val="nil"/>
              <w:left w:val="nil"/>
              <w:bottom w:val="single" w:sz="4" w:space="0" w:color="000000"/>
              <w:right w:val="single" w:sz="4" w:space="0" w:color="000000"/>
            </w:tcBorders>
            <w:shd w:val="clear" w:color="000000" w:fill="F2F2F2"/>
            <w:noWrap/>
            <w:vAlign w:val="bottom"/>
            <w:hideMark/>
          </w:tcPr>
          <w:p w14:paraId="0B69F8EF"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1,000</w:t>
            </w:r>
          </w:p>
        </w:tc>
        <w:tc>
          <w:tcPr>
            <w:tcW w:w="698" w:type="dxa"/>
            <w:tcBorders>
              <w:top w:val="nil"/>
              <w:left w:val="nil"/>
              <w:bottom w:val="single" w:sz="4" w:space="0" w:color="000000"/>
              <w:right w:val="single" w:sz="4" w:space="0" w:color="000000"/>
            </w:tcBorders>
            <w:shd w:val="clear" w:color="000000" w:fill="F2F2F2"/>
            <w:noWrap/>
            <w:vAlign w:val="bottom"/>
            <w:hideMark/>
          </w:tcPr>
          <w:p w14:paraId="7B7FA6A3"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09" w:type="dxa"/>
            <w:tcBorders>
              <w:top w:val="nil"/>
              <w:left w:val="nil"/>
              <w:bottom w:val="single" w:sz="4" w:space="0" w:color="000000"/>
              <w:right w:val="single" w:sz="4" w:space="0" w:color="000000"/>
            </w:tcBorders>
            <w:shd w:val="clear" w:color="000000" w:fill="F2F2F2"/>
            <w:noWrap/>
            <w:vAlign w:val="bottom"/>
            <w:hideMark/>
          </w:tcPr>
          <w:p w14:paraId="6B28B5CC"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1,000</w:t>
            </w:r>
          </w:p>
        </w:tc>
        <w:tc>
          <w:tcPr>
            <w:tcW w:w="752" w:type="dxa"/>
            <w:tcBorders>
              <w:top w:val="nil"/>
              <w:left w:val="nil"/>
              <w:bottom w:val="single" w:sz="4" w:space="0" w:color="000000"/>
              <w:right w:val="single" w:sz="4" w:space="0" w:color="000000"/>
            </w:tcBorders>
            <w:shd w:val="clear" w:color="000000" w:fill="F2F2F2"/>
            <w:noWrap/>
            <w:vAlign w:val="bottom"/>
            <w:hideMark/>
          </w:tcPr>
          <w:p w14:paraId="13D3333F"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09" w:type="dxa"/>
            <w:tcBorders>
              <w:top w:val="nil"/>
              <w:left w:val="nil"/>
              <w:bottom w:val="single" w:sz="4" w:space="0" w:color="000000"/>
              <w:right w:val="single" w:sz="4" w:space="0" w:color="000000"/>
            </w:tcBorders>
            <w:shd w:val="clear" w:color="000000" w:fill="F2F2F2"/>
            <w:noWrap/>
            <w:vAlign w:val="bottom"/>
            <w:hideMark/>
          </w:tcPr>
          <w:p w14:paraId="2861AD2A"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0,000</w:t>
            </w:r>
          </w:p>
        </w:tc>
        <w:tc>
          <w:tcPr>
            <w:tcW w:w="425" w:type="dxa"/>
            <w:tcBorders>
              <w:top w:val="nil"/>
              <w:left w:val="nil"/>
              <w:bottom w:val="single" w:sz="4" w:space="0" w:color="000000"/>
              <w:right w:val="single" w:sz="4" w:space="0" w:color="000000"/>
            </w:tcBorders>
            <w:shd w:val="clear" w:color="000000" w:fill="F2F2F2"/>
            <w:noWrap/>
            <w:vAlign w:val="bottom"/>
            <w:hideMark/>
          </w:tcPr>
          <w:p w14:paraId="463CDD5A"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2804AF4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7,500</w:t>
            </w:r>
          </w:p>
        </w:tc>
      </w:tr>
      <w:tr w:rsidR="00486288" w:rsidRPr="00195933" w14:paraId="22ABF8DD" w14:textId="77777777" w:rsidTr="00445C9D">
        <w:trPr>
          <w:trHeight w:val="300"/>
        </w:trPr>
        <w:tc>
          <w:tcPr>
            <w:tcW w:w="1884" w:type="dxa"/>
            <w:tcBorders>
              <w:top w:val="nil"/>
              <w:left w:val="single" w:sz="8" w:space="0" w:color="000000"/>
              <w:bottom w:val="single" w:sz="4" w:space="0" w:color="000000"/>
              <w:right w:val="nil"/>
            </w:tcBorders>
            <w:noWrap/>
            <w:vAlign w:val="bottom"/>
            <w:hideMark/>
          </w:tcPr>
          <w:p w14:paraId="5537D17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86" w:type="dxa"/>
            <w:tcBorders>
              <w:top w:val="nil"/>
              <w:left w:val="nil"/>
              <w:bottom w:val="single" w:sz="4" w:space="0" w:color="000000"/>
              <w:right w:val="nil"/>
            </w:tcBorders>
            <w:noWrap/>
            <w:vAlign w:val="bottom"/>
            <w:hideMark/>
          </w:tcPr>
          <w:p w14:paraId="596C2BD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nil"/>
            </w:tcBorders>
            <w:noWrap/>
            <w:vAlign w:val="bottom"/>
            <w:hideMark/>
          </w:tcPr>
          <w:p w14:paraId="25DB580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nil"/>
            </w:tcBorders>
            <w:noWrap/>
            <w:vAlign w:val="bottom"/>
            <w:hideMark/>
          </w:tcPr>
          <w:p w14:paraId="6ACD253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nil"/>
            </w:tcBorders>
            <w:noWrap/>
            <w:vAlign w:val="bottom"/>
            <w:hideMark/>
          </w:tcPr>
          <w:p w14:paraId="5B188D0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57E8649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nil"/>
            </w:tcBorders>
            <w:noWrap/>
            <w:vAlign w:val="bottom"/>
            <w:hideMark/>
          </w:tcPr>
          <w:p w14:paraId="0967130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5250B84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7DBB188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nil"/>
            </w:tcBorders>
            <w:noWrap/>
            <w:vAlign w:val="bottom"/>
            <w:hideMark/>
          </w:tcPr>
          <w:p w14:paraId="0DA8892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nil"/>
            </w:tcBorders>
            <w:noWrap/>
            <w:vAlign w:val="bottom"/>
            <w:hideMark/>
          </w:tcPr>
          <w:p w14:paraId="15A240C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0C9B370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399AFE9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nil"/>
            </w:tcBorders>
            <w:noWrap/>
            <w:vAlign w:val="bottom"/>
            <w:hideMark/>
          </w:tcPr>
          <w:p w14:paraId="0A264BD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nil"/>
            </w:tcBorders>
            <w:noWrap/>
            <w:vAlign w:val="bottom"/>
            <w:hideMark/>
          </w:tcPr>
          <w:p w14:paraId="7A382E2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nil"/>
            </w:tcBorders>
            <w:noWrap/>
            <w:vAlign w:val="bottom"/>
            <w:hideMark/>
          </w:tcPr>
          <w:p w14:paraId="5850619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nil"/>
            </w:tcBorders>
            <w:noWrap/>
            <w:vAlign w:val="bottom"/>
            <w:hideMark/>
          </w:tcPr>
          <w:p w14:paraId="1EBCD7C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nil"/>
            </w:tcBorders>
            <w:shd w:val="clear" w:color="000000" w:fill="F2F2F2"/>
            <w:noWrap/>
            <w:vAlign w:val="bottom"/>
            <w:hideMark/>
          </w:tcPr>
          <w:p w14:paraId="4DAE41FC" w14:textId="77777777" w:rsidR="00486288" w:rsidRPr="00195933" w:rsidRDefault="00486288" w:rsidP="00445C9D">
            <w:pPr>
              <w:spacing w:before="0" w:after="0"/>
              <w:jc w:val="left"/>
              <w:rPr>
                <w:rFonts w:eastAsia="Times New Roman"/>
                <w:b/>
                <w:bCs/>
                <w:noProof/>
                <w:color w:val="000000"/>
                <w:sz w:val="18"/>
                <w:szCs w:val="18"/>
                <w:lang w:val="en-IE" w:eastAsia="en-IE"/>
              </w:rPr>
            </w:pPr>
          </w:p>
        </w:tc>
        <w:tc>
          <w:tcPr>
            <w:tcW w:w="895" w:type="dxa"/>
            <w:tcBorders>
              <w:top w:val="nil"/>
              <w:left w:val="nil"/>
              <w:bottom w:val="single" w:sz="4" w:space="0" w:color="000000"/>
              <w:right w:val="nil"/>
            </w:tcBorders>
            <w:shd w:val="clear" w:color="000000" w:fill="F2F2F2"/>
            <w:noWrap/>
            <w:vAlign w:val="bottom"/>
            <w:hideMark/>
          </w:tcPr>
          <w:p w14:paraId="31263AD6" w14:textId="77777777" w:rsidR="00486288" w:rsidRPr="00195933" w:rsidRDefault="00486288" w:rsidP="00445C9D">
            <w:pPr>
              <w:spacing w:before="0" w:after="0"/>
              <w:jc w:val="left"/>
              <w:rPr>
                <w:rFonts w:eastAsia="Times New Roman"/>
                <w:b/>
                <w:bCs/>
                <w:noProof/>
                <w:color w:val="000000"/>
                <w:sz w:val="18"/>
                <w:szCs w:val="18"/>
                <w:lang w:val="en-IE" w:eastAsia="en-IE"/>
              </w:rPr>
            </w:pPr>
          </w:p>
        </w:tc>
      </w:tr>
      <w:tr w:rsidR="00486288" w:rsidRPr="00195933" w14:paraId="00EC98C1" w14:textId="77777777" w:rsidTr="00445C9D">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14:paraId="3A76F6F3"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SPECIFIC OBJECTIVE No 1.2.1 - carbon removal integration</w:t>
            </w:r>
          </w:p>
        </w:tc>
      </w:tr>
      <w:tr w:rsidR="00486288" w:rsidRPr="00195933" w14:paraId="35630CCE" w14:textId="77777777" w:rsidTr="00720B32">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0FACDABD"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Study for review in 2034</w:t>
            </w:r>
          </w:p>
        </w:tc>
        <w:tc>
          <w:tcPr>
            <w:tcW w:w="586" w:type="dxa"/>
            <w:tcBorders>
              <w:top w:val="nil"/>
              <w:left w:val="nil"/>
              <w:bottom w:val="single" w:sz="4" w:space="0" w:color="000000"/>
              <w:right w:val="single" w:sz="4" w:space="0" w:color="000000"/>
            </w:tcBorders>
            <w:noWrap/>
            <w:vAlign w:val="bottom"/>
          </w:tcPr>
          <w:p w14:paraId="7550481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tcPr>
          <w:p w14:paraId="23EAB85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7EAECE5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132E358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6EC71FF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tcPr>
          <w:p w14:paraId="6822A7A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148709B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1B8B721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4FA59FD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1FF11A9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F963B37"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1</w:t>
            </w:r>
          </w:p>
        </w:tc>
        <w:tc>
          <w:tcPr>
            <w:tcW w:w="698" w:type="dxa"/>
            <w:tcBorders>
              <w:top w:val="nil"/>
              <w:left w:val="nil"/>
              <w:bottom w:val="single" w:sz="4" w:space="0" w:color="000000"/>
              <w:right w:val="single" w:sz="4" w:space="0" w:color="000000"/>
            </w:tcBorders>
            <w:noWrap/>
            <w:vAlign w:val="bottom"/>
            <w:hideMark/>
          </w:tcPr>
          <w:p w14:paraId="416AB2CD"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355A4C3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6429FF5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3A34A88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1131542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2C76163D"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w:t>
            </w:r>
          </w:p>
        </w:tc>
        <w:tc>
          <w:tcPr>
            <w:tcW w:w="895" w:type="dxa"/>
            <w:tcBorders>
              <w:top w:val="nil"/>
              <w:left w:val="nil"/>
              <w:bottom w:val="single" w:sz="4" w:space="0" w:color="000000"/>
              <w:right w:val="single" w:sz="4" w:space="0" w:color="000000"/>
            </w:tcBorders>
            <w:shd w:val="clear" w:color="000000" w:fill="F2F2F2"/>
            <w:noWrap/>
            <w:vAlign w:val="bottom"/>
            <w:hideMark/>
          </w:tcPr>
          <w:p w14:paraId="493FF33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r>
      <w:tr w:rsidR="00486288" w:rsidRPr="00195933" w14:paraId="05F21255" w14:textId="77777777" w:rsidTr="00720B32">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33EF03AB"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Study for expansion to new removal types</w:t>
            </w:r>
          </w:p>
        </w:tc>
        <w:tc>
          <w:tcPr>
            <w:tcW w:w="586" w:type="dxa"/>
            <w:tcBorders>
              <w:top w:val="nil"/>
              <w:left w:val="nil"/>
              <w:bottom w:val="single" w:sz="4" w:space="0" w:color="000000"/>
              <w:right w:val="single" w:sz="4" w:space="0" w:color="000000"/>
            </w:tcBorders>
            <w:noWrap/>
            <w:vAlign w:val="bottom"/>
          </w:tcPr>
          <w:p w14:paraId="736C7FE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tcPr>
          <w:p w14:paraId="24729C8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5BEBAD1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7B5C91E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2956A53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tcPr>
          <w:p w14:paraId="7C0BDA8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6DCC7BA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58B0E8D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15E0A5D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6646217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2B7F74BB"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1</w:t>
            </w:r>
          </w:p>
        </w:tc>
        <w:tc>
          <w:tcPr>
            <w:tcW w:w="698" w:type="dxa"/>
            <w:tcBorders>
              <w:top w:val="nil"/>
              <w:left w:val="nil"/>
              <w:bottom w:val="single" w:sz="4" w:space="0" w:color="000000"/>
              <w:right w:val="single" w:sz="4" w:space="0" w:color="000000"/>
            </w:tcBorders>
            <w:noWrap/>
            <w:vAlign w:val="bottom"/>
            <w:hideMark/>
          </w:tcPr>
          <w:p w14:paraId="53ADE5E0"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5158A83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5139A6F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2BC6FD9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0BFA611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1F6C93A4"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w:t>
            </w:r>
          </w:p>
        </w:tc>
        <w:tc>
          <w:tcPr>
            <w:tcW w:w="895" w:type="dxa"/>
            <w:tcBorders>
              <w:top w:val="nil"/>
              <w:left w:val="nil"/>
              <w:bottom w:val="single" w:sz="4" w:space="0" w:color="000000"/>
              <w:right w:val="single" w:sz="4" w:space="0" w:color="000000"/>
            </w:tcBorders>
            <w:shd w:val="clear" w:color="000000" w:fill="F2F2F2"/>
            <w:noWrap/>
            <w:vAlign w:val="bottom"/>
            <w:hideMark/>
          </w:tcPr>
          <w:p w14:paraId="2368C8F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r>
      <w:tr w:rsidR="00486288" w:rsidRPr="00195933" w14:paraId="11AB92F7" w14:textId="77777777" w:rsidTr="00720B32">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32B60A9D"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Study for purchasing programme</w:t>
            </w:r>
          </w:p>
        </w:tc>
        <w:tc>
          <w:tcPr>
            <w:tcW w:w="586" w:type="dxa"/>
            <w:tcBorders>
              <w:top w:val="nil"/>
              <w:left w:val="nil"/>
              <w:bottom w:val="single" w:sz="4" w:space="0" w:color="000000"/>
              <w:right w:val="single" w:sz="4" w:space="0" w:color="000000"/>
            </w:tcBorders>
            <w:noWrap/>
            <w:vAlign w:val="bottom"/>
          </w:tcPr>
          <w:p w14:paraId="0CC20AA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tcPr>
          <w:p w14:paraId="0B200F9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6803336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5DD6DF1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173845F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tcPr>
          <w:p w14:paraId="64E04CA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0BE9603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131BC9C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2C18EE4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5379CD7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02CD415B"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1</w:t>
            </w:r>
          </w:p>
        </w:tc>
        <w:tc>
          <w:tcPr>
            <w:tcW w:w="698" w:type="dxa"/>
            <w:tcBorders>
              <w:top w:val="nil"/>
              <w:left w:val="nil"/>
              <w:bottom w:val="single" w:sz="4" w:space="0" w:color="000000"/>
              <w:right w:val="single" w:sz="4" w:space="0" w:color="000000"/>
            </w:tcBorders>
            <w:noWrap/>
            <w:vAlign w:val="bottom"/>
            <w:hideMark/>
          </w:tcPr>
          <w:p w14:paraId="1750E6B9"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15B0169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1F5E442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7E68EAE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1A0860E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4E79842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w:t>
            </w:r>
          </w:p>
        </w:tc>
        <w:tc>
          <w:tcPr>
            <w:tcW w:w="895" w:type="dxa"/>
            <w:tcBorders>
              <w:top w:val="nil"/>
              <w:left w:val="nil"/>
              <w:bottom w:val="single" w:sz="4" w:space="0" w:color="000000"/>
              <w:right w:val="single" w:sz="4" w:space="0" w:color="000000"/>
            </w:tcBorders>
            <w:shd w:val="clear" w:color="000000" w:fill="F2F2F2"/>
            <w:noWrap/>
            <w:vAlign w:val="bottom"/>
            <w:hideMark/>
          </w:tcPr>
          <w:p w14:paraId="26CFEC5E"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r>
      <w:tr w:rsidR="00486288" w:rsidRPr="00195933" w14:paraId="2F3E26AD" w14:textId="77777777" w:rsidTr="00720B32">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7E31C5C6"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Communication on calls to purchase removals</w:t>
            </w:r>
          </w:p>
        </w:tc>
        <w:tc>
          <w:tcPr>
            <w:tcW w:w="586" w:type="dxa"/>
            <w:tcBorders>
              <w:top w:val="nil"/>
              <w:left w:val="nil"/>
              <w:bottom w:val="single" w:sz="4" w:space="0" w:color="000000"/>
              <w:right w:val="single" w:sz="4" w:space="0" w:color="000000"/>
            </w:tcBorders>
            <w:noWrap/>
            <w:vAlign w:val="bottom"/>
          </w:tcPr>
          <w:p w14:paraId="567D380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tcPr>
          <w:p w14:paraId="1CDB9BE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2FF865E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6769195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45FF009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tcPr>
          <w:p w14:paraId="62C5973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5146D8F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25FE809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2F97897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6381F3B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0B70CBD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0148CEB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612E697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4C90DC2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6C5B05B5"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1</w:t>
            </w:r>
          </w:p>
        </w:tc>
        <w:tc>
          <w:tcPr>
            <w:tcW w:w="709" w:type="dxa"/>
            <w:tcBorders>
              <w:top w:val="nil"/>
              <w:left w:val="nil"/>
              <w:bottom w:val="single" w:sz="4" w:space="0" w:color="000000"/>
              <w:right w:val="single" w:sz="4" w:space="0" w:color="000000"/>
            </w:tcBorders>
            <w:noWrap/>
            <w:vAlign w:val="bottom"/>
            <w:hideMark/>
          </w:tcPr>
          <w:p w14:paraId="7AF6D168"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0,200</w:t>
            </w:r>
          </w:p>
        </w:tc>
        <w:tc>
          <w:tcPr>
            <w:tcW w:w="425" w:type="dxa"/>
            <w:tcBorders>
              <w:top w:val="nil"/>
              <w:left w:val="nil"/>
              <w:bottom w:val="single" w:sz="4" w:space="0" w:color="000000"/>
              <w:right w:val="single" w:sz="4" w:space="0" w:color="000000"/>
            </w:tcBorders>
            <w:shd w:val="clear" w:color="000000" w:fill="F2F2F2"/>
            <w:noWrap/>
            <w:vAlign w:val="bottom"/>
            <w:hideMark/>
          </w:tcPr>
          <w:p w14:paraId="69CC8F4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w:t>
            </w:r>
          </w:p>
        </w:tc>
        <w:tc>
          <w:tcPr>
            <w:tcW w:w="895" w:type="dxa"/>
            <w:tcBorders>
              <w:top w:val="nil"/>
              <w:left w:val="nil"/>
              <w:bottom w:val="single" w:sz="4" w:space="0" w:color="000000"/>
              <w:right w:val="single" w:sz="4" w:space="0" w:color="000000"/>
            </w:tcBorders>
            <w:shd w:val="clear" w:color="000000" w:fill="F2F2F2"/>
            <w:noWrap/>
            <w:vAlign w:val="bottom"/>
            <w:hideMark/>
          </w:tcPr>
          <w:p w14:paraId="67A13A1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0,200</w:t>
            </w:r>
          </w:p>
        </w:tc>
      </w:tr>
      <w:tr w:rsidR="00486288" w:rsidRPr="00195933" w14:paraId="373F2BC4" w14:textId="77777777" w:rsidTr="00720B32">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7E5E75AA"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Implementation of purchasing programme</w:t>
            </w:r>
          </w:p>
        </w:tc>
        <w:tc>
          <w:tcPr>
            <w:tcW w:w="586" w:type="dxa"/>
            <w:tcBorders>
              <w:top w:val="nil"/>
              <w:left w:val="nil"/>
              <w:bottom w:val="single" w:sz="4" w:space="0" w:color="000000"/>
              <w:right w:val="single" w:sz="4" w:space="0" w:color="000000"/>
            </w:tcBorders>
            <w:noWrap/>
            <w:vAlign w:val="bottom"/>
          </w:tcPr>
          <w:p w14:paraId="08D4EB2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tcPr>
          <w:p w14:paraId="6B4DFC5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29D5EF1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0F4237C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7A62686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tcPr>
          <w:p w14:paraId="2C4CA14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12D3AA2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5D33B56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23C3B18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257D36F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FB390A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6C14377"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2F45FC2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2AE84349"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0,200</w:t>
            </w:r>
          </w:p>
        </w:tc>
        <w:tc>
          <w:tcPr>
            <w:tcW w:w="752" w:type="dxa"/>
            <w:tcBorders>
              <w:top w:val="nil"/>
              <w:left w:val="nil"/>
              <w:bottom w:val="single" w:sz="4" w:space="0" w:color="000000"/>
              <w:right w:val="single" w:sz="4" w:space="0" w:color="000000"/>
            </w:tcBorders>
            <w:noWrap/>
            <w:vAlign w:val="bottom"/>
            <w:hideMark/>
          </w:tcPr>
          <w:p w14:paraId="2B6A017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1CC60F30"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0,200</w:t>
            </w:r>
          </w:p>
        </w:tc>
        <w:tc>
          <w:tcPr>
            <w:tcW w:w="425" w:type="dxa"/>
            <w:tcBorders>
              <w:top w:val="nil"/>
              <w:left w:val="nil"/>
              <w:bottom w:val="single" w:sz="4" w:space="0" w:color="000000"/>
              <w:right w:val="single" w:sz="4" w:space="0" w:color="000000"/>
            </w:tcBorders>
            <w:shd w:val="clear" w:color="000000" w:fill="F2F2F2"/>
            <w:noWrap/>
            <w:vAlign w:val="bottom"/>
            <w:hideMark/>
          </w:tcPr>
          <w:p w14:paraId="754174AF"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6B264C04"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0,900</w:t>
            </w:r>
          </w:p>
        </w:tc>
      </w:tr>
      <w:tr w:rsidR="00486288" w:rsidRPr="00195933" w14:paraId="43AE0739" w14:textId="77777777" w:rsidTr="00720B32">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0D7ED0DA"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Auction preparation (Common Auction Platform)</w:t>
            </w:r>
          </w:p>
        </w:tc>
        <w:tc>
          <w:tcPr>
            <w:tcW w:w="586" w:type="dxa"/>
            <w:tcBorders>
              <w:top w:val="nil"/>
              <w:left w:val="nil"/>
              <w:bottom w:val="single" w:sz="4" w:space="0" w:color="000000"/>
              <w:right w:val="single" w:sz="4" w:space="0" w:color="000000"/>
            </w:tcBorders>
            <w:noWrap/>
            <w:vAlign w:val="bottom"/>
          </w:tcPr>
          <w:p w14:paraId="551EFC1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tcPr>
          <w:p w14:paraId="20B9970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0AE2F85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405E594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7E92F42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tcPr>
          <w:p w14:paraId="66AE027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3CA272C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tcPr>
          <w:p w14:paraId="3F199E9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tcPr>
          <w:p w14:paraId="54E7164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tcPr>
          <w:p w14:paraId="404F47F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C8886D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CAA34E8"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0,200</w:t>
            </w:r>
          </w:p>
        </w:tc>
        <w:tc>
          <w:tcPr>
            <w:tcW w:w="698" w:type="dxa"/>
            <w:tcBorders>
              <w:top w:val="nil"/>
              <w:left w:val="nil"/>
              <w:bottom w:val="single" w:sz="4" w:space="0" w:color="000000"/>
              <w:right w:val="single" w:sz="4" w:space="0" w:color="000000"/>
            </w:tcBorders>
            <w:noWrap/>
            <w:vAlign w:val="bottom"/>
            <w:hideMark/>
          </w:tcPr>
          <w:p w14:paraId="08BC8EB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44BB9B35"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752" w:type="dxa"/>
            <w:tcBorders>
              <w:top w:val="nil"/>
              <w:left w:val="nil"/>
              <w:bottom w:val="single" w:sz="4" w:space="0" w:color="000000"/>
              <w:right w:val="single" w:sz="4" w:space="0" w:color="000000"/>
            </w:tcBorders>
            <w:noWrap/>
            <w:vAlign w:val="bottom"/>
            <w:hideMark/>
          </w:tcPr>
          <w:p w14:paraId="6C3E17D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2525A046"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425" w:type="dxa"/>
            <w:tcBorders>
              <w:top w:val="nil"/>
              <w:left w:val="nil"/>
              <w:bottom w:val="single" w:sz="4" w:space="0" w:color="000000"/>
              <w:right w:val="single" w:sz="4" w:space="0" w:color="000000"/>
            </w:tcBorders>
            <w:shd w:val="clear" w:color="000000" w:fill="F2F2F2"/>
            <w:noWrap/>
            <w:vAlign w:val="bottom"/>
            <w:hideMark/>
          </w:tcPr>
          <w:p w14:paraId="2F82590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369D17FD"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0,400</w:t>
            </w:r>
          </w:p>
        </w:tc>
      </w:tr>
      <w:tr w:rsidR="00486288" w:rsidRPr="00195933" w14:paraId="0D2B6011"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0657E609"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Registry changes (internal marking of allowances)</w:t>
            </w:r>
          </w:p>
        </w:tc>
        <w:tc>
          <w:tcPr>
            <w:tcW w:w="586" w:type="dxa"/>
            <w:tcBorders>
              <w:top w:val="nil"/>
              <w:left w:val="nil"/>
              <w:bottom w:val="single" w:sz="4" w:space="0" w:color="000000"/>
              <w:right w:val="single" w:sz="4" w:space="0" w:color="000000"/>
            </w:tcBorders>
            <w:noWrap/>
            <w:vAlign w:val="bottom"/>
            <w:hideMark/>
          </w:tcPr>
          <w:p w14:paraId="75208FF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7D3F75A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06927FB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3D3B1BF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1FAC0C2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265AE39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07DA3D9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A79E85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11D2BEE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5CF1617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33577D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25422F05"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0,200</w:t>
            </w:r>
          </w:p>
        </w:tc>
        <w:tc>
          <w:tcPr>
            <w:tcW w:w="698" w:type="dxa"/>
            <w:tcBorders>
              <w:top w:val="nil"/>
              <w:left w:val="nil"/>
              <w:bottom w:val="single" w:sz="4" w:space="0" w:color="000000"/>
              <w:right w:val="single" w:sz="4" w:space="0" w:color="000000"/>
            </w:tcBorders>
            <w:noWrap/>
            <w:vAlign w:val="bottom"/>
            <w:hideMark/>
          </w:tcPr>
          <w:p w14:paraId="77129F1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206E321D"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752" w:type="dxa"/>
            <w:tcBorders>
              <w:top w:val="nil"/>
              <w:left w:val="nil"/>
              <w:bottom w:val="single" w:sz="4" w:space="0" w:color="000000"/>
              <w:right w:val="single" w:sz="4" w:space="0" w:color="000000"/>
            </w:tcBorders>
            <w:noWrap/>
            <w:vAlign w:val="bottom"/>
            <w:hideMark/>
          </w:tcPr>
          <w:p w14:paraId="3E8546A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19F4060E"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425" w:type="dxa"/>
            <w:tcBorders>
              <w:top w:val="nil"/>
              <w:left w:val="nil"/>
              <w:bottom w:val="single" w:sz="4" w:space="0" w:color="000000"/>
              <w:right w:val="single" w:sz="4" w:space="0" w:color="000000"/>
            </w:tcBorders>
            <w:shd w:val="clear" w:color="000000" w:fill="F2F2F2"/>
            <w:noWrap/>
            <w:vAlign w:val="bottom"/>
            <w:hideMark/>
          </w:tcPr>
          <w:p w14:paraId="4198FFF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25A02EAD"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0,400</w:t>
            </w:r>
          </w:p>
        </w:tc>
      </w:tr>
      <w:tr w:rsidR="00486288" w:rsidRPr="00195933" w14:paraId="7EABDBBA"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54112F03"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CRCF registry: cancellation of credits</w:t>
            </w:r>
          </w:p>
        </w:tc>
        <w:tc>
          <w:tcPr>
            <w:tcW w:w="586" w:type="dxa"/>
            <w:tcBorders>
              <w:top w:val="nil"/>
              <w:left w:val="nil"/>
              <w:bottom w:val="single" w:sz="4" w:space="0" w:color="000000"/>
              <w:right w:val="single" w:sz="4" w:space="0" w:color="000000"/>
            </w:tcBorders>
            <w:noWrap/>
            <w:vAlign w:val="bottom"/>
            <w:hideMark/>
          </w:tcPr>
          <w:p w14:paraId="324560D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2AA07D9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69FE8B6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6537CDA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28DA7A6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6097AF3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629C85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BF7990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64B5AEA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28FB11A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2E1996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63C6B472"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0,200</w:t>
            </w:r>
          </w:p>
        </w:tc>
        <w:tc>
          <w:tcPr>
            <w:tcW w:w="698" w:type="dxa"/>
            <w:tcBorders>
              <w:top w:val="nil"/>
              <w:left w:val="nil"/>
              <w:bottom w:val="single" w:sz="4" w:space="0" w:color="000000"/>
              <w:right w:val="single" w:sz="4" w:space="0" w:color="000000"/>
            </w:tcBorders>
            <w:noWrap/>
            <w:vAlign w:val="bottom"/>
            <w:hideMark/>
          </w:tcPr>
          <w:p w14:paraId="590563D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3ED2F9B4"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752" w:type="dxa"/>
            <w:tcBorders>
              <w:top w:val="nil"/>
              <w:left w:val="nil"/>
              <w:bottom w:val="single" w:sz="4" w:space="0" w:color="000000"/>
              <w:right w:val="single" w:sz="4" w:space="0" w:color="000000"/>
            </w:tcBorders>
            <w:noWrap/>
            <w:vAlign w:val="bottom"/>
            <w:hideMark/>
          </w:tcPr>
          <w:p w14:paraId="3EC251B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3FC6E0AE"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425" w:type="dxa"/>
            <w:tcBorders>
              <w:top w:val="nil"/>
              <w:left w:val="nil"/>
              <w:bottom w:val="single" w:sz="4" w:space="0" w:color="000000"/>
              <w:right w:val="single" w:sz="4" w:space="0" w:color="000000"/>
            </w:tcBorders>
            <w:shd w:val="clear" w:color="000000" w:fill="F2F2F2"/>
            <w:noWrap/>
            <w:vAlign w:val="bottom"/>
            <w:hideMark/>
          </w:tcPr>
          <w:p w14:paraId="4BA65A5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47E38681"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0,400</w:t>
            </w:r>
          </w:p>
        </w:tc>
      </w:tr>
      <w:tr w:rsidR="006B0541" w:rsidRPr="00195933" w14:paraId="3F70C2FF" w14:textId="77777777" w:rsidTr="00445C9D">
        <w:trPr>
          <w:trHeight w:val="300"/>
        </w:trPr>
        <w:tc>
          <w:tcPr>
            <w:tcW w:w="3296" w:type="dxa"/>
            <w:gridSpan w:val="3"/>
            <w:tcBorders>
              <w:top w:val="single" w:sz="4" w:space="0" w:color="000000"/>
              <w:left w:val="single" w:sz="8" w:space="0" w:color="000000"/>
              <w:bottom w:val="single" w:sz="4" w:space="0" w:color="000000"/>
              <w:right w:val="single" w:sz="4" w:space="0" w:color="000000"/>
            </w:tcBorders>
            <w:noWrap/>
            <w:vAlign w:val="bottom"/>
            <w:hideMark/>
          </w:tcPr>
          <w:p w14:paraId="221958BF"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Subtotal for specific objective No 1.2.1</w:t>
            </w:r>
          </w:p>
        </w:tc>
        <w:tc>
          <w:tcPr>
            <w:tcW w:w="546" w:type="dxa"/>
            <w:tcBorders>
              <w:top w:val="nil"/>
              <w:left w:val="nil"/>
              <w:bottom w:val="single" w:sz="4" w:space="0" w:color="000000"/>
              <w:right w:val="single" w:sz="4" w:space="0" w:color="000000"/>
            </w:tcBorders>
            <w:shd w:val="clear" w:color="000000" w:fill="F2F2F2"/>
            <w:noWrap/>
            <w:vAlign w:val="bottom"/>
            <w:hideMark/>
          </w:tcPr>
          <w:p w14:paraId="416E59B3"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37" w:type="dxa"/>
            <w:tcBorders>
              <w:top w:val="nil"/>
              <w:left w:val="nil"/>
              <w:bottom w:val="single" w:sz="4" w:space="0" w:color="000000"/>
              <w:right w:val="single" w:sz="4" w:space="0" w:color="000000"/>
            </w:tcBorders>
            <w:shd w:val="clear" w:color="000000" w:fill="F2F2F2"/>
            <w:noWrap/>
            <w:vAlign w:val="bottom"/>
            <w:hideMark/>
          </w:tcPr>
          <w:p w14:paraId="4173F85A"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0,000</w:t>
            </w:r>
          </w:p>
        </w:tc>
        <w:tc>
          <w:tcPr>
            <w:tcW w:w="698" w:type="dxa"/>
            <w:tcBorders>
              <w:top w:val="nil"/>
              <w:left w:val="nil"/>
              <w:bottom w:val="single" w:sz="4" w:space="0" w:color="000000"/>
              <w:right w:val="single" w:sz="4" w:space="0" w:color="000000"/>
            </w:tcBorders>
            <w:shd w:val="clear" w:color="000000" w:fill="F2F2F2"/>
            <w:noWrap/>
            <w:vAlign w:val="bottom"/>
            <w:hideMark/>
          </w:tcPr>
          <w:p w14:paraId="190B63BF"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53" w:type="dxa"/>
            <w:tcBorders>
              <w:top w:val="nil"/>
              <w:left w:val="nil"/>
              <w:bottom w:val="single" w:sz="4" w:space="0" w:color="000000"/>
              <w:right w:val="single" w:sz="4" w:space="0" w:color="000000"/>
            </w:tcBorders>
            <w:shd w:val="clear" w:color="000000" w:fill="F2F2F2"/>
            <w:noWrap/>
            <w:vAlign w:val="bottom"/>
            <w:hideMark/>
          </w:tcPr>
          <w:p w14:paraId="64FE621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0,000</w:t>
            </w:r>
          </w:p>
        </w:tc>
        <w:tc>
          <w:tcPr>
            <w:tcW w:w="698" w:type="dxa"/>
            <w:tcBorders>
              <w:top w:val="nil"/>
              <w:left w:val="nil"/>
              <w:bottom w:val="single" w:sz="4" w:space="0" w:color="000000"/>
              <w:right w:val="single" w:sz="4" w:space="0" w:color="000000"/>
            </w:tcBorders>
            <w:shd w:val="clear" w:color="000000" w:fill="F2F2F2"/>
            <w:noWrap/>
            <w:vAlign w:val="bottom"/>
            <w:hideMark/>
          </w:tcPr>
          <w:p w14:paraId="0E04EB3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698" w:type="dxa"/>
            <w:tcBorders>
              <w:top w:val="nil"/>
              <w:left w:val="nil"/>
              <w:bottom w:val="single" w:sz="4" w:space="0" w:color="000000"/>
              <w:right w:val="single" w:sz="4" w:space="0" w:color="000000"/>
            </w:tcBorders>
            <w:shd w:val="clear" w:color="000000" w:fill="F2F2F2"/>
            <w:noWrap/>
            <w:vAlign w:val="bottom"/>
            <w:hideMark/>
          </w:tcPr>
          <w:p w14:paraId="6DBF4F13"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0,000</w:t>
            </w:r>
          </w:p>
        </w:tc>
        <w:tc>
          <w:tcPr>
            <w:tcW w:w="546" w:type="dxa"/>
            <w:tcBorders>
              <w:top w:val="nil"/>
              <w:left w:val="nil"/>
              <w:bottom w:val="single" w:sz="4" w:space="0" w:color="000000"/>
              <w:right w:val="single" w:sz="4" w:space="0" w:color="000000"/>
            </w:tcBorders>
            <w:shd w:val="clear" w:color="000000" w:fill="F2F2F2"/>
            <w:noWrap/>
            <w:vAlign w:val="bottom"/>
            <w:hideMark/>
          </w:tcPr>
          <w:p w14:paraId="5F49866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37" w:type="dxa"/>
            <w:tcBorders>
              <w:top w:val="nil"/>
              <w:left w:val="nil"/>
              <w:bottom w:val="single" w:sz="4" w:space="0" w:color="000000"/>
              <w:right w:val="single" w:sz="4" w:space="0" w:color="000000"/>
            </w:tcBorders>
            <w:shd w:val="clear" w:color="000000" w:fill="F2F2F2"/>
            <w:noWrap/>
            <w:vAlign w:val="bottom"/>
            <w:hideMark/>
          </w:tcPr>
          <w:p w14:paraId="22B64363"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0,000</w:t>
            </w:r>
          </w:p>
        </w:tc>
        <w:tc>
          <w:tcPr>
            <w:tcW w:w="698" w:type="dxa"/>
            <w:tcBorders>
              <w:top w:val="nil"/>
              <w:left w:val="nil"/>
              <w:bottom w:val="single" w:sz="4" w:space="0" w:color="000000"/>
              <w:right w:val="single" w:sz="4" w:space="0" w:color="000000"/>
            </w:tcBorders>
            <w:shd w:val="clear" w:color="000000" w:fill="F2F2F2"/>
            <w:noWrap/>
            <w:vAlign w:val="bottom"/>
            <w:hideMark/>
          </w:tcPr>
          <w:p w14:paraId="4543ED41"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3</w:t>
            </w:r>
          </w:p>
        </w:tc>
        <w:tc>
          <w:tcPr>
            <w:tcW w:w="698" w:type="dxa"/>
            <w:tcBorders>
              <w:top w:val="nil"/>
              <w:left w:val="nil"/>
              <w:bottom w:val="single" w:sz="4" w:space="0" w:color="000000"/>
              <w:right w:val="single" w:sz="4" w:space="0" w:color="000000"/>
            </w:tcBorders>
            <w:shd w:val="clear" w:color="000000" w:fill="F2F2F2"/>
            <w:noWrap/>
            <w:vAlign w:val="bottom"/>
            <w:hideMark/>
          </w:tcPr>
          <w:p w14:paraId="59F1AA9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2,600</w:t>
            </w:r>
          </w:p>
        </w:tc>
        <w:tc>
          <w:tcPr>
            <w:tcW w:w="698" w:type="dxa"/>
            <w:tcBorders>
              <w:top w:val="nil"/>
              <w:left w:val="nil"/>
              <w:bottom w:val="single" w:sz="4" w:space="0" w:color="000000"/>
              <w:right w:val="single" w:sz="4" w:space="0" w:color="000000"/>
            </w:tcBorders>
            <w:shd w:val="clear" w:color="000000" w:fill="F2F2F2"/>
            <w:noWrap/>
            <w:vAlign w:val="bottom"/>
            <w:hideMark/>
          </w:tcPr>
          <w:p w14:paraId="272AEDE7"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09" w:type="dxa"/>
            <w:tcBorders>
              <w:top w:val="nil"/>
              <w:left w:val="nil"/>
              <w:bottom w:val="single" w:sz="4" w:space="0" w:color="000000"/>
              <w:right w:val="single" w:sz="4" w:space="0" w:color="000000"/>
            </w:tcBorders>
            <w:shd w:val="clear" w:color="000000" w:fill="F2F2F2"/>
            <w:noWrap/>
            <w:vAlign w:val="bottom"/>
            <w:hideMark/>
          </w:tcPr>
          <w:p w14:paraId="34F5787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c>
          <w:tcPr>
            <w:tcW w:w="752" w:type="dxa"/>
            <w:tcBorders>
              <w:top w:val="nil"/>
              <w:left w:val="nil"/>
              <w:bottom w:val="single" w:sz="4" w:space="0" w:color="000000"/>
              <w:right w:val="single" w:sz="4" w:space="0" w:color="000000"/>
            </w:tcBorders>
            <w:shd w:val="clear" w:color="000000" w:fill="F2F2F2"/>
            <w:noWrap/>
            <w:vAlign w:val="bottom"/>
            <w:hideMark/>
          </w:tcPr>
          <w:p w14:paraId="481BDE0D"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w:t>
            </w:r>
          </w:p>
        </w:tc>
        <w:tc>
          <w:tcPr>
            <w:tcW w:w="709" w:type="dxa"/>
            <w:tcBorders>
              <w:top w:val="nil"/>
              <w:left w:val="nil"/>
              <w:bottom w:val="single" w:sz="4" w:space="0" w:color="000000"/>
              <w:right w:val="single" w:sz="4" w:space="0" w:color="000000"/>
            </w:tcBorders>
            <w:shd w:val="clear" w:color="000000" w:fill="F2F2F2"/>
            <w:noWrap/>
            <w:vAlign w:val="bottom"/>
            <w:hideMark/>
          </w:tcPr>
          <w:p w14:paraId="70226A9E"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0,700</w:t>
            </w:r>
          </w:p>
        </w:tc>
        <w:tc>
          <w:tcPr>
            <w:tcW w:w="425" w:type="dxa"/>
            <w:tcBorders>
              <w:top w:val="nil"/>
              <w:left w:val="nil"/>
              <w:bottom w:val="single" w:sz="4" w:space="0" w:color="000000"/>
              <w:right w:val="single" w:sz="4" w:space="0" w:color="000000"/>
            </w:tcBorders>
            <w:shd w:val="clear" w:color="000000" w:fill="F2F2F2"/>
            <w:noWrap/>
            <w:vAlign w:val="bottom"/>
            <w:hideMark/>
          </w:tcPr>
          <w:p w14:paraId="73611DB1"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4</w:t>
            </w:r>
          </w:p>
        </w:tc>
        <w:tc>
          <w:tcPr>
            <w:tcW w:w="895" w:type="dxa"/>
            <w:tcBorders>
              <w:top w:val="nil"/>
              <w:left w:val="nil"/>
              <w:bottom w:val="single" w:sz="4" w:space="0" w:color="000000"/>
              <w:right w:val="single" w:sz="4" w:space="0" w:color="000000"/>
            </w:tcBorders>
            <w:shd w:val="clear" w:color="000000" w:fill="F2F2F2"/>
            <w:noWrap/>
            <w:vAlign w:val="bottom"/>
            <w:hideMark/>
          </w:tcPr>
          <w:p w14:paraId="6FBCF786"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3,800</w:t>
            </w:r>
          </w:p>
        </w:tc>
      </w:tr>
      <w:tr w:rsidR="00486288" w:rsidRPr="00195933" w14:paraId="5A1140FF"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63F5791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86" w:type="dxa"/>
            <w:tcBorders>
              <w:top w:val="nil"/>
              <w:left w:val="nil"/>
              <w:bottom w:val="single" w:sz="4" w:space="0" w:color="000000"/>
              <w:right w:val="single" w:sz="4" w:space="0" w:color="000000"/>
            </w:tcBorders>
            <w:noWrap/>
            <w:vAlign w:val="bottom"/>
            <w:hideMark/>
          </w:tcPr>
          <w:p w14:paraId="5B3359F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5C10620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7B8D90F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00FE44B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59E1DB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0DE76A3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01E1EE9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38BA67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2F7E349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17B4846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0347834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69845FA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1655BB1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71F67DA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183E460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281171C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4045D294" w14:textId="77777777" w:rsidR="00486288" w:rsidRPr="00195933" w:rsidRDefault="00486288" w:rsidP="00445C9D">
            <w:pPr>
              <w:spacing w:before="0" w:after="0"/>
              <w:jc w:val="left"/>
              <w:rPr>
                <w:rFonts w:eastAsia="Times New Roman"/>
                <w:b/>
                <w:bCs/>
                <w:noProof/>
                <w:color w:val="000000"/>
                <w:sz w:val="18"/>
                <w:szCs w:val="18"/>
                <w:lang w:val="en-IE" w:eastAsia="en-IE"/>
              </w:rPr>
            </w:pPr>
          </w:p>
        </w:tc>
        <w:tc>
          <w:tcPr>
            <w:tcW w:w="895" w:type="dxa"/>
            <w:tcBorders>
              <w:top w:val="nil"/>
              <w:left w:val="nil"/>
              <w:bottom w:val="single" w:sz="4" w:space="0" w:color="000000"/>
              <w:right w:val="single" w:sz="4" w:space="0" w:color="000000"/>
            </w:tcBorders>
            <w:shd w:val="clear" w:color="000000" w:fill="F2F2F2"/>
            <w:noWrap/>
            <w:vAlign w:val="bottom"/>
            <w:hideMark/>
          </w:tcPr>
          <w:p w14:paraId="51AC4CF5" w14:textId="77777777" w:rsidR="00486288" w:rsidRPr="00195933" w:rsidRDefault="00486288" w:rsidP="00445C9D">
            <w:pPr>
              <w:spacing w:before="0" w:after="0"/>
              <w:jc w:val="left"/>
              <w:rPr>
                <w:rFonts w:eastAsia="Times New Roman"/>
                <w:b/>
                <w:bCs/>
                <w:noProof/>
                <w:color w:val="000000"/>
                <w:sz w:val="18"/>
                <w:szCs w:val="18"/>
                <w:lang w:val="en-IE" w:eastAsia="en-IE"/>
              </w:rPr>
            </w:pPr>
          </w:p>
        </w:tc>
      </w:tr>
      <w:tr w:rsidR="00486288" w:rsidRPr="00195933" w14:paraId="48917F0E" w14:textId="77777777" w:rsidTr="00445C9D">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14:paraId="62F7695A"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SPECIFIC OBJECTIVE No 1.3.1 - aviation</w:t>
            </w:r>
          </w:p>
        </w:tc>
      </w:tr>
      <w:tr w:rsidR="00486288" w:rsidRPr="00195933" w14:paraId="4C94A25D"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10C4225E"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update reporting template to reflect: increased geographic scope</w:t>
            </w:r>
          </w:p>
        </w:tc>
        <w:tc>
          <w:tcPr>
            <w:tcW w:w="586" w:type="dxa"/>
            <w:tcBorders>
              <w:top w:val="nil"/>
              <w:left w:val="nil"/>
              <w:bottom w:val="single" w:sz="4" w:space="0" w:color="000000"/>
              <w:right w:val="single" w:sz="4" w:space="0" w:color="000000"/>
            </w:tcBorders>
            <w:noWrap/>
            <w:vAlign w:val="bottom"/>
            <w:hideMark/>
          </w:tcPr>
          <w:p w14:paraId="4F67214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427566C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2CF5D2E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6DA83770"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698" w:type="dxa"/>
            <w:tcBorders>
              <w:top w:val="nil"/>
              <w:left w:val="nil"/>
              <w:bottom w:val="single" w:sz="4" w:space="0" w:color="000000"/>
              <w:right w:val="single" w:sz="4" w:space="0" w:color="000000"/>
            </w:tcBorders>
            <w:noWrap/>
            <w:vAlign w:val="bottom"/>
            <w:hideMark/>
          </w:tcPr>
          <w:p w14:paraId="6963AFE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305F5608"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698" w:type="dxa"/>
            <w:tcBorders>
              <w:top w:val="nil"/>
              <w:left w:val="nil"/>
              <w:bottom w:val="single" w:sz="4" w:space="0" w:color="000000"/>
              <w:right w:val="single" w:sz="4" w:space="0" w:color="000000"/>
            </w:tcBorders>
            <w:noWrap/>
            <w:vAlign w:val="bottom"/>
            <w:hideMark/>
          </w:tcPr>
          <w:p w14:paraId="54743E1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0A7E88EB"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546" w:type="dxa"/>
            <w:tcBorders>
              <w:top w:val="nil"/>
              <w:left w:val="nil"/>
              <w:bottom w:val="single" w:sz="4" w:space="0" w:color="000000"/>
              <w:right w:val="single" w:sz="4" w:space="0" w:color="000000"/>
            </w:tcBorders>
            <w:noWrap/>
            <w:vAlign w:val="bottom"/>
            <w:hideMark/>
          </w:tcPr>
          <w:p w14:paraId="3357585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38E3F71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1C8A004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53940A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071AAC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13B2181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32523AB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17A33F9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6CCB7E23"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55B2EF56"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0,300</w:t>
            </w:r>
          </w:p>
        </w:tc>
      </w:tr>
      <w:tr w:rsidR="00486288" w:rsidRPr="00195933" w14:paraId="50505335"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7D25A7BE"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update Eurocontrol small emitters tool (business jets)</w:t>
            </w:r>
          </w:p>
        </w:tc>
        <w:tc>
          <w:tcPr>
            <w:tcW w:w="586" w:type="dxa"/>
            <w:tcBorders>
              <w:top w:val="nil"/>
              <w:left w:val="nil"/>
              <w:bottom w:val="single" w:sz="4" w:space="0" w:color="000000"/>
              <w:right w:val="single" w:sz="4" w:space="0" w:color="000000"/>
            </w:tcBorders>
            <w:noWrap/>
            <w:vAlign w:val="bottom"/>
            <w:hideMark/>
          </w:tcPr>
          <w:p w14:paraId="28A11BB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47AFE58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420688C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0FB8F383"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698" w:type="dxa"/>
            <w:tcBorders>
              <w:top w:val="nil"/>
              <w:left w:val="nil"/>
              <w:bottom w:val="single" w:sz="4" w:space="0" w:color="000000"/>
              <w:right w:val="single" w:sz="4" w:space="0" w:color="000000"/>
            </w:tcBorders>
            <w:noWrap/>
            <w:vAlign w:val="bottom"/>
            <w:hideMark/>
          </w:tcPr>
          <w:p w14:paraId="4562A03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73A822BB"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698" w:type="dxa"/>
            <w:tcBorders>
              <w:top w:val="nil"/>
              <w:left w:val="nil"/>
              <w:bottom w:val="single" w:sz="4" w:space="0" w:color="000000"/>
              <w:right w:val="single" w:sz="4" w:space="0" w:color="000000"/>
            </w:tcBorders>
            <w:noWrap/>
            <w:vAlign w:val="bottom"/>
            <w:hideMark/>
          </w:tcPr>
          <w:p w14:paraId="1449633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E6FCB15"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546" w:type="dxa"/>
            <w:tcBorders>
              <w:top w:val="nil"/>
              <w:left w:val="nil"/>
              <w:bottom w:val="single" w:sz="4" w:space="0" w:color="000000"/>
              <w:right w:val="single" w:sz="4" w:space="0" w:color="000000"/>
            </w:tcBorders>
            <w:noWrap/>
            <w:vAlign w:val="bottom"/>
            <w:hideMark/>
          </w:tcPr>
          <w:p w14:paraId="01CED4E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76C94C9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238C5E6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B0E77A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5510FA2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0759F57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212A0E9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657EEAE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5106B2A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08FF96FE"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0,300</w:t>
            </w:r>
          </w:p>
        </w:tc>
      </w:tr>
      <w:tr w:rsidR="00486288" w:rsidRPr="00195933" w14:paraId="3E95BF94"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3494F64A"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update reporting template to reflect: SAF support</w:t>
            </w:r>
          </w:p>
        </w:tc>
        <w:tc>
          <w:tcPr>
            <w:tcW w:w="586" w:type="dxa"/>
            <w:tcBorders>
              <w:top w:val="nil"/>
              <w:left w:val="nil"/>
              <w:bottom w:val="single" w:sz="4" w:space="0" w:color="000000"/>
              <w:right w:val="single" w:sz="4" w:space="0" w:color="000000"/>
            </w:tcBorders>
            <w:noWrap/>
            <w:vAlign w:val="bottom"/>
            <w:hideMark/>
          </w:tcPr>
          <w:p w14:paraId="51B94D2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4CD1839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1CB2416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7D84B8F4"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698" w:type="dxa"/>
            <w:tcBorders>
              <w:top w:val="nil"/>
              <w:left w:val="nil"/>
              <w:bottom w:val="single" w:sz="4" w:space="0" w:color="000000"/>
              <w:right w:val="single" w:sz="4" w:space="0" w:color="000000"/>
            </w:tcBorders>
            <w:noWrap/>
            <w:vAlign w:val="bottom"/>
            <w:hideMark/>
          </w:tcPr>
          <w:p w14:paraId="67B857F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26143564"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698" w:type="dxa"/>
            <w:tcBorders>
              <w:top w:val="nil"/>
              <w:left w:val="nil"/>
              <w:bottom w:val="single" w:sz="4" w:space="0" w:color="000000"/>
              <w:right w:val="single" w:sz="4" w:space="0" w:color="000000"/>
            </w:tcBorders>
            <w:noWrap/>
            <w:vAlign w:val="bottom"/>
            <w:hideMark/>
          </w:tcPr>
          <w:p w14:paraId="705104C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6F325DFA"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546" w:type="dxa"/>
            <w:tcBorders>
              <w:top w:val="nil"/>
              <w:left w:val="nil"/>
              <w:bottom w:val="single" w:sz="4" w:space="0" w:color="000000"/>
              <w:right w:val="single" w:sz="4" w:space="0" w:color="000000"/>
            </w:tcBorders>
            <w:noWrap/>
            <w:vAlign w:val="bottom"/>
            <w:hideMark/>
          </w:tcPr>
          <w:p w14:paraId="7A4C257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564765B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0C15B23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7638DB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013FE71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0B90454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38BD8C6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5AC137A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4181FCF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32D2085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0,300</w:t>
            </w:r>
          </w:p>
        </w:tc>
      </w:tr>
      <w:tr w:rsidR="00486288" w:rsidRPr="00195933" w14:paraId="53C51CCD"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11E3546E"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support 3rd country GHG pricing</w:t>
            </w:r>
          </w:p>
        </w:tc>
        <w:tc>
          <w:tcPr>
            <w:tcW w:w="586" w:type="dxa"/>
            <w:tcBorders>
              <w:top w:val="nil"/>
              <w:left w:val="nil"/>
              <w:bottom w:val="single" w:sz="4" w:space="0" w:color="000000"/>
              <w:right w:val="single" w:sz="4" w:space="0" w:color="000000"/>
            </w:tcBorders>
            <w:noWrap/>
            <w:vAlign w:val="bottom"/>
            <w:hideMark/>
          </w:tcPr>
          <w:p w14:paraId="592AB44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56523FF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2C6BAC9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39C9AF05"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094C1E3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482F33AA"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55DDCFE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97CE3C0"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546" w:type="dxa"/>
            <w:tcBorders>
              <w:top w:val="nil"/>
              <w:left w:val="nil"/>
              <w:bottom w:val="single" w:sz="4" w:space="0" w:color="000000"/>
              <w:right w:val="single" w:sz="4" w:space="0" w:color="000000"/>
            </w:tcBorders>
            <w:noWrap/>
            <w:vAlign w:val="bottom"/>
            <w:hideMark/>
          </w:tcPr>
          <w:p w14:paraId="0739FDA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56C43B97"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412F06D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4265107"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0CFF5B1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3B56BAF4"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752" w:type="dxa"/>
            <w:tcBorders>
              <w:top w:val="nil"/>
              <w:left w:val="nil"/>
              <w:bottom w:val="single" w:sz="4" w:space="0" w:color="000000"/>
              <w:right w:val="single" w:sz="4" w:space="0" w:color="000000"/>
            </w:tcBorders>
            <w:noWrap/>
            <w:vAlign w:val="bottom"/>
            <w:hideMark/>
          </w:tcPr>
          <w:p w14:paraId="094EF99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35C8B166"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425" w:type="dxa"/>
            <w:tcBorders>
              <w:top w:val="nil"/>
              <w:left w:val="nil"/>
              <w:bottom w:val="single" w:sz="4" w:space="0" w:color="000000"/>
              <w:right w:val="single" w:sz="4" w:space="0" w:color="000000"/>
            </w:tcBorders>
            <w:shd w:val="clear" w:color="000000" w:fill="F2F2F2"/>
            <w:noWrap/>
            <w:vAlign w:val="bottom"/>
            <w:hideMark/>
          </w:tcPr>
          <w:p w14:paraId="6F4A76B6"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16B90A1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3,500</w:t>
            </w:r>
          </w:p>
        </w:tc>
      </w:tr>
      <w:tr w:rsidR="006B0541" w:rsidRPr="00195933" w14:paraId="5298F399" w14:textId="77777777" w:rsidTr="00445C9D">
        <w:trPr>
          <w:trHeight w:val="300"/>
        </w:trPr>
        <w:tc>
          <w:tcPr>
            <w:tcW w:w="3296" w:type="dxa"/>
            <w:gridSpan w:val="3"/>
            <w:tcBorders>
              <w:top w:val="single" w:sz="4" w:space="0" w:color="000000"/>
              <w:left w:val="single" w:sz="8" w:space="0" w:color="000000"/>
              <w:bottom w:val="single" w:sz="4" w:space="0" w:color="000000"/>
              <w:right w:val="single" w:sz="4" w:space="0" w:color="000000"/>
            </w:tcBorders>
            <w:noWrap/>
            <w:vAlign w:val="bottom"/>
            <w:hideMark/>
          </w:tcPr>
          <w:p w14:paraId="4BEEB565"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Subtotal for specific objective No 1.3.1</w:t>
            </w:r>
          </w:p>
        </w:tc>
        <w:tc>
          <w:tcPr>
            <w:tcW w:w="546" w:type="dxa"/>
            <w:tcBorders>
              <w:top w:val="nil"/>
              <w:left w:val="nil"/>
              <w:bottom w:val="single" w:sz="4" w:space="0" w:color="000000"/>
              <w:right w:val="single" w:sz="4" w:space="0" w:color="000000"/>
            </w:tcBorders>
            <w:shd w:val="clear" w:color="000000" w:fill="F2F2F2"/>
            <w:noWrap/>
            <w:vAlign w:val="bottom"/>
            <w:hideMark/>
          </w:tcPr>
          <w:p w14:paraId="1FB1C42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37" w:type="dxa"/>
            <w:tcBorders>
              <w:top w:val="nil"/>
              <w:left w:val="nil"/>
              <w:bottom w:val="single" w:sz="4" w:space="0" w:color="000000"/>
              <w:right w:val="single" w:sz="4" w:space="0" w:color="000000"/>
            </w:tcBorders>
            <w:shd w:val="clear" w:color="000000" w:fill="F2F2F2"/>
            <w:noWrap/>
            <w:vAlign w:val="bottom"/>
            <w:hideMark/>
          </w:tcPr>
          <w:p w14:paraId="01BDD0B4"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0,8</w:t>
            </w:r>
          </w:p>
        </w:tc>
        <w:tc>
          <w:tcPr>
            <w:tcW w:w="698" w:type="dxa"/>
            <w:tcBorders>
              <w:top w:val="nil"/>
              <w:left w:val="nil"/>
              <w:bottom w:val="single" w:sz="4" w:space="0" w:color="000000"/>
              <w:right w:val="single" w:sz="4" w:space="0" w:color="000000"/>
            </w:tcBorders>
            <w:shd w:val="clear" w:color="000000" w:fill="F2F2F2"/>
            <w:noWrap/>
            <w:vAlign w:val="bottom"/>
            <w:hideMark/>
          </w:tcPr>
          <w:p w14:paraId="69FC2B08"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53" w:type="dxa"/>
            <w:tcBorders>
              <w:top w:val="nil"/>
              <w:left w:val="nil"/>
              <w:bottom w:val="single" w:sz="4" w:space="0" w:color="000000"/>
              <w:right w:val="single" w:sz="4" w:space="0" w:color="000000"/>
            </w:tcBorders>
            <w:shd w:val="clear" w:color="000000" w:fill="F2F2F2"/>
            <w:noWrap/>
            <w:vAlign w:val="bottom"/>
            <w:hideMark/>
          </w:tcPr>
          <w:p w14:paraId="0A0BC11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0,8</w:t>
            </w:r>
          </w:p>
        </w:tc>
        <w:tc>
          <w:tcPr>
            <w:tcW w:w="698" w:type="dxa"/>
            <w:tcBorders>
              <w:top w:val="nil"/>
              <w:left w:val="nil"/>
              <w:bottom w:val="single" w:sz="4" w:space="0" w:color="000000"/>
              <w:right w:val="single" w:sz="4" w:space="0" w:color="000000"/>
            </w:tcBorders>
            <w:shd w:val="clear" w:color="000000" w:fill="F2F2F2"/>
            <w:noWrap/>
            <w:vAlign w:val="bottom"/>
            <w:hideMark/>
          </w:tcPr>
          <w:p w14:paraId="7FFBE233"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698" w:type="dxa"/>
            <w:tcBorders>
              <w:top w:val="nil"/>
              <w:left w:val="nil"/>
              <w:bottom w:val="single" w:sz="4" w:space="0" w:color="000000"/>
              <w:right w:val="single" w:sz="4" w:space="0" w:color="000000"/>
            </w:tcBorders>
            <w:shd w:val="clear" w:color="000000" w:fill="F2F2F2"/>
            <w:noWrap/>
            <w:vAlign w:val="bottom"/>
            <w:hideMark/>
          </w:tcPr>
          <w:p w14:paraId="7D21C3F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0,8</w:t>
            </w:r>
          </w:p>
        </w:tc>
        <w:tc>
          <w:tcPr>
            <w:tcW w:w="546" w:type="dxa"/>
            <w:tcBorders>
              <w:top w:val="nil"/>
              <w:left w:val="nil"/>
              <w:bottom w:val="single" w:sz="4" w:space="0" w:color="000000"/>
              <w:right w:val="single" w:sz="4" w:space="0" w:color="000000"/>
            </w:tcBorders>
            <w:shd w:val="clear" w:color="000000" w:fill="F2F2F2"/>
            <w:noWrap/>
            <w:vAlign w:val="bottom"/>
            <w:hideMark/>
          </w:tcPr>
          <w:p w14:paraId="136814A1"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37" w:type="dxa"/>
            <w:tcBorders>
              <w:top w:val="nil"/>
              <w:left w:val="nil"/>
              <w:bottom w:val="single" w:sz="4" w:space="0" w:color="000000"/>
              <w:right w:val="single" w:sz="4" w:space="0" w:color="000000"/>
            </w:tcBorders>
            <w:shd w:val="clear" w:color="000000" w:fill="F2F2F2"/>
            <w:noWrap/>
            <w:vAlign w:val="bottom"/>
            <w:hideMark/>
          </w:tcPr>
          <w:p w14:paraId="1AEC30FE"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w:t>
            </w:r>
          </w:p>
        </w:tc>
        <w:tc>
          <w:tcPr>
            <w:tcW w:w="698" w:type="dxa"/>
            <w:tcBorders>
              <w:top w:val="nil"/>
              <w:left w:val="nil"/>
              <w:bottom w:val="single" w:sz="4" w:space="0" w:color="000000"/>
              <w:right w:val="single" w:sz="4" w:space="0" w:color="000000"/>
            </w:tcBorders>
            <w:shd w:val="clear" w:color="000000" w:fill="F2F2F2"/>
            <w:noWrap/>
            <w:vAlign w:val="bottom"/>
            <w:hideMark/>
          </w:tcPr>
          <w:p w14:paraId="72204534"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698" w:type="dxa"/>
            <w:tcBorders>
              <w:top w:val="nil"/>
              <w:left w:val="nil"/>
              <w:bottom w:val="single" w:sz="4" w:space="0" w:color="000000"/>
              <w:right w:val="single" w:sz="4" w:space="0" w:color="000000"/>
            </w:tcBorders>
            <w:shd w:val="clear" w:color="000000" w:fill="F2F2F2"/>
            <w:noWrap/>
            <w:vAlign w:val="bottom"/>
            <w:hideMark/>
          </w:tcPr>
          <w:p w14:paraId="5B0BE04A"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w:t>
            </w:r>
          </w:p>
        </w:tc>
        <w:tc>
          <w:tcPr>
            <w:tcW w:w="698" w:type="dxa"/>
            <w:tcBorders>
              <w:top w:val="nil"/>
              <w:left w:val="nil"/>
              <w:bottom w:val="single" w:sz="4" w:space="0" w:color="000000"/>
              <w:right w:val="single" w:sz="4" w:space="0" w:color="000000"/>
            </w:tcBorders>
            <w:shd w:val="clear" w:color="000000" w:fill="F2F2F2"/>
            <w:noWrap/>
            <w:vAlign w:val="bottom"/>
            <w:hideMark/>
          </w:tcPr>
          <w:p w14:paraId="71A84F38"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09" w:type="dxa"/>
            <w:tcBorders>
              <w:top w:val="nil"/>
              <w:left w:val="nil"/>
              <w:bottom w:val="single" w:sz="4" w:space="0" w:color="000000"/>
              <w:right w:val="single" w:sz="4" w:space="0" w:color="000000"/>
            </w:tcBorders>
            <w:shd w:val="clear" w:color="000000" w:fill="F2F2F2"/>
            <w:noWrap/>
            <w:vAlign w:val="bottom"/>
            <w:hideMark/>
          </w:tcPr>
          <w:p w14:paraId="60F41D77"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w:t>
            </w:r>
          </w:p>
        </w:tc>
        <w:tc>
          <w:tcPr>
            <w:tcW w:w="752" w:type="dxa"/>
            <w:tcBorders>
              <w:top w:val="nil"/>
              <w:left w:val="nil"/>
              <w:bottom w:val="single" w:sz="4" w:space="0" w:color="000000"/>
              <w:right w:val="single" w:sz="4" w:space="0" w:color="000000"/>
            </w:tcBorders>
            <w:shd w:val="clear" w:color="000000" w:fill="F2F2F2"/>
            <w:noWrap/>
            <w:vAlign w:val="bottom"/>
            <w:hideMark/>
          </w:tcPr>
          <w:p w14:paraId="101B3D78"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09" w:type="dxa"/>
            <w:tcBorders>
              <w:top w:val="nil"/>
              <w:left w:val="nil"/>
              <w:bottom w:val="single" w:sz="4" w:space="0" w:color="000000"/>
              <w:right w:val="single" w:sz="4" w:space="0" w:color="000000"/>
            </w:tcBorders>
            <w:shd w:val="clear" w:color="000000" w:fill="F2F2F2"/>
            <w:noWrap/>
            <w:vAlign w:val="bottom"/>
            <w:hideMark/>
          </w:tcPr>
          <w:p w14:paraId="0011D2E7"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w:t>
            </w:r>
          </w:p>
        </w:tc>
        <w:tc>
          <w:tcPr>
            <w:tcW w:w="425" w:type="dxa"/>
            <w:tcBorders>
              <w:top w:val="nil"/>
              <w:left w:val="nil"/>
              <w:bottom w:val="single" w:sz="4" w:space="0" w:color="000000"/>
              <w:right w:val="single" w:sz="4" w:space="0" w:color="000000"/>
            </w:tcBorders>
            <w:shd w:val="clear" w:color="000000" w:fill="F2F2F2"/>
            <w:noWrap/>
            <w:vAlign w:val="bottom"/>
            <w:hideMark/>
          </w:tcPr>
          <w:p w14:paraId="46D4A522"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66CFF28D"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4,400</w:t>
            </w:r>
          </w:p>
        </w:tc>
      </w:tr>
      <w:tr w:rsidR="00486288" w:rsidRPr="00195933" w14:paraId="474A22E1"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50C60F6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86" w:type="dxa"/>
            <w:tcBorders>
              <w:top w:val="nil"/>
              <w:left w:val="nil"/>
              <w:bottom w:val="single" w:sz="4" w:space="0" w:color="000000"/>
              <w:right w:val="single" w:sz="4" w:space="0" w:color="000000"/>
            </w:tcBorders>
            <w:noWrap/>
            <w:vAlign w:val="bottom"/>
            <w:hideMark/>
          </w:tcPr>
          <w:p w14:paraId="5949753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7222FC3F"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4333F65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3B7E78BE"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DEAE4A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37525CB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6DBAC88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1AC58F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3BDD8E8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3DB20E5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2DBE62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919773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60FFDF1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531E21F0"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4608D0F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5B44CF2B"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79CC9D1A" w14:textId="77777777" w:rsidR="00486288" w:rsidRPr="00195933" w:rsidRDefault="00486288" w:rsidP="00445C9D">
            <w:pPr>
              <w:spacing w:before="0" w:after="0"/>
              <w:jc w:val="left"/>
              <w:rPr>
                <w:rFonts w:eastAsia="Times New Roman"/>
                <w:b/>
                <w:bCs/>
                <w:noProof/>
                <w:color w:val="000000"/>
                <w:sz w:val="18"/>
                <w:szCs w:val="18"/>
                <w:lang w:val="en-IE" w:eastAsia="en-IE"/>
              </w:rPr>
            </w:pPr>
          </w:p>
        </w:tc>
        <w:tc>
          <w:tcPr>
            <w:tcW w:w="895" w:type="dxa"/>
            <w:tcBorders>
              <w:top w:val="nil"/>
              <w:left w:val="nil"/>
              <w:bottom w:val="single" w:sz="4" w:space="0" w:color="000000"/>
              <w:right w:val="single" w:sz="4" w:space="0" w:color="000000"/>
            </w:tcBorders>
            <w:shd w:val="clear" w:color="000000" w:fill="F2F2F2"/>
            <w:noWrap/>
            <w:vAlign w:val="bottom"/>
            <w:hideMark/>
          </w:tcPr>
          <w:p w14:paraId="39B3F1A5" w14:textId="77777777" w:rsidR="00486288" w:rsidRPr="00195933" w:rsidRDefault="00486288" w:rsidP="00445C9D">
            <w:pPr>
              <w:spacing w:before="0" w:after="0"/>
              <w:jc w:val="left"/>
              <w:rPr>
                <w:rFonts w:eastAsia="Times New Roman"/>
                <w:b/>
                <w:bCs/>
                <w:noProof/>
                <w:color w:val="000000"/>
                <w:sz w:val="18"/>
                <w:szCs w:val="18"/>
                <w:lang w:val="en-IE" w:eastAsia="en-IE"/>
              </w:rPr>
            </w:pPr>
          </w:p>
        </w:tc>
      </w:tr>
      <w:tr w:rsidR="00486288" w:rsidRPr="00195933" w14:paraId="762786D7" w14:textId="77777777" w:rsidTr="00445C9D">
        <w:trPr>
          <w:trHeight w:val="300"/>
        </w:trPr>
        <w:tc>
          <w:tcPr>
            <w:tcW w:w="14493" w:type="dxa"/>
            <w:gridSpan w:val="19"/>
            <w:tcBorders>
              <w:top w:val="single" w:sz="4" w:space="0" w:color="000000"/>
              <w:left w:val="single" w:sz="8" w:space="0" w:color="000000"/>
              <w:bottom w:val="single" w:sz="4" w:space="0" w:color="000000"/>
              <w:right w:val="nil"/>
            </w:tcBorders>
            <w:noWrap/>
            <w:vAlign w:val="bottom"/>
            <w:hideMark/>
          </w:tcPr>
          <w:p w14:paraId="0228E6B6"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SPECIFIC OBJECTIVE No 1.3.2 - maritime</w:t>
            </w:r>
          </w:p>
        </w:tc>
      </w:tr>
      <w:tr w:rsidR="00486288" w:rsidRPr="00195933" w14:paraId="005A6460"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656CE52F"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Evasion risk (study, IT adaptations, real time monitoring)</w:t>
            </w:r>
          </w:p>
        </w:tc>
        <w:tc>
          <w:tcPr>
            <w:tcW w:w="586" w:type="dxa"/>
            <w:tcBorders>
              <w:top w:val="nil"/>
              <w:left w:val="nil"/>
              <w:bottom w:val="single" w:sz="4" w:space="0" w:color="000000"/>
              <w:right w:val="nil"/>
            </w:tcBorders>
            <w:noWrap/>
            <w:vAlign w:val="bottom"/>
            <w:hideMark/>
          </w:tcPr>
          <w:p w14:paraId="1DA12F6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nil"/>
            </w:tcBorders>
            <w:noWrap/>
            <w:vAlign w:val="bottom"/>
            <w:hideMark/>
          </w:tcPr>
          <w:p w14:paraId="4BA3D7B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nil"/>
            </w:tcBorders>
            <w:noWrap/>
            <w:vAlign w:val="bottom"/>
            <w:hideMark/>
          </w:tcPr>
          <w:p w14:paraId="6797266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single" w:sz="4" w:space="0" w:color="000000"/>
              <w:bottom w:val="single" w:sz="4" w:space="0" w:color="000000"/>
              <w:right w:val="single" w:sz="4" w:space="0" w:color="000000"/>
            </w:tcBorders>
            <w:noWrap/>
            <w:vAlign w:val="bottom"/>
            <w:hideMark/>
          </w:tcPr>
          <w:p w14:paraId="2CA9FE1D"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698" w:type="dxa"/>
            <w:tcBorders>
              <w:top w:val="nil"/>
              <w:left w:val="nil"/>
              <w:bottom w:val="single" w:sz="4" w:space="0" w:color="000000"/>
              <w:right w:val="single" w:sz="4" w:space="0" w:color="000000"/>
            </w:tcBorders>
            <w:noWrap/>
            <w:vAlign w:val="bottom"/>
            <w:hideMark/>
          </w:tcPr>
          <w:p w14:paraId="1086623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0E71F2D5"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698" w:type="dxa"/>
            <w:tcBorders>
              <w:top w:val="nil"/>
              <w:left w:val="nil"/>
              <w:bottom w:val="single" w:sz="4" w:space="0" w:color="000000"/>
              <w:right w:val="single" w:sz="4" w:space="0" w:color="000000"/>
            </w:tcBorders>
            <w:noWrap/>
            <w:vAlign w:val="bottom"/>
            <w:hideMark/>
          </w:tcPr>
          <w:p w14:paraId="447D809D"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1DBBD975"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546" w:type="dxa"/>
            <w:tcBorders>
              <w:top w:val="nil"/>
              <w:left w:val="nil"/>
              <w:bottom w:val="single" w:sz="4" w:space="0" w:color="000000"/>
              <w:right w:val="nil"/>
            </w:tcBorders>
            <w:noWrap/>
            <w:vAlign w:val="bottom"/>
            <w:hideMark/>
          </w:tcPr>
          <w:p w14:paraId="4A922FD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single" w:sz="4" w:space="0" w:color="000000"/>
              <w:bottom w:val="single" w:sz="4" w:space="0" w:color="000000"/>
              <w:right w:val="single" w:sz="4" w:space="0" w:color="000000"/>
            </w:tcBorders>
            <w:noWrap/>
            <w:vAlign w:val="bottom"/>
            <w:hideMark/>
          </w:tcPr>
          <w:p w14:paraId="65428992"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698" w:type="dxa"/>
            <w:tcBorders>
              <w:top w:val="nil"/>
              <w:left w:val="nil"/>
              <w:bottom w:val="single" w:sz="4" w:space="0" w:color="000000"/>
              <w:right w:val="single" w:sz="4" w:space="0" w:color="000000"/>
            </w:tcBorders>
            <w:noWrap/>
            <w:vAlign w:val="bottom"/>
            <w:hideMark/>
          </w:tcPr>
          <w:p w14:paraId="44A49BE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79FDBC0A"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698" w:type="dxa"/>
            <w:tcBorders>
              <w:top w:val="nil"/>
              <w:left w:val="nil"/>
              <w:bottom w:val="single" w:sz="4" w:space="0" w:color="000000"/>
              <w:right w:val="single" w:sz="4" w:space="0" w:color="000000"/>
            </w:tcBorders>
            <w:noWrap/>
            <w:vAlign w:val="bottom"/>
            <w:hideMark/>
          </w:tcPr>
          <w:p w14:paraId="1623C4A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753BAEE7"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752" w:type="dxa"/>
            <w:tcBorders>
              <w:top w:val="nil"/>
              <w:left w:val="nil"/>
              <w:bottom w:val="single" w:sz="4" w:space="0" w:color="000000"/>
              <w:right w:val="nil"/>
            </w:tcBorders>
            <w:noWrap/>
            <w:vAlign w:val="bottom"/>
            <w:hideMark/>
          </w:tcPr>
          <w:p w14:paraId="0DB1C04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single" w:sz="4" w:space="0" w:color="000000"/>
              <w:bottom w:val="single" w:sz="4" w:space="0" w:color="000000"/>
              <w:right w:val="single" w:sz="4" w:space="0" w:color="000000"/>
            </w:tcBorders>
            <w:noWrap/>
            <w:vAlign w:val="bottom"/>
            <w:hideMark/>
          </w:tcPr>
          <w:p w14:paraId="7729BD5A"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0,100</w:t>
            </w:r>
          </w:p>
        </w:tc>
        <w:tc>
          <w:tcPr>
            <w:tcW w:w="425" w:type="dxa"/>
            <w:tcBorders>
              <w:top w:val="nil"/>
              <w:left w:val="nil"/>
              <w:bottom w:val="single" w:sz="4" w:space="0" w:color="000000"/>
              <w:right w:val="single" w:sz="4" w:space="0" w:color="000000"/>
            </w:tcBorders>
            <w:shd w:val="clear" w:color="000000" w:fill="F2F2F2"/>
            <w:noWrap/>
            <w:vAlign w:val="bottom"/>
            <w:hideMark/>
          </w:tcPr>
          <w:p w14:paraId="17521EEF"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44796667"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0,700</w:t>
            </w:r>
          </w:p>
        </w:tc>
      </w:tr>
      <w:tr w:rsidR="00486288" w:rsidRPr="00195933" w14:paraId="03C0EE3E" w14:textId="77777777" w:rsidTr="00445C9D">
        <w:trPr>
          <w:trHeight w:val="300"/>
        </w:trPr>
        <w:tc>
          <w:tcPr>
            <w:tcW w:w="1884" w:type="dxa"/>
            <w:tcBorders>
              <w:top w:val="nil"/>
              <w:left w:val="single" w:sz="8" w:space="0" w:color="000000"/>
              <w:bottom w:val="single" w:sz="4" w:space="0" w:color="000000"/>
              <w:right w:val="single" w:sz="4" w:space="0" w:color="000000"/>
            </w:tcBorders>
            <w:noWrap/>
            <w:vAlign w:val="bottom"/>
            <w:hideMark/>
          </w:tcPr>
          <w:p w14:paraId="26C95A05"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study to assess upcoming IMO mechanism</w:t>
            </w:r>
          </w:p>
        </w:tc>
        <w:tc>
          <w:tcPr>
            <w:tcW w:w="586" w:type="dxa"/>
            <w:tcBorders>
              <w:top w:val="nil"/>
              <w:left w:val="nil"/>
              <w:bottom w:val="single" w:sz="4" w:space="0" w:color="000000"/>
              <w:right w:val="single" w:sz="4" w:space="0" w:color="000000"/>
            </w:tcBorders>
            <w:noWrap/>
            <w:vAlign w:val="bottom"/>
            <w:hideMark/>
          </w:tcPr>
          <w:p w14:paraId="158F2C91"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26" w:type="dxa"/>
            <w:tcBorders>
              <w:top w:val="nil"/>
              <w:left w:val="nil"/>
              <w:bottom w:val="single" w:sz="4" w:space="0" w:color="000000"/>
              <w:right w:val="single" w:sz="4" w:space="0" w:color="000000"/>
            </w:tcBorders>
            <w:noWrap/>
            <w:vAlign w:val="bottom"/>
            <w:hideMark/>
          </w:tcPr>
          <w:p w14:paraId="30AD61C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068C3A5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4CA65CBD" w14:textId="77777777" w:rsidR="00486288" w:rsidRPr="00195933" w:rsidRDefault="00486288" w:rsidP="00445C9D">
            <w:pPr>
              <w:spacing w:before="0" w:after="0"/>
              <w:jc w:val="right"/>
              <w:rPr>
                <w:rFonts w:eastAsia="Times New Roman"/>
                <w:noProof/>
                <w:color w:val="000000"/>
                <w:sz w:val="18"/>
                <w:szCs w:val="18"/>
                <w:lang w:val="en-IE" w:eastAsia="en-IE"/>
              </w:rPr>
            </w:pPr>
            <w:r w:rsidRPr="00195933">
              <w:rPr>
                <w:rFonts w:eastAsia="Times New Roman"/>
                <w:noProof/>
                <w:color w:val="000000"/>
                <w:sz w:val="18"/>
                <w:szCs w:val="18"/>
                <w:lang w:val="en-IE" w:eastAsia="en-IE"/>
              </w:rPr>
              <w:t>0,500</w:t>
            </w:r>
          </w:p>
        </w:tc>
        <w:tc>
          <w:tcPr>
            <w:tcW w:w="698" w:type="dxa"/>
            <w:tcBorders>
              <w:top w:val="nil"/>
              <w:left w:val="nil"/>
              <w:bottom w:val="single" w:sz="4" w:space="0" w:color="000000"/>
              <w:right w:val="single" w:sz="4" w:space="0" w:color="000000"/>
            </w:tcBorders>
            <w:noWrap/>
            <w:vAlign w:val="bottom"/>
            <w:hideMark/>
          </w:tcPr>
          <w:p w14:paraId="2540AFA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3" w:type="dxa"/>
            <w:tcBorders>
              <w:top w:val="nil"/>
              <w:left w:val="nil"/>
              <w:bottom w:val="single" w:sz="4" w:space="0" w:color="000000"/>
              <w:right w:val="single" w:sz="4" w:space="0" w:color="000000"/>
            </w:tcBorders>
            <w:noWrap/>
            <w:vAlign w:val="bottom"/>
            <w:hideMark/>
          </w:tcPr>
          <w:p w14:paraId="3D9F7036"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28A0999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43104C2"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546" w:type="dxa"/>
            <w:tcBorders>
              <w:top w:val="nil"/>
              <w:left w:val="nil"/>
              <w:bottom w:val="single" w:sz="4" w:space="0" w:color="000000"/>
              <w:right w:val="single" w:sz="4" w:space="0" w:color="000000"/>
            </w:tcBorders>
            <w:noWrap/>
            <w:vAlign w:val="bottom"/>
            <w:hideMark/>
          </w:tcPr>
          <w:p w14:paraId="57904437"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837" w:type="dxa"/>
            <w:tcBorders>
              <w:top w:val="nil"/>
              <w:left w:val="nil"/>
              <w:bottom w:val="single" w:sz="4" w:space="0" w:color="000000"/>
              <w:right w:val="single" w:sz="4" w:space="0" w:color="000000"/>
            </w:tcBorders>
            <w:noWrap/>
            <w:vAlign w:val="bottom"/>
            <w:hideMark/>
          </w:tcPr>
          <w:p w14:paraId="5495E598"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1595DC7A"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3137E925"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698" w:type="dxa"/>
            <w:tcBorders>
              <w:top w:val="nil"/>
              <w:left w:val="nil"/>
              <w:bottom w:val="single" w:sz="4" w:space="0" w:color="000000"/>
              <w:right w:val="single" w:sz="4" w:space="0" w:color="000000"/>
            </w:tcBorders>
            <w:noWrap/>
            <w:vAlign w:val="bottom"/>
            <w:hideMark/>
          </w:tcPr>
          <w:p w14:paraId="48F80C74"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6F029A13"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52" w:type="dxa"/>
            <w:tcBorders>
              <w:top w:val="nil"/>
              <w:left w:val="nil"/>
              <w:bottom w:val="single" w:sz="4" w:space="0" w:color="000000"/>
              <w:right w:val="single" w:sz="4" w:space="0" w:color="000000"/>
            </w:tcBorders>
            <w:noWrap/>
            <w:vAlign w:val="bottom"/>
            <w:hideMark/>
          </w:tcPr>
          <w:p w14:paraId="51DDC63C"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709" w:type="dxa"/>
            <w:tcBorders>
              <w:top w:val="nil"/>
              <w:left w:val="nil"/>
              <w:bottom w:val="single" w:sz="4" w:space="0" w:color="000000"/>
              <w:right w:val="single" w:sz="4" w:space="0" w:color="000000"/>
            </w:tcBorders>
            <w:noWrap/>
            <w:vAlign w:val="bottom"/>
            <w:hideMark/>
          </w:tcPr>
          <w:p w14:paraId="440AC509" w14:textId="77777777" w:rsidR="00486288" w:rsidRPr="00195933" w:rsidRDefault="00486288" w:rsidP="00445C9D">
            <w:pPr>
              <w:spacing w:before="0" w:after="0"/>
              <w:jc w:val="left"/>
              <w:rPr>
                <w:rFonts w:eastAsia="Times New Roman"/>
                <w:noProof/>
                <w:color w:val="000000"/>
                <w:sz w:val="18"/>
                <w:szCs w:val="18"/>
                <w:lang w:val="en-IE" w:eastAsia="en-IE"/>
              </w:rPr>
            </w:pPr>
          </w:p>
        </w:tc>
        <w:tc>
          <w:tcPr>
            <w:tcW w:w="425" w:type="dxa"/>
            <w:tcBorders>
              <w:top w:val="nil"/>
              <w:left w:val="nil"/>
              <w:bottom w:val="single" w:sz="4" w:space="0" w:color="000000"/>
              <w:right w:val="single" w:sz="4" w:space="0" w:color="000000"/>
            </w:tcBorders>
            <w:shd w:val="clear" w:color="000000" w:fill="F2F2F2"/>
            <w:noWrap/>
            <w:vAlign w:val="bottom"/>
            <w:hideMark/>
          </w:tcPr>
          <w:p w14:paraId="6C35D0E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679CC1BA"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0,500</w:t>
            </w:r>
          </w:p>
        </w:tc>
      </w:tr>
      <w:tr w:rsidR="006B0541" w:rsidRPr="00195933" w14:paraId="18243EA4" w14:textId="77777777" w:rsidTr="00445C9D">
        <w:trPr>
          <w:trHeight w:val="300"/>
        </w:trPr>
        <w:tc>
          <w:tcPr>
            <w:tcW w:w="3296" w:type="dxa"/>
            <w:gridSpan w:val="3"/>
            <w:tcBorders>
              <w:top w:val="single" w:sz="4" w:space="0" w:color="000000"/>
              <w:left w:val="single" w:sz="8" w:space="0" w:color="000000"/>
              <w:bottom w:val="single" w:sz="4" w:space="0" w:color="000000"/>
              <w:right w:val="single" w:sz="4" w:space="0" w:color="000000"/>
            </w:tcBorders>
            <w:noWrap/>
            <w:vAlign w:val="bottom"/>
            <w:hideMark/>
          </w:tcPr>
          <w:p w14:paraId="1B8062B1" w14:textId="77777777" w:rsidR="00486288" w:rsidRPr="00195933" w:rsidRDefault="00486288" w:rsidP="00445C9D">
            <w:pPr>
              <w:spacing w:before="0" w:after="0"/>
              <w:jc w:val="left"/>
              <w:rPr>
                <w:rFonts w:eastAsia="Times New Roman"/>
                <w:noProof/>
                <w:color w:val="000000"/>
                <w:sz w:val="18"/>
                <w:szCs w:val="18"/>
                <w:lang w:val="en-IE" w:eastAsia="en-IE"/>
              </w:rPr>
            </w:pPr>
            <w:r w:rsidRPr="00195933">
              <w:rPr>
                <w:rFonts w:eastAsia="Times New Roman"/>
                <w:noProof/>
                <w:color w:val="000000"/>
                <w:sz w:val="18"/>
                <w:szCs w:val="18"/>
                <w:lang w:val="en-IE" w:eastAsia="en-IE"/>
              </w:rPr>
              <w:t>Subtotal for specific objective No 1.3.2</w:t>
            </w:r>
          </w:p>
        </w:tc>
        <w:tc>
          <w:tcPr>
            <w:tcW w:w="546" w:type="dxa"/>
            <w:tcBorders>
              <w:top w:val="nil"/>
              <w:left w:val="nil"/>
              <w:bottom w:val="single" w:sz="4" w:space="0" w:color="000000"/>
              <w:right w:val="single" w:sz="4" w:space="0" w:color="000000"/>
            </w:tcBorders>
            <w:shd w:val="clear" w:color="000000" w:fill="F2F2F2"/>
            <w:noWrap/>
            <w:vAlign w:val="bottom"/>
            <w:hideMark/>
          </w:tcPr>
          <w:p w14:paraId="2756F38C"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37" w:type="dxa"/>
            <w:tcBorders>
              <w:top w:val="nil"/>
              <w:left w:val="nil"/>
              <w:bottom w:val="single" w:sz="4" w:space="0" w:color="000000"/>
              <w:right w:val="single" w:sz="4" w:space="0" w:color="000000"/>
            </w:tcBorders>
            <w:shd w:val="clear" w:color="000000" w:fill="F2F2F2"/>
            <w:noWrap/>
            <w:vAlign w:val="bottom"/>
            <w:hideMark/>
          </w:tcPr>
          <w:p w14:paraId="4DCA1421"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0,600</w:t>
            </w:r>
          </w:p>
        </w:tc>
        <w:tc>
          <w:tcPr>
            <w:tcW w:w="698" w:type="dxa"/>
            <w:tcBorders>
              <w:top w:val="nil"/>
              <w:left w:val="nil"/>
              <w:bottom w:val="single" w:sz="4" w:space="0" w:color="000000"/>
              <w:right w:val="single" w:sz="4" w:space="0" w:color="000000"/>
            </w:tcBorders>
            <w:shd w:val="clear" w:color="000000" w:fill="F2F2F2"/>
            <w:noWrap/>
            <w:vAlign w:val="bottom"/>
            <w:hideMark/>
          </w:tcPr>
          <w:p w14:paraId="5C7320C2"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53" w:type="dxa"/>
            <w:tcBorders>
              <w:top w:val="nil"/>
              <w:left w:val="nil"/>
              <w:bottom w:val="single" w:sz="4" w:space="0" w:color="000000"/>
              <w:right w:val="single" w:sz="4" w:space="0" w:color="000000"/>
            </w:tcBorders>
            <w:shd w:val="clear" w:color="000000" w:fill="F2F2F2"/>
            <w:noWrap/>
            <w:vAlign w:val="bottom"/>
            <w:hideMark/>
          </w:tcPr>
          <w:p w14:paraId="47BCAC76"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0,100</w:t>
            </w:r>
          </w:p>
        </w:tc>
        <w:tc>
          <w:tcPr>
            <w:tcW w:w="698" w:type="dxa"/>
            <w:tcBorders>
              <w:top w:val="nil"/>
              <w:left w:val="nil"/>
              <w:bottom w:val="single" w:sz="4" w:space="0" w:color="000000"/>
              <w:right w:val="single" w:sz="4" w:space="0" w:color="000000"/>
            </w:tcBorders>
            <w:shd w:val="clear" w:color="000000" w:fill="F2F2F2"/>
            <w:noWrap/>
            <w:vAlign w:val="bottom"/>
            <w:hideMark/>
          </w:tcPr>
          <w:p w14:paraId="2C30F99E"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698" w:type="dxa"/>
            <w:tcBorders>
              <w:top w:val="nil"/>
              <w:left w:val="nil"/>
              <w:bottom w:val="single" w:sz="4" w:space="0" w:color="000000"/>
              <w:right w:val="single" w:sz="4" w:space="0" w:color="000000"/>
            </w:tcBorders>
            <w:shd w:val="clear" w:color="000000" w:fill="F2F2F2"/>
            <w:noWrap/>
            <w:vAlign w:val="bottom"/>
            <w:hideMark/>
          </w:tcPr>
          <w:p w14:paraId="6DE4F89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0,100</w:t>
            </w:r>
          </w:p>
        </w:tc>
        <w:tc>
          <w:tcPr>
            <w:tcW w:w="546" w:type="dxa"/>
            <w:tcBorders>
              <w:top w:val="nil"/>
              <w:left w:val="nil"/>
              <w:bottom w:val="single" w:sz="4" w:space="0" w:color="000000"/>
              <w:right w:val="single" w:sz="4" w:space="0" w:color="000000"/>
            </w:tcBorders>
            <w:shd w:val="clear" w:color="000000" w:fill="F2F2F2"/>
            <w:noWrap/>
            <w:vAlign w:val="bottom"/>
            <w:hideMark/>
          </w:tcPr>
          <w:p w14:paraId="0420A82C"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37" w:type="dxa"/>
            <w:tcBorders>
              <w:top w:val="nil"/>
              <w:left w:val="nil"/>
              <w:bottom w:val="single" w:sz="4" w:space="0" w:color="000000"/>
              <w:right w:val="single" w:sz="4" w:space="0" w:color="000000"/>
            </w:tcBorders>
            <w:shd w:val="clear" w:color="000000" w:fill="F2F2F2"/>
            <w:noWrap/>
            <w:vAlign w:val="bottom"/>
            <w:hideMark/>
          </w:tcPr>
          <w:p w14:paraId="73E05D33"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0,100</w:t>
            </w:r>
          </w:p>
        </w:tc>
        <w:tc>
          <w:tcPr>
            <w:tcW w:w="698" w:type="dxa"/>
            <w:tcBorders>
              <w:top w:val="nil"/>
              <w:left w:val="nil"/>
              <w:bottom w:val="single" w:sz="4" w:space="0" w:color="000000"/>
              <w:right w:val="single" w:sz="4" w:space="0" w:color="000000"/>
            </w:tcBorders>
            <w:shd w:val="clear" w:color="000000" w:fill="F2F2F2"/>
            <w:noWrap/>
            <w:vAlign w:val="bottom"/>
            <w:hideMark/>
          </w:tcPr>
          <w:p w14:paraId="016456B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698" w:type="dxa"/>
            <w:tcBorders>
              <w:top w:val="nil"/>
              <w:left w:val="nil"/>
              <w:bottom w:val="single" w:sz="4" w:space="0" w:color="000000"/>
              <w:right w:val="single" w:sz="4" w:space="0" w:color="000000"/>
            </w:tcBorders>
            <w:shd w:val="clear" w:color="000000" w:fill="F2F2F2"/>
            <w:noWrap/>
            <w:vAlign w:val="bottom"/>
            <w:hideMark/>
          </w:tcPr>
          <w:p w14:paraId="015FF850"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0,100</w:t>
            </w:r>
          </w:p>
        </w:tc>
        <w:tc>
          <w:tcPr>
            <w:tcW w:w="698" w:type="dxa"/>
            <w:tcBorders>
              <w:top w:val="nil"/>
              <w:left w:val="nil"/>
              <w:bottom w:val="single" w:sz="4" w:space="0" w:color="000000"/>
              <w:right w:val="single" w:sz="4" w:space="0" w:color="000000"/>
            </w:tcBorders>
            <w:shd w:val="clear" w:color="000000" w:fill="F2F2F2"/>
            <w:noWrap/>
            <w:vAlign w:val="bottom"/>
            <w:hideMark/>
          </w:tcPr>
          <w:p w14:paraId="59C5C744"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09" w:type="dxa"/>
            <w:tcBorders>
              <w:top w:val="nil"/>
              <w:left w:val="nil"/>
              <w:bottom w:val="single" w:sz="4" w:space="0" w:color="000000"/>
              <w:right w:val="single" w:sz="4" w:space="0" w:color="000000"/>
            </w:tcBorders>
            <w:shd w:val="clear" w:color="000000" w:fill="F2F2F2"/>
            <w:noWrap/>
            <w:vAlign w:val="bottom"/>
            <w:hideMark/>
          </w:tcPr>
          <w:p w14:paraId="137A5581"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0,100</w:t>
            </w:r>
          </w:p>
        </w:tc>
        <w:tc>
          <w:tcPr>
            <w:tcW w:w="752" w:type="dxa"/>
            <w:tcBorders>
              <w:top w:val="nil"/>
              <w:left w:val="nil"/>
              <w:bottom w:val="single" w:sz="4" w:space="0" w:color="000000"/>
              <w:right w:val="single" w:sz="4" w:space="0" w:color="000000"/>
            </w:tcBorders>
            <w:shd w:val="clear" w:color="000000" w:fill="F2F2F2"/>
            <w:noWrap/>
            <w:vAlign w:val="bottom"/>
            <w:hideMark/>
          </w:tcPr>
          <w:p w14:paraId="572F0044"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709" w:type="dxa"/>
            <w:tcBorders>
              <w:top w:val="nil"/>
              <w:left w:val="nil"/>
              <w:bottom w:val="single" w:sz="4" w:space="0" w:color="000000"/>
              <w:right w:val="single" w:sz="4" w:space="0" w:color="000000"/>
            </w:tcBorders>
            <w:shd w:val="clear" w:color="000000" w:fill="F2F2F2"/>
            <w:noWrap/>
            <w:vAlign w:val="bottom"/>
            <w:hideMark/>
          </w:tcPr>
          <w:p w14:paraId="412A18B4"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0,100</w:t>
            </w:r>
          </w:p>
        </w:tc>
        <w:tc>
          <w:tcPr>
            <w:tcW w:w="425" w:type="dxa"/>
            <w:tcBorders>
              <w:top w:val="nil"/>
              <w:left w:val="nil"/>
              <w:bottom w:val="single" w:sz="4" w:space="0" w:color="000000"/>
              <w:right w:val="single" w:sz="4" w:space="0" w:color="000000"/>
            </w:tcBorders>
            <w:shd w:val="clear" w:color="000000" w:fill="F2F2F2"/>
            <w:noWrap/>
            <w:vAlign w:val="bottom"/>
            <w:hideMark/>
          </w:tcPr>
          <w:p w14:paraId="07028FB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95" w:type="dxa"/>
            <w:tcBorders>
              <w:top w:val="nil"/>
              <w:left w:val="nil"/>
              <w:bottom w:val="single" w:sz="4" w:space="0" w:color="000000"/>
              <w:right w:val="single" w:sz="4" w:space="0" w:color="000000"/>
            </w:tcBorders>
            <w:shd w:val="clear" w:color="000000" w:fill="F2F2F2"/>
            <w:noWrap/>
            <w:vAlign w:val="bottom"/>
            <w:hideMark/>
          </w:tcPr>
          <w:p w14:paraId="0850A05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1,200</w:t>
            </w:r>
          </w:p>
        </w:tc>
      </w:tr>
      <w:tr w:rsidR="006B0541" w:rsidRPr="00195933" w14:paraId="3C13EE58" w14:textId="77777777" w:rsidTr="00445C9D">
        <w:trPr>
          <w:trHeight w:val="315"/>
        </w:trPr>
        <w:tc>
          <w:tcPr>
            <w:tcW w:w="3296" w:type="dxa"/>
            <w:gridSpan w:val="3"/>
            <w:tcBorders>
              <w:top w:val="single" w:sz="4" w:space="0" w:color="000000"/>
              <w:left w:val="single" w:sz="8" w:space="0" w:color="000000"/>
              <w:bottom w:val="single" w:sz="8" w:space="0" w:color="000000"/>
              <w:right w:val="single" w:sz="4" w:space="0" w:color="000000"/>
            </w:tcBorders>
            <w:noWrap/>
            <w:vAlign w:val="bottom"/>
            <w:hideMark/>
          </w:tcPr>
          <w:p w14:paraId="4183D7EB" w14:textId="77777777" w:rsidR="00486288" w:rsidRPr="00195933" w:rsidRDefault="00486288" w:rsidP="00445C9D">
            <w:pPr>
              <w:spacing w:before="0" w:after="0"/>
              <w:jc w:val="lef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TOTALS</w:t>
            </w:r>
          </w:p>
        </w:tc>
        <w:tc>
          <w:tcPr>
            <w:tcW w:w="546" w:type="dxa"/>
            <w:tcBorders>
              <w:top w:val="nil"/>
              <w:left w:val="nil"/>
              <w:bottom w:val="single" w:sz="8" w:space="0" w:color="000000"/>
              <w:right w:val="single" w:sz="4" w:space="0" w:color="000000"/>
            </w:tcBorders>
            <w:shd w:val="clear" w:color="000000" w:fill="F2F2F2"/>
            <w:noWrap/>
            <w:vAlign w:val="bottom"/>
            <w:hideMark/>
          </w:tcPr>
          <w:p w14:paraId="79FF3101"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w:t>
            </w:r>
          </w:p>
        </w:tc>
        <w:tc>
          <w:tcPr>
            <w:tcW w:w="837" w:type="dxa"/>
            <w:tcBorders>
              <w:top w:val="nil"/>
              <w:left w:val="nil"/>
              <w:bottom w:val="single" w:sz="8" w:space="0" w:color="000000"/>
              <w:right w:val="single" w:sz="4" w:space="0" w:color="000000"/>
            </w:tcBorders>
            <w:shd w:val="clear" w:color="000000" w:fill="F2F2F2"/>
            <w:noWrap/>
            <w:vAlign w:val="bottom"/>
            <w:hideMark/>
          </w:tcPr>
          <w:p w14:paraId="4E07DD03"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3,900</w:t>
            </w:r>
          </w:p>
        </w:tc>
        <w:tc>
          <w:tcPr>
            <w:tcW w:w="698" w:type="dxa"/>
            <w:tcBorders>
              <w:top w:val="nil"/>
              <w:left w:val="nil"/>
              <w:bottom w:val="single" w:sz="8" w:space="0" w:color="000000"/>
              <w:right w:val="single" w:sz="4" w:space="0" w:color="000000"/>
            </w:tcBorders>
            <w:shd w:val="clear" w:color="000000" w:fill="F2F2F2"/>
            <w:noWrap/>
            <w:vAlign w:val="bottom"/>
            <w:hideMark/>
          </w:tcPr>
          <w:p w14:paraId="1EB69A6D"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0,000</w:t>
            </w:r>
          </w:p>
        </w:tc>
        <w:tc>
          <w:tcPr>
            <w:tcW w:w="753" w:type="dxa"/>
            <w:tcBorders>
              <w:top w:val="nil"/>
              <w:left w:val="nil"/>
              <w:bottom w:val="single" w:sz="8" w:space="0" w:color="000000"/>
              <w:right w:val="single" w:sz="4" w:space="0" w:color="000000"/>
            </w:tcBorders>
            <w:shd w:val="clear" w:color="000000" w:fill="F2F2F2"/>
            <w:noWrap/>
            <w:vAlign w:val="bottom"/>
            <w:hideMark/>
          </w:tcPr>
          <w:p w14:paraId="5E4F155F"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2,900</w:t>
            </w:r>
          </w:p>
        </w:tc>
        <w:tc>
          <w:tcPr>
            <w:tcW w:w="698" w:type="dxa"/>
            <w:tcBorders>
              <w:top w:val="nil"/>
              <w:left w:val="nil"/>
              <w:bottom w:val="single" w:sz="8" w:space="0" w:color="000000"/>
              <w:right w:val="single" w:sz="4" w:space="0" w:color="000000"/>
            </w:tcBorders>
            <w:shd w:val="clear" w:color="000000" w:fill="F2F2F2"/>
            <w:noWrap/>
            <w:vAlign w:val="bottom"/>
            <w:hideMark/>
          </w:tcPr>
          <w:p w14:paraId="1AF3CC2F"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0,000</w:t>
            </w:r>
          </w:p>
        </w:tc>
        <w:tc>
          <w:tcPr>
            <w:tcW w:w="698" w:type="dxa"/>
            <w:tcBorders>
              <w:top w:val="nil"/>
              <w:left w:val="nil"/>
              <w:bottom w:val="single" w:sz="8" w:space="0" w:color="000000"/>
              <w:right w:val="single" w:sz="4" w:space="0" w:color="000000"/>
            </w:tcBorders>
            <w:shd w:val="clear" w:color="000000" w:fill="F2F2F2"/>
            <w:noWrap/>
            <w:vAlign w:val="bottom"/>
            <w:hideMark/>
          </w:tcPr>
          <w:p w14:paraId="15ECE56B"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3,400</w:t>
            </w:r>
          </w:p>
        </w:tc>
        <w:tc>
          <w:tcPr>
            <w:tcW w:w="546" w:type="dxa"/>
            <w:tcBorders>
              <w:top w:val="nil"/>
              <w:left w:val="nil"/>
              <w:bottom w:val="single" w:sz="8" w:space="0" w:color="000000"/>
              <w:right w:val="single" w:sz="4" w:space="0" w:color="000000"/>
            </w:tcBorders>
            <w:shd w:val="clear" w:color="000000" w:fill="F2F2F2"/>
            <w:noWrap/>
            <w:vAlign w:val="bottom"/>
            <w:hideMark/>
          </w:tcPr>
          <w:p w14:paraId="3C29F225"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w:t>
            </w:r>
          </w:p>
        </w:tc>
        <w:tc>
          <w:tcPr>
            <w:tcW w:w="837" w:type="dxa"/>
            <w:tcBorders>
              <w:top w:val="nil"/>
              <w:left w:val="nil"/>
              <w:bottom w:val="single" w:sz="8" w:space="0" w:color="000000"/>
              <w:right w:val="single" w:sz="4" w:space="0" w:color="000000"/>
            </w:tcBorders>
            <w:shd w:val="clear" w:color="000000" w:fill="F2F2F2"/>
            <w:noWrap/>
            <w:vAlign w:val="bottom"/>
            <w:hideMark/>
          </w:tcPr>
          <w:p w14:paraId="303B38BA"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2,600</w:t>
            </w:r>
          </w:p>
        </w:tc>
        <w:tc>
          <w:tcPr>
            <w:tcW w:w="698" w:type="dxa"/>
            <w:tcBorders>
              <w:top w:val="nil"/>
              <w:left w:val="nil"/>
              <w:bottom w:val="single" w:sz="8" w:space="0" w:color="000000"/>
              <w:right w:val="single" w:sz="4" w:space="0" w:color="000000"/>
            </w:tcBorders>
            <w:shd w:val="clear" w:color="000000" w:fill="F2F2F2"/>
            <w:noWrap/>
            <w:vAlign w:val="bottom"/>
            <w:hideMark/>
          </w:tcPr>
          <w:p w14:paraId="6AFC15C1" w14:textId="77777777" w:rsidR="00486288" w:rsidRPr="00195933" w:rsidRDefault="00C749C0" w:rsidP="00445C9D">
            <w:pPr>
              <w:spacing w:before="0" w:after="0"/>
              <w:jc w:val="right"/>
              <w:rPr>
                <w:rFonts w:eastAsia="Times New Roman"/>
                <w:b/>
                <w:bCs/>
                <w:noProof/>
                <w:color w:val="000000"/>
                <w:sz w:val="18"/>
                <w:szCs w:val="18"/>
                <w:lang w:val="en-IE" w:eastAsia="en-IE"/>
              </w:rPr>
            </w:pPr>
            <w:r>
              <w:rPr>
                <w:rFonts w:eastAsia="Times New Roman"/>
                <w:b/>
                <w:bCs/>
                <w:noProof/>
                <w:color w:val="000000"/>
                <w:sz w:val="18"/>
                <w:szCs w:val="18"/>
                <w:lang w:val="en-IE" w:eastAsia="en-IE"/>
              </w:rPr>
              <w:t>3</w:t>
            </w:r>
            <w:r w:rsidR="00486288" w:rsidRPr="00195933">
              <w:rPr>
                <w:rFonts w:eastAsia="Times New Roman"/>
                <w:b/>
                <w:bCs/>
                <w:noProof/>
                <w:color w:val="000000"/>
                <w:sz w:val="18"/>
                <w:szCs w:val="18"/>
                <w:lang w:val="en-IE" w:eastAsia="en-IE"/>
              </w:rPr>
              <w:t>,000</w:t>
            </w:r>
          </w:p>
        </w:tc>
        <w:tc>
          <w:tcPr>
            <w:tcW w:w="698" w:type="dxa"/>
            <w:tcBorders>
              <w:top w:val="nil"/>
              <w:left w:val="nil"/>
              <w:bottom w:val="single" w:sz="8" w:space="0" w:color="000000"/>
              <w:right w:val="single" w:sz="4" w:space="0" w:color="000000"/>
            </w:tcBorders>
            <w:shd w:val="clear" w:color="000000" w:fill="F2F2F2"/>
            <w:noWrap/>
            <w:vAlign w:val="bottom"/>
            <w:hideMark/>
          </w:tcPr>
          <w:p w14:paraId="63DB7350" w14:textId="77777777" w:rsidR="00486288" w:rsidRPr="00195933" w:rsidRDefault="00C749C0" w:rsidP="00445C9D">
            <w:pPr>
              <w:spacing w:before="0" w:after="0"/>
              <w:jc w:val="right"/>
              <w:rPr>
                <w:rFonts w:eastAsia="Times New Roman"/>
                <w:b/>
                <w:bCs/>
                <w:noProof/>
                <w:color w:val="000000"/>
                <w:sz w:val="18"/>
                <w:szCs w:val="18"/>
                <w:lang w:val="en-IE" w:eastAsia="en-IE"/>
              </w:rPr>
            </w:pPr>
            <w:r>
              <w:rPr>
                <w:rFonts w:eastAsia="Times New Roman"/>
                <w:b/>
                <w:bCs/>
                <w:noProof/>
                <w:color w:val="000000"/>
                <w:sz w:val="18"/>
                <w:szCs w:val="18"/>
                <w:lang w:val="en-IE" w:eastAsia="en-IE"/>
              </w:rPr>
              <w:t>4</w:t>
            </w:r>
            <w:r w:rsidR="00486288" w:rsidRPr="00195933">
              <w:rPr>
                <w:rFonts w:eastAsia="Times New Roman"/>
                <w:b/>
                <w:bCs/>
                <w:noProof/>
                <w:color w:val="000000"/>
                <w:sz w:val="18"/>
                <w:szCs w:val="18"/>
                <w:lang w:val="en-IE" w:eastAsia="en-IE"/>
              </w:rPr>
              <w:t>,</w:t>
            </w:r>
            <w:r>
              <w:rPr>
                <w:rFonts w:eastAsia="Times New Roman"/>
                <w:b/>
                <w:bCs/>
                <w:noProof/>
                <w:color w:val="000000"/>
                <w:sz w:val="18"/>
                <w:szCs w:val="18"/>
                <w:lang w:val="en-IE" w:eastAsia="en-IE"/>
              </w:rPr>
              <w:t>7</w:t>
            </w:r>
            <w:r w:rsidR="00486288" w:rsidRPr="00195933">
              <w:rPr>
                <w:rFonts w:eastAsia="Times New Roman"/>
                <w:b/>
                <w:bCs/>
                <w:noProof/>
                <w:color w:val="000000"/>
                <w:sz w:val="18"/>
                <w:szCs w:val="18"/>
                <w:lang w:val="en-IE" w:eastAsia="en-IE"/>
              </w:rPr>
              <w:t>00</w:t>
            </w:r>
          </w:p>
        </w:tc>
        <w:tc>
          <w:tcPr>
            <w:tcW w:w="698" w:type="dxa"/>
            <w:tcBorders>
              <w:top w:val="nil"/>
              <w:left w:val="nil"/>
              <w:bottom w:val="single" w:sz="8" w:space="0" w:color="000000"/>
              <w:right w:val="single" w:sz="4" w:space="0" w:color="000000"/>
            </w:tcBorders>
            <w:shd w:val="clear" w:color="000000" w:fill="F2F2F2"/>
            <w:noWrap/>
            <w:vAlign w:val="bottom"/>
            <w:hideMark/>
          </w:tcPr>
          <w:p w14:paraId="74E3BAF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0,000</w:t>
            </w:r>
          </w:p>
        </w:tc>
        <w:tc>
          <w:tcPr>
            <w:tcW w:w="709" w:type="dxa"/>
            <w:tcBorders>
              <w:top w:val="nil"/>
              <w:left w:val="nil"/>
              <w:bottom w:val="single" w:sz="8" w:space="0" w:color="000000"/>
              <w:right w:val="single" w:sz="4" w:space="0" w:color="000000"/>
            </w:tcBorders>
            <w:shd w:val="clear" w:color="000000" w:fill="F2F2F2"/>
            <w:noWrap/>
            <w:vAlign w:val="bottom"/>
            <w:hideMark/>
          </w:tcPr>
          <w:p w14:paraId="5F88C66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2,600</w:t>
            </w:r>
          </w:p>
        </w:tc>
        <w:tc>
          <w:tcPr>
            <w:tcW w:w="752" w:type="dxa"/>
            <w:tcBorders>
              <w:top w:val="nil"/>
              <w:left w:val="nil"/>
              <w:bottom w:val="single" w:sz="8" w:space="0" w:color="000000"/>
              <w:right w:val="single" w:sz="4" w:space="0" w:color="000000"/>
            </w:tcBorders>
            <w:shd w:val="clear" w:color="000000" w:fill="F2F2F2"/>
            <w:noWrap/>
            <w:vAlign w:val="bottom"/>
            <w:hideMark/>
          </w:tcPr>
          <w:p w14:paraId="1D308FF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2</w:t>
            </w:r>
          </w:p>
        </w:tc>
        <w:tc>
          <w:tcPr>
            <w:tcW w:w="709" w:type="dxa"/>
            <w:tcBorders>
              <w:top w:val="nil"/>
              <w:left w:val="nil"/>
              <w:bottom w:val="single" w:sz="8" w:space="0" w:color="000000"/>
              <w:right w:val="single" w:sz="4" w:space="0" w:color="000000"/>
            </w:tcBorders>
            <w:shd w:val="clear" w:color="000000" w:fill="F2F2F2"/>
            <w:noWrap/>
            <w:vAlign w:val="bottom"/>
            <w:hideMark/>
          </w:tcPr>
          <w:p w14:paraId="6B101786"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1,800</w:t>
            </w:r>
          </w:p>
        </w:tc>
        <w:tc>
          <w:tcPr>
            <w:tcW w:w="425" w:type="dxa"/>
            <w:tcBorders>
              <w:top w:val="nil"/>
              <w:left w:val="nil"/>
              <w:bottom w:val="single" w:sz="8" w:space="0" w:color="000000"/>
              <w:right w:val="single" w:sz="4" w:space="0" w:color="000000"/>
            </w:tcBorders>
            <w:shd w:val="clear" w:color="000000" w:fill="F2F2F2"/>
            <w:noWrap/>
            <w:vAlign w:val="bottom"/>
            <w:hideMark/>
          </w:tcPr>
          <w:p w14:paraId="6363683D"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7</w:t>
            </w:r>
          </w:p>
        </w:tc>
        <w:tc>
          <w:tcPr>
            <w:tcW w:w="895" w:type="dxa"/>
            <w:tcBorders>
              <w:top w:val="nil"/>
              <w:left w:val="nil"/>
              <w:bottom w:val="single" w:sz="8" w:space="0" w:color="000000"/>
              <w:right w:val="single" w:sz="4" w:space="0" w:color="000000"/>
            </w:tcBorders>
            <w:shd w:val="clear" w:color="000000" w:fill="F2F2F2"/>
            <w:noWrap/>
            <w:vAlign w:val="bottom"/>
            <w:hideMark/>
          </w:tcPr>
          <w:p w14:paraId="77A2D009" w14:textId="77777777" w:rsidR="00486288" w:rsidRPr="00195933" w:rsidRDefault="00486288" w:rsidP="00445C9D">
            <w:pPr>
              <w:spacing w:before="0" w:after="0"/>
              <w:jc w:val="right"/>
              <w:rPr>
                <w:rFonts w:eastAsia="Times New Roman"/>
                <w:b/>
                <w:bCs/>
                <w:noProof/>
                <w:color w:val="000000"/>
                <w:sz w:val="18"/>
                <w:szCs w:val="18"/>
                <w:lang w:val="en-IE" w:eastAsia="en-IE"/>
              </w:rPr>
            </w:pPr>
            <w:r w:rsidRPr="00195933">
              <w:rPr>
                <w:rFonts w:eastAsia="Times New Roman"/>
                <w:b/>
                <w:bCs/>
                <w:noProof/>
                <w:color w:val="000000"/>
                <w:sz w:val="18"/>
                <w:szCs w:val="18"/>
                <w:lang w:val="en-IE" w:eastAsia="en-IE"/>
              </w:rPr>
              <w:t>22,400</w:t>
            </w:r>
          </w:p>
        </w:tc>
      </w:tr>
    </w:tbl>
    <w:p w14:paraId="63AB7039" w14:textId="77777777" w:rsidR="00486288" w:rsidRDefault="00486288" w:rsidP="00445C9D">
      <w:pPr>
        <w:rPr>
          <w:noProof/>
        </w:rPr>
        <w:sectPr w:rsidR="00486288" w:rsidSect="00F14618">
          <w:headerReference w:type="default" r:id="rId33"/>
          <w:footerReference w:type="default" r:id="rId34"/>
          <w:pgSz w:w="16840" w:h="11907" w:orient="landscape" w:code="9"/>
          <w:pgMar w:top="1134" w:right="1418" w:bottom="567" w:left="1418" w:header="709" w:footer="709" w:gutter="0"/>
          <w:cols w:space="708"/>
          <w:docGrid w:linePitch="360"/>
        </w:sectPr>
      </w:pPr>
    </w:p>
    <w:p w14:paraId="42FD14C5" w14:textId="77777777" w:rsidR="006052EE" w:rsidRPr="00910A6B" w:rsidRDefault="006052EE" w:rsidP="00445C9D">
      <w:pPr>
        <w:pStyle w:val="ManualHeading3"/>
        <w:rPr>
          <w:bCs/>
          <w:noProof/>
          <w:szCs w:val="24"/>
        </w:rPr>
      </w:pPr>
      <w:bookmarkStart w:id="164" w:name="_Toc514938055"/>
      <w:bookmarkStart w:id="165" w:name="_Toc520485054"/>
      <w:bookmarkStart w:id="166" w:name="_Toc160804598"/>
      <w:bookmarkStart w:id="167" w:name="_Toc167220290"/>
      <w:bookmarkStart w:id="168" w:name="_Toc177549023"/>
      <w:r w:rsidRPr="0021790A">
        <w:rPr>
          <w:noProof/>
        </w:rPr>
        <w:t>3.2.3.</w:t>
      </w:r>
      <w:r w:rsidRPr="0021790A">
        <w:rPr>
          <w:noProof/>
        </w:rPr>
        <w:tab/>
      </w:r>
      <w:r>
        <w:rPr>
          <w:noProof/>
        </w:rPr>
        <w:t>Summary of estimated impact on administrative appropriations</w:t>
      </w:r>
      <w:bookmarkEnd w:id="164"/>
      <w:bookmarkEnd w:id="165"/>
      <w:bookmarkEnd w:id="166"/>
      <w:bookmarkEnd w:id="167"/>
      <w:bookmarkEnd w:id="168"/>
      <w:r>
        <w:rPr>
          <w:noProof/>
        </w:rPr>
        <w:t xml:space="preserve"> </w:t>
      </w:r>
    </w:p>
    <w:p w14:paraId="0212B026" w14:textId="77777777" w:rsidR="006052EE" w:rsidRDefault="006052EE" w:rsidP="006052EE">
      <w:pPr>
        <w:pStyle w:val="ListDash1"/>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14:paraId="21FC4878" w14:textId="77777777" w:rsidR="006052EE" w:rsidRDefault="006052EE" w:rsidP="006052EE">
      <w:pPr>
        <w:pStyle w:val="ListDash1"/>
        <w:rPr>
          <w:noProof/>
        </w:rPr>
      </w:pPr>
      <w:r>
        <w:rPr>
          <w:rFonts w:ascii="Wingdings" w:eastAsia="Wingdings" w:hAnsi="Wingdings" w:cs="Wingdings"/>
          <w:noProof/>
        </w:rPr>
        <w:t></w:t>
      </w:r>
      <w:r>
        <w:rPr>
          <w:noProof/>
        </w:rPr>
        <w:tab/>
        <w:t>The proposal/initiative requires the use of appropriations of an administrative nature, as explained below</w:t>
      </w:r>
    </w:p>
    <w:p w14:paraId="6674F2F1" w14:textId="77777777" w:rsidR="00486288" w:rsidRDefault="006052EE" w:rsidP="00486288">
      <w:pPr>
        <w:pStyle w:val="ManualHeading3"/>
        <w:rPr>
          <w:noProof/>
        </w:rPr>
      </w:pPr>
      <w:bookmarkStart w:id="169" w:name="_Toc167220291"/>
      <w:bookmarkStart w:id="170" w:name="_Toc177549024"/>
      <w:r w:rsidRPr="003268F2">
        <w:rPr>
          <w:noProof/>
        </w:rPr>
        <w:t>3.2.3.1</w:t>
      </w:r>
      <w:r>
        <w:rPr>
          <w:noProof/>
        </w:rPr>
        <w:t>.</w:t>
      </w:r>
      <w:r w:rsidRPr="003268F2">
        <w:rPr>
          <w:noProof/>
        </w:rPr>
        <w:t xml:space="preserve"> </w:t>
      </w:r>
      <w:r w:rsidRPr="003A7A3D">
        <w:rPr>
          <w:noProof/>
        </w:rPr>
        <w:t>Appropriations</w:t>
      </w:r>
      <w:r>
        <w:rPr>
          <w:noProof/>
        </w:rPr>
        <w:t xml:space="preserve"> </w:t>
      </w:r>
      <w:r>
        <w:rPr>
          <w:rFonts w:eastAsia="Calibri"/>
          <w:noProof/>
        </w:rPr>
        <w:t>from</w:t>
      </w:r>
      <w:r>
        <w:rPr>
          <w:noProof/>
        </w:rPr>
        <w:t xml:space="preserve"> voted budget</w:t>
      </w:r>
      <w:bookmarkEnd w:id="169"/>
      <w:bookmarkEnd w:id="170"/>
    </w:p>
    <w:tbl>
      <w:tblPr>
        <w:tblW w:w="5000" w:type="pct"/>
        <w:tblLook w:val="04A0" w:firstRow="1" w:lastRow="0" w:firstColumn="1" w:lastColumn="0" w:noHBand="0" w:noVBand="1"/>
      </w:tblPr>
      <w:tblGrid>
        <w:gridCol w:w="1837"/>
        <w:gridCol w:w="912"/>
        <w:gridCol w:w="910"/>
        <w:gridCol w:w="911"/>
        <w:gridCol w:w="911"/>
        <w:gridCol w:w="911"/>
        <w:gridCol w:w="911"/>
        <w:gridCol w:w="911"/>
        <w:gridCol w:w="1075"/>
      </w:tblGrid>
      <w:tr w:rsidR="00486288" w:rsidRPr="00290112" w14:paraId="5C864B07" w14:textId="77777777" w:rsidTr="00C749C0">
        <w:trPr>
          <w:trHeight w:val="300"/>
        </w:trPr>
        <w:tc>
          <w:tcPr>
            <w:tcW w:w="927" w:type="pct"/>
            <w:vMerge w:val="restart"/>
            <w:tcBorders>
              <w:top w:val="single" w:sz="8" w:space="0" w:color="auto"/>
              <w:left w:val="single" w:sz="8" w:space="0" w:color="auto"/>
              <w:bottom w:val="single" w:sz="8" w:space="0" w:color="auto"/>
              <w:right w:val="single" w:sz="8" w:space="0" w:color="auto"/>
            </w:tcBorders>
            <w:vAlign w:val="center"/>
            <w:hideMark/>
          </w:tcPr>
          <w:p w14:paraId="2F99061B"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VOTED APPROPRIATIONS</w:t>
            </w:r>
          </w:p>
        </w:tc>
        <w:tc>
          <w:tcPr>
            <w:tcW w:w="499" w:type="pct"/>
            <w:tcBorders>
              <w:top w:val="single" w:sz="8" w:space="0" w:color="auto"/>
              <w:left w:val="nil"/>
              <w:bottom w:val="single" w:sz="8" w:space="0" w:color="auto"/>
              <w:right w:val="single" w:sz="8" w:space="0" w:color="auto"/>
            </w:tcBorders>
            <w:vAlign w:val="center"/>
            <w:hideMark/>
          </w:tcPr>
          <w:p w14:paraId="1C8C0BA2"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498" w:type="pct"/>
            <w:tcBorders>
              <w:top w:val="single" w:sz="8" w:space="0" w:color="auto"/>
              <w:left w:val="nil"/>
              <w:bottom w:val="single" w:sz="8" w:space="0" w:color="auto"/>
              <w:right w:val="single" w:sz="8" w:space="0" w:color="auto"/>
            </w:tcBorders>
            <w:vAlign w:val="center"/>
            <w:hideMark/>
          </w:tcPr>
          <w:p w14:paraId="43A706D1"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498" w:type="pct"/>
            <w:tcBorders>
              <w:top w:val="single" w:sz="8" w:space="0" w:color="auto"/>
              <w:left w:val="nil"/>
              <w:bottom w:val="single" w:sz="8" w:space="0" w:color="auto"/>
              <w:right w:val="single" w:sz="8" w:space="0" w:color="auto"/>
            </w:tcBorders>
            <w:vAlign w:val="center"/>
            <w:hideMark/>
          </w:tcPr>
          <w:p w14:paraId="79BD45E8"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498" w:type="pct"/>
            <w:tcBorders>
              <w:top w:val="single" w:sz="8" w:space="0" w:color="auto"/>
              <w:left w:val="nil"/>
              <w:bottom w:val="single" w:sz="8" w:space="0" w:color="auto"/>
              <w:right w:val="single" w:sz="8" w:space="0" w:color="auto"/>
            </w:tcBorders>
            <w:vAlign w:val="center"/>
            <w:hideMark/>
          </w:tcPr>
          <w:p w14:paraId="6D2FC825"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498" w:type="pct"/>
            <w:tcBorders>
              <w:top w:val="single" w:sz="8" w:space="0" w:color="auto"/>
              <w:left w:val="single" w:sz="8" w:space="0" w:color="auto"/>
              <w:bottom w:val="single" w:sz="8" w:space="0" w:color="auto"/>
              <w:right w:val="single" w:sz="8" w:space="0" w:color="auto"/>
            </w:tcBorders>
            <w:vAlign w:val="center"/>
          </w:tcPr>
          <w:p w14:paraId="5D1E1ED0" w14:textId="77777777" w:rsidR="00486288" w:rsidRPr="00696BC2" w:rsidRDefault="00486288" w:rsidP="00445C9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498" w:type="pct"/>
            <w:tcBorders>
              <w:top w:val="single" w:sz="8" w:space="0" w:color="auto"/>
              <w:left w:val="single" w:sz="8" w:space="0" w:color="auto"/>
              <w:bottom w:val="single" w:sz="8" w:space="0" w:color="auto"/>
              <w:right w:val="single" w:sz="8" w:space="0" w:color="auto"/>
            </w:tcBorders>
            <w:vAlign w:val="center"/>
          </w:tcPr>
          <w:p w14:paraId="6790F6A4" w14:textId="77777777" w:rsidR="00486288" w:rsidRPr="00696BC2" w:rsidRDefault="00486288" w:rsidP="00445C9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498" w:type="pct"/>
            <w:tcBorders>
              <w:top w:val="single" w:sz="8" w:space="0" w:color="auto"/>
              <w:left w:val="single" w:sz="8" w:space="0" w:color="auto"/>
              <w:bottom w:val="single" w:sz="8" w:space="0" w:color="auto"/>
              <w:right w:val="single" w:sz="8" w:space="0" w:color="auto"/>
            </w:tcBorders>
            <w:vAlign w:val="center"/>
          </w:tcPr>
          <w:p w14:paraId="3F52CCB1" w14:textId="77777777" w:rsidR="00486288" w:rsidRPr="00696BC2" w:rsidRDefault="00486288" w:rsidP="00445C9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583" w:type="pct"/>
            <w:vMerge w:val="restart"/>
            <w:tcBorders>
              <w:top w:val="single" w:sz="8" w:space="0" w:color="auto"/>
              <w:left w:val="single" w:sz="8" w:space="0" w:color="auto"/>
              <w:bottom w:val="single" w:sz="8" w:space="0" w:color="auto"/>
              <w:right w:val="single" w:sz="8" w:space="0" w:color="auto"/>
            </w:tcBorders>
            <w:vAlign w:val="center"/>
            <w:hideMark/>
          </w:tcPr>
          <w:p w14:paraId="66837758"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TOTAL</w:t>
            </w:r>
            <w:r>
              <w:rPr>
                <w:b/>
                <w:bCs/>
                <w:noProof/>
                <w:color w:val="000000"/>
                <w:sz w:val="18"/>
                <w:szCs w:val="18"/>
                <w:lang w:val="en-IE" w:eastAsia="en-IE"/>
              </w:rPr>
              <w:t xml:space="preserve"> </w:t>
            </w:r>
            <w:r w:rsidRPr="00290112">
              <w:rPr>
                <w:b/>
                <w:bCs/>
                <w:noProof/>
                <w:color w:val="000000"/>
                <w:sz w:val="18"/>
                <w:szCs w:val="18"/>
                <w:lang w:val="en-IE" w:eastAsia="en-IE"/>
              </w:rPr>
              <w:t>202</w:t>
            </w:r>
            <w:r>
              <w:rPr>
                <w:b/>
                <w:bCs/>
                <w:noProof/>
                <w:color w:val="000000"/>
                <w:sz w:val="18"/>
                <w:szCs w:val="18"/>
                <w:lang w:val="en-IE" w:eastAsia="en-IE"/>
              </w:rPr>
              <w:t>8</w:t>
            </w:r>
            <w:r w:rsidRPr="00290112">
              <w:rPr>
                <w:b/>
                <w:bCs/>
                <w:noProof/>
                <w:color w:val="000000"/>
                <w:sz w:val="18"/>
                <w:szCs w:val="18"/>
                <w:lang w:val="en-IE" w:eastAsia="en-IE"/>
              </w:rPr>
              <w:t xml:space="preserve"> - 20</w:t>
            </w:r>
            <w:r>
              <w:rPr>
                <w:b/>
                <w:bCs/>
                <w:noProof/>
                <w:color w:val="000000"/>
                <w:sz w:val="18"/>
                <w:szCs w:val="18"/>
                <w:lang w:val="en-IE" w:eastAsia="en-IE"/>
              </w:rPr>
              <w:t>34</w:t>
            </w:r>
          </w:p>
        </w:tc>
      </w:tr>
      <w:tr w:rsidR="00486288" w:rsidRPr="00290112" w14:paraId="4C93DC40" w14:textId="77777777" w:rsidTr="00C749C0">
        <w:trPr>
          <w:trHeight w:val="300"/>
        </w:trPr>
        <w:tc>
          <w:tcPr>
            <w:tcW w:w="927" w:type="pct"/>
            <w:vMerge/>
            <w:tcBorders>
              <w:top w:val="single" w:sz="8" w:space="0" w:color="auto"/>
              <w:left w:val="single" w:sz="8" w:space="0" w:color="auto"/>
              <w:bottom w:val="single" w:sz="8" w:space="0" w:color="auto"/>
              <w:right w:val="single" w:sz="8" w:space="0" w:color="auto"/>
            </w:tcBorders>
            <w:vAlign w:val="center"/>
            <w:hideMark/>
          </w:tcPr>
          <w:p w14:paraId="26F92024" w14:textId="77777777" w:rsidR="00486288" w:rsidRPr="00290112" w:rsidRDefault="00486288" w:rsidP="00445C9D">
            <w:pPr>
              <w:spacing w:before="0" w:after="0"/>
              <w:jc w:val="left"/>
              <w:rPr>
                <w:b/>
                <w:bCs/>
                <w:noProof/>
                <w:color w:val="000000"/>
                <w:sz w:val="18"/>
                <w:szCs w:val="18"/>
                <w:lang w:val="en-IE" w:eastAsia="en-IE"/>
              </w:rPr>
            </w:pPr>
          </w:p>
        </w:tc>
        <w:tc>
          <w:tcPr>
            <w:tcW w:w="499" w:type="pct"/>
            <w:tcBorders>
              <w:top w:val="nil"/>
              <w:left w:val="nil"/>
              <w:bottom w:val="single" w:sz="8" w:space="0" w:color="auto"/>
              <w:right w:val="single" w:sz="8" w:space="0" w:color="auto"/>
            </w:tcBorders>
            <w:vAlign w:val="center"/>
            <w:hideMark/>
          </w:tcPr>
          <w:p w14:paraId="3E52BB54"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202</w:t>
            </w:r>
            <w:r>
              <w:rPr>
                <w:b/>
                <w:bCs/>
                <w:noProof/>
                <w:color w:val="000000"/>
                <w:sz w:val="18"/>
                <w:szCs w:val="18"/>
                <w:lang w:val="en-IE" w:eastAsia="en-IE"/>
              </w:rPr>
              <w:t>8</w:t>
            </w:r>
          </w:p>
        </w:tc>
        <w:tc>
          <w:tcPr>
            <w:tcW w:w="498" w:type="pct"/>
            <w:tcBorders>
              <w:top w:val="nil"/>
              <w:left w:val="nil"/>
              <w:bottom w:val="single" w:sz="8" w:space="0" w:color="auto"/>
              <w:right w:val="single" w:sz="8" w:space="0" w:color="auto"/>
            </w:tcBorders>
            <w:vAlign w:val="center"/>
            <w:hideMark/>
          </w:tcPr>
          <w:p w14:paraId="06E94C7A"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202</w:t>
            </w:r>
            <w:r>
              <w:rPr>
                <w:b/>
                <w:bCs/>
                <w:noProof/>
                <w:color w:val="000000"/>
                <w:sz w:val="18"/>
                <w:szCs w:val="18"/>
                <w:lang w:val="en-IE" w:eastAsia="en-IE"/>
              </w:rPr>
              <w:t>9</w:t>
            </w:r>
          </w:p>
        </w:tc>
        <w:tc>
          <w:tcPr>
            <w:tcW w:w="498" w:type="pct"/>
            <w:tcBorders>
              <w:top w:val="nil"/>
              <w:left w:val="nil"/>
              <w:bottom w:val="single" w:sz="8" w:space="0" w:color="auto"/>
              <w:right w:val="single" w:sz="8" w:space="0" w:color="auto"/>
            </w:tcBorders>
            <w:vAlign w:val="center"/>
            <w:hideMark/>
          </w:tcPr>
          <w:p w14:paraId="3F279852"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w:t>
            </w:r>
            <w:r>
              <w:rPr>
                <w:b/>
                <w:bCs/>
                <w:noProof/>
                <w:color w:val="000000"/>
                <w:sz w:val="18"/>
                <w:szCs w:val="18"/>
                <w:lang w:val="en-IE" w:eastAsia="en-IE"/>
              </w:rPr>
              <w:t>30</w:t>
            </w:r>
          </w:p>
        </w:tc>
        <w:tc>
          <w:tcPr>
            <w:tcW w:w="498" w:type="pct"/>
            <w:tcBorders>
              <w:top w:val="nil"/>
              <w:left w:val="nil"/>
              <w:bottom w:val="single" w:sz="8" w:space="0" w:color="auto"/>
              <w:right w:val="single" w:sz="8" w:space="0" w:color="auto"/>
            </w:tcBorders>
            <w:vAlign w:val="center"/>
            <w:hideMark/>
          </w:tcPr>
          <w:p w14:paraId="6D0B5DE0"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w:t>
            </w:r>
            <w:r>
              <w:rPr>
                <w:b/>
                <w:bCs/>
                <w:noProof/>
                <w:color w:val="000000"/>
                <w:sz w:val="18"/>
                <w:szCs w:val="18"/>
                <w:lang w:val="en-IE" w:eastAsia="en-IE"/>
              </w:rPr>
              <w:t>31</w:t>
            </w:r>
          </w:p>
        </w:tc>
        <w:tc>
          <w:tcPr>
            <w:tcW w:w="498" w:type="pct"/>
            <w:tcBorders>
              <w:top w:val="single" w:sz="8" w:space="0" w:color="auto"/>
              <w:left w:val="single" w:sz="8" w:space="0" w:color="auto"/>
              <w:bottom w:val="single" w:sz="8" w:space="0" w:color="auto"/>
              <w:right w:val="single" w:sz="8" w:space="0" w:color="auto"/>
            </w:tcBorders>
            <w:vAlign w:val="center"/>
          </w:tcPr>
          <w:p w14:paraId="681D3D47" w14:textId="77777777" w:rsidR="00486288" w:rsidRPr="00290112" w:rsidRDefault="00486288" w:rsidP="00445C9D">
            <w:pPr>
              <w:spacing w:before="0" w:after="0"/>
              <w:jc w:val="center"/>
              <w:rPr>
                <w:b/>
                <w:bCs/>
                <w:noProof/>
                <w:color w:val="000000"/>
                <w:sz w:val="18"/>
                <w:szCs w:val="18"/>
                <w:lang w:val="en-IE" w:eastAsia="en-IE"/>
              </w:rPr>
            </w:pPr>
            <w:r>
              <w:rPr>
                <w:b/>
                <w:bCs/>
                <w:noProof/>
                <w:color w:val="000000"/>
                <w:sz w:val="18"/>
                <w:szCs w:val="18"/>
                <w:lang w:val="en-IE" w:eastAsia="en-IE"/>
              </w:rPr>
              <w:t>2032</w:t>
            </w:r>
          </w:p>
        </w:tc>
        <w:tc>
          <w:tcPr>
            <w:tcW w:w="498" w:type="pct"/>
            <w:tcBorders>
              <w:top w:val="single" w:sz="8" w:space="0" w:color="auto"/>
              <w:left w:val="single" w:sz="8" w:space="0" w:color="auto"/>
              <w:bottom w:val="single" w:sz="8" w:space="0" w:color="auto"/>
              <w:right w:val="single" w:sz="8" w:space="0" w:color="auto"/>
            </w:tcBorders>
            <w:vAlign w:val="center"/>
          </w:tcPr>
          <w:p w14:paraId="44C4C401" w14:textId="77777777" w:rsidR="00486288" w:rsidRPr="00290112" w:rsidRDefault="00486288" w:rsidP="00445C9D">
            <w:pPr>
              <w:spacing w:before="0" w:after="0"/>
              <w:jc w:val="center"/>
              <w:rPr>
                <w:b/>
                <w:bCs/>
                <w:noProof/>
                <w:color w:val="000000"/>
                <w:sz w:val="18"/>
                <w:szCs w:val="18"/>
                <w:lang w:val="en-IE" w:eastAsia="en-IE"/>
              </w:rPr>
            </w:pPr>
            <w:r>
              <w:rPr>
                <w:b/>
                <w:bCs/>
                <w:noProof/>
                <w:color w:val="000000"/>
                <w:sz w:val="18"/>
                <w:szCs w:val="18"/>
                <w:lang w:val="en-IE" w:eastAsia="en-IE"/>
              </w:rPr>
              <w:t>2033</w:t>
            </w:r>
          </w:p>
        </w:tc>
        <w:tc>
          <w:tcPr>
            <w:tcW w:w="498" w:type="pct"/>
            <w:tcBorders>
              <w:top w:val="single" w:sz="8" w:space="0" w:color="auto"/>
              <w:left w:val="single" w:sz="8" w:space="0" w:color="auto"/>
              <w:bottom w:val="single" w:sz="8" w:space="0" w:color="auto"/>
              <w:right w:val="single" w:sz="8" w:space="0" w:color="auto"/>
            </w:tcBorders>
            <w:vAlign w:val="center"/>
          </w:tcPr>
          <w:p w14:paraId="4BA033D4" w14:textId="77777777" w:rsidR="00486288" w:rsidRPr="00290112" w:rsidRDefault="00486288" w:rsidP="00445C9D">
            <w:pPr>
              <w:spacing w:before="0" w:after="0"/>
              <w:jc w:val="center"/>
              <w:rPr>
                <w:b/>
                <w:bCs/>
                <w:noProof/>
                <w:color w:val="000000"/>
                <w:sz w:val="18"/>
                <w:szCs w:val="18"/>
                <w:lang w:val="en-IE" w:eastAsia="en-IE"/>
              </w:rPr>
            </w:pPr>
            <w:r>
              <w:rPr>
                <w:b/>
                <w:bCs/>
                <w:noProof/>
                <w:color w:val="000000"/>
                <w:sz w:val="18"/>
                <w:szCs w:val="18"/>
                <w:lang w:val="en-IE" w:eastAsia="en-IE"/>
              </w:rPr>
              <w:t>2034</w:t>
            </w:r>
          </w:p>
        </w:tc>
        <w:tc>
          <w:tcPr>
            <w:tcW w:w="583" w:type="pct"/>
            <w:vMerge/>
            <w:tcBorders>
              <w:top w:val="single" w:sz="8" w:space="0" w:color="auto"/>
              <w:left w:val="single" w:sz="8" w:space="0" w:color="auto"/>
              <w:bottom w:val="single" w:sz="8" w:space="0" w:color="auto"/>
              <w:right w:val="single" w:sz="8" w:space="0" w:color="auto"/>
            </w:tcBorders>
            <w:vAlign w:val="center"/>
            <w:hideMark/>
          </w:tcPr>
          <w:p w14:paraId="5BF12135" w14:textId="77777777" w:rsidR="00486288" w:rsidRPr="00290112" w:rsidRDefault="00486288" w:rsidP="00445C9D">
            <w:pPr>
              <w:spacing w:before="0" w:after="0"/>
              <w:jc w:val="left"/>
              <w:rPr>
                <w:b/>
                <w:bCs/>
                <w:noProof/>
                <w:color w:val="000000"/>
                <w:sz w:val="18"/>
                <w:szCs w:val="18"/>
                <w:lang w:val="en-IE" w:eastAsia="en-IE"/>
              </w:rPr>
            </w:pPr>
          </w:p>
        </w:tc>
      </w:tr>
      <w:tr w:rsidR="00486288" w:rsidRPr="00290112" w14:paraId="327BA44F" w14:textId="77777777" w:rsidTr="00445C9D">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5F754F9A" w14:textId="77777777" w:rsidR="00486288" w:rsidRPr="00290112" w:rsidRDefault="00486288" w:rsidP="00445C9D">
            <w:pPr>
              <w:spacing w:before="0" w:after="0"/>
              <w:jc w:val="center"/>
              <w:rPr>
                <w:b/>
                <w:bCs/>
                <w:noProof/>
                <w:sz w:val="16"/>
                <w:szCs w:val="16"/>
                <w:lang w:val="en-IE" w:eastAsia="en-IE"/>
              </w:rPr>
            </w:pPr>
            <w:r w:rsidRPr="00290112">
              <w:rPr>
                <w:b/>
                <w:bCs/>
                <w:noProof/>
                <w:sz w:val="16"/>
                <w:szCs w:val="16"/>
                <w:lang w:val="en-IE" w:eastAsia="en-IE"/>
              </w:rPr>
              <w:t xml:space="preserve">HEADING </w:t>
            </w:r>
            <w:r>
              <w:rPr>
                <w:b/>
                <w:bCs/>
                <w:noProof/>
                <w:sz w:val="16"/>
                <w:szCs w:val="16"/>
                <w:lang w:val="en-IE" w:eastAsia="en-IE"/>
              </w:rPr>
              <w:t>4</w:t>
            </w:r>
          </w:p>
        </w:tc>
      </w:tr>
      <w:tr w:rsidR="00D80845" w:rsidRPr="00290112" w14:paraId="09585064" w14:textId="77777777" w:rsidTr="00D80845">
        <w:trPr>
          <w:trHeight w:val="300"/>
        </w:trPr>
        <w:tc>
          <w:tcPr>
            <w:tcW w:w="927" w:type="pct"/>
            <w:tcBorders>
              <w:top w:val="nil"/>
              <w:left w:val="single" w:sz="8" w:space="0" w:color="auto"/>
              <w:bottom w:val="single" w:sz="8" w:space="0" w:color="auto"/>
              <w:right w:val="single" w:sz="8" w:space="0" w:color="auto"/>
            </w:tcBorders>
            <w:vAlign w:val="center"/>
            <w:hideMark/>
          </w:tcPr>
          <w:p w14:paraId="4C5B2A9D" w14:textId="77777777" w:rsidR="00C749C0" w:rsidRPr="00290112" w:rsidRDefault="00C749C0" w:rsidP="00C749C0">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499" w:type="pct"/>
            <w:tcBorders>
              <w:top w:val="nil"/>
              <w:left w:val="nil"/>
              <w:bottom w:val="single" w:sz="8" w:space="0" w:color="auto"/>
              <w:right w:val="single" w:sz="8" w:space="0" w:color="auto"/>
            </w:tcBorders>
            <w:shd w:val="clear" w:color="000000" w:fill="D9D9D9"/>
            <w:vAlign w:val="center"/>
            <w:hideMark/>
          </w:tcPr>
          <w:p w14:paraId="607EA08D" w14:textId="03E527AD" w:rsidR="00C749C0" w:rsidRPr="00DF2561" w:rsidRDefault="00C749C0" w:rsidP="00C749C0">
            <w:pPr>
              <w:spacing w:before="0" w:after="0"/>
              <w:jc w:val="right"/>
              <w:rPr>
                <w:b/>
                <w:bCs/>
                <w:noProof/>
                <w:color w:val="000000"/>
                <w:sz w:val="18"/>
                <w:szCs w:val="18"/>
                <w:lang w:val="en-IE" w:eastAsia="en-IE"/>
              </w:rPr>
            </w:pPr>
            <w:r>
              <w:rPr>
                <w:noProof/>
                <w:color w:val="000000"/>
                <w:sz w:val="16"/>
                <w:szCs w:val="16"/>
              </w:rPr>
              <w:t>3,451</w:t>
            </w:r>
          </w:p>
        </w:tc>
        <w:tc>
          <w:tcPr>
            <w:tcW w:w="498" w:type="pct"/>
            <w:tcBorders>
              <w:top w:val="nil"/>
              <w:left w:val="nil"/>
              <w:bottom w:val="single" w:sz="8" w:space="0" w:color="auto"/>
              <w:right w:val="single" w:sz="8" w:space="0" w:color="auto"/>
            </w:tcBorders>
            <w:shd w:val="clear" w:color="000000" w:fill="D9D9D9"/>
            <w:vAlign w:val="center"/>
            <w:hideMark/>
          </w:tcPr>
          <w:p w14:paraId="74E2210E" w14:textId="092FC4BC" w:rsidR="00C749C0" w:rsidRPr="00DF2561" w:rsidRDefault="00C749C0" w:rsidP="00C749C0">
            <w:pPr>
              <w:spacing w:before="0" w:after="0"/>
              <w:jc w:val="right"/>
              <w:rPr>
                <w:b/>
                <w:bCs/>
                <w:noProof/>
                <w:color w:val="000000"/>
                <w:sz w:val="18"/>
                <w:szCs w:val="18"/>
                <w:lang w:val="en-IE" w:eastAsia="en-IE"/>
              </w:rPr>
            </w:pPr>
            <w:r>
              <w:rPr>
                <w:noProof/>
                <w:color w:val="000000"/>
                <w:sz w:val="16"/>
                <w:szCs w:val="16"/>
              </w:rPr>
              <w:t>4,243</w:t>
            </w:r>
          </w:p>
        </w:tc>
        <w:tc>
          <w:tcPr>
            <w:tcW w:w="498" w:type="pct"/>
            <w:tcBorders>
              <w:top w:val="nil"/>
              <w:left w:val="nil"/>
              <w:bottom w:val="single" w:sz="8" w:space="0" w:color="auto"/>
              <w:right w:val="single" w:sz="8" w:space="0" w:color="auto"/>
            </w:tcBorders>
            <w:shd w:val="clear" w:color="000000" w:fill="D9D9D9"/>
            <w:vAlign w:val="center"/>
            <w:hideMark/>
          </w:tcPr>
          <w:p w14:paraId="221AFC24" w14:textId="089B0C35" w:rsidR="00C749C0" w:rsidRPr="00DF2561" w:rsidRDefault="00C749C0" w:rsidP="00C749C0">
            <w:pPr>
              <w:spacing w:before="0" w:after="0"/>
              <w:jc w:val="right"/>
              <w:rPr>
                <w:b/>
                <w:bCs/>
                <w:noProof/>
                <w:color w:val="000000"/>
                <w:sz w:val="18"/>
                <w:szCs w:val="18"/>
                <w:lang w:val="en-IE" w:eastAsia="en-IE"/>
              </w:rPr>
            </w:pPr>
            <w:r>
              <w:rPr>
                <w:noProof/>
                <w:color w:val="000000"/>
                <w:sz w:val="16"/>
                <w:szCs w:val="16"/>
              </w:rPr>
              <w:t>4,243</w:t>
            </w:r>
          </w:p>
        </w:tc>
        <w:tc>
          <w:tcPr>
            <w:tcW w:w="498" w:type="pct"/>
            <w:tcBorders>
              <w:top w:val="nil"/>
              <w:left w:val="nil"/>
              <w:bottom w:val="single" w:sz="8" w:space="0" w:color="auto"/>
              <w:right w:val="single" w:sz="8" w:space="0" w:color="auto"/>
            </w:tcBorders>
            <w:shd w:val="clear" w:color="000000" w:fill="D9D9D9"/>
            <w:vAlign w:val="center"/>
            <w:hideMark/>
          </w:tcPr>
          <w:p w14:paraId="0047B3D8" w14:textId="3F3011AA" w:rsidR="00C749C0" w:rsidRPr="00DF2561" w:rsidRDefault="00C749C0" w:rsidP="00C749C0">
            <w:pPr>
              <w:spacing w:before="0" w:after="0"/>
              <w:jc w:val="right"/>
              <w:rPr>
                <w:b/>
                <w:bCs/>
                <w:noProof/>
                <w:color w:val="000000"/>
                <w:sz w:val="18"/>
                <w:szCs w:val="18"/>
                <w:lang w:val="en-IE" w:eastAsia="en-IE"/>
              </w:rPr>
            </w:pPr>
            <w:r>
              <w:rPr>
                <w:noProof/>
                <w:color w:val="000000"/>
                <w:sz w:val="16"/>
                <w:szCs w:val="16"/>
              </w:rPr>
              <w:t>4,033</w:t>
            </w:r>
          </w:p>
        </w:tc>
        <w:tc>
          <w:tcPr>
            <w:tcW w:w="498" w:type="pct"/>
            <w:tcBorders>
              <w:top w:val="nil"/>
              <w:left w:val="nil"/>
              <w:bottom w:val="single" w:sz="8" w:space="0" w:color="auto"/>
              <w:right w:val="single" w:sz="4" w:space="0" w:color="auto"/>
            </w:tcBorders>
            <w:shd w:val="clear" w:color="000000" w:fill="D9D9D9"/>
            <w:vAlign w:val="center"/>
          </w:tcPr>
          <w:p w14:paraId="59CB12E0" w14:textId="32227A61" w:rsidR="00C749C0" w:rsidRPr="00DF2561" w:rsidRDefault="00C749C0" w:rsidP="00C749C0">
            <w:pPr>
              <w:spacing w:before="0" w:after="0"/>
              <w:jc w:val="center"/>
              <w:rPr>
                <w:b/>
                <w:bCs/>
                <w:noProof/>
                <w:color w:val="000000"/>
                <w:sz w:val="18"/>
                <w:szCs w:val="18"/>
                <w:lang w:val="en-IE" w:eastAsia="en-IE"/>
              </w:rPr>
            </w:pPr>
            <w:r>
              <w:rPr>
                <w:noProof/>
                <w:color w:val="000000"/>
                <w:sz w:val="16"/>
                <w:szCs w:val="16"/>
              </w:rPr>
              <w:t>4,033</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5E9FF810" w14:textId="6FBDA9FC" w:rsidR="00C749C0" w:rsidRPr="00DF2561" w:rsidRDefault="00C749C0" w:rsidP="00C749C0">
            <w:pPr>
              <w:spacing w:before="0" w:after="0"/>
              <w:jc w:val="center"/>
              <w:rPr>
                <w:b/>
                <w:bCs/>
                <w:noProof/>
                <w:color w:val="000000"/>
                <w:sz w:val="18"/>
                <w:szCs w:val="18"/>
                <w:lang w:val="en-IE" w:eastAsia="en-IE"/>
              </w:rPr>
            </w:pPr>
            <w:r>
              <w:rPr>
                <w:noProof/>
                <w:color w:val="000000"/>
                <w:sz w:val="16"/>
                <w:szCs w:val="16"/>
              </w:rPr>
              <w:t>4,033</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39FC5A20" w14:textId="5A2F2514" w:rsidR="00C749C0" w:rsidRPr="00DF2561" w:rsidRDefault="00C749C0" w:rsidP="00C749C0">
            <w:pPr>
              <w:spacing w:before="0" w:after="0"/>
              <w:jc w:val="center"/>
              <w:rPr>
                <w:b/>
                <w:bCs/>
                <w:noProof/>
                <w:color w:val="000000"/>
                <w:sz w:val="18"/>
                <w:szCs w:val="18"/>
                <w:lang w:val="en-IE" w:eastAsia="en-IE"/>
              </w:rPr>
            </w:pPr>
            <w:r>
              <w:rPr>
                <w:noProof/>
                <w:color w:val="000000"/>
                <w:sz w:val="16"/>
                <w:szCs w:val="16"/>
              </w:rPr>
              <w:t>4,033</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14:paraId="211A4F13" w14:textId="5DAE45E8" w:rsidR="00C749C0" w:rsidRPr="00DF2561" w:rsidRDefault="00C749C0" w:rsidP="00C749C0">
            <w:pPr>
              <w:spacing w:before="0" w:after="0"/>
              <w:jc w:val="right"/>
              <w:rPr>
                <w:b/>
                <w:bCs/>
                <w:noProof/>
                <w:color w:val="000000"/>
                <w:sz w:val="18"/>
                <w:szCs w:val="18"/>
                <w:lang w:val="en-IE" w:eastAsia="en-IE"/>
              </w:rPr>
            </w:pPr>
            <w:r>
              <w:rPr>
                <w:b/>
                <w:bCs/>
                <w:noProof/>
                <w:color w:val="000000"/>
                <w:sz w:val="16"/>
                <w:szCs w:val="16"/>
              </w:rPr>
              <w:t>28,069</w:t>
            </w:r>
          </w:p>
        </w:tc>
      </w:tr>
      <w:tr w:rsidR="00D80845" w:rsidRPr="00290112" w14:paraId="311E4904" w14:textId="77777777" w:rsidTr="00D80845">
        <w:trPr>
          <w:trHeight w:val="300"/>
        </w:trPr>
        <w:tc>
          <w:tcPr>
            <w:tcW w:w="927" w:type="pct"/>
            <w:tcBorders>
              <w:top w:val="nil"/>
              <w:left w:val="single" w:sz="8" w:space="0" w:color="auto"/>
              <w:bottom w:val="single" w:sz="8" w:space="0" w:color="auto"/>
              <w:right w:val="single" w:sz="8" w:space="0" w:color="auto"/>
            </w:tcBorders>
            <w:vAlign w:val="center"/>
            <w:hideMark/>
          </w:tcPr>
          <w:p w14:paraId="1C10C08E" w14:textId="77777777" w:rsidR="00C749C0" w:rsidRPr="00290112" w:rsidRDefault="00C749C0" w:rsidP="00C749C0">
            <w:pPr>
              <w:spacing w:before="0" w:after="0"/>
              <w:jc w:val="left"/>
              <w:rPr>
                <w:noProof/>
                <w:color w:val="000000"/>
                <w:sz w:val="16"/>
                <w:szCs w:val="16"/>
                <w:lang w:val="en-IE" w:eastAsia="en-IE"/>
              </w:rPr>
            </w:pPr>
            <w:r w:rsidRPr="00290112">
              <w:rPr>
                <w:noProof/>
                <w:color w:val="000000"/>
                <w:sz w:val="16"/>
                <w:szCs w:val="16"/>
                <w:lang w:val="en-IE" w:eastAsia="en-IE"/>
              </w:rPr>
              <w:t xml:space="preserve">Other administrative expenditure </w:t>
            </w:r>
          </w:p>
        </w:tc>
        <w:tc>
          <w:tcPr>
            <w:tcW w:w="499" w:type="pct"/>
            <w:tcBorders>
              <w:top w:val="nil"/>
              <w:left w:val="nil"/>
              <w:bottom w:val="single" w:sz="8" w:space="0" w:color="auto"/>
              <w:right w:val="single" w:sz="8" w:space="0" w:color="auto"/>
            </w:tcBorders>
            <w:shd w:val="clear" w:color="000000" w:fill="D9D9D9"/>
            <w:vAlign w:val="center"/>
            <w:hideMark/>
          </w:tcPr>
          <w:p w14:paraId="49B7D237" w14:textId="77777777" w:rsidR="00C749C0" w:rsidRPr="00DF2561" w:rsidRDefault="00C749C0" w:rsidP="00C749C0">
            <w:pPr>
              <w:spacing w:before="0" w:after="0"/>
              <w:jc w:val="right"/>
              <w:rPr>
                <w:b/>
                <w:bCs/>
                <w:noProof/>
                <w:color w:val="000000"/>
                <w:sz w:val="18"/>
                <w:szCs w:val="18"/>
                <w:lang w:val="en-IE" w:eastAsia="en-IE"/>
              </w:rPr>
            </w:pPr>
            <w:r>
              <w:rPr>
                <w:noProof/>
                <w:color w:val="000000"/>
                <w:sz w:val="16"/>
                <w:szCs w:val="16"/>
              </w:rPr>
              <w:t>0,200</w:t>
            </w:r>
          </w:p>
        </w:tc>
        <w:tc>
          <w:tcPr>
            <w:tcW w:w="498" w:type="pct"/>
            <w:tcBorders>
              <w:top w:val="nil"/>
              <w:left w:val="nil"/>
              <w:bottom w:val="single" w:sz="8" w:space="0" w:color="auto"/>
              <w:right w:val="single" w:sz="8" w:space="0" w:color="auto"/>
            </w:tcBorders>
            <w:shd w:val="clear" w:color="000000" w:fill="D9D9D9"/>
            <w:vAlign w:val="center"/>
            <w:hideMark/>
          </w:tcPr>
          <w:p w14:paraId="2C085E86" w14:textId="77777777" w:rsidR="00C749C0" w:rsidRPr="00DF2561" w:rsidRDefault="00C749C0" w:rsidP="00C749C0">
            <w:pPr>
              <w:spacing w:before="0" w:after="0"/>
              <w:jc w:val="right"/>
              <w:rPr>
                <w:b/>
                <w:bCs/>
                <w:noProof/>
                <w:color w:val="000000"/>
                <w:sz w:val="18"/>
                <w:szCs w:val="18"/>
                <w:lang w:val="en-IE" w:eastAsia="en-IE"/>
              </w:rPr>
            </w:pPr>
            <w:r>
              <w:rPr>
                <w:noProof/>
                <w:color w:val="000000"/>
                <w:sz w:val="16"/>
                <w:szCs w:val="16"/>
              </w:rPr>
              <w:t>0,200</w:t>
            </w:r>
          </w:p>
        </w:tc>
        <w:tc>
          <w:tcPr>
            <w:tcW w:w="498" w:type="pct"/>
            <w:tcBorders>
              <w:top w:val="nil"/>
              <w:left w:val="nil"/>
              <w:bottom w:val="single" w:sz="8" w:space="0" w:color="auto"/>
              <w:right w:val="single" w:sz="8" w:space="0" w:color="auto"/>
            </w:tcBorders>
            <w:shd w:val="clear" w:color="000000" w:fill="D9D9D9"/>
            <w:vAlign w:val="center"/>
            <w:hideMark/>
          </w:tcPr>
          <w:p w14:paraId="581F0CA6" w14:textId="77777777" w:rsidR="00C749C0" w:rsidRPr="00DF2561" w:rsidRDefault="00C749C0" w:rsidP="00C749C0">
            <w:pPr>
              <w:spacing w:before="0" w:after="0"/>
              <w:jc w:val="right"/>
              <w:rPr>
                <w:b/>
                <w:bCs/>
                <w:noProof/>
                <w:color w:val="000000"/>
                <w:sz w:val="18"/>
                <w:szCs w:val="18"/>
                <w:lang w:val="en-IE" w:eastAsia="en-IE"/>
              </w:rPr>
            </w:pPr>
            <w:r>
              <w:rPr>
                <w:noProof/>
                <w:color w:val="000000"/>
                <w:sz w:val="16"/>
                <w:szCs w:val="16"/>
              </w:rPr>
              <w:t>0,200</w:t>
            </w:r>
          </w:p>
        </w:tc>
        <w:tc>
          <w:tcPr>
            <w:tcW w:w="498" w:type="pct"/>
            <w:tcBorders>
              <w:top w:val="nil"/>
              <w:left w:val="nil"/>
              <w:bottom w:val="single" w:sz="8" w:space="0" w:color="auto"/>
              <w:right w:val="single" w:sz="8" w:space="0" w:color="auto"/>
            </w:tcBorders>
            <w:shd w:val="clear" w:color="000000" w:fill="D9D9D9"/>
            <w:vAlign w:val="center"/>
            <w:hideMark/>
          </w:tcPr>
          <w:p w14:paraId="3A353191" w14:textId="77777777" w:rsidR="00C749C0" w:rsidRPr="00DF2561" w:rsidRDefault="00C749C0" w:rsidP="00C749C0">
            <w:pPr>
              <w:spacing w:before="0" w:after="0"/>
              <w:jc w:val="right"/>
              <w:rPr>
                <w:b/>
                <w:bCs/>
                <w:noProof/>
                <w:color w:val="000000"/>
                <w:sz w:val="18"/>
                <w:szCs w:val="18"/>
                <w:lang w:val="en-IE" w:eastAsia="en-IE"/>
              </w:rPr>
            </w:pPr>
            <w:r>
              <w:rPr>
                <w:noProof/>
                <w:color w:val="000000"/>
                <w:sz w:val="16"/>
                <w:szCs w:val="16"/>
              </w:rPr>
              <w:t>0,200</w:t>
            </w:r>
          </w:p>
        </w:tc>
        <w:tc>
          <w:tcPr>
            <w:tcW w:w="498" w:type="pct"/>
            <w:tcBorders>
              <w:top w:val="nil"/>
              <w:left w:val="nil"/>
              <w:bottom w:val="single" w:sz="8" w:space="0" w:color="auto"/>
              <w:right w:val="single" w:sz="4" w:space="0" w:color="auto"/>
            </w:tcBorders>
            <w:shd w:val="clear" w:color="000000" w:fill="D9D9D9"/>
            <w:vAlign w:val="center"/>
          </w:tcPr>
          <w:p w14:paraId="25BB6BC8" w14:textId="77777777" w:rsidR="00C749C0" w:rsidRPr="00DF2561" w:rsidRDefault="00C749C0" w:rsidP="00C749C0">
            <w:pPr>
              <w:spacing w:before="0" w:after="0"/>
              <w:jc w:val="center"/>
              <w:rPr>
                <w:b/>
                <w:bCs/>
                <w:noProof/>
                <w:color w:val="000000"/>
                <w:sz w:val="18"/>
                <w:szCs w:val="18"/>
                <w:lang w:val="en-IE" w:eastAsia="en-IE"/>
              </w:rPr>
            </w:pPr>
            <w:r>
              <w:rPr>
                <w:noProof/>
                <w:color w:val="000000"/>
                <w:sz w:val="16"/>
                <w:szCs w:val="16"/>
              </w:rPr>
              <w:t>0,200</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2222A4E9" w14:textId="77777777" w:rsidR="00C749C0" w:rsidRPr="00DF2561" w:rsidRDefault="00C749C0" w:rsidP="00C749C0">
            <w:pPr>
              <w:spacing w:before="0" w:after="0"/>
              <w:jc w:val="center"/>
              <w:rPr>
                <w:b/>
                <w:bCs/>
                <w:noProof/>
                <w:color w:val="000000"/>
                <w:sz w:val="18"/>
                <w:szCs w:val="18"/>
                <w:lang w:val="en-IE" w:eastAsia="en-IE"/>
              </w:rPr>
            </w:pPr>
            <w:r>
              <w:rPr>
                <w:noProof/>
                <w:color w:val="000000"/>
                <w:sz w:val="16"/>
                <w:szCs w:val="16"/>
              </w:rPr>
              <w:t>0,200</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261D3C8A" w14:textId="77777777" w:rsidR="00C749C0" w:rsidRPr="00DF2561" w:rsidRDefault="00C749C0" w:rsidP="00C749C0">
            <w:pPr>
              <w:spacing w:before="0" w:after="0"/>
              <w:jc w:val="center"/>
              <w:rPr>
                <w:b/>
                <w:bCs/>
                <w:noProof/>
                <w:color w:val="000000"/>
                <w:sz w:val="18"/>
                <w:szCs w:val="18"/>
                <w:lang w:val="en-IE" w:eastAsia="en-IE"/>
              </w:rPr>
            </w:pPr>
            <w:r>
              <w:rPr>
                <w:noProof/>
                <w:color w:val="000000"/>
                <w:sz w:val="16"/>
                <w:szCs w:val="16"/>
              </w:rPr>
              <w:t>0,200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14:paraId="4AA82EF5" w14:textId="77777777" w:rsidR="00C749C0" w:rsidRPr="00DF2561" w:rsidRDefault="00C749C0" w:rsidP="00C749C0">
            <w:pPr>
              <w:spacing w:before="0" w:after="0"/>
              <w:jc w:val="right"/>
              <w:rPr>
                <w:b/>
                <w:bCs/>
                <w:noProof/>
                <w:color w:val="000000"/>
                <w:sz w:val="18"/>
                <w:szCs w:val="18"/>
                <w:lang w:val="en-IE" w:eastAsia="en-IE"/>
              </w:rPr>
            </w:pPr>
            <w:r>
              <w:rPr>
                <w:b/>
                <w:bCs/>
                <w:noProof/>
                <w:color w:val="000000"/>
                <w:sz w:val="16"/>
                <w:szCs w:val="16"/>
              </w:rPr>
              <w:t>1,400</w:t>
            </w:r>
          </w:p>
        </w:tc>
      </w:tr>
      <w:tr w:rsidR="00D80845" w:rsidRPr="00290112" w14:paraId="2CC43A7F" w14:textId="77777777" w:rsidTr="00D80845">
        <w:trPr>
          <w:trHeight w:val="300"/>
        </w:trPr>
        <w:tc>
          <w:tcPr>
            <w:tcW w:w="927" w:type="pct"/>
            <w:tcBorders>
              <w:top w:val="nil"/>
              <w:left w:val="single" w:sz="8" w:space="0" w:color="auto"/>
              <w:bottom w:val="single" w:sz="8" w:space="0" w:color="auto"/>
              <w:right w:val="single" w:sz="8" w:space="0" w:color="auto"/>
            </w:tcBorders>
            <w:shd w:val="clear" w:color="000000" w:fill="CCCCCC"/>
            <w:vAlign w:val="center"/>
            <w:hideMark/>
          </w:tcPr>
          <w:p w14:paraId="71E3FA63" w14:textId="77777777" w:rsidR="00C749C0" w:rsidRPr="00290112" w:rsidRDefault="00C749C0" w:rsidP="00C749C0">
            <w:pPr>
              <w:spacing w:before="0" w:after="0"/>
              <w:jc w:val="center"/>
              <w:rPr>
                <w:b/>
                <w:bCs/>
                <w:noProof/>
                <w:color w:val="000000"/>
                <w:sz w:val="16"/>
                <w:szCs w:val="16"/>
                <w:lang w:val="en-IE" w:eastAsia="en-IE"/>
              </w:rPr>
            </w:pPr>
            <w:r w:rsidRPr="00290112">
              <w:rPr>
                <w:b/>
                <w:bCs/>
                <w:noProof/>
                <w:color w:val="000000"/>
                <w:sz w:val="16"/>
                <w:szCs w:val="16"/>
                <w:lang w:val="en-IE" w:eastAsia="en-IE"/>
              </w:rPr>
              <w:t xml:space="preserve">Subtotal HEADING </w:t>
            </w:r>
            <w:r>
              <w:rPr>
                <w:b/>
                <w:bCs/>
                <w:noProof/>
                <w:color w:val="000000"/>
                <w:sz w:val="16"/>
                <w:szCs w:val="16"/>
                <w:lang w:val="en-IE" w:eastAsia="en-IE"/>
              </w:rPr>
              <w:t>4</w:t>
            </w:r>
          </w:p>
        </w:tc>
        <w:tc>
          <w:tcPr>
            <w:tcW w:w="499" w:type="pct"/>
            <w:tcBorders>
              <w:top w:val="nil"/>
              <w:left w:val="nil"/>
              <w:bottom w:val="single" w:sz="8" w:space="0" w:color="auto"/>
              <w:right w:val="single" w:sz="8" w:space="0" w:color="auto"/>
            </w:tcBorders>
            <w:shd w:val="clear" w:color="000000" w:fill="D9D9D9"/>
            <w:vAlign w:val="center"/>
            <w:hideMark/>
          </w:tcPr>
          <w:p w14:paraId="5209A34C" w14:textId="01BCC6BA" w:rsidR="00C749C0" w:rsidRPr="00DF2561" w:rsidRDefault="00C749C0" w:rsidP="00C749C0">
            <w:pPr>
              <w:spacing w:before="0" w:after="0"/>
              <w:jc w:val="right"/>
              <w:rPr>
                <w:b/>
                <w:bCs/>
                <w:noProof/>
                <w:color w:val="000000"/>
                <w:sz w:val="18"/>
                <w:szCs w:val="18"/>
                <w:lang w:val="en-IE" w:eastAsia="en-IE"/>
              </w:rPr>
            </w:pPr>
            <w:r>
              <w:rPr>
                <w:b/>
                <w:bCs/>
                <w:noProof/>
                <w:color w:val="000000"/>
                <w:sz w:val="16"/>
                <w:szCs w:val="16"/>
              </w:rPr>
              <w:t>3,651</w:t>
            </w:r>
          </w:p>
        </w:tc>
        <w:tc>
          <w:tcPr>
            <w:tcW w:w="498" w:type="pct"/>
            <w:tcBorders>
              <w:top w:val="nil"/>
              <w:left w:val="nil"/>
              <w:bottom w:val="single" w:sz="8" w:space="0" w:color="auto"/>
              <w:right w:val="single" w:sz="8" w:space="0" w:color="auto"/>
            </w:tcBorders>
            <w:shd w:val="clear" w:color="000000" w:fill="D9D9D9"/>
            <w:vAlign w:val="center"/>
            <w:hideMark/>
          </w:tcPr>
          <w:p w14:paraId="56CA73D9" w14:textId="42208132" w:rsidR="00C749C0" w:rsidRPr="00DF2561" w:rsidRDefault="00C749C0" w:rsidP="00C749C0">
            <w:pPr>
              <w:spacing w:before="0" w:after="0"/>
              <w:jc w:val="right"/>
              <w:rPr>
                <w:b/>
                <w:bCs/>
                <w:noProof/>
                <w:color w:val="000000"/>
                <w:sz w:val="18"/>
                <w:szCs w:val="18"/>
                <w:lang w:val="en-IE" w:eastAsia="en-IE"/>
              </w:rPr>
            </w:pPr>
            <w:r>
              <w:rPr>
                <w:b/>
                <w:bCs/>
                <w:noProof/>
                <w:color w:val="000000"/>
                <w:sz w:val="16"/>
                <w:szCs w:val="16"/>
              </w:rPr>
              <w:t>4,443</w:t>
            </w:r>
          </w:p>
        </w:tc>
        <w:tc>
          <w:tcPr>
            <w:tcW w:w="498" w:type="pct"/>
            <w:tcBorders>
              <w:top w:val="nil"/>
              <w:left w:val="nil"/>
              <w:bottom w:val="single" w:sz="8" w:space="0" w:color="auto"/>
              <w:right w:val="single" w:sz="8" w:space="0" w:color="auto"/>
            </w:tcBorders>
            <w:shd w:val="clear" w:color="000000" w:fill="D9D9D9"/>
            <w:vAlign w:val="center"/>
            <w:hideMark/>
          </w:tcPr>
          <w:p w14:paraId="2FCB327C" w14:textId="74093AC6" w:rsidR="00C749C0" w:rsidRPr="00DF2561" w:rsidRDefault="00C749C0" w:rsidP="00C749C0">
            <w:pPr>
              <w:spacing w:before="0" w:after="0"/>
              <w:jc w:val="right"/>
              <w:rPr>
                <w:b/>
                <w:bCs/>
                <w:noProof/>
                <w:color w:val="000000"/>
                <w:sz w:val="18"/>
                <w:szCs w:val="18"/>
                <w:lang w:val="en-IE" w:eastAsia="en-IE"/>
              </w:rPr>
            </w:pPr>
            <w:r>
              <w:rPr>
                <w:b/>
                <w:bCs/>
                <w:noProof/>
                <w:color w:val="000000"/>
                <w:sz w:val="16"/>
                <w:szCs w:val="16"/>
              </w:rPr>
              <w:t>4,443</w:t>
            </w:r>
          </w:p>
        </w:tc>
        <w:tc>
          <w:tcPr>
            <w:tcW w:w="498" w:type="pct"/>
            <w:tcBorders>
              <w:top w:val="nil"/>
              <w:left w:val="nil"/>
              <w:bottom w:val="single" w:sz="8" w:space="0" w:color="auto"/>
              <w:right w:val="single" w:sz="8" w:space="0" w:color="auto"/>
            </w:tcBorders>
            <w:shd w:val="clear" w:color="000000" w:fill="D9D9D9"/>
            <w:vAlign w:val="center"/>
            <w:hideMark/>
          </w:tcPr>
          <w:p w14:paraId="215C930B" w14:textId="2120A615" w:rsidR="00C749C0" w:rsidRPr="00DF2561" w:rsidRDefault="00C749C0" w:rsidP="00C749C0">
            <w:pPr>
              <w:spacing w:before="0" w:after="0"/>
              <w:jc w:val="right"/>
              <w:rPr>
                <w:b/>
                <w:bCs/>
                <w:noProof/>
                <w:color w:val="000000"/>
                <w:sz w:val="18"/>
                <w:szCs w:val="18"/>
                <w:lang w:val="en-IE" w:eastAsia="en-IE"/>
              </w:rPr>
            </w:pPr>
            <w:r>
              <w:rPr>
                <w:b/>
                <w:bCs/>
                <w:noProof/>
                <w:color w:val="000000"/>
                <w:sz w:val="16"/>
                <w:szCs w:val="16"/>
              </w:rPr>
              <w:t>4,233</w:t>
            </w:r>
          </w:p>
        </w:tc>
        <w:tc>
          <w:tcPr>
            <w:tcW w:w="498" w:type="pct"/>
            <w:tcBorders>
              <w:top w:val="nil"/>
              <w:left w:val="nil"/>
              <w:bottom w:val="single" w:sz="8" w:space="0" w:color="auto"/>
              <w:right w:val="single" w:sz="4" w:space="0" w:color="auto"/>
            </w:tcBorders>
            <w:shd w:val="clear" w:color="000000" w:fill="D9D9D9"/>
            <w:vAlign w:val="center"/>
          </w:tcPr>
          <w:p w14:paraId="7781D839" w14:textId="7C9039AF" w:rsidR="00C749C0" w:rsidRPr="00DF2561" w:rsidRDefault="00C749C0" w:rsidP="00C749C0">
            <w:pPr>
              <w:spacing w:before="0" w:after="0"/>
              <w:jc w:val="center"/>
              <w:rPr>
                <w:b/>
                <w:bCs/>
                <w:noProof/>
                <w:color w:val="000000"/>
                <w:sz w:val="18"/>
                <w:szCs w:val="18"/>
                <w:lang w:val="en-IE" w:eastAsia="en-IE"/>
              </w:rPr>
            </w:pPr>
            <w:r>
              <w:rPr>
                <w:b/>
                <w:bCs/>
                <w:noProof/>
                <w:color w:val="000000"/>
                <w:sz w:val="16"/>
                <w:szCs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4B50EAA2" w14:textId="4401E868" w:rsidR="00C749C0" w:rsidRPr="00DF2561" w:rsidRDefault="00C749C0" w:rsidP="00C749C0">
            <w:pPr>
              <w:spacing w:before="0" w:after="0"/>
              <w:jc w:val="center"/>
              <w:rPr>
                <w:b/>
                <w:bCs/>
                <w:noProof/>
                <w:color w:val="000000"/>
                <w:sz w:val="18"/>
                <w:szCs w:val="18"/>
                <w:lang w:val="en-IE" w:eastAsia="en-IE"/>
              </w:rPr>
            </w:pPr>
            <w:r>
              <w:rPr>
                <w:b/>
                <w:bCs/>
                <w:noProof/>
                <w:color w:val="000000"/>
                <w:sz w:val="16"/>
                <w:szCs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7A46204A" w14:textId="183DC51C" w:rsidR="00C749C0" w:rsidRPr="00DF2561" w:rsidRDefault="00C749C0" w:rsidP="00C749C0">
            <w:pPr>
              <w:spacing w:before="0" w:after="0"/>
              <w:jc w:val="center"/>
              <w:rPr>
                <w:b/>
                <w:bCs/>
                <w:noProof/>
                <w:color w:val="000000"/>
                <w:sz w:val="18"/>
                <w:szCs w:val="18"/>
                <w:lang w:val="en-IE" w:eastAsia="en-IE"/>
              </w:rPr>
            </w:pPr>
            <w:r>
              <w:rPr>
                <w:b/>
                <w:bCs/>
                <w:noProof/>
                <w:color w:val="000000"/>
                <w:sz w:val="16"/>
                <w:szCs w:val="16"/>
              </w:rPr>
              <w:t>4,233</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14:paraId="6F51B61C" w14:textId="14BF8928" w:rsidR="00C749C0" w:rsidRPr="00DF2561" w:rsidRDefault="00C749C0" w:rsidP="00C749C0">
            <w:pPr>
              <w:spacing w:before="0" w:after="0"/>
              <w:jc w:val="right"/>
              <w:rPr>
                <w:b/>
                <w:bCs/>
                <w:noProof/>
                <w:color w:val="000000"/>
                <w:sz w:val="18"/>
                <w:szCs w:val="18"/>
                <w:lang w:val="en-IE" w:eastAsia="en-IE"/>
              </w:rPr>
            </w:pPr>
            <w:r>
              <w:rPr>
                <w:b/>
                <w:bCs/>
                <w:noProof/>
                <w:color w:val="000000"/>
                <w:sz w:val="16"/>
                <w:szCs w:val="16"/>
              </w:rPr>
              <w:t>29,469</w:t>
            </w:r>
          </w:p>
        </w:tc>
      </w:tr>
      <w:tr w:rsidR="00486288" w:rsidRPr="00290112" w14:paraId="7AA0A00B" w14:textId="77777777" w:rsidTr="00445C9D">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7F04EA62" w14:textId="77777777" w:rsidR="00486288" w:rsidRPr="00290112" w:rsidRDefault="00486288" w:rsidP="00445C9D">
            <w:pPr>
              <w:spacing w:before="0" w:after="0"/>
              <w:jc w:val="center"/>
              <w:rPr>
                <w:b/>
                <w:bCs/>
                <w:noProof/>
                <w:sz w:val="16"/>
                <w:szCs w:val="16"/>
                <w:lang w:val="en-IE" w:eastAsia="en-IE"/>
              </w:rPr>
            </w:pPr>
            <w:r w:rsidRPr="00290112">
              <w:rPr>
                <w:b/>
                <w:bCs/>
                <w:noProof/>
                <w:sz w:val="16"/>
                <w:szCs w:val="16"/>
                <w:lang w:val="en-IE" w:eastAsia="en-IE"/>
              </w:rPr>
              <w:t xml:space="preserve">Outside HEADING </w:t>
            </w:r>
            <w:r>
              <w:rPr>
                <w:b/>
                <w:bCs/>
                <w:noProof/>
                <w:sz w:val="16"/>
                <w:szCs w:val="16"/>
                <w:lang w:val="en-IE" w:eastAsia="en-IE"/>
              </w:rPr>
              <w:t>4</w:t>
            </w:r>
          </w:p>
        </w:tc>
      </w:tr>
      <w:tr w:rsidR="00486288" w:rsidRPr="00290112" w14:paraId="663D878B" w14:textId="77777777" w:rsidTr="00C749C0">
        <w:trPr>
          <w:trHeight w:val="300"/>
        </w:trPr>
        <w:tc>
          <w:tcPr>
            <w:tcW w:w="927" w:type="pct"/>
            <w:tcBorders>
              <w:top w:val="nil"/>
              <w:left w:val="single" w:sz="8" w:space="0" w:color="auto"/>
              <w:bottom w:val="single" w:sz="8" w:space="0" w:color="auto"/>
              <w:right w:val="single" w:sz="8" w:space="0" w:color="auto"/>
            </w:tcBorders>
            <w:vAlign w:val="center"/>
            <w:hideMark/>
          </w:tcPr>
          <w:p w14:paraId="7F28BC4E" w14:textId="77777777" w:rsidR="00486288" w:rsidRPr="00290112" w:rsidRDefault="00486288" w:rsidP="00445C9D">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499" w:type="pct"/>
            <w:tcBorders>
              <w:top w:val="nil"/>
              <w:left w:val="nil"/>
              <w:bottom w:val="single" w:sz="8" w:space="0" w:color="auto"/>
              <w:right w:val="single" w:sz="8" w:space="0" w:color="auto"/>
            </w:tcBorders>
            <w:shd w:val="clear" w:color="000000" w:fill="D9D9D9"/>
            <w:vAlign w:val="center"/>
            <w:hideMark/>
          </w:tcPr>
          <w:p w14:paraId="58CCF558"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14:paraId="49ED184B"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14:paraId="27C9E198"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14:paraId="06E050B9"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nil"/>
              <w:bottom w:val="single" w:sz="8" w:space="0" w:color="auto"/>
              <w:right w:val="single" w:sz="4" w:space="0" w:color="auto"/>
            </w:tcBorders>
            <w:shd w:val="clear" w:color="000000" w:fill="D9D9D9"/>
            <w:vAlign w:val="center"/>
          </w:tcPr>
          <w:p w14:paraId="66858E24"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2CAAD91D"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315805CD"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14:paraId="18E36244" w14:textId="77777777" w:rsidR="00486288" w:rsidRPr="00290112" w:rsidRDefault="00486288" w:rsidP="00445C9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r>
      <w:tr w:rsidR="00486288" w:rsidRPr="00290112" w14:paraId="10E335EC" w14:textId="77777777" w:rsidTr="00C749C0">
        <w:trPr>
          <w:trHeight w:val="300"/>
        </w:trPr>
        <w:tc>
          <w:tcPr>
            <w:tcW w:w="927" w:type="pct"/>
            <w:tcBorders>
              <w:top w:val="nil"/>
              <w:left w:val="single" w:sz="8" w:space="0" w:color="auto"/>
              <w:bottom w:val="single" w:sz="8" w:space="0" w:color="auto"/>
              <w:right w:val="single" w:sz="8" w:space="0" w:color="auto"/>
            </w:tcBorders>
            <w:vAlign w:val="center"/>
            <w:hideMark/>
          </w:tcPr>
          <w:p w14:paraId="6185CC37" w14:textId="77777777" w:rsidR="00486288" w:rsidRPr="00290112" w:rsidRDefault="00486288" w:rsidP="00445C9D">
            <w:pPr>
              <w:spacing w:before="0" w:after="0"/>
              <w:jc w:val="left"/>
              <w:rPr>
                <w:noProof/>
                <w:color w:val="000000"/>
                <w:sz w:val="16"/>
                <w:szCs w:val="16"/>
                <w:lang w:val="en-IE" w:eastAsia="en-IE"/>
              </w:rPr>
            </w:pPr>
            <w:r w:rsidRPr="00290112">
              <w:rPr>
                <w:noProof/>
                <w:color w:val="000000"/>
                <w:sz w:val="16"/>
                <w:szCs w:val="16"/>
                <w:lang w:val="en-IE" w:eastAsia="en-IE"/>
              </w:rPr>
              <w:t>Other expenditure of an administrative nature</w:t>
            </w:r>
          </w:p>
        </w:tc>
        <w:tc>
          <w:tcPr>
            <w:tcW w:w="499" w:type="pct"/>
            <w:tcBorders>
              <w:top w:val="nil"/>
              <w:left w:val="nil"/>
              <w:bottom w:val="single" w:sz="8" w:space="0" w:color="auto"/>
              <w:right w:val="single" w:sz="8" w:space="0" w:color="auto"/>
            </w:tcBorders>
            <w:shd w:val="clear" w:color="000000" w:fill="D9D9D9"/>
            <w:vAlign w:val="center"/>
            <w:hideMark/>
          </w:tcPr>
          <w:p w14:paraId="64F84952"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14:paraId="2421CBD9"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14:paraId="3F95FD61"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14:paraId="782638E4"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nil"/>
              <w:bottom w:val="single" w:sz="8" w:space="0" w:color="auto"/>
              <w:right w:val="single" w:sz="4" w:space="0" w:color="auto"/>
            </w:tcBorders>
            <w:shd w:val="clear" w:color="000000" w:fill="D9D9D9"/>
            <w:vAlign w:val="center"/>
          </w:tcPr>
          <w:p w14:paraId="6D618E0B"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529328B7"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728DE3E5"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14:paraId="486CCC37" w14:textId="77777777" w:rsidR="00486288" w:rsidRPr="00290112" w:rsidRDefault="00486288" w:rsidP="00445C9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r>
      <w:tr w:rsidR="00486288" w:rsidRPr="00290112" w14:paraId="6B614B10" w14:textId="77777777" w:rsidTr="00C749C0">
        <w:trPr>
          <w:trHeight w:val="300"/>
        </w:trPr>
        <w:tc>
          <w:tcPr>
            <w:tcW w:w="927" w:type="pct"/>
            <w:tcBorders>
              <w:top w:val="nil"/>
              <w:left w:val="single" w:sz="8" w:space="0" w:color="auto"/>
              <w:bottom w:val="single" w:sz="8" w:space="0" w:color="auto"/>
              <w:right w:val="single" w:sz="8" w:space="0" w:color="auto"/>
            </w:tcBorders>
            <w:shd w:val="clear" w:color="000000" w:fill="CCCCCC"/>
            <w:vAlign w:val="center"/>
            <w:hideMark/>
          </w:tcPr>
          <w:p w14:paraId="77984D56" w14:textId="77777777" w:rsidR="00486288" w:rsidRPr="00290112" w:rsidRDefault="00486288" w:rsidP="00445C9D">
            <w:pPr>
              <w:spacing w:before="0" w:after="0"/>
              <w:jc w:val="center"/>
              <w:rPr>
                <w:b/>
                <w:bCs/>
                <w:noProof/>
                <w:color w:val="000000"/>
                <w:sz w:val="16"/>
                <w:szCs w:val="16"/>
                <w:lang w:val="en-IE" w:eastAsia="en-IE"/>
              </w:rPr>
            </w:pPr>
            <w:r w:rsidRPr="00290112">
              <w:rPr>
                <w:b/>
                <w:bCs/>
                <w:noProof/>
                <w:color w:val="000000"/>
                <w:sz w:val="16"/>
                <w:szCs w:val="16"/>
                <w:lang w:val="en-IE" w:eastAsia="en-IE"/>
              </w:rPr>
              <w:t xml:space="preserve">Subtotal outside HEADING </w:t>
            </w:r>
            <w:r>
              <w:rPr>
                <w:b/>
                <w:bCs/>
                <w:noProof/>
                <w:color w:val="000000"/>
                <w:sz w:val="16"/>
                <w:szCs w:val="16"/>
                <w:lang w:val="en-IE" w:eastAsia="en-IE"/>
              </w:rPr>
              <w:t>4</w:t>
            </w:r>
          </w:p>
        </w:tc>
        <w:tc>
          <w:tcPr>
            <w:tcW w:w="499" w:type="pct"/>
            <w:tcBorders>
              <w:top w:val="nil"/>
              <w:left w:val="nil"/>
              <w:bottom w:val="single" w:sz="8" w:space="0" w:color="auto"/>
              <w:right w:val="single" w:sz="8" w:space="0" w:color="auto"/>
            </w:tcBorders>
            <w:shd w:val="clear" w:color="000000" w:fill="D9D9D9"/>
            <w:vAlign w:val="center"/>
            <w:hideMark/>
          </w:tcPr>
          <w:p w14:paraId="28DBDBB2" w14:textId="77777777" w:rsidR="00486288" w:rsidRPr="00290112" w:rsidRDefault="00486288" w:rsidP="00445C9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14:paraId="15881475" w14:textId="77777777" w:rsidR="00486288" w:rsidRPr="00290112" w:rsidRDefault="00486288" w:rsidP="00445C9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14:paraId="20858959" w14:textId="77777777" w:rsidR="00486288" w:rsidRPr="00290112" w:rsidRDefault="00486288" w:rsidP="00445C9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14:paraId="3DF2E1B1" w14:textId="77777777" w:rsidR="00486288" w:rsidRPr="00290112" w:rsidRDefault="00486288" w:rsidP="00445C9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c>
          <w:tcPr>
            <w:tcW w:w="498" w:type="pct"/>
            <w:tcBorders>
              <w:top w:val="nil"/>
              <w:left w:val="nil"/>
              <w:bottom w:val="single" w:sz="8" w:space="0" w:color="auto"/>
              <w:right w:val="single" w:sz="4" w:space="0" w:color="auto"/>
            </w:tcBorders>
            <w:shd w:val="clear" w:color="000000" w:fill="D9D9D9"/>
            <w:vAlign w:val="center"/>
          </w:tcPr>
          <w:p w14:paraId="29C90C48" w14:textId="77777777" w:rsidR="00486288" w:rsidRPr="00290112" w:rsidRDefault="00486288" w:rsidP="00445C9D">
            <w:pPr>
              <w:spacing w:before="0" w:after="0"/>
              <w:jc w:val="center"/>
              <w:rPr>
                <w:b/>
                <w:bCs/>
                <w:noProof/>
                <w:color w:val="000000"/>
                <w:sz w:val="16"/>
                <w:szCs w:val="16"/>
                <w:lang w:val="en-IE" w:eastAsia="en-IE"/>
              </w:rPr>
            </w:pPr>
            <w:r w:rsidRPr="00290112">
              <w:rPr>
                <w:b/>
                <w:bCs/>
                <w:noProof/>
                <w:color w:val="000000"/>
                <w:sz w:val="16"/>
                <w:szCs w:val="16"/>
                <w:lang w:val="en-IE" w:eastAsia="en-IE"/>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20E8FCDA" w14:textId="77777777" w:rsidR="00486288" w:rsidRPr="00290112" w:rsidRDefault="00486288" w:rsidP="00445C9D">
            <w:pPr>
              <w:spacing w:before="0" w:after="0"/>
              <w:jc w:val="center"/>
              <w:rPr>
                <w:b/>
                <w:bCs/>
                <w:noProof/>
                <w:color w:val="000000"/>
                <w:sz w:val="16"/>
                <w:szCs w:val="16"/>
                <w:lang w:val="en-IE" w:eastAsia="en-IE"/>
              </w:rPr>
            </w:pPr>
            <w:r w:rsidRPr="00290112">
              <w:rPr>
                <w:b/>
                <w:bCs/>
                <w:noProof/>
                <w:color w:val="000000"/>
                <w:sz w:val="16"/>
                <w:szCs w:val="16"/>
                <w:lang w:val="en-IE" w:eastAsia="en-IE"/>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2538F0BE" w14:textId="77777777" w:rsidR="00486288" w:rsidRPr="00290112" w:rsidRDefault="00486288" w:rsidP="00445C9D">
            <w:pPr>
              <w:spacing w:before="0" w:after="0"/>
              <w:jc w:val="center"/>
              <w:rPr>
                <w:b/>
                <w:bCs/>
                <w:noProof/>
                <w:color w:val="000000"/>
                <w:sz w:val="16"/>
                <w:szCs w:val="16"/>
                <w:lang w:val="en-IE" w:eastAsia="en-IE"/>
              </w:rPr>
            </w:pPr>
            <w:r w:rsidRPr="00290112">
              <w:rPr>
                <w:b/>
                <w:bCs/>
                <w:noProof/>
                <w:color w:val="000000"/>
                <w:sz w:val="16"/>
                <w:szCs w:val="16"/>
                <w:lang w:val="en-IE" w:eastAsia="en-IE"/>
              </w:rPr>
              <w:t>0.000</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14:paraId="14786FAF" w14:textId="77777777" w:rsidR="00486288" w:rsidRPr="00290112" w:rsidRDefault="00486288" w:rsidP="00445C9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r>
      <w:tr w:rsidR="00486288" w:rsidRPr="00290112" w14:paraId="4E9B3E15" w14:textId="77777777" w:rsidTr="00445C9D">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0E899163" w14:textId="77777777" w:rsidR="00486288" w:rsidRPr="00290112" w:rsidRDefault="00486288" w:rsidP="00445C9D">
            <w:pPr>
              <w:spacing w:before="0" w:after="0"/>
              <w:jc w:val="center"/>
              <w:rPr>
                <w:noProof/>
                <w:color w:val="000000"/>
                <w:sz w:val="16"/>
                <w:szCs w:val="16"/>
                <w:lang w:val="en-IE" w:eastAsia="en-IE"/>
              </w:rPr>
            </w:pPr>
          </w:p>
        </w:tc>
      </w:tr>
      <w:tr w:rsidR="00D80845" w:rsidRPr="00290112" w14:paraId="1C0B8710" w14:textId="77777777" w:rsidTr="00D80845">
        <w:trPr>
          <w:trHeight w:val="300"/>
        </w:trPr>
        <w:tc>
          <w:tcPr>
            <w:tcW w:w="927" w:type="pct"/>
            <w:tcBorders>
              <w:top w:val="nil"/>
              <w:left w:val="single" w:sz="8" w:space="0" w:color="auto"/>
              <w:bottom w:val="single" w:sz="8" w:space="0" w:color="auto"/>
              <w:right w:val="single" w:sz="8" w:space="0" w:color="auto"/>
            </w:tcBorders>
            <w:vAlign w:val="center"/>
            <w:hideMark/>
          </w:tcPr>
          <w:p w14:paraId="34A99188" w14:textId="77777777" w:rsidR="00C749C0" w:rsidRPr="00290112" w:rsidRDefault="00C749C0" w:rsidP="00C749C0">
            <w:pPr>
              <w:spacing w:before="0" w:after="0"/>
              <w:jc w:val="center"/>
              <w:rPr>
                <w:b/>
                <w:bCs/>
                <w:noProof/>
                <w:color w:val="000000"/>
                <w:sz w:val="16"/>
                <w:szCs w:val="16"/>
                <w:lang w:val="en-IE" w:eastAsia="en-IE"/>
              </w:rPr>
            </w:pPr>
            <w:r w:rsidRPr="00290112">
              <w:rPr>
                <w:b/>
                <w:bCs/>
                <w:noProof/>
                <w:color w:val="000000"/>
                <w:sz w:val="16"/>
                <w:szCs w:val="16"/>
                <w:lang w:val="en-IE" w:eastAsia="en-IE"/>
              </w:rPr>
              <w:t>TOTAL</w:t>
            </w:r>
          </w:p>
        </w:tc>
        <w:tc>
          <w:tcPr>
            <w:tcW w:w="499" w:type="pct"/>
            <w:tcBorders>
              <w:top w:val="nil"/>
              <w:left w:val="nil"/>
              <w:bottom w:val="single" w:sz="8" w:space="0" w:color="auto"/>
              <w:right w:val="single" w:sz="8" w:space="0" w:color="auto"/>
            </w:tcBorders>
            <w:shd w:val="clear" w:color="000000" w:fill="D9D9D9"/>
            <w:vAlign w:val="center"/>
            <w:hideMark/>
          </w:tcPr>
          <w:p w14:paraId="6840E971" w14:textId="12FD9009" w:rsidR="00C749C0" w:rsidRPr="000846E5" w:rsidRDefault="00C749C0" w:rsidP="00C749C0">
            <w:pPr>
              <w:spacing w:before="0" w:after="0"/>
              <w:jc w:val="right"/>
              <w:rPr>
                <w:b/>
                <w:bCs/>
                <w:noProof/>
                <w:color w:val="000000"/>
                <w:sz w:val="18"/>
                <w:szCs w:val="18"/>
                <w:lang w:val="en-IE" w:eastAsia="en-IE"/>
              </w:rPr>
            </w:pPr>
            <w:r>
              <w:rPr>
                <w:b/>
                <w:bCs/>
                <w:noProof/>
                <w:color w:val="000000"/>
                <w:sz w:val="16"/>
                <w:szCs w:val="16"/>
              </w:rPr>
              <w:t>3,651</w:t>
            </w:r>
          </w:p>
        </w:tc>
        <w:tc>
          <w:tcPr>
            <w:tcW w:w="498" w:type="pct"/>
            <w:tcBorders>
              <w:top w:val="nil"/>
              <w:left w:val="nil"/>
              <w:bottom w:val="single" w:sz="8" w:space="0" w:color="auto"/>
              <w:right w:val="single" w:sz="8" w:space="0" w:color="auto"/>
            </w:tcBorders>
            <w:shd w:val="clear" w:color="000000" w:fill="D9D9D9"/>
            <w:vAlign w:val="center"/>
            <w:hideMark/>
          </w:tcPr>
          <w:p w14:paraId="1D48887E" w14:textId="248B6E35" w:rsidR="00C749C0" w:rsidRPr="000846E5" w:rsidRDefault="00C749C0" w:rsidP="00C749C0">
            <w:pPr>
              <w:spacing w:before="0" w:after="0"/>
              <w:jc w:val="right"/>
              <w:rPr>
                <w:b/>
                <w:bCs/>
                <w:noProof/>
                <w:color w:val="000000"/>
                <w:sz w:val="18"/>
                <w:szCs w:val="18"/>
                <w:lang w:val="en-IE" w:eastAsia="en-IE"/>
              </w:rPr>
            </w:pPr>
            <w:r>
              <w:rPr>
                <w:b/>
                <w:bCs/>
                <w:noProof/>
                <w:color w:val="000000"/>
                <w:sz w:val="16"/>
                <w:szCs w:val="16"/>
              </w:rPr>
              <w:t>4,443</w:t>
            </w:r>
          </w:p>
        </w:tc>
        <w:tc>
          <w:tcPr>
            <w:tcW w:w="498" w:type="pct"/>
            <w:tcBorders>
              <w:top w:val="nil"/>
              <w:left w:val="nil"/>
              <w:bottom w:val="single" w:sz="8" w:space="0" w:color="auto"/>
              <w:right w:val="single" w:sz="8" w:space="0" w:color="auto"/>
            </w:tcBorders>
            <w:shd w:val="clear" w:color="000000" w:fill="D9D9D9"/>
            <w:vAlign w:val="center"/>
            <w:hideMark/>
          </w:tcPr>
          <w:p w14:paraId="02A90798" w14:textId="140F9EEE" w:rsidR="00C749C0" w:rsidRPr="000846E5" w:rsidRDefault="00C749C0" w:rsidP="00C749C0">
            <w:pPr>
              <w:spacing w:before="0" w:after="0"/>
              <w:jc w:val="right"/>
              <w:rPr>
                <w:b/>
                <w:bCs/>
                <w:noProof/>
                <w:color w:val="000000"/>
                <w:sz w:val="18"/>
                <w:szCs w:val="18"/>
                <w:lang w:val="en-IE" w:eastAsia="en-IE"/>
              </w:rPr>
            </w:pPr>
            <w:r>
              <w:rPr>
                <w:b/>
                <w:bCs/>
                <w:noProof/>
                <w:color w:val="000000"/>
                <w:sz w:val="16"/>
                <w:szCs w:val="16"/>
              </w:rPr>
              <w:t>4,443</w:t>
            </w:r>
          </w:p>
        </w:tc>
        <w:tc>
          <w:tcPr>
            <w:tcW w:w="498" w:type="pct"/>
            <w:tcBorders>
              <w:top w:val="nil"/>
              <w:left w:val="nil"/>
              <w:bottom w:val="single" w:sz="8" w:space="0" w:color="auto"/>
              <w:right w:val="single" w:sz="8" w:space="0" w:color="auto"/>
            </w:tcBorders>
            <w:shd w:val="clear" w:color="000000" w:fill="D9D9D9"/>
            <w:vAlign w:val="center"/>
            <w:hideMark/>
          </w:tcPr>
          <w:p w14:paraId="29950014" w14:textId="3650C25D" w:rsidR="00C749C0" w:rsidRPr="000846E5" w:rsidRDefault="00C749C0" w:rsidP="00C749C0">
            <w:pPr>
              <w:spacing w:before="0" w:after="0"/>
              <w:jc w:val="right"/>
              <w:rPr>
                <w:b/>
                <w:bCs/>
                <w:noProof/>
                <w:color w:val="000000"/>
                <w:sz w:val="18"/>
                <w:szCs w:val="18"/>
                <w:lang w:val="en-IE" w:eastAsia="en-IE"/>
              </w:rPr>
            </w:pPr>
            <w:r>
              <w:rPr>
                <w:b/>
                <w:bCs/>
                <w:noProof/>
                <w:color w:val="000000"/>
                <w:sz w:val="16"/>
                <w:szCs w:val="16"/>
              </w:rPr>
              <w:t>4,233</w:t>
            </w:r>
          </w:p>
        </w:tc>
        <w:tc>
          <w:tcPr>
            <w:tcW w:w="498" w:type="pct"/>
            <w:tcBorders>
              <w:top w:val="nil"/>
              <w:left w:val="nil"/>
              <w:bottom w:val="single" w:sz="8" w:space="0" w:color="auto"/>
              <w:right w:val="single" w:sz="4" w:space="0" w:color="auto"/>
            </w:tcBorders>
            <w:shd w:val="clear" w:color="000000" w:fill="D9D9D9"/>
            <w:vAlign w:val="center"/>
          </w:tcPr>
          <w:p w14:paraId="5430B909" w14:textId="533D4293" w:rsidR="00C749C0" w:rsidRPr="000846E5" w:rsidRDefault="00C749C0" w:rsidP="00C749C0">
            <w:pPr>
              <w:spacing w:before="0" w:after="0"/>
              <w:jc w:val="center"/>
              <w:rPr>
                <w:b/>
                <w:bCs/>
                <w:noProof/>
                <w:color w:val="000000"/>
                <w:sz w:val="18"/>
                <w:szCs w:val="18"/>
                <w:lang w:val="en-IE" w:eastAsia="en-IE"/>
              </w:rPr>
            </w:pPr>
            <w:r>
              <w:rPr>
                <w:b/>
                <w:bCs/>
                <w:noProof/>
                <w:color w:val="000000"/>
                <w:sz w:val="16"/>
                <w:szCs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6C3780D5" w14:textId="702FE49B" w:rsidR="00C749C0" w:rsidRPr="000846E5" w:rsidRDefault="00C749C0" w:rsidP="00C749C0">
            <w:pPr>
              <w:spacing w:before="0" w:after="0"/>
              <w:jc w:val="center"/>
              <w:rPr>
                <w:b/>
                <w:bCs/>
                <w:noProof/>
                <w:color w:val="000000"/>
                <w:sz w:val="18"/>
                <w:szCs w:val="18"/>
                <w:lang w:val="en-IE" w:eastAsia="en-IE"/>
              </w:rPr>
            </w:pPr>
            <w:r>
              <w:rPr>
                <w:b/>
                <w:bCs/>
                <w:noProof/>
                <w:color w:val="000000"/>
                <w:sz w:val="16"/>
                <w:szCs w:val="16"/>
              </w:rPr>
              <w:t>4,233</w:t>
            </w:r>
          </w:p>
        </w:tc>
        <w:tc>
          <w:tcPr>
            <w:tcW w:w="498" w:type="pct"/>
            <w:tcBorders>
              <w:top w:val="nil"/>
              <w:left w:val="single" w:sz="4" w:space="0" w:color="auto"/>
              <w:bottom w:val="single" w:sz="8" w:space="0" w:color="auto"/>
              <w:right w:val="single" w:sz="4" w:space="0" w:color="auto"/>
            </w:tcBorders>
            <w:shd w:val="clear" w:color="000000" w:fill="D9D9D9"/>
            <w:vAlign w:val="center"/>
          </w:tcPr>
          <w:p w14:paraId="2856612B" w14:textId="7861FB07" w:rsidR="00C749C0" w:rsidRPr="000846E5" w:rsidRDefault="00C749C0" w:rsidP="00C749C0">
            <w:pPr>
              <w:spacing w:before="0" w:after="0"/>
              <w:jc w:val="center"/>
              <w:rPr>
                <w:b/>
                <w:bCs/>
                <w:noProof/>
                <w:color w:val="000000"/>
                <w:sz w:val="18"/>
                <w:szCs w:val="18"/>
                <w:lang w:val="en-IE" w:eastAsia="en-IE"/>
              </w:rPr>
            </w:pPr>
            <w:r>
              <w:rPr>
                <w:b/>
                <w:bCs/>
                <w:noProof/>
                <w:color w:val="000000"/>
                <w:sz w:val="16"/>
                <w:szCs w:val="16"/>
              </w:rPr>
              <w:t>4,233</w:t>
            </w:r>
          </w:p>
        </w:tc>
        <w:tc>
          <w:tcPr>
            <w:tcW w:w="583" w:type="pct"/>
            <w:tcBorders>
              <w:top w:val="nil"/>
              <w:left w:val="single" w:sz="4" w:space="0" w:color="auto"/>
              <w:bottom w:val="single" w:sz="8" w:space="0" w:color="auto"/>
              <w:right w:val="single" w:sz="8" w:space="0" w:color="auto"/>
            </w:tcBorders>
            <w:shd w:val="clear" w:color="000000" w:fill="D9D9D9"/>
            <w:vAlign w:val="center"/>
            <w:hideMark/>
          </w:tcPr>
          <w:p w14:paraId="14DA76C8" w14:textId="61E82AF6" w:rsidR="00C749C0" w:rsidRPr="000846E5" w:rsidRDefault="00C749C0" w:rsidP="00C749C0">
            <w:pPr>
              <w:spacing w:before="0" w:after="0"/>
              <w:jc w:val="right"/>
              <w:rPr>
                <w:b/>
                <w:bCs/>
                <w:noProof/>
                <w:color w:val="000000"/>
                <w:sz w:val="18"/>
                <w:szCs w:val="18"/>
                <w:lang w:val="en-IE" w:eastAsia="en-IE"/>
              </w:rPr>
            </w:pPr>
            <w:r>
              <w:rPr>
                <w:b/>
                <w:bCs/>
                <w:noProof/>
                <w:color w:val="000000"/>
                <w:sz w:val="16"/>
                <w:szCs w:val="16"/>
              </w:rPr>
              <w:t>29,469</w:t>
            </w:r>
          </w:p>
        </w:tc>
      </w:tr>
    </w:tbl>
    <w:p w14:paraId="01493154" w14:textId="77777777" w:rsidR="00486288" w:rsidRDefault="006052EE" w:rsidP="00486288">
      <w:pPr>
        <w:pStyle w:val="ManualHeading3"/>
        <w:rPr>
          <w:noProof/>
        </w:rPr>
      </w:pPr>
      <w:bookmarkStart w:id="171" w:name="_Toc167220292"/>
      <w:bookmarkStart w:id="172" w:name="_Toc177549025"/>
      <w:r>
        <w:rPr>
          <w:noProof/>
        </w:rPr>
        <w:t>3.2.3.2.</w:t>
      </w:r>
      <w:r>
        <w:rPr>
          <w:noProof/>
        </w:rPr>
        <w:tab/>
        <w:t>Appropriations from external assigned revenues</w:t>
      </w:r>
      <w:bookmarkEnd w:id="171"/>
      <w:bookmarkEnd w:id="172"/>
    </w:p>
    <w:tbl>
      <w:tblPr>
        <w:tblW w:w="5000" w:type="pct"/>
        <w:tblLook w:val="04A0" w:firstRow="1" w:lastRow="0" w:firstColumn="1" w:lastColumn="0" w:noHBand="0" w:noVBand="1"/>
      </w:tblPr>
      <w:tblGrid>
        <w:gridCol w:w="316"/>
        <w:gridCol w:w="312"/>
        <w:gridCol w:w="310"/>
        <w:gridCol w:w="279"/>
        <w:gridCol w:w="689"/>
        <w:gridCol w:w="733"/>
        <w:gridCol w:w="1122"/>
        <w:gridCol w:w="1122"/>
        <w:gridCol w:w="1122"/>
        <w:gridCol w:w="984"/>
        <w:gridCol w:w="984"/>
        <w:gridCol w:w="1316"/>
      </w:tblGrid>
      <w:tr w:rsidR="000E3F9D" w:rsidRPr="00290112" w14:paraId="5A699D69" w14:textId="77777777" w:rsidTr="000E3F9D">
        <w:trPr>
          <w:trHeight w:val="300"/>
        </w:trPr>
        <w:tc>
          <w:tcPr>
            <w:tcW w:w="574" w:type="pct"/>
            <w:gridSpan w:val="4"/>
            <w:vMerge w:val="restart"/>
            <w:tcBorders>
              <w:top w:val="single" w:sz="8" w:space="0" w:color="auto"/>
              <w:left w:val="single" w:sz="8" w:space="0" w:color="auto"/>
              <w:bottom w:val="single" w:sz="8" w:space="0" w:color="000000"/>
              <w:right w:val="single" w:sz="8" w:space="0" w:color="auto"/>
            </w:tcBorders>
            <w:vAlign w:val="center"/>
            <w:hideMark/>
          </w:tcPr>
          <w:p w14:paraId="6FF6260D"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EXTERNAL ASSIGNED REVENUES</w:t>
            </w:r>
          </w:p>
        </w:tc>
        <w:tc>
          <w:tcPr>
            <w:tcW w:w="381" w:type="pct"/>
            <w:tcBorders>
              <w:top w:val="single" w:sz="8" w:space="0" w:color="auto"/>
              <w:left w:val="nil"/>
              <w:bottom w:val="nil"/>
              <w:right w:val="single" w:sz="8" w:space="0" w:color="auto"/>
            </w:tcBorders>
            <w:vAlign w:val="center"/>
            <w:hideMark/>
          </w:tcPr>
          <w:p w14:paraId="511EA5F4"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405" w:type="pct"/>
            <w:tcBorders>
              <w:top w:val="single" w:sz="8" w:space="0" w:color="auto"/>
              <w:left w:val="nil"/>
              <w:bottom w:val="nil"/>
              <w:right w:val="single" w:sz="8" w:space="0" w:color="auto"/>
            </w:tcBorders>
            <w:vAlign w:val="center"/>
            <w:hideMark/>
          </w:tcPr>
          <w:p w14:paraId="1FD14FF1"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614" w:type="pct"/>
            <w:tcBorders>
              <w:top w:val="single" w:sz="8" w:space="0" w:color="auto"/>
              <w:left w:val="nil"/>
              <w:bottom w:val="nil"/>
              <w:right w:val="single" w:sz="8" w:space="0" w:color="auto"/>
            </w:tcBorders>
            <w:vAlign w:val="center"/>
            <w:hideMark/>
          </w:tcPr>
          <w:p w14:paraId="3BF4A346"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614" w:type="pct"/>
            <w:tcBorders>
              <w:top w:val="single" w:sz="8" w:space="0" w:color="auto"/>
              <w:left w:val="nil"/>
              <w:bottom w:val="nil"/>
              <w:right w:val="single" w:sz="8" w:space="0" w:color="auto"/>
            </w:tcBorders>
            <w:vAlign w:val="center"/>
            <w:hideMark/>
          </w:tcPr>
          <w:p w14:paraId="33287C49"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614" w:type="pct"/>
            <w:tcBorders>
              <w:top w:val="single" w:sz="8" w:space="0" w:color="auto"/>
              <w:left w:val="single" w:sz="8" w:space="0" w:color="auto"/>
              <w:bottom w:val="single" w:sz="8" w:space="0" w:color="000000"/>
              <w:right w:val="single" w:sz="8" w:space="0" w:color="auto"/>
            </w:tcBorders>
            <w:vAlign w:val="center"/>
          </w:tcPr>
          <w:p w14:paraId="3334DDC7" w14:textId="77777777" w:rsidR="00486288" w:rsidRPr="00696BC2" w:rsidRDefault="00486288" w:rsidP="00445C9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540" w:type="pct"/>
            <w:tcBorders>
              <w:top w:val="single" w:sz="8" w:space="0" w:color="auto"/>
              <w:left w:val="single" w:sz="8" w:space="0" w:color="auto"/>
              <w:bottom w:val="single" w:sz="8" w:space="0" w:color="000000"/>
              <w:right w:val="single" w:sz="8" w:space="0" w:color="auto"/>
            </w:tcBorders>
            <w:vAlign w:val="center"/>
          </w:tcPr>
          <w:p w14:paraId="0E2CEC4B" w14:textId="77777777" w:rsidR="00486288" w:rsidRPr="00696BC2" w:rsidRDefault="00486288" w:rsidP="00445C9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540" w:type="pct"/>
            <w:tcBorders>
              <w:top w:val="single" w:sz="8" w:space="0" w:color="auto"/>
              <w:left w:val="single" w:sz="8" w:space="0" w:color="auto"/>
              <w:bottom w:val="single" w:sz="8" w:space="0" w:color="000000"/>
              <w:right w:val="single" w:sz="8" w:space="0" w:color="auto"/>
            </w:tcBorders>
            <w:vAlign w:val="center"/>
          </w:tcPr>
          <w:p w14:paraId="6C71BA48" w14:textId="77777777" w:rsidR="00486288" w:rsidRPr="00696BC2" w:rsidRDefault="00486288" w:rsidP="00445C9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716" w:type="pct"/>
            <w:vMerge w:val="restart"/>
            <w:tcBorders>
              <w:top w:val="single" w:sz="8" w:space="0" w:color="auto"/>
              <w:left w:val="single" w:sz="8" w:space="0" w:color="auto"/>
              <w:bottom w:val="single" w:sz="8" w:space="0" w:color="000000"/>
              <w:right w:val="single" w:sz="8" w:space="0" w:color="auto"/>
            </w:tcBorders>
            <w:vAlign w:val="center"/>
            <w:hideMark/>
          </w:tcPr>
          <w:p w14:paraId="62044F78"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TOTAL</w:t>
            </w:r>
            <w:r>
              <w:rPr>
                <w:b/>
                <w:bCs/>
                <w:noProof/>
                <w:color w:val="000000"/>
                <w:sz w:val="18"/>
                <w:szCs w:val="18"/>
                <w:lang w:val="en-IE" w:eastAsia="en-IE"/>
              </w:rPr>
              <w:t xml:space="preserve"> </w:t>
            </w:r>
            <w:r w:rsidRPr="00290112">
              <w:rPr>
                <w:b/>
                <w:bCs/>
                <w:noProof/>
                <w:color w:val="000000"/>
                <w:sz w:val="18"/>
                <w:szCs w:val="18"/>
                <w:lang w:val="en-IE" w:eastAsia="en-IE"/>
              </w:rPr>
              <w:t>202</w:t>
            </w:r>
            <w:r>
              <w:rPr>
                <w:b/>
                <w:bCs/>
                <w:noProof/>
                <w:color w:val="000000"/>
                <w:sz w:val="18"/>
                <w:szCs w:val="18"/>
                <w:lang w:val="en-IE" w:eastAsia="en-IE"/>
              </w:rPr>
              <w:t>8</w:t>
            </w:r>
            <w:r w:rsidRPr="00290112">
              <w:rPr>
                <w:b/>
                <w:bCs/>
                <w:noProof/>
                <w:color w:val="000000"/>
                <w:sz w:val="18"/>
                <w:szCs w:val="18"/>
                <w:lang w:val="en-IE" w:eastAsia="en-IE"/>
              </w:rPr>
              <w:t xml:space="preserve"> - 20</w:t>
            </w:r>
            <w:r>
              <w:rPr>
                <w:b/>
                <w:bCs/>
                <w:noProof/>
                <w:color w:val="000000"/>
                <w:sz w:val="18"/>
                <w:szCs w:val="18"/>
                <w:lang w:val="en-IE" w:eastAsia="en-IE"/>
              </w:rPr>
              <w:t>34</w:t>
            </w:r>
          </w:p>
        </w:tc>
      </w:tr>
      <w:tr w:rsidR="000E3F9D" w:rsidRPr="00290112" w14:paraId="5981D6F4" w14:textId="77777777" w:rsidTr="000E3F9D">
        <w:trPr>
          <w:trHeight w:val="300"/>
        </w:trPr>
        <w:tc>
          <w:tcPr>
            <w:tcW w:w="574" w:type="pct"/>
            <w:gridSpan w:val="4"/>
            <w:vMerge/>
            <w:tcBorders>
              <w:top w:val="single" w:sz="8" w:space="0" w:color="auto"/>
              <w:left w:val="single" w:sz="8" w:space="0" w:color="auto"/>
              <w:bottom w:val="single" w:sz="8" w:space="0" w:color="auto"/>
              <w:right w:val="single" w:sz="8" w:space="0" w:color="auto"/>
            </w:tcBorders>
            <w:vAlign w:val="center"/>
            <w:hideMark/>
          </w:tcPr>
          <w:p w14:paraId="20C8B7C9" w14:textId="77777777" w:rsidR="00486288" w:rsidRPr="00290112" w:rsidRDefault="00486288" w:rsidP="00445C9D">
            <w:pPr>
              <w:spacing w:before="0" w:after="0"/>
              <w:jc w:val="left"/>
              <w:rPr>
                <w:b/>
                <w:bCs/>
                <w:noProof/>
                <w:color w:val="000000"/>
                <w:sz w:val="18"/>
                <w:szCs w:val="18"/>
                <w:lang w:val="en-IE" w:eastAsia="en-IE"/>
              </w:rPr>
            </w:pPr>
          </w:p>
        </w:tc>
        <w:tc>
          <w:tcPr>
            <w:tcW w:w="381" w:type="pct"/>
            <w:tcBorders>
              <w:top w:val="nil"/>
              <w:left w:val="nil"/>
              <w:bottom w:val="single" w:sz="8" w:space="0" w:color="auto"/>
              <w:right w:val="single" w:sz="8" w:space="0" w:color="auto"/>
            </w:tcBorders>
            <w:vAlign w:val="center"/>
            <w:hideMark/>
          </w:tcPr>
          <w:p w14:paraId="4F3F7069"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202</w:t>
            </w:r>
            <w:r>
              <w:rPr>
                <w:b/>
                <w:bCs/>
                <w:noProof/>
                <w:color w:val="000000"/>
                <w:sz w:val="18"/>
                <w:szCs w:val="18"/>
                <w:lang w:val="en-IE" w:eastAsia="en-IE"/>
              </w:rPr>
              <w:t>8</w:t>
            </w:r>
          </w:p>
        </w:tc>
        <w:tc>
          <w:tcPr>
            <w:tcW w:w="405" w:type="pct"/>
            <w:tcBorders>
              <w:top w:val="nil"/>
              <w:left w:val="nil"/>
              <w:bottom w:val="single" w:sz="8" w:space="0" w:color="auto"/>
              <w:right w:val="single" w:sz="8" w:space="0" w:color="auto"/>
            </w:tcBorders>
            <w:vAlign w:val="center"/>
            <w:hideMark/>
          </w:tcPr>
          <w:p w14:paraId="4FC8568B"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202</w:t>
            </w:r>
            <w:r>
              <w:rPr>
                <w:b/>
                <w:bCs/>
                <w:noProof/>
                <w:color w:val="000000"/>
                <w:sz w:val="18"/>
                <w:szCs w:val="18"/>
                <w:lang w:val="en-IE" w:eastAsia="en-IE"/>
              </w:rPr>
              <w:t>9</w:t>
            </w:r>
          </w:p>
        </w:tc>
        <w:tc>
          <w:tcPr>
            <w:tcW w:w="614" w:type="pct"/>
            <w:tcBorders>
              <w:top w:val="nil"/>
              <w:left w:val="nil"/>
              <w:bottom w:val="single" w:sz="8" w:space="0" w:color="auto"/>
              <w:right w:val="single" w:sz="8" w:space="0" w:color="auto"/>
            </w:tcBorders>
            <w:vAlign w:val="center"/>
            <w:hideMark/>
          </w:tcPr>
          <w:p w14:paraId="53ACE9A3"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w:t>
            </w:r>
            <w:r>
              <w:rPr>
                <w:b/>
                <w:bCs/>
                <w:noProof/>
                <w:color w:val="000000"/>
                <w:sz w:val="18"/>
                <w:szCs w:val="18"/>
                <w:lang w:val="en-IE" w:eastAsia="en-IE"/>
              </w:rPr>
              <w:t>30</w:t>
            </w:r>
          </w:p>
        </w:tc>
        <w:tc>
          <w:tcPr>
            <w:tcW w:w="614" w:type="pct"/>
            <w:tcBorders>
              <w:top w:val="nil"/>
              <w:left w:val="nil"/>
              <w:bottom w:val="single" w:sz="8" w:space="0" w:color="auto"/>
              <w:right w:val="single" w:sz="8" w:space="0" w:color="auto"/>
            </w:tcBorders>
            <w:vAlign w:val="center"/>
            <w:hideMark/>
          </w:tcPr>
          <w:p w14:paraId="2B8BF592"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w:t>
            </w:r>
            <w:r>
              <w:rPr>
                <w:b/>
                <w:bCs/>
                <w:noProof/>
                <w:color w:val="000000"/>
                <w:sz w:val="18"/>
                <w:szCs w:val="18"/>
                <w:lang w:val="en-IE" w:eastAsia="en-IE"/>
              </w:rPr>
              <w:t>31</w:t>
            </w:r>
          </w:p>
        </w:tc>
        <w:tc>
          <w:tcPr>
            <w:tcW w:w="614" w:type="pct"/>
            <w:tcBorders>
              <w:top w:val="single" w:sz="8" w:space="0" w:color="auto"/>
              <w:left w:val="single" w:sz="8" w:space="0" w:color="auto"/>
              <w:bottom w:val="single" w:sz="8" w:space="0" w:color="auto"/>
              <w:right w:val="single" w:sz="8" w:space="0" w:color="auto"/>
            </w:tcBorders>
            <w:vAlign w:val="center"/>
          </w:tcPr>
          <w:p w14:paraId="3358B656" w14:textId="77777777" w:rsidR="00486288" w:rsidRPr="00290112" w:rsidRDefault="00486288" w:rsidP="00445C9D">
            <w:pPr>
              <w:spacing w:before="0" w:after="0"/>
              <w:jc w:val="center"/>
              <w:rPr>
                <w:b/>
                <w:bCs/>
                <w:noProof/>
                <w:color w:val="000000"/>
                <w:sz w:val="18"/>
                <w:szCs w:val="18"/>
                <w:lang w:val="en-IE" w:eastAsia="en-IE"/>
              </w:rPr>
            </w:pPr>
            <w:r>
              <w:rPr>
                <w:b/>
                <w:bCs/>
                <w:noProof/>
                <w:color w:val="000000"/>
                <w:sz w:val="18"/>
                <w:szCs w:val="18"/>
                <w:lang w:val="en-IE" w:eastAsia="en-IE"/>
              </w:rPr>
              <w:t>2032</w:t>
            </w:r>
          </w:p>
        </w:tc>
        <w:tc>
          <w:tcPr>
            <w:tcW w:w="540" w:type="pct"/>
            <w:tcBorders>
              <w:top w:val="single" w:sz="8" w:space="0" w:color="auto"/>
              <w:left w:val="single" w:sz="8" w:space="0" w:color="auto"/>
              <w:bottom w:val="single" w:sz="8" w:space="0" w:color="auto"/>
              <w:right w:val="single" w:sz="8" w:space="0" w:color="auto"/>
            </w:tcBorders>
            <w:vAlign w:val="center"/>
          </w:tcPr>
          <w:p w14:paraId="6D57C1FA" w14:textId="77777777" w:rsidR="00486288" w:rsidRPr="00290112" w:rsidRDefault="00486288" w:rsidP="00445C9D">
            <w:pPr>
              <w:spacing w:before="0" w:after="0"/>
              <w:jc w:val="center"/>
              <w:rPr>
                <w:b/>
                <w:bCs/>
                <w:noProof/>
                <w:color w:val="000000"/>
                <w:sz w:val="18"/>
                <w:szCs w:val="18"/>
                <w:lang w:val="en-IE" w:eastAsia="en-IE"/>
              </w:rPr>
            </w:pPr>
            <w:r>
              <w:rPr>
                <w:b/>
                <w:bCs/>
                <w:noProof/>
                <w:color w:val="000000"/>
                <w:sz w:val="18"/>
                <w:szCs w:val="18"/>
                <w:lang w:val="en-IE" w:eastAsia="en-IE"/>
              </w:rPr>
              <w:t>2033</w:t>
            </w:r>
          </w:p>
        </w:tc>
        <w:tc>
          <w:tcPr>
            <w:tcW w:w="540" w:type="pct"/>
            <w:tcBorders>
              <w:top w:val="single" w:sz="8" w:space="0" w:color="auto"/>
              <w:left w:val="single" w:sz="8" w:space="0" w:color="auto"/>
              <w:bottom w:val="single" w:sz="8" w:space="0" w:color="auto"/>
              <w:right w:val="single" w:sz="8" w:space="0" w:color="auto"/>
            </w:tcBorders>
            <w:vAlign w:val="center"/>
          </w:tcPr>
          <w:p w14:paraId="5AB991A0" w14:textId="77777777" w:rsidR="00486288" w:rsidRPr="00290112" w:rsidRDefault="00486288" w:rsidP="00445C9D">
            <w:pPr>
              <w:spacing w:before="0" w:after="0"/>
              <w:jc w:val="center"/>
              <w:rPr>
                <w:b/>
                <w:bCs/>
                <w:noProof/>
                <w:color w:val="000000"/>
                <w:sz w:val="18"/>
                <w:szCs w:val="18"/>
                <w:lang w:val="en-IE" w:eastAsia="en-IE"/>
              </w:rPr>
            </w:pPr>
            <w:r>
              <w:rPr>
                <w:b/>
                <w:bCs/>
                <w:noProof/>
                <w:color w:val="000000"/>
                <w:sz w:val="18"/>
                <w:szCs w:val="18"/>
                <w:lang w:val="en-IE" w:eastAsia="en-IE"/>
              </w:rPr>
              <w:t>2034</w:t>
            </w:r>
          </w:p>
        </w:tc>
        <w:tc>
          <w:tcPr>
            <w:tcW w:w="716" w:type="pct"/>
            <w:vMerge/>
            <w:tcBorders>
              <w:top w:val="single" w:sz="8" w:space="0" w:color="auto"/>
              <w:left w:val="single" w:sz="8" w:space="0" w:color="auto"/>
              <w:bottom w:val="single" w:sz="8" w:space="0" w:color="auto"/>
              <w:right w:val="single" w:sz="8" w:space="0" w:color="auto"/>
            </w:tcBorders>
            <w:vAlign w:val="center"/>
            <w:hideMark/>
          </w:tcPr>
          <w:p w14:paraId="1C148011" w14:textId="77777777" w:rsidR="00486288" w:rsidRPr="00290112" w:rsidRDefault="00486288" w:rsidP="00445C9D">
            <w:pPr>
              <w:spacing w:before="0" w:after="0"/>
              <w:jc w:val="left"/>
              <w:rPr>
                <w:b/>
                <w:bCs/>
                <w:noProof/>
                <w:color w:val="000000"/>
                <w:sz w:val="18"/>
                <w:szCs w:val="18"/>
                <w:lang w:val="en-IE" w:eastAsia="en-IE"/>
              </w:rPr>
            </w:pPr>
          </w:p>
        </w:tc>
      </w:tr>
      <w:tr w:rsidR="00486288" w:rsidRPr="00290112" w14:paraId="1F55F5FE" w14:textId="77777777" w:rsidTr="00445C9D">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14:paraId="6520331E" w14:textId="77777777" w:rsidR="00486288" w:rsidRPr="00290112" w:rsidRDefault="00486288" w:rsidP="00445C9D">
            <w:pPr>
              <w:spacing w:before="0" w:after="0"/>
              <w:jc w:val="center"/>
              <w:rPr>
                <w:b/>
                <w:bCs/>
                <w:noProof/>
                <w:sz w:val="16"/>
                <w:szCs w:val="16"/>
                <w:lang w:val="en-IE" w:eastAsia="en-IE"/>
              </w:rPr>
            </w:pPr>
            <w:r w:rsidRPr="00290112">
              <w:rPr>
                <w:b/>
                <w:bCs/>
                <w:noProof/>
                <w:sz w:val="16"/>
                <w:szCs w:val="16"/>
                <w:lang w:val="en-IE" w:eastAsia="en-IE"/>
              </w:rPr>
              <w:t xml:space="preserve">HEADING </w:t>
            </w:r>
            <w:r>
              <w:rPr>
                <w:b/>
                <w:bCs/>
                <w:noProof/>
                <w:sz w:val="16"/>
                <w:szCs w:val="16"/>
                <w:lang w:val="en-IE" w:eastAsia="en-IE"/>
              </w:rPr>
              <w:t>4</w:t>
            </w:r>
          </w:p>
        </w:tc>
      </w:tr>
      <w:tr w:rsidR="000E3F9D" w:rsidRPr="00290112" w14:paraId="23EEF869" w14:textId="77777777" w:rsidTr="000E3F9D">
        <w:trPr>
          <w:trHeight w:val="300"/>
        </w:trPr>
        <w:tc>
          <w:tcPr>
            <w:tcW w:w="574" w:type="pct"/>
            <w:gridSpan w:val="4"/>
            <w:tcBorders>
              <w:top w:val="nil"/>
              <w:left w:val="single" w:sz="8" w:space="0" w:color="auto"/>
              <w:bottom w:val="single" w:sz="8" w:space="0" w:color="auto"/>
              <w:right w:val="single" w:sz="8" w:space="0" w:color="auto"/>
            </w:tcBorders>
            <w:vAlign w:val="center"/>
            <w:hideMark/>
          </w:tcPr>
          <w:p w14:paraId="3FCAE0EC" w14:textId="77777777" w:rsidR="00486288" w:rsidRPr="00290112" w:rsidRDefault="00486288" w:rsidP="00445C9D">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381" w:type="pct"/>
            <w:tcBorders>
              <w:top w:val="nil"/>
              <w:left w:val="nil"/>
              <w:bottom w:val="single" w:sz="8" w:space="0" w:color="auto"/>
              <w:right w:val="single" w:sz="8" w:space="0" w:color="auto"/>
            </w:tcBorders>
            <w:shd w:val="clear" w:color="000000" w:fill="D9D9D9"/>
            <w:vAlign w:val="center"/>
            <w:hideMark/>
          </w:tcPr>
          <w:p w14:paraId="65239ACB"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405" w:type="pct"/>
            <w:tcBorders>
              <w:top w:val="nil"/>
              <w:left w:val="nil"/>
              <w:bottom w:val="single" w:sz="8" w:space="0" w:color="auto"/>
              <w:right w:val="single" w:sz="8" w:space="0" w:color="auto"/>
            </w:tcBorders>
            <w:shd w:val="clear" w:color="000000" w:fill="D9D9D9"/>
            <w:vAlign w:val="center"/>
            <w:hideMark/>
          </w:tcPr>
          <w:p w14:paraId="21F64E84"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614" w:type="pct"/>
            <w:tcBorders>
              <w:top w:val="nil"/>
              <w:left w:val="nil"/>
              <w:bottom w:val="single" w:sz="8" w:space="0" w:color="auto"/>
              <w:right w:val="single" w:sz="8" w:space="0" w:color="auto"/>
            </w:tcBorders>
            <w:shd w:val="clear" w:color="000000" w:fill="D9D9D9"/>
            <w:vAlign w:val="center"/>
            <w:hideMark/>
          </w:tcPr>
          <w:p w14:paraId="012EDF98"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614" w:type="pct"/>
            <w:tcBorders>
              <w:top w:val="nil"/>
              <w:left w:val="nil"/>
              <w:bottom w:val="single" w:sz="8" w:space="0" w:color="auto"/>
              <w:right w:val="single" w:sz="8" w:space="0" w:color="auto"/>
            </w:tcBorders>
            <w:shd w:val="clear" w:color="000000" w:fill="D9D9D9"/>
            <w:vAlign w:val="center"/>
            <w:hideMark/>
          </w:tcPr>
          <w:p w14:paraId="7E448230"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614" w:type="pct"/>
            <w:tcBorders>
              <w:top w:val="nil"/>
              <w:left w:val="nil"/>
              <w:bottom w:val="single" w:sz="8" w:space="0" w:color="auto"/>
              <w:right w:val="single" w:sz="4" w:space="0" w:color="auto"/>
            </w:tcBorders>
            <w:shd w:val="clear" w:color="000000" w:fill="D9D9D9"/>
            <w:vAlign w:val="center"/>
          </w:tcPr>
          <w:p w14:paraId="25435F94"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24B6849D"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090A3855"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14:paraId="681FB851" w14:textId="77777777" w:rsidR="00486288" w:rsidRPr="00290112" w:rsidRDefault="00486288" w:rsidP="00445C9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r>
      <w:tr w:rsidR="000E3F9D" w:rsidRPr="00290112" w14:paraId="5B7A5F9B" w14:textId="77777777" w:rsidTr="000E3F9D">
        <w:trPr>
          <w:trHeight w:val="300"/>
        </w:trPr>
        <w:tc>
          <w:tcPr>
            <w:tcW w:w="574" w:type="pct"/>
            <w:gridSpan w:val="4"/>
            <w:tcBorders>
              <w:top w:val="nil"/>
              <w:left w:val="single" w:sz="8" w:space="0" w:color="auto"/>
              <w:bottom w:val="single" w:sz="8" w:space="0" w:color="auto"/>
              <w:right w:val="single" w:sz="8" w:space="0" w:color="auto"/>
            </w:tcBorders>
            <w:vAlign w:val="center"/>
          </w:tcPr>
          <w:p w14:paraId="21BC86B9" w14:textId="22C4FD1B" w:rsidR="004700AB" w:rsidRPr="00290112" w:rsidRDefault="004700AB" w:rsidP="004700AB">
            <w:pPr>
              <w:spacing w:before="0" w:after="0"/>
              <w:jc w:val="left"/>
              <w:rPr>
                <w:noProof/>
                <w:color w:val="000000"/>
                <w:sz w:val="16"/>
                <w:szCs w:val="16"/>
                <w:lang w:val="en-IE" w:eastAsia="en-IE"/>
              </w:rPr>
            </w:pPr>
          </w:p>
        </w:tc>
        <w:tc>
          <w:tcPr>
            <w:tcW w:w="381" w:type="pct"/>
            <w:tcBorders>
              <w:top w:val="nil"/>
              <w:left w:val="nil"/>
              <w:bottom w:val="single" w:sz="8" w:space="0" w:color="auto"/>
              <w:right w:val="single" w:sz="8" w:space="0" w:color="auto"/>
            </w:tcBorders>
            <w:shd w:val="clear" w:color="000000" w:fill="D9D9D9"/>
            <w:vAlign w:val="center"/>
          </w:tcPr>
          <w:p w14:paraId="588931FC" w14:textId="7A2EB133" w:rsidR="004700AB" w:rsidRPr="00290112" w:rsidRDefault="004700AB" w:rsidP="004700AB">
            <w:pPr>
              <w:spacing w:before="0" w:after="0"/>
              <w:jc w:val="center"/>
              <w:rPr>
                <w:noProof/>
                <w:color w:val="000000"/>
                <w:sz w:val="16"/>
                <w:szCs w:val="16"/>
                <w:lang w:val="en-IE" w:eastAsia="en-IE"/>
              </w:rPr>
            </w:pPr>
          </w:p>
        </w:tc>
        <w:tc>
          <w:tcPr>
            <w:tcW w:w="405" w:type="pct"/>
            <w:tcBorders>
              <w:top w:val="nil"/>
              <w:left w:val="nil"/>
              <w:bottom w:val="single" w:sz="8" w:space="0" w:color="auto"/>
              <w:right w:val="single" w:sz="8" w:space="0" w:color="auto"/>
            </w:tcBorders>
            <w:shd w:val="clear" w:color="000000" w:fill="D9D9D9"/>
            <w:vAlign w:val="center"/>
          </w:tcPr>
          <w:p w14:paraId="224F7507" w14:textId="6C50DACD" w:rsidR="004700AB" w:rsidRPr="00290112" w:rsidRDefault="004700AB" w:rsidP="004700AB">
            <w:pPr>
              <w:spacing w:before="0" w:after="0"/>
              <w:jc w:val="center"/>
              <w:rPr>
                <w:noProof/>
                <w:color w:val="000000"/>
                <w:sz w:val="16"/>
                <w:szCs w:val="16"/>
                <w:lang w:val="en-IE" w:eastAsia="en-IE"/>
              </w:rPr>
            </w:pPr>
          </w:p>
        </w:tc>
        <w:tc>
          <w:tcPr>
            <w:tcW w:w="614" w:type="pct"/>
            <w:tcBorders>
              <w:top w:val="nil"/>
              <w:left w:val="nil"/>
              <w:bottom w:val="single" w:sz="8" w:space="0" w:color="auto"/>
              <w:right w:val="single" w:sz="8" w:space="0" w:color="auto"/>
            </w:tcBorders>
            <w:shd w:val="clear" w:color="000000" w:fill="D9D9D9"/>
            <w:vAlign w:val="center"/>
          </w:tcPr>
          <w:p w14:paraId="5D495745" w14:textId="74E6CC40" w:rsidR="004700AB" w:rsidRPr="00290112" w:rsidRDefault="004700AB" w:rsidP="004700AB">
            <w:pPr>
              <w:spacing w:before="0" w:after="0"/>
              <w:jc w:val="center"/>
              <w:rPr>
                <w:noProof/>
                <w:color w:val="000000"/>
                <w:sz w:val="16"/>
                <w:szCs w:val="16"/>
                <w:lang w:val="en-IE" w:eastAsia="en-IE"/>
              </w:rPr>
            </w:pPr>
          </w:p>
        </w:tc>
        <w:tc>
          <w:tcPr>
            <w:tcW w:w="614" w:type="pct"/>
            <w:tcBorders>
              <w:top w:val="nil"/>
              <w:left w:val="nil"/>
              <w:bottom w:val="single" w:sz="8" w:space="0" w:color="auto"/>
              <w:right w:val="single" w:sz="8" w:space="0" w:color="auto"/>
            </w:tcBorders>
            <w:shd w:val="clear" w:color="000000" w:fill="D9D9D9"/>
            <w:vAlign w:val="center"/>
          </w:tcPr>
          <w:p w14:paraId="61A5E814" w14:textId="5536B51A" w:rsidR="004700AB" w:rsidRPr="00290112" w:rsidRDefault="004700AB" w:rsidP="004700AB">
            <w:pPr>
              <w:spacing w:before="0" w:after="0"/>
              <w:jc w:val="center"/>
              <w:rPr>
                <w:noProof/>
                <w:color w:val="000000"/>
                <w:sz w:val="16"/>
                <w:szCs w:val="16"/>
                <w:lang w:val="en-IE" w:eastAsia="en-IE"/>
              </w:rPr>
            </w:pPr>
          </w:p>
        </w:tc>
        <w:tc>
          <w:tcPr>
            <w:tcW w:w="614" w:type="pct"/>
            <w:tcBorders>
              <w:top w:val="nil"/>
              <w:left w:val="nil"/>
              <w:bottom w:val="single" w:sz="8" w:space="0" w:color="auto"/>
              <w:right w:val="single" w:sz="4" w:space="0" w:color="auto"/>
            </w:tcBorders>
            <w:shd w:val="clear" w:color="000000" w:fill="D9D9D9"/>
            <w:vAlign w:val="center"/>
          </w:tcPr>
          <w:p w14:paraId="34C52454" w14:textId="2ECE780B" w:rsidR="004700AB" w:rsidRPr="00290112" w:rsidRDefault="004700AB" w:rsidP="004700AB">
            <w:pPr>
              <w:spacing w:before="0" w:after="0"/>
              <w:jc w:val="center"/>
              <w:rPr>
                <w:noProof/>
                <w:color w:val="000000"/>
                <w:sz w:val="16"/>
                <w:szCs w:val="16"/>
                <w:lang w:val="en-IE" w:eastAsia="en-IE"/>
              </w:rPr>
            </w:pPr>
          </w:p>
        </w:tc>
        <w:tc>
          <w:tcPr>
            <w:tcW w:w="540" w:type="pct"/>
            <w:tcBorders>
              <w:top w:val="nil"/>
              <w:left w:val="single" w:sz="4" w:space="0" w:color="auto"/>
              <w:bottom w:val="single" w:sz="8" w:space="0" w:color="auto"/>
              <w:right w:val="single" w:sz="4" w:space="0" w:color="auto"/>
            </w:tcBorders>
            <w:shd w:val="clear" w:color="000000" w:fill="D9D9D9"/>
            <w:vAlign w:val="center"/>
          </w:tcPr>
          <w:p w14:paraId="0A0F74EC" w14:textId="41E0106B" w:rsidR="004700AB" w:rsidRPr="00290112" w:rsidRDefault="004700AB" w:rsidP="004700AB">
            <w:pPr>
              <w:spacing w:before="0" w:after="0"/>
              <w:jc w:val="center"/>
              <w:rPr>
                <w:noProof/>
                <w:color w:val="000000"/>
                <w:sz w:val="16"/>
                <w:szCs w:val="16"/>
                <w:lang w:val="en-IE" w:eastAsia="en-IE"/>
              </w:rPr>
            </w:pPr>
          </w:p>
        </w:tc>
        <w:tc>
          <w:tcPr>
            <w:tcW w:w="540" w:type="pct"/>
            <w:tcBorders>
              <w:top w:val="nil"/>
              <w:left w:val="single" w:sz="4" w:space="0" w:color="auto"/>
              <w:bottom w:val="single" w:sz="8" w:space="0" w:color="auto"/>
              <w:right w:val="single" w:sz="4" w:space="0" w:color="auto"/>
            </w:tcBorders>
            <w:shd w:val="clear" w:color="000000" w:fill="D9D9D9"/>
            <w:vAlign w:val="center"/>
          </w:tcPr>
          <w:p w14:paraId="0E054360" w14:textId="4BE2AB38" w:rsidR="004700AB" w:rsidRPr="00290112" w:rsidRDefault="004700AB" w:rsidP="004700AB">
            <w:pPr>
              <w:spacing w:before="0" w:after="0"/>
              <w:jc w:val="center"/>
              <w:rPr>
                <w:noProof/>
                <w:color w:val="000000"/>
                <w:sz w:val="16"/>
                <w:szCs w:val="16"/>
                <w:lang w:val="en-IE" w:eastAsia="en-IE"/>
              </w:rPr>
            </w:pPr>
          </w:p>
        </w:tc>
        <w:tc>
          <w:tcPr>
            <w:tcW w:w="716" w:type="pct"/>
            <w:tcBorders>
              <w:top w:val="nil"/>
              <w:left w:val="single" w:sz="4" w:space="0" w:color="auto"/>
              <w:bottom w:val="single" w:sz="8" w:space="0" w:color="auto"/>
              <w:right w:val="single" w:sz="8" w:space="0" w:color="auto"/>
            </w:tcBorders>
            <w:shd w:val="clear" w:color="000000" w:fill="D9D9D9"/>
            <w:vAlign w:val="center"/>
          </w:tcPr>
          <w:p w14:paraId="7AF671D8" w14:textId="51CF4EB9" w:rsidR="004700AB" w:rsidRPr="004700AB" w:rsidRDefault="004700AB" w:rsidP="004700AB">
            <w:pPr>
              <w:spacing w:before="0" w:after="0"/>
              <w:jc w:val="right"/>
              <w:rPr>
                <w:b/>
                <w:bCs/>
                <w:noProof/>
                <w:color w:val="000000"/>
                <w:sz w:val="16"/>
                <w:szCs w:val="16"/>
                <w:lang w:val="en-IE" w:eastAsia="en-IE"/>
              </w:rPr>
            </w:pPr>
          </w:p>
        </w:tc>
      </w:tr>
      <w:tr w:rsidR="000E3F9D" w:rsidRPr="00290112" w14:paraId="28012EFB" w14:textId="77777777" w:rsidTr="000E3F9D">
        <w:trPr>
          <w:trHeight w:val="300"/>
        </w:trPr>
        <w:tc>
          <w:tcPr>
            <w:tcW w:w="574" w:type="pct"/>
            <w:gridSpan w:val="4"/>
            <w:tcBorders>
              <w:top w:val="nil"/>
              <w:left w:val="single" w:sz="8" w:space="0" w:color="auto"/>
              <w:bottom w:val="single" w:sz="8" w:space="0" w:color="auto"/>
              <w:right w:val="single" w:sz="8" w:space="0" w:color="auto"/>
            </w:tcBorders>
            <w:vAlign w:val="center"/>
            <w:hideMark/>
          </w:tcPr>
          <w:p w14:paraId="00B2AC22" w14:textId="77777777" w:rsidR="00486288" w:rsidRPr="00290112" w:rsidRDefault="00486288" w:rsidP="00445C9D">
            <w:pPr>
              <w:spacing w:before="0" w:after="0"/>
              <w:jc w:val="left"/>
              <w:rPr>
                <w:noProof/>
                <w:color w:val="000000"/>
                <w:sz w:val="16"/>
                <w:szCs w:val="16"/>
                <w:lang w:val="en-IE" w:eastAsia="en-IE"/>
              </w:rPr>
            </w:pPr>
            <w:r w:rsidRPr="00290112">
              <w:rPr>
                <w:noProof/>
                <w:color w:val="000000"/>
                <w:sz w:val="16"/>
                <w:szCs w:val="16"/>
                <w:lang w:val="en-IE" w:eastAsia="en-IE"/>
              </w:rPr>
              <w:t xml:space="preserve">Other administrative expenditure </w:t>
            </w:r>
          </w:p>
        </w:tc>
        <w:tc>
          <w:tcPr>
            <w:tcW w:w="381" w:type="pct"/>
            <w:tcBorders>
              <w:top w:val="nil"/>
              <w:left w:val="nil"/>
              <w:bottom w:val="single" w:sz="8" w:space="0" w:color="auto"/>
              <w:right w:val="single" w:sz="8" w:space="0" w:color="auto"/>
            </w:tcBorders>
            <w:shd w:val="clear" w:color="000000" w:fill="D9D9D9"/>
            <w:vAlign w:val="center"/>
            <w:hideMark/>
          </w:tcPr>
          <w:p w14:paraId="61823A43"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405" w:type="pct"/>
            <w:tcBorders>
              <w:top w:val="nil"/>
              <w:left w:val="nil"/>
              <w:bottom w:val="single" w:sz="8" w:space="0" w:color="auto"/>
              <w:right w:val="single" w:sz="8" w:space="0" w:color="auto"/>
            </w:tcBorders>
            <w:shd w:val="clear" w:color="000000" w:fill="D9D9D9"/>
            <w:vAlign w:val="center"/>
            <w:hideMark/>
          </w:tcPr>
          <w:p w14:paraId="5C021918"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614" w:type="pct"/>
            <w:tcBorders>
              <w:top w:val="nil"/>
              <w:left w:val="nil"/>
              <w:bottom w:val="single" w:sz="8" w:space="0" w:color="auto"/>
              <w:right w:val="single" w:sz="8" w:space="0" w:color="auto"/>
            </w:tcBorders>
            <w:shd w:val="clear" w:color="000000" w:fill="D9D9D9"/>
            <w:vAlign w:val="center"/>
            <w:hideMark/>
          </w:tcPr>
          <w:p w14:paraId="5789A394"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614" w:type="pct"/>
            <w:tcBorders>
              <w:top w:val="nil"/>
              <w:left w:val="nil"/>
              <w:bottom w:val="single" w:sz="8" w:space="0" w:color="auto"/>
              <w:right w:val="single" w:sz="8" w:space="0" w:color="auto"/>
            </w:tcBorders>
            <w:shd w:val="clear" w:color="000000" w:fill="D9D9D9"/>
            <w:vAlign w:val="center"/>
            <w:hideMark/>
          </w:tcPr>
          <w:p w14:paraId="56555A41" w14:textId="77777777" w:rsidR="00486288" w:rsidRPr="00290112" w:rsidRDefault="00486288" w:rsidP="00445C9D">
            <w:pPr>
              <w:spacing w:before="0" w:after="0"/>
              <w:jc w:val="right"/>
              <w:rPr>
                <w:noProof/>
                <w:color w:val="000000"/>
                <w:sz w:val="16"/>
                <w:szCs w:val="16"/>
                <w:lang w:val="en-IE" w:eastAsia="en-IE"/>
              </w:rPr>
            </w:pPr>
            <w:r w:rsidRPr="00290112">
              <w:rPr>
                <w:noProof/>
                <w:color w:val="000000"/>
                <w:sz w:val="16"/>
                <w:szCs w:val="16"/>
                <w:lang w:val="en-IE" w:eastAsia="en-IE"/>
              </w:rPr>
              <w:t>0.000</w:t>
            </w:r>
          </w:p>
        </w:tc>
        <w:tc>
          <w:tcPr>
            <w:tcW w:w="614" w:type="pct"/>
            <w:tcBorders>
              <w:top w:val="nil"/>
              <w:left w:val="nil"/>
              <w:bottom w:val="single" w:sz="8" w:space="0" w:color="auto"/>
              <w:right w:val="single" w:sz="4" w:space="0" w:color="auto"/>
            </w:tcBorders>
            <w:shd w:val="clear" w:color="000000" w:fill="D9D9D9"/>
            <w:vAlign w:val="center"/>
          </w:tcPr>
          <w:p w14:paraId="23744243"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3E1EC53A"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3D812773" w14:textId="77777777" w:rsidR="00486288" w:rsidRPr="00290112" w:rsidRDefault="00486288" w:rsidP="00445C9D">
            <w:pPr>
              <w:spacing w:before="0" w:after="0"/>
              <w:jc w:val="center"/>
              <w:rPr>
                <w:b/>
                <w:bCs/>
                <w:noProof/>
                <w:color w:val="000000"/>
                <w:sz w:val="16"/>
                <w:szCs w:val="16"/>
                <w:lang w:val="en-IE" w:eastAsia="en-IE"/>
              </w:rPr>
            </w:pPr>
            <w:r w:rsidRPr="00290112">
              <w:rPr>
                <w:noProof/>
                <w:color w:val="000000"/>
                <w:sz w:val="16"/>
                <w:szCs w:val="16"/>
                <w:lang w:val="en-IE" w:eastAsia="en-IE"/>
              </w:rPr>
              <w:t>0.000</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14:paraId="1ED33767" w14:textId="77777777" w:rsidR="00486288" w:rsidRPr="00290112" w:rsidRDefault="00486288" w:rsidP="00445C9D">
            <w:pPr>
              <w:spacing w:before="0" w:after="0"/>
              <w:jc w:val="right"/>
              <w:rPr>
                <w:b/>
                <w:bCs/>
                <w:noProof/>
                <w:color w:val="000000"/>
                <w:sz w:val="16"/>
                <w:szCs w:val="16"/>
                <w:lang w:val="en-IE" w:eastAsia="en-IE"/>
              </w:rPr>
            </w:pPr>
            <w:r w:rsidRPr="00290112">
              <w:rPr>
                <w:b/>
                <w:bCs/>
                <w:noProof/>
                <w:color w:val="000000"/>
                <w:sz w:val="16"/>
                <w:szCs w:val="16"/>
                <w:lang w:val="en-IE" w:eastAsia="en-IE"/>
              </w:rPr>
              <w:t>0.000</w:t>
            </w:r>
          </w:p>
        </w:tc>
      </w:tr>
      <w:tr w:rsidR="000E3F9D" w:rsidRPr="00290112" w14:paraId="312F1209" w14:textId="77777777" w:rsidTr="000E3F9D">
        <w:trPr>
          <w:trHeight w:val="300"/>
        </w:trPr>
        <w:tc>
          <w:tcPr>
            <w:tcW w:w="574" w:type="pct"/>
            <w:gridSpan w:val="4"/>
            <w:tcBorders>
              <w:top w:val="nil"/>
              <w:left w:val="single" w:sz="8" w:space="0" w:color="auto"/>
              <w:bottom w:val="single" w:sz="8" w:space="0" w:color="auto"/>
              <w:right w:val="single" w:sz="8" w:space="0" w:color="auto"/>
            </w:tcBorders>
            <w:shd w:val="clear" w:color="000000" w:fill="CCCCCC"/>
            <w:vAlign w:val="center"/>
            <w:hideMark/>
          </w:tcPr>
          <w:p w14:paraId="50740E60" w14:textId="77777777" w:rsidR="004700AB" w:rsidRPr="00290112" w:rsidRDefault="004700AB" w:rsidP="004700AB">
            <w:pPr>
              <w:spacing w:before="0" w:after="0"/>
              <w:jc w:val="center"/>
              <w:rPr>
                <w:b/>
                <w:bCs/>
                <w:noProof/>
                <w:color w:val="000000"/>
                <w:sz w:val="16"/>
                <w:szCs w:val="16"/>
                <w:lang w:val="en-IE" w:eastAsia="en-IE"/>
              </w:rPr>
            </w:pPr>
            <w:r w:rsidRPr="00290112">
              <w:rPr>
                <w:b/>
                <w:bCs/>
                <w:noProof/>
                <w:color w:val="000000"/>
                <w:sz w:val="16"/>
                <w:szCs w:val="16"/>
                <w:lang w:val="en-IE" w:eastAsia="en-IE"/>
              </w:rPr>
              <w:t xml:space="preserve">Subtotal HEADING </w:t>
            </w:r>
            <w:r>
              <w:rPr>
                <w:b/>
                <w:bCs/>
                <w:noProof/>
                <w:color w:val="000000"/>
                <w:sz w:val="16"/>
                <w:szCs w:val="16"/>
                <w:lang w:val="en-IE" w:eastAsia="en-IE"/>
              </w:rPr>
              <w:t>4</w:t>
            </w:r>
          </w:p>
        </w:tc>
        <w:tc>
          <w:tcPr>
            <w:tcW w:w="381" w:type="pct"/>
            <w:tcBorders>
              <w:top w:val="nil"/>
              <w:left w:val="nil"/>
              <w:bottom w:val="single" w:sz="8" w:space="0" w:color="auto"/>
              <w:right w:val="single" w:sz="8" w:space="0" w:color="auto"/>
            </w:tcBorders>
            <w:shd w:val="clear" w:color="000000" w:fill="D9D9D9"/>
            <w:vAlign w:val="center"/>
            <w:hideMark/>
          </w:tcPr>
          <w:p w14:paraId="0F5865C0" w14:textId="77777777" w:rsidR="004700AB" w:rsidRPr="004700AB" w:rsidRDefault="004700AB" w:rsidP="004700AB">
            <w:pPr>
              <w:spacing w:before="0" w:after="0"/>
              <w:jc w:val="right"/>
              <w:rPr>
                <w:b/>
                <w:bCs/>
                <w:noProof/>
                <w:color w:val="000000"/>
                <w:sz w:val="16"/>
                <w:szCs w:val="16"/>
                <w:lang w:val="en-IE" w:eastAsia="en-IE"/>
              </w:rPr>
            </w:pPr>
            <w:r w:rsidRPr="004700AB">
              <w:rPr>
                <w:b/>
                <w:bCs/>
                <w:noProof/>
                <w:color w:val="000000"/>
                <w:sz w:val="16"/>
                <w:szCs w:val="16"/>
                <w:lang w:val="en-IE" w:eastAsia="en-IE"/>
              </w:rPr>
              <w:t>4.032</w:t>
            </w:r>
          </w:p>
        </w:tc>
        <w:tc>
          <w:tcPr>
            <w:tcW w:w="405" w:type="pct"/>
            <w:tcBorders>
              <w:top w:val="nil"/>
              <w:left w:val="nil"/>
              <w:bottom w:val="single" w:sz="8" w:space="0" w:color="auto"/>
              <w:right w:val="single" w:sz="8" w:space="0" w:color="auto"/>
            </w:tcBorders>
            <w:shd w:val="clear" w:color="000000" w:fill="D9D9D9"/>
            <w:vAlign w:val="center"/>
            <w:hideMark/>
          </w:tcPr>
          <w:p w14:paraId="4D44274E" w14:textId="77777777" w:rsidR="004700AB" w:rsidRPr="004700AB" w:rsidRDefault="004700AB" w:rsidP="004700AB">
            <w:pPr>
              <w:spacing w:before="0" w:after="0"/>
              <w:jc w:val="right"/>
              <w:rPr>
                <w:b/>
                <w:bCs/>
                <w:noProof/>
                <w:color w:val="000000"/>
                <w:sz w:val="16"/>
                <w:szCs w:val="16"/>
                <w:lang w:val="en-IE" w:eastAsia="en-IE"/>
              </w:rPr>
            </w:pPr>
            <w:r w:rsidRPr="004700AB">
              <w:rPr>
                <w:b/>
                <w:bCs/>
                <w:noProof/>
                <w:color w:val="000000"/>
                <w:sz w:val="16"/>
                <w:szCs w:val="16"/>
                <w:lang w:val="en-IE" w:eastAsia="en-IE"/>
              </w:rPr>
              <w:t>4.032</w:t>
            </w:r>
          </w:p>
        </w:tc>
        <w:tc>
          <w:tcPr>
            <w:tcW w:w="614" w:type="pct"/>
            <w:tcBorders>
              <w:top w:val="nil"/>
              <w:left w:val="nil"/>
              <w:bottom w:val="single" w:sz="8" w:space="0" w:color="auto"/>
              <w:right w:val="single" w:sz="8" w:space="0" w:color="auto"/>
            </w:tcBorders>
            <w:shd w:val="clear" w:color="000000" w:fill="D9D9D9"/>
            <w:vAlign w:val="center"/>
            <w:hideMark/>
          </w:tcPr>
          <w:p w14:paraId="4AA4A9C9" w14:textId="77777777" w:rsidR="004700AB" w:rsidRPr="004700AB" w:rsidRDefault="004700AB" w:rsidP="004700AB">
            <w:pPr>
              <w:spacing w:before="0" w:after="0"/>
              <w:jc w:val="right"/>
              <w:rPr>
                <w:b/>
                <w:bCs/>
                <w:noProof/>
                <w:color w:val="000000"/>
                <w:sz w:val="16"/>
                <w:szCs w:val="16"/>
                <w:lang w:val="en-IE" w:eastAsia="en-IE"/>
              </w:rPr>
            </w:pPr>
            <w:r w:rsidRPr="004700AB">
              <w:rPr>
                <w:b/>
                <w:bCs/>
                <w:noProof/>
                <w:color w:val="000000"/>
                <w:sz w:val="16"/>
                <w:szCs w:val="16"/>
                <w:lang w:val="en-IE" w:eastAsia="en-IE"/>
              </w:rPr>
              <w:t>4.032</w:t>
            </w:r>
          </w:p>
        </w:tc>
        <w:tc>
          <w:tcPr>
            <w:tcW w:w="614" w:type="pct"/>
            <w:tcBorders>
              <w:top w:val="nil"/>
              <w:left w:val="nil"/>
              <w:bottom w:val="single" w:sz="8" w:space="0" w:color="auto"/>
              <w:right w:val="single" w:sz="8" w:space="0" w:color="auto"/>
            </w:tcBorders>
            <w:shd w:val="clear" w:color="000000" w:fill="D9D9D9"/>
            <w:vAlign w:val="center"/>
            <w:hideMark/>
          </w:tcPr>
          <w:p w14:paraId="2A1264AE" w14:textId="77777777" w:rsidR="004700AB" w:rsidRPr="004700AB" w:rsidRDefault="004700AB" w:rsidP="004700AB">
            <w:pPr>
              <w:spacing w:before="0" w:after="0"/>
              <w:jc w:val="right"/>
              <w:rPr>
                <w:b/>
                <w:bCs/>
                <w:noProof/>
                <w:color w:val="000000"/>
                <w:sz w:val="16"/>
                <w:szCs w:val="16"/>
                <w:lang w:val="en-IE" w:eastAsia="en-IE"/>
              </w:rPr>
            </w:pPr>
            <w:r w:rsidRPr="004700AB">
              <w:rPr>
                <w:b/>
                <w:bCs/>
                <w:noProof/>
                <w:color w:val="000000"/>
                <w:sz w:val="16"/>
                <w:szCs w:val="16"/>
                <w:lang w:val="en-IE" w:eastAsia="en-IE"/>
              </w:rPr>
              <w:t>3.702</w:t>
            </w:r>
          </w:p>
        </w:tc>
        <w:tc>
          <w:tcPr>
            <w:tcW w:w="614" w:type="pct"/>
            <w:tcBorders>
              <w:top w:val="nil"/>
              <w:left w:val="nil"/>
              <w:bottom w:val="single" w:sz="8" w:space="0" w:color="auto"/>
              <w:right w:val="single" w:sz="4" w:space="0" w:color="auto"/>
            </w:tcBorders>
            <w:shd w:val="clear" w:color="000000" w:fill="D9D9D9"/>
            <w:vAlign w:val="center"/>
          </w:tcPr>
          <w:p w14:paraId="1EAD26D4" w14:textId="77777777" w:rsidR="004700AB" w:rsidRPr="004700AB" w:rsidRDefault="004700AB" w:rsidP="004700AB">
            <w:pPr>
              <w:spacing w:before="0" w:after="0"/>
              <w:jc w:val="center"/>
              <w:rPr>
                <w:b/>
                <w:bCs/>
                <w:noProof/>
                <w:color w:val="000000"/>
                <w:sz w:val="16"/>
                <w:szCs w:val="16"/>
                <w:lang w:val="en-IE" w:eastAsia="en-IE"/>
              </w:rPr>
            </w:pPr>
            <w:r w:rsidRPr="004700AB">
              <w:rPr>
                <w:b/>
                <w:bCs/>
                <w:noProof/>
                <w:color w:val="000000"/>
                <w:sz w:val="16"/>
                <w:szCs w:val="16"/>
                <w:lang w:val="en-IE" w:eastAsia="en-IE"/>
              </w:rPr>
              <w:t>3.702</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73B74EA8" w14:textId="77777777" w:rsidR="004700AB" w:rsidRPr="004700AB" w:rsidRDefault="004700AB" w:rsidP="004700AB">
            <w:pPr>
              <w:spacing w:before="0" w:after="0"/>
              <w:jc w:val="center"/>
              <w:rPr>
                <w:b/>
                <w:bCs/>
                <w:noProof/>
                <w:color w:val="000000"/>
                <w:sz w:val="16"/>
                <w:szCs w:val="16"/>
                <w:lang w:val="en-IE" w:eastAsia="en-IE"/>
              </w:rPr>
            </w:pPr>
            <w:r w:rsidRPr="004700AB">
              <w:rPr>
                <w:b/>
                <w:bCs/>
                <w:noProof/>
                <w:color w:val="000000"/>
                <w:sz w:val="16"/>
                <w:szCs w:val="16"/>
                <w:lang w:val="en-IE" w:eastAsia="en-IE"/>
              </w:rPr>
              <w:t>3.702</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5A517359" w14:textId="77777777" w:rsidR="004700AB" w:rsidRPr="004700AB" w:rsidRDefault="004700AB" w:rsidP="004700AB">
            <w:pPr>
              <w:spacing w:before="0" w:after="0"/>
              <w:jc w:val="center"/>
              <w:rPr>
                <w:b/>
                <w:bCs/>
                <w:noProof/>
                <w:color w:val="000000"/>
                <w:sz w:val="16"/>
                <w:szCs w:val="16"/>
                <w:lang w:val="en-IE" w:eastAsia="en-IE"/>
              </w:rPr>
            </w:pPr>
            <w:r w:rsidRPr="004700AB">
              <w:rPr>
                <w:b/>
                <w:bCs/>
                <w:noProof/>
                <w:color w:val="000000"/>
                <w:sz w:val="16"/>
                <w:szCs w:val="16"/>
                <w:lang w:val="en-IE" w:eastAsia="en-IE"/>
              </w:rPr>
              <w:t>3.702</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14:paraId="01C301F7" w14:textId="77777777" w:rsidR="004700AB" w:rsidRPr="004700AB" w:rsidRDefault="004700AB" w:rsidP="004700AB">
            <w:pPr>
              <w:spacing w:before="0" w:after="0"/>
              <w:jc w:val="right"/>
              <w:rPr>
                <w:b/>
                <w:bCs/>
                <w:noProof/>
                <w:color w:val="000000"/>
                <w:sz w:val="16"/>
                <w:szCs w:val="16"/>
                <w:lang w:val="en-IE" w:eastAsia="en-IE"/>
              </w:rPr>
            </w:pPr>
            <w:r w:rsidRPr="004700AB">
              <w:rPr>
                <w:b/>
                <w:bCs/>
                <w:noProof/>
                <w:color w:val="000000"/>
                <w:sz w:val="16"/>
                <w:szCs w:val="16"/>
                <w:lang w:val="en-IE" w:eastAsia="en-IE"/>
              </w:rPr>
              <w:t>26.907</w:t>
            </w:r>
          </w:p>
        </w:tc>
      </w:tr>
      <w:tr w:rsidR="00486288" w:rsidRPr="00290112" w14:paraId="5447A3A9" w14:textId="77777777" w:rsidTr="00445C9D">
        <w:trPr>
          <w:trHeight w:val="431"/>
        </w:trPr>
        <w:tc>
          <w:tcPr>
            <w:tcW w:w="5000" w:type="pct"/>
            <w:gridSpan w:val="12"/>
            <w:tcBorders>
              <w:top w:val="single" w:sz="8" w:space="0" w:color="auto"/>
              <w:left w:val="single" w:sz="8" w:space="0" w:color="auto"/>
              <w:bottom w:val="single" w:sz="8" w:space="0" w:color="auto"/>
              <w:right w:val="single" w:sz="4" w:space="0" w:color="auto"/>
            </w:tcBorders>
            <w:vAlign w:val="center"/>
          </w:tcPr>
          <w:p w14:paraId="75D3AAAD" w14:textId="77777777" w:rsidR="00486288" w:rsidRPr="00290112" w:rsidRDefault="00486288" w:rsidP="00445C9D">
            <w:pPr>
              <w:spacing w:before="0" w:after="0"/>
              <w:jc w:val="center"/>
              <w:rPr>
                <w:b/>
                <w:bCs/>
                <w:noProof/>
                <w:sz w:val="16"/>
                <w:szCs w:val="16"/>
                <w:lang w:val="en-IE" w:eastAsia="en-IE"/>
              </w:rPr>
            </w:pPr>
            <w:r w:rsidRPr="00290112">
              <w:rPr>
                <w:b/>
                <w:bCs/>
                <w:noProof/>
                <w:sz w:val="16"/>
                <w:szCs w:val="16"/>
                <w:lang w:val="en-IE" w:eastAsia="en-IE"/>
              </w:rPr>
              <w:t xml:space="preserve">Outside HEADING </w:t>
            </w:r>
            <w:r>
              <w:rPr>
                <w:b/>
                <w:bCs/>
                <w:noProof/>
                <w:sz w:val="16"/>
                <w:szCs w:val="16"/>
                <w:lang w:val="en-IE" w:eastAsia="en-IE"/>
              </w:rPr>
              <w:t>4</w:t>
            </w:r>
          </w:p>
        </w:tc>
      </w:tr>
      <w:tr w:rsidR="000E3F9D" w:rsidRPr="00290112" w14:paraId="17EB3915" w14:textId="77777777" w:rsidTr="000E3F9D">
        <w:trPr>
          <w:trHeight w:val="300"/>
        </w:trPr>
        <w:tc>
          <w:tcPr>
            <w:tcW w:w="574" w:type="pct"/>
            <w:gridSpan w:val="4"/>
            <w:tcBorders>
              <w:top w:val="nil"/>
              <w:left w:val="single" w:sz="8" w:space="0" w:color="auto"/>
              <w:bottom w:val="single" w:sz="8" w:space="0" w:color="auto"/>
              <w:right w:val="single" w:sz="8" w:space="0" w:color="auto"/>
            </w:tcBorders>
            <w:vAlign w:val="center"/>
            <w:hideMark/>
          </w:tcPr>
          <w:p w14:paraId="5B5E6B20" w14:textId="77777777" w:rsidR="00102AF6" w:rsidRPr="00290112" w:rsidRDefault="00102AF6" w:rsidP="00102AF6">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381" w:type="pct"/>
            <w:tcBorders>
              <w:top w:val="nil"/>
              <w:left w:val="nil"/>
              <w:bottom w:val="single" w:sz="8" w:space="0" w:color="auto"/>
              <w:right w:val="single" w:sz="8" w:space="0" w:color="auto"/>
            </w:tcBorders>
            <w:shd w:val="clear" w:color="000000" w:fill="D9D9D9"/>
            <w:vAlign w:val="center"/>
            <w:hideMark/>
          </w:tcPr>
          <w:p w14:paraId="50409792" w14:textId="190BDEB5" w:rsidR="00102AF6" w:rsidRPr="00A659CD" w:rsidRDefault="00102AF6" w:rsidP="00102AF6">
            <w:pPr>
              <w:spacing w:before="0" w:after="0"/>
              <w:jc w:val="right"/>
              <w:rPr>
                <w:b/>
                <w:bCs/>
                <w:noProof/>
                <w:color w:val="000000"/>
                <w:sz w:val="18"/>
                <w:szCs w:val="18"/>
                <w:lang w:val="en-IE" w:eastAsia="en-IE"/>
              </w:rPr>
            </w:pPr>
            <w:r w:rsidDel="00980921">
              <w:rPr>
                <w:rFonts w:ascii="Arial Narrow" w:hAnsi="Arial Narrow"/>
                <w:noProof/>
                <w:color w:val="000000"/>
                <w:sz w:val="20"/>
              </w:rPr>
              <w:t>6</w:t>
            </w:r>
            <w:r>
              <w:rPr>
                <w:rFonts w:ascii="Arial Narrow" w:hAnsi="Arial Narrow" w:cs="Calibri"/>
                <w:noProof/>
                <w:color w:val="000000"/>
                <w:sz w:val="20"/>
                <w:szCs w:val="20"/>
              </w:rPr>
              <w:t>,</w:t>
            </w:r>
            <w:r w:rsidDel="00980921">
              <w:rPr>
                <w:rFonts w:ascii="Arial Narrow" w:hAnsi="Arial Narrow"/>
                <w:noProof/>
                <w:color w:val="000000"/>
                <w:sz w:val="20"/>
              </w:rPr>
              <w:t>357</w:t>
            </w:r>
          </w:p>
        </w:tc>
        <w:tc>
          <w:tcPr>
            <w:tcW w:w="405" w:type="pct"/>
            <w:tcBorders>
              <w:top w:val="nil"/>
              <w:left w:val="nil"/>
              <w:bottom w:val="single" w:sz="8" w:space="0" w:color="auto"/>
              <w:right w:val="single" w:sz="8" w:space="0" w:color="auto"/>
            </w:tcBorders>
            <w:shd w:val="clear" w:color="000000" w:fill="D9D9D9"/>
            <w:vAlign w:val="center"/>
            <w:hideMark/>
          </w:tcPr>
          <w:p w14:paraId="590399EC" w14:textId="776B94E0" w:rsidR="00102AF6" w:rsidRPr="00A659CD" w:rsidRDefault="00102AF6" w:rsidP="00102AF6">
            <w:pPr>
              <w:spacing w:before="0" w:after="0"/>
              <w:jc w:val="right"/>
              <w:rPr>
                <w:b/>
                <w:bCs/>
                <w:noProof/>
                <w:color w:val="000000"/>
                <w:sz w:val="18"/>
                <w:szCs w:val="18"/>
                <w:lang w:val="en-IE" w:eastAsia="en-IE"/>
              </w:rPr>
            </w:pPr>
            <w:r>
              <w:rPr>
                <w:rFonts w:ascii="Arial Narrow" w:hAnsi="Arial Narrow" w:cs="Calibri"/>
                <w:noProof/>
                <w:color w:val="000000"/>
                <w:sz w:val="20"/>
                <w:szCs w:val="20"/>
              </w:rPr>
              <w:t>1,060</w:t>
            </w:r>
          </w:p>
        </w:tc>
        <w:tc>
          <w:tcPr>
            <w:tcW w:w="614" w:type="pct"/>
            <w:tcBorders>
              <w:top w:val="nil"/>
              <w:left w:val="nil"/>
              <w:bottom w:val="single" w:sz="8" w:space="0" w:color="auto"/>
              <w:right w:val="single" w:sz="8" w:space="0" w:color="auto"/>
            </w:tcBorders>
            <w:shd w:val="clear" w:color="000000" w:fill="D9D9D9"/>
            <w:vAlign w:val="center"/>
            <w:hideMark/>
          </w:tcPr>
          <w:p w14:paraId="7A34E36C" w14:textId="753B4E62" w:rsidR="00102AF6" w:rsidRPr="00A659CD" w:rsidRDefault="00102AF6" w:rsidP="00102AF6">
            <w:pPr>
              <w:spacing w:before="0" w:after="0"/>
              <w:jc w:val="right"/>
              <w:rPr>
                <w:b/>
                <w:bCs/>
                <w:noProof/>
                <w:color w:val="000000"/>
                <w:sz w:val="18"/>
                <w:szCs w:val="18"/>
                <w:lang w:val="en-IE" w:eastAsia="en-IE"/>
              </w:rPr>
            </w:pPr>
            <w:r>
              <w:rPr>
                <w:rFonts w:ascii="Arial Narrow" w:hAnsi="Arial Narrow" w:cs="Calibri"/>
                <w:noProof/>
                <w:color w:val="000000"/>
                <w:sz w:val="20"/>
                <w:szCs w:val="20"/>
              </w:rPr>
              <w:t>23,051</w:t>
            </w:r>
          </w:p>
        </w:tc>
        <w:tc>
          <w:tcPr>
            <w:tcW w:w="614" w:type="pct"/>
            <w:tcBorders>
              <w:top w:val="nil"/>
              <w:left w:val="nil"/>
              <w:bottom w:val="single" w:sz="8" w:space="0" w:color="auto"/>
              <w:right w:val="single" w:sz="8" w:space="0" w:color="auto"/>
            </w:tcBorders>
            <w:shd w:val="clear" w:color="000000" w:fill="D9D9D9"/>
            <w:vAlign w:val="center"/>
            <w:hideMark/>
          </w:tcPr>
          <w:p w14:paraId="5A05ADA1" w14:textId="7F3AECED" w:rsidR="00102AF6" w:rsidRPr="00A659CD" w:rsidRDefault="00102AF6" w:rsidP="00102AF6">
            <w:pPr>
              <w:spacing w:before="0" w:after="0"/>
              <w:jc w:val="right"/>
              <w:rPr>
                <w:b/>
                <w:bCs/>
                <w:noProof/>
                <w:color w:val="000000"/>
                <w:sz w:val="18"/>
                <w:szCs w:val="18"/>
                <w:lang w:val="en-IE" w:eastAsia="en-IE"/>
              </w:rPr>
            </w:pPr>
            <w:r>
              <w:rPr>
                <w:rFonts w:ascii="Arial Narrow" w:hAnsi="Arial Narrow" w:cs="Calibri"/>
                <w:noProof/>
                <w:color w:val="000000"/>
                <w:sz w:val="20"/>
                <w:szCs w:val="20"/>
              </w:rPr>
              <w:t>27,292</w:t>
            </w:r>
          </w:p>
        </w:tc>
        <w:tc>
          <w:tcPr>
            <w:tcW w:w="614" w:type="pct"/>
            <w:tcBorders>
              <w:top w:val="nil"/>
              <w:left w:val="nil"/>
              <w:bottom w:val="single" w:sz="8" w:space="0" w:color="auto"/>
              <w:right w:val="single" w:sz="4" w:space="0" w:color="auto"/>
            </w:tcBorders>
            <w:shd w:val="clear" w:color="000000" w:fill="D9D9D9"/>
            <w:vAlign w:val="center"/>
          </w:tcPr>
          <w:p w14:paraId="26E2DC05" w14:textId="12A02C86" w:rsidR="00102AF6" w:rsidRPr="00A659CD" w:rsidRDefault="00102AF6" w:rsidP="00102AF6">
            <w:pPr>
              <w:spacing w:before="0" w:after="0"/>
              <w:jc w:val="center"/>
              <w:rPr>
                <w:b/>
                <w:bCs/>
                <w:noProof/>
                <w:color w:val="000000"/>
                <w:sz w:val="18"/>
                <w:szCs w:val="18"/>
                <w:lang w:val="en-IE" w:eastAsia="en-IE"/>
              </w:rPr>
            </w:pPr>
            <w:r>
              <w:rPr>
                <w:rFonts w:ascii="Arial Narrow" w:hAnsi="Arial Narrow" w:cs="Calibri"/>
                <w:noProof/>
                <w:color w:val="000000"/>
                <w:sz w:val="20"/>
                <w:szCs w:val="20"/>
              </w:rPr>
              <w:t>27,557</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681F802F" w14:textId="25D8BDDD" w:rsidR="00102AF6" w:rsidRPr="00A659CD" w:rsidRDefault="00102AF6" w:rsidP="00102AF6">
            <w:pPr>
              <w:spacing w:before="0" w:after="0"/>
              <w:jc w:val="center"/>
              <w:rPr>
                <w:b/>
                <w:bCs/>
                <w:noProof/>
                <w:color w:val="000000"/>
                <w:sz w:val="18"/>
                <w:szCs w:val="18"/>
                <w:lang w:val="en-IE" w:eastAsia="en-IE"/>
              </w:rPr>
            </w:pPr>
            <w:r>
              <w:rPr>
                <w:rFonts w:ascii="Arial Narrow" w:hAnsi="Arial Narrow" w:cs="Calibri"/>
                <w:noProof/>
                <w:color w:val="000000"/>
                <w:sz w:val="20"/>
                <w:szCs w:val="20"/>
              </w:rPr>
              <w:t>27,557</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1B857925" w14:textId="06F88F12" w:rsidR="00102AF6" w:rsidRPr="00A659CD" w:rsidRDefault="00102AF6" w:rsidP="00102AF6">
            <w:pPr>
              <w:spacing w:before="0" w:after="0"/>
              <w:jc w:val="center"/>
              <w:rPr>
                <w:b/>
                <w:bCs/>
                <w:noProof/>
                <w:color w:val="000000"/>
                <w:sz w:val="18"/>
                <w:szCs w:val="18"/>
                <w:lang w:val="en-IE" w:eastAsia="en-IE"/>
              </w:rPr>
            </w:pPr>
            <w:r>
              <w:rPr>
                <w:rFonts w:ascii="Arial Narrow" w:hAnsi="Arial Narrow" w:cs="Calibri"/>
                <w:noProof/>
                <w:color w:val="000000"/>
                <w:sz w:val="20"/>
                <w:szCs w:val="20"/>
              </w:rPr>
              <w:t>27,557</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14:paraId="6A8553C2" w14:textId="08955978" w:rsidR="00102AF6" w:rsidRPr="00A659CD" w:rsidRDefault="00102AF6" w:rsidP="00102AF6">
            <w:pPr>
              <w:spacing w:before="0" w:after="0"/>
              <w:jc w:val="right"/>
              <w:rPr>
                <w:b/>
                <w:bCs/>
                <w:noProof/>
                <w:color w:val="000000"/>
                <w:sz w:val="18"/>
                <w:szCs w:val="18"/>
                <w:lang w:val="en-IE" w:eastAsia="en-IE"/>
              </w:rPr>
            </w:pPr>
            <w:r>
              <w:rPr>
                <w:rFonts w:ascii="Arial Narrow" w:hAnsi="Arial Narrow" w:cs="Calibri"/>
                <w:b/>
                <w:noProof/>
                <w:color w:val="000000"/>
                <w:sz w:val="20"/>
                <w:szCs w:val="20"/>
              </w:rPr>
              <w:t>153,866</w:t>
            </w:r>
          </w:p>
        </w:tc>
      </w:tr>
      <w:tr w:rsidR="000E3F9D" w:rsidRPr="00290112" w14:paraId="68D503E4" w14:textId="77777777" w:rsidTr="000E3F9D">
        <w:trPr>
          <w:trHeight w:val="300"/>
        </w:trPr>
        <w:tc>
          <w:tcPr>
            <w:tcW w:w="574" w:type="pct"/>
            <w:gridSpan w:val="4"/>
            <w:tcBorders>
              <w:top w:val="nil"/>
              <w:left w:val="single" w:sz="8" w:space="0" w:color="auto"/>
              <w:bottom w:val="single" w:sz="8" w:space="0" w:color="auto"/>
              <w:right w:val="single" w:sz="8" w:space="0" w:color="auto"/>
            </w:tcBorders>
            <w:vAlign w:val="center"/>
          </w:tcPr>
          <w:p w14:paraId="35F99AEB" w14:textId="77777777" w:rsidR="00486288" w:rsidRPr="00290112" w:rsidRDefault="00486288" w:rsidP="00445C9D">
            <w:pPr>
              <w:spacing w:before="0" w:after="0"/>
              <w:jc w:val="left"/>
              <w:rPr>
                <w:noProof/>
                <w:color w:val="000000"/>
                <w:sz w:val="16"/>
                <w:szCs w:val="16"/>
                <w:lang w:val="en-IE" w:eastAsia="en-IE"/>
              </w:rPr>
            </w:pPr>
            <w:r w:rsidRPr="00290112">
              <w:rPr>
                <w:noProof/>
                <w:color w:val="000000"/>
                <w:sz w:val="16"/>
                <w:szCs w:val="16"/>
                <w:lang w:val="en-IE" w:eastAsia="en-IE"/>
              </w:rPr>
              <w:t>Other expenditure of an administrative nature</w:t>
            </w:r>
            <w:r>
              <w:rPr>
                <w:noProof/>
                <w:color w:val="000000"/>
                <w:sz w:val="16"/>
                <w:szCs w:val="16"/>
                <w:lang w:val="en-IE" w:eastAsia="en-IE"/>
              </w:rPr>
              <w:t xml:space="preserve"> (subsidy executive agency)</w:t>
            </w:r>
          </w:p>
        </w:tc>
        <w:tc>
          <w:tcPr>
            <w:tcW w:w="381" w:type="pct"/>
            <w:tcBorders>
              <w:top w:val="nil"/>
              <w:left w:val="nil"/>
              <w:bottom w:val="single" w:sz="8" w:space="0" w:color="auto"/>
              <w:right w:val="single" w:sz="8" w:space="0" w:color="auto"/>
            </w:tcBorders>
            <w:shd w:val="clear" w:color="000000" w:fill="D9D9D9"/>
            <w:vAlign w:val="center"/>
          </w:tcPr>
          <w:p w14:paraId="43B8FD5E" w14:textId="77777777" w:rsidR="00486288" w:rsidRPr="00E7584E" w:rsidRDefault="00486288" w:rsidP="00445C9D">
            <w:pPr>
              <w:spacing w:before="0" w:after="0"/>
              <w:jc w:val="right"/>
              <w:rPr>
                <w:rFonts w:ascii="Arial Narrow" w:hAnsi="Arial Narrow" w:cs="Calibri"/>
                <w:noProof/>
                <w:color w:val="000000"/>
                <w:sz w:val="18"/>
                <w:szCs w:val="18"/>
              </w:rPr>
            </w:pPr>
            <w:r w:rsidRPr="00E7584E">
              <w:rPr>
                <w:rFonts w:ascii="Arial Narrow" w:hAnsi="Arial Narrow" w:cs="Calibri"/>
                <w:noProof/>
                <w:color w:val="000000"/>
                <w:sz w:val="18"/>
                <w:szCs w:val="18"/>
              </w:rPr>
              <w:t>p.m.</w:t>
            </w:r>
          </w:p>
        </w:tc>
        <w:tc>
          <w:tcPr>
            <w:tcW w:w="405" w:type="pct"/>
            <w:tcBorders>
              <w:top w:val="nil"/>
              <w:left w:val="nil"/>
              <w:bottom w:val="single" w:sz="8" w:space="0" w:color="auto"/>
              <w:right w:val="single" w:sz="8" w:space="0" w:color="auto"/>
            </w:tcBorders>
            <w:shd w:val="clear" w:color="000000" w:fill="D9D9D9"/>
            <w:vAlign w:val="center"/>
          </w:tcPr>
          <w:p w14:paraId="2ADCCA61" w14:textId="77777777" w:rsidR="00486288" w:rsidRDefault="00486288" w:rsidP="00445C9D">
            <w:pPr>
              <w:spacing w:before="0" w:after="0"/>
              <w:jc w:val="right"/>
              <w:rPr>
                <w:rFonts w:ascii="Arial Narrow" w:hAnsi="Arial Narrow" w:cs="Calibri"/>
                <w:noProof/>
                <w:color w:val="000000"/>
                <w:sz w:val="20"/>
                <w:szCs w:val="20"/>
              </w:rPr>
            </w:pPr>
            <w:r w:rsidRPr="00DA0855">
              <w:rPr>
                <w:rFonts w:ascii="Arial Narrow" w:hAnsi="Arial Narrow" w:cs="Calibri"/>
                <w:noProof/>
                <w:color w:val="000000"/>
                <w:sz w:val="18"/>
                <w:szCs w:val="18"/>
              </w:rPr>
              <w:t>p.m.</w:t>
            </w:r>
          </w:p>
        </w:tc>
        <w:tc>
          <w:tcPr>
            <w:tcW w:w="614" w:type="pct"/>
            <w:tcBorders>
              <w:top w:val="nil"/>
              <w:left w:val="nil"/>
              <w:bottom w:val="single" w:sz="8" w:space="0" w:color="auto"/>
              <w:right w:val="single" w:sz="8" w:space="0" w:color="auto"/>
            </w:tcBorders>
            <w:shd w:val="clear" w:color="000000" w:fill="D9D9D9"/>
            <w:vAlign w:val="center"/>
          </w:tcPr>
          <w:p w14:paraId="734CACCC" w14:textId="77777777" w:rsidR="00486288" w:rsidRDefault="00486288" w:rsidP="00445C9D">
            <w:pPr>
              <w:spacing w:before="0" w:after="0"/>
              <w:jc w:val="right"/>
              <w:rPr>
                <w:rFonts w:ascii="Arial Narrow" w:hAnsi="Arial Narrow" w:cs="Calibri"/>
                <w:noProof/>
                <w:color w:val="000000"/>
                <w:sz w:val="20"/>
                <w:szCs w:val="20"/>
              </w:rPr>
            </w:pPr>
            <w:r w:rsidRPr="00DA0855">
              <w:rPr>
                <w:rFonts w:ascii="Arial Narrow" w:hAnsi="Arial Narrow" w:cs="Calibri"/>
                <w:noProof/>
                <w:color w:val="000000"/>
                <w:sz w:val="18"/>
                <w:szCs w:val="18"/>
              </w:rPr>
              <w:t>p.m.</w:t>
            </w:r>
          </w:p>
        </w:tc>
        <w:tc>
          <w:tcPr>
            <w:tcW w:w="614" w:type="pct"/>
            <w:tcBorders>
              <w:top w:val="nil"/>
              <w:left w:val="nil"/>
              <w:bottom w:val="single" w:sz="8" w:space="0" w:color="auto"/>
              <w:right w:val="single" w:sz="8" w:space="0" w:color="auto"/>
            </w:tcBorders>
            <w:shd w:val="clear" w:color="000000" w:fill="D9D9D9"/>
            <w:vAlign w:val="center"/>
          </w:tcPr>
          <w:p w14:paraId="5F8E0BD6" w14:textId="77777777" w:rsidR="00486288" w:rsidRDefault="00486288" w:rsidP="00445C9D">
            <w:pPr>
              <w:spacing w:before="0" w:after="0"/>
              <w:jc w:val="right"/>
              <w:rPr>
                <w:rFonts w:ascii="Arial Narrow" w:hAnsi="Arial Narrow" w:cs="Calibri"/>
                <w:noProof/>
                <w:color w:val="000000"/>
                <w:sz w:val="20"/>
                <w:szCs w:val="20"/>
              </w:rPr>
            </w:pPr>
            <w:r w:rsidRPr="00DA0855">
              <w:rPr>
                <w:rFonts w:ascii="Arial Narrow" w:hAnsi="Arial Narrow" w:cs="Calibri"/>
                <w:noProof/>
                <w:color w:val="000000"/>
                <w:sz w:val="18"/>
                <w:szCs w:val="18"/>
              </w:rPr>
              <w:t>p.m.</w:t>
            </w:r>
          </w:p>
        </w:tc>
        <w:tc>
          <w:tcPr>
            <w:tcW w:w="614" w:type="pct"/>
            <w:tcBorders>
              <w:top w:val="nil"/>
              <w:left w:val="nil"/>
              <w:bottom w:val="single" w:sz="8" w:space="0" w:color="auto"/>
              <w:right w:val="single" w:sz="4" w:space="0" w:color="auto"/>
            </w:tcBorders>
            <w:shd w:val="clear" w:color="000000" w:fill="D9D9D9"/>
            <w:vAlign w:val="center"/>
          </w:tcPr>
          <w:p w14:paraId="67690926" w14:textId="77777777" w:rsidR="00486288" w:rsidRDefault="00486288" w:rsidP="00445C9D">
            <w:pPr>
              <w:spacing w:before="0" w:after="0"/>
              <w:jc w:val="center"/>
              <w:rPr>
                <w:rFonts w:ascii="Arial Narrow" w:hAnsi="Arial Narrow" w:cs="Calibri"/>
                <w:noProof/>
                <w:color w:val="000000"/>
                <w:sz w:val="20"/>
                <w:szCs w:val="20"/>
              </w:rPr>
            </w:pPr>
            <w:r w:rsidRPr="00DA0855">
              <w:rPr>
                <w:rFonts w:ascii="Arial Narrow" w:hAnsi="Arial Narrow" w:cs="Calibri"/>
                <w:noProof/>
                <w:color w:val="000000"/>
                <w:sz w:val="18"/>
                <w:szCs w:val="18"/>
              </w:rPr>
              <w:t>p.m.</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4390F309" w14:textId="77777777" w:rsidR="00486288" w:rsidRDefault="00486288" w:rsidP="00445C9D">
            <w:pPr>
              <w:spacing w:before="0" w:after="0"/>
              <w:jc w:val="center"/>
              <w:rPr>
                <w:rFonts w:ascii="Arial Narrow" w:hAnsi="Arial Narrow" w:cs="Calibri"/>
                <w:noProof/>
                <w:color w:val="000000"/>
                <w:sz w:val="20"/>
                <w:szCs w:val="20"/>
              </w:rPr>
            </w:pPr>
            <w:r w:rsidRPr="00DA0855">
              <w:rPr>
                <w:rFonts w:ascii="Arial Narrow" w:hAnsi="Arial Narrow" w:cs="Calibri"/>
                <w:noProof/>
                <w:color w:val="000000"/>
                <w:sz w:val="18"/>
                <w:szCs w:val="18"/>
              </w:rPr>
              <w:t>p.m.</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2AC88041" w14:textId="77777777" w:rsidR="00486288" w:rsidRDefault="00486288" w:rsidP="00445C9D">
            <w:pPr>
              <w:spacing w:before="0" w:after="0"/>
              <w:jc w:val="center"/>
              <w:rPr>
                <w:rFonts w:ascii="Arial Narrow" w:hAnsi="Arial Narrow" w:cs="Calibri"/>
                <w:noProof/>
                <w:color w:val="000000"/>
                <w:sz w:val="20"/>
                <w:szCs w:val="20"/>
              </w:rPr>
            </w:pPr>
            <w:r w:rsidRPr="00DA0855">
              <w:rPr>
                <w:rFonts w:ascii="Arial Narrow" w:hAnsi="Arial Narrow" w:cs="Calibri"/>
                <w:noProof/>
                <w:color w:val="000000"/>
                <w:sz w:val="18"/>
                <w:szCs w:val="18"/>
              </w:rPr>
              <w:t>p.m.</w:t>
            </w:r>
          </w:p>
        </w:tc>
        <w:tc>
          <w:tcPr>
            <w:tcW w:w="716" w:type="pct"/>
            <w:tcBorders>
              <w:top w:val="nil"/>
              <w:left w:val="single" w:sz="4" w:space="0" w:color="auto"/>
              <w:bottom w:val="single" w:sz="8" w:space="0" w:color="auto"/>
              <w:right w:val="single" w:sz="8" w:space="0" w:color="auto"/>
            </w:tcBorders>
            <w:shd w:val="clear" w:color="000000" w:fill="D9D9D9"/>
            <w:vAlign w:val="center"/>
          </w:tcPr>
          <w:p w14:paraId="68ED0B3D" w14:textId="77777777" w:rsidR="00486288" w:rsidRDefault="00486288" w:rsidP="00445C9D">
            <w:pPr>
              <w:spacing w:before="0" w:after="0"/>
              <w:jc w:val="right"/>
              <w:rPr>
                <w:rFonts w:ascii="Arial Narrow" w:hAnsi="Arial Narrow" w:cs="Calibri"/>
                <w:b/>
                <w:noProof/>
                <w:color w:val="000000"/>
                <w:sz w:val="20"/>
                <w:szCs w:val="20"/>
              </w:rPr>
            </w:pPr>
            <w:r w:rsidRPr="00DA0855">
              <w:rPr>
                <w:rFonts w:ascii="Arial Narrow" w:hAnsi="Arial Narrow" w:cs="Calibri"/>
                <w:noProof/>
                <w:color w:val="000000"/>
                <w:sz w:val="18"/>
                <w:szCs w:val="18"/>
              </w:rPr>
              <w:t>p.m.</w:t>
            </w:r>
          </w:p>
        </w:tc>
      </w:tr>
      <w:tr w:rsidR="000E3F9D" w:rsidRPr="00290112" w14:paraId="1F004F4F" w14:textId="77777777" w:rsidTr="000E3F9D">
        <w:trPr>
          <w:trHeight w:val="300"/>
        </w:trPr>
        <w:tc>
          <w:tcPr>
            <w:tcW w:w="574" w:type="pct"/>
            <w:gridSpan w:val="4"/>
            <w:tcBorders>
              <w:top w:val="nil"/>
              <w:left w:val="single" w:sz="8" w:space="0" w:color="auto"/>
              <w:bottom w:val="single" w:sz="8" w:space="0" w:color="auto"/>
              <w:right w:val="single" w:sz="8" w:space="0" w:color="auto"/>
            </w:tcBorders>
            <w:vAlign w:val="center"/>
            <w:hideMark/>
          </w:tcPr>
          <w:p w14:paraId="4F032EC6" w14:textId="77777777" w:rsidR="00102AF6" w:rsidRPr="00290112" w:rsidRDefault="00102AF6" w:rsidP="00102AF6">
            <w:pPr>
              <w:spacing w:before="0" w:after="0"/>
              <w:jc w:val="left"/>
              <w:rPr>
                <w:noProof/>
                <w:color w:val="000000"/>
                <w:sz w:val="16"/>
                <w:szCs w:val="16"/>
                <w:lang w:val="en-IE" w:eastAsia="en-IE"/>
              </w:rPr>
            </w:pPr>
            <w:r w:rsidRPr="00290112">
              <w:rPr>
                <w:noProof/>
                <w:color w:val="000000"/>
                <w:sz w:val="16"/>
                <w:szCs w:val="16"/>
                <w:lang w:val="en-IE" w:eastAsia="en-IE"/>
              </w:rPr>
              <w:t>Other expenditure of an administrative nature</w:t>
            </w:r>
          </w:p>
        </w:tc>
        <w:tc>
          <w:tcPr>
            <w:tcW w:w="381" w:type="pct"/>
            <w:tcBorders>
              <w:top w:val="nil"/>
              <w:left w:val="nil"/>
              <w:bottom w:val="single" w:sz="8" w:space="0" w:color="auto"/>
              <w:right w:val="single" w:sz="8" w:space="0" w:color="auto"/>
            </w:tcBorders>
            <w:shd w:val="clear" w:color="000000" w:fill="D9D9D9"/>
            <w:vAlign w:val="center"/>
            <w:hideMark/>
          </w:tcPr>
          <w:p w14:paraId="48263FD1" w14:textId="3D2103DC" w:rsidR="00102AF6" w:rsidRPr="00A659CD" w:rsidRDefault="00102AF6" w:rsidP="00102AF6">
            <w:pPr>
              <w:spacing w:before="0" w:after="0"/>
              <w:jc w:val="right"/>
              <w:rPr>
                <w:b/>
                <w:bCs/>
                <w:noProof/>
                <w:color w:val="000000"/>
                <w:sz w:val="18"/>
                <w:szCs w:val="18"/>
                <w:lang w:val="en-IE" w:eastAsia="en-IE"/>
              </w:rPr>
            </w:pPr>
            <w:r>
              <w:rPr>
                <w:noProof/>
                <w:color w:val="000000"/>
                <w:sz w:val="16"/>
                <w:szCs w:val="16"/>
              </w:rPr>
              <w:t>0.248</w:t>
            </w:r>
          </w:p>
        </w:tc>
        <w:tc>
          <w:tcPr>
            <w:tcW w:w="405" w:type="pct"/>
            <w:tcBorders>
              <w:top w:val="nil"/>
              <w:left w:val="nil"/>
              <w:bottom w:val="single" w:sz="8" w:space="0" w:color="auto"/>
              <w:right w:val="single" w:sz="8" w:space="0" w:color="auto"/>
            </w:tcBorders>
            <w:shd w:val="clear" w:color="000000" w:fill="D9D9D9"/>
            <w:vAlign w:val="center"/>
            <w:hideMark/>
          </w:tcPr>
          <w:p w14:paraId="7E6AFF40" w14:textId="6316F116" w:rsidR="00102AF6" w:rsidRPr="00A659CD" w:rsidRDefault="00102AF6" w:rsidP="00102AF6">
            <w:pPr>
              <w:spacing w:before="0" w:after="0"/>
              <w:jc w:val="right"/>
              <w:rPr>
                <w:b/>
                <w:bCs/>
                <w:noProof/>
                <w:color w:val="000000"/>
                <w:sz w:val="18"/>
                <w:szCs w:val="18"/>
                <w:lang w:val="en-IE" w:eastAsia="en-IE"/>
              </w:rPr>
            </w:pPr>
            <w:r>
              <w:rPr>
                <w:noProof/>
                <w:color w:val="000000"/>
                <w:sz w:val="16"/>
                <w:szCs w:val="16"/>
              </w:rPr>
              <w:t>0.743</w:t>
            </w:r>
          </w:p>
        </w:tc>
        <w:tc>
          <w:tcPr>
            <w:tcW w:w="614" w:type="pct"/>
            <w:tcBorders>
              <w:top w:val="nil"/>
              <w:left w:val="nil"/>
              <w:bottom w:val="single" w:sz="8" w:space="0" w:color="auto"/>
              <w:right w:val="single" w:sz="8" w:space="0" w:color="auto"/>
            </w:tcBorders>
            <w:shd w:val="clear" w:color="000000" w:fill="D9D9D9"/>
            <w:vAlign w:val="center"/>
            <w:hideMark/>
          </w:tcPr>
          <w:p w14:paraId="69CF41A5" w14:textId="022BD1C8" w:rsidR="00102AF6" w:rsidRPr="00A659CD" w:rsidRDefault="00102AF6" w:rsidP="00102AF6">
            <w:pPr>
              <w:spacing w:before="0" w:after="0"/>
              <w:jc w:val="right"/>
              <w:rPr>
                <w:b/>
                <w:bCs/>
                <w:noProof/>
                <w:color w:val="000000"/>
                <w:sz w:val="18"/>
                <w:szCs w:val="18"/>
                <w:lang w:val="en-IE" w:eastAsia="en-IE"/>
              </w:rPr>
            </w:pPr>
            <w:r>
              <w:rPr>
                <w:noProof/>
                <w:color w:val="000000"/>
                <w:sz w:val="16"/>
                <w:szCs w:val="16"/>
              </w:rPr>
              <w:t>1.500</w:t>
            </w:r>
          </w:p>
        </w:tc>
        <w:tc>
          <w:tcPr>
            <w:tcW w:w="614" w:type="pct"/>
            <w:tcBorders>
              <w:top w:val="nil"/>
              <w:left w:val="nil"/>
              <w:bottom w:val="single" w:sz="8" w:space="0" w:color="auto"/>
              <w:right w:val="single" w:sz="8" w:space="0" w:color="auto"/>
            </w:tcBorders>
            <w:shd w:val="clear" w:color="000000" w:fill="D9D9D9"/>
            <w:vAlign w:val="center"/>
            <w:hideMark/>
          </w:tcPr>
          <w:p w14:paraId="4F163979" w14:textId="661B91A3" w:rsidR="00102AF6" w:rsidRPr="00A659CD" w:rsidRDefault="00102AF6" w:rsidP="00102AF6">
            <w:pPr>
              <w:spacing w:before="0" w:after="0"/>
              <w:jc w:val="right"/>
              <w:rPr>
                <w:b/>
                <w:bCs/>
                <w:noProof/>
                <w:color w:val="000000"/>
                <w:sz w:val="18"/>
                <w:szCs w:val="18"/>
                <w:lang w:val="en-IE" w:eastAsia="en-IE"/>
              </w:rPr>
            </w:pPr>
            <w:r>
              <w:rPr>
                <w:noProof/>
                <w:color w:val="000000"/>
                <w:sz w:val="16"/>
                <w:szCs w:val="16"/>
              </w:rPr>
              <w:t>1.500</w:t>
            </w:r>
          </w:p>
        </w:tc>
        <w:tc>
          <w:tcPr>
            <w:tcW w:w="614" w:type="pct"/>
            <w:tcBorders>
              <w:top w:val="nil"/>
              <w:left w:val="nil"/>
              <w:bottom w:val="single" w:sz="8" w:space="0" w:color="auto"/>
              <w:right w:val="single" w:sz="4" w:space="0" w:color="auto"/>
            </w:tcBorders>
            <w:shd w:val="clear" w:color="000000" w:fill="D9D9D9"/>
            <w:vAlign w:val="center"/>
          </w:tcPr>
          <w:p w14:paraId="22A7AB54" w14:textId="4AAF0BF5" w:rsidR="00102AF6" w:rsidRPr="00A659CD" w:rsidRDefault="00102AF6" w:rsidP="00102AF6">
            <w:pPr>
              <w:spacing w:before="0" w:after="0"/>
              <w:jc w:val="center"/>
              <w:rPr>
                <w:b/>
                <w:bCs/>
                <w:noProof/>
                <w:color w:val="000000"/>
                <w:sz w:val="18"/>
                <w:szCs w:val="18"/>
                <w:lang w:val="en-IE" w:eastAsia="en-IE"/>
              </w:rPr>
            </w:pPr>
            <w:r>
              <w:rPr>
                <w:noProof/>
                <w:color w:val="000000"/>
                <w:sz w:val="16"/>
                <w:szCs w:val="16"/>
              </w:rPr>
              <w:t>1.500</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15647D3A" w14:textId="386A9C82" w:rsidR="00102AF6" w:rsidRPr="00A659CD" w:rsidRDefault="00102AF6" w:rsidP="00102AF6">
            <w:pPr>
              <w:spacing w:before="0" w:after="0"/>
              <w:jc w:val="center"/>
              <w:rPr>
                <w:b/>
                <w:bCs/>
                <w:noProof/>
                <w:color w:val="000000"/>
                <w:sz w:val="18"/>
                <w:szCs w:val="18"/>
                <w:lang w:val="en-IE" w:eastAsia="en-IE"/>
              </w:rPr>
            </w:pPr>
            <w:r>
              <w:rPr>
                <w:noProof/>
                <w:color w:val="000000"/>
                <w:sz w:val="16"/>
                <w:szCs w:val="16"/>
              </w:rPr>
              <w:t>1.500</w:t>
            </w:r>
          </w:p>
        </w:tc>
        <w:tc>
          <w:tcPr>
            <w:tcW w:w="540" w:type="pct"/>
            <w:tcBorders>
              <w:top w:val="nil"/>
              <w:left w:val="single" w:sz="4" w:space="0" w:color="auto"/>
              <w:bottom w:val="single" w:sz="8" w:space="0" w:color="auto"/>
              <w:right w:val="single" w:sz="4" w:space="0" w:color="auto"/>
            </w:tcBorders>
            <w:shd w:val="clear" w:color="000000" w:fill="D9D9D9"/>
            <w:vAlign w:val="center"/>
          </w:tcPr>
          <w:p w14:paraId="4B24C707" w14:textId="6D02ED48" w:rsidR="00102AF6" w:rsidRPr="00A659CD" w:rsidRDefault="00102AF6" w:rsidP="00102AF6">
            <w:pPr>
              <w:spacing w:before="0" w:after="0"/>
              <w:jc w:val="center"/>
              <w:rPr>
                <w:b/>
                <w:bCs/>
                <w:noProof/>
                <w:color w:val="000000"/>
                <w:sz w:val="18"/>
                <w:szCs w:val="18"/>
                <w:lang w:val="en-IE" w:eastAsia="en-IE"/>
              </w:rPr>
            </w:pPr>
            <w:r>
              <w:rPr>
                <w:noProof/>
                <w:color w:val="000000"/>
                <w:sz w:val="16"/>
                <w:szCs w:val="16"/>
              </w:rPr>
              <w:t>1.500</w:t>
            </w:r>
          </w:p>
        </w:tc>
        <w:tc>
          <w:tcPr>
            <w:tcW w:w="716" w:type="pct"/>
            <w:tcBorders>
              <w:top w:val="nil"/>
              <w:left w:val="single" w:sz="4" w:space="0" w:color="auto"/>
              <w:bottom w:val="single" w:sz="8" w:space="0" w:color="auto"/>
              <w:right w:val="single" w:sz="8" w:space="0" w:color="auto"/>
            </w:tcBorders>
            <w:shd w:val="clear" w:color="000000" w:fill="D9D9D9"/>
            <w:vAlign w:val="center"/>
            <w:hideMark/>
          </w:tcPr>
          <w:p w14:paraId="5CF430C8" w14:textId="2455DCFE" w:rsidR="00102AF6" w:rsidRPr="00A659CD" w:rsidRDefault="00102AF6" w:rsidP="00102AF6">
            <w:pPr>
              <w:spacing w:before="0" w:after="0"/>
              <w:jc w:val="right"/>
              <w:rPr>
                <w:b/>
                <w:bCs/>
                <w:noProof/>
                <w:color w:val="000000"/>
                <w:sz w:val="18"/>
                <w:szCs w:val="18"/>
                <w:lang w:val="en-IE" w:eastAsia="en-IE"/>
              </w:rPr>
            </w:pPr>
            <w:r>
              <w:rPr>
                <w:b/>
                <w:bCs/>
                <w:noProof/>
                <w:color w:val="000000"/>
                <w:sz w:val="16"/>
                <w:szCs w:val="16"/>
              </w:rPr>
              <w:t>8.490</w:t>
            </w:r>
          </w:p>
        </w:tc>
      </w:tr>
      <w:tr w:rsidR="000E3F9D" w:rsidRPr="00290112" w14:paraId="4D326958" w14:textId="77777777" w:rsidTr="000E3F9D">
        <w:trPr>
          <w:trHeight w:val="300"/>
        </w:trPr>
        <w:tc>
          <w:tcPr>
            <w:tcW w:w="574" w:type="pct"/>
            <w:gridSpan w:val="4"/>
            <w:tcBorders>
              <w:top w:val="nil"/>
              <w:left w:val="single" w:sz="8" w:space="0" w:color="auto"/>
              <w:bottom w:val="single" w:sz="4" w:space="0" w:color="auto"/>
              <w:right w:val="single" w:sz="8" w:space="0" w:color="auto"/>
            </w:tcBorders>
            <w:shd w:val="clear" w:color="000000" w:fill="CCCCCC"/>
            <w:vAlign w:val="center"/>
            <w:hideMark/>
          </w:tcPr>
          <w:p w14:paraId="69EF5DB1" w14:textId="77777777" w:rsidR="00102AF6" w:rsidRPr="00290112" w:rsidRDefault="00102AF6" w:rsidP="00102AF6">
            <w:pPr>
              <w:spacing w:before="0" w:after="0"/>
              <w:jc w:val="center"/>
              <w:rPr>
                <w:b/>
                <w:bCs/>
                <w:noProof/>
                <w:color w:val="000000"/>
                <w:sz w:val="16"/>
                <w:szCs w:val="16"/>
                <w:lang w:val="en-IE" w:eastAsia="en-IE"/>
              </w:rPr>
            </w:pPr>
            <w:r w:rsidRPr="00290112">
              <w:rPr>
                <w:b/>
                <w:bCs/>
                <w:noProof/>
                <w:color w:val="000000"/>
                <w:sz w:val="16"/>
                <w:szCs w:val="16"/>
                <w:lang w:val="en-IE" w:eastAsia="en-IE"/>
              </w:rPr>
              <w:t xml:space="preserve">Subtotal outside HEADING </w:t>
            </w:r>
            <w:r>
              <w:rPr>
                <w:b/>
                <w:bCs/>
                <w:noProof/>
                <w:color w:val="000000"/>
                <w:sz w:val="16"/>
                <w:szCs w:val="16"/>
                <w:lang w:val="en-IE" w:eastAsia="en-IE"/>
              </w:rPr>
              <w:t>4</w:t>
            </w:r>
          </w:p>
        </w:tc>
        <w:tc>
          <w:tcPr>
            <w:tcW w:w="381" w:type="pct"/>
            <w:tcBorders>
              <w:top w:val="nil"/>
              <w:left w:val="nil"/>
              <w:bottom w:val="single" w:sz="4" w:space="0" w:color="auto"/>
              <w:right w:val="single" w:sz="8" w:space="0" w:color="auto"/>
            </w:tcBorders>
            <w:shd w:val="clear" w:color="000000" w:fill="D9D9D9"/>
            <w:vAlign w:val="center"/>
            <w:hideMark/>
          </w:tcPr>
          <w:p w14:paraId="1EEA40E5" w14:textId="0D0BBD3D" w:rsidR="00102AF6" w:rsidRPr="00A659CD" w:rsidRDefault="00102AF6" w:rsidP="00102AF6">
            <w:pPr>
              <w:spacing w:before="0" w:after="0"/>
              <w:jc w:val="right"/>
              <w:rPr>
                <w:b/>
                <w:bCs/>
                <w:noProof/>
                <w:color w:val="000000"/>
                <w:sz w:val="18"/>
                <w:szCs w:val="18"/>
                <w:lang w:val="en-IE" w:eastAsia="en-IE"/>
              </w:rPr>
            </w:pPr>
            <w:r>
              <w:rPr>
                <w:b/>
                <w:bCs/>
                <w:noProof/>
                <w:color w:val="000000"/>
                <w:sz w:val="16"/>
                <w:szCs w:val="16"/>
              </w:rPr>
              <w:t>6.604</w:t>
            </w:r>
          </w:p>
        </w:tc>
        <w:tc>
          <w:tcPr>
            <w:tcW w:w="405" w:type="pct"/>
            <w:tcBorders>
              <w:top w:val="nil"/>
              <w:left w:val="nil"/>
              <w:bottom w:val="single" w:sz="4" w:space="0" w:color="auto"/>
              <w:right w:val="single" w:sz="8" w:space="0" w:color="auto"/>
            </w:tcBorders>
            <w:shd w:val="clear" w:color="000000" w:fill="D9D9D9"/>
            <w:vAlign w:val="center"/>
            <w:hideMark/>
          </w:tcPr>
          <w:p w14:paraId="1BC852C2" w14:textId="16679325" w:rsidR="00102AF6" w:rsidRPr="00A659CD" w:rsidRDefault="00102AF6" w:rsidP="00102AF6">
            <w:pPr>
              <w:spacing w:before="0" w:after="0"/>
              <w:jc w:val="right"/>
              <w:rPr>
                <w:b/>
                <w:bCs/>
                <w:noProof/>
                <w:color w:val="000000"/>
                <w:sz w:val="18"/>
                <w:szCs w:val="18"/>
                <w:lang w:val="en-IE" w:eastAsia="en-IE"/>
              </w:rPr>
            </w:pPr>
            <w:r>
              <w:rPr>
                <w:b/>
                <w:bCs/>
                <w:noProof/>
                <w:color w:val="000000"/>
                <w:sz w:val="16"/>
                <w:szCs w:val="16"/>
              </w:rPr>
              <w:t>13.528</w:t>
            </w:r>
          </w:p>
        </w:tc>
        <w:tc>
          <w:tcPr>
            <w:tcW w:w="614" w:type="pct"/>
            <w:tcBorders>
              <w:top w:val="nil"/>
              <w:left w:val="nil"/>
              <w:bottom w:val="single" w:sz="4" w:space="0" w:color="auto"/>
              <w:right w:val="single" w:sz="8" w:space="0" w:color="auto"/>
            </w:tcBorders>
            <w:shd w:val="clear" w:color="000000" w:fill="D9D9D9"/>
            <w:vAlign w:val="center"/>
            <w:hideMark/>
          </w:tcPr>
          <w:p w14:paraId="6F1B8D7A" w14:textId="6495FF59" w:rsidR="00102AF6" w:rsidRPr="00A659CD" w:rsidRDefault="00102AF6" w:rsidP="00102AF6">
            <w:pPr>
              <w:spacing w:before="0" w:after="0"/>
              <w:jc w:val="right"/>
              <w:rPr>
                <w:b/>
                <w:bCs/>
                <w:noProof/>
                <w:color w:val="000000"/>
                <w:sz w:val="18"/>
                <w:szCs w:val="18"/>
                <w:lang w:val="en-IE" w:eastAsia="en-IE"/>
              </w:rPr>
            </w:pPr>
            <w:r>
              <w:rPr>
                <w:b/>
                <w:bCs/>
                <w:noProof/>
                <w:color w:val="000000"/>
                <w:sz w:val="16"/>
                <w:szCs w:val="16"/>
              </w:rPr>
              <w:t>22.352</w:t>
            </w:r>
          </w:p>
        </w:tc>
        <w:tc>
          <w:tcPr>
            <w:tcW w:w="614" w:type="pct"/>
            <w:tcBorders>
              <w:top w:val="nil"/>
              <w:left w:val="nil"/>
              <w:bottom w:val="single" w:sz="4" w:space="0" w:color="auto"/>
              <w:right w:val="single" w:sz="8" w:space="0" w:color="auto"/>
            </w:tcBorders>
            <w:shd w:val="clear" w:color="000000" w:fill="D9D9D9"/>
            <w:vAlign w:val="center"/>
            <w:hideMark/>
          </w:tcPr>
          <w:p w14:paraId="0F0F7995" w14:textId="6971E05B" w:rsidR="00102AF6" w:rsidRPr="00A659CD" w:rsidRDefault="00102AF6" w:rsidP="00102AF6">
            <w:pPr>
              <w:spacing w:before="0" w:after="0"/>
              <w:jc w:val="right"/>
              <w:rPr>
                <w:b/>
                <w:bCs/>
                <w:noProof/>
                <w:color w:val="000000"/>
                <w:sz w:val="18"/>
                <w:szCs w:val="18"/>
                <w:lang w:val="en-IE" w:eastAsia="en-IE"/>
              </w:rPr>
            </w:pPr>
            <w:r>
              <w:rPr>
                <w:b/>
                <w:bCs/>
                <w:noProof/>
                <w:color w:val="000000"/>
                <w:sz w:val="16"/>
                <w:szCs w:val="16"/>
              </w:rPr>
              <w:t>26.356</w:t>
            </w:r>
          </w:p>
        </w:tc>
        <w:tc>
          <w:tcPr>
            <w:tcW w:w="614" w:type="pct"/>
            <w:tcBorders>
              <w:top w:val="nil"/>
              <w:left w:val="nil"/>
              <w:bottom w:val="single" w:sz="4" w:space="0" w:color="auto"/>
              <w:right w:val="single" w:sz="4" w:space="0" w:color="auto"/>
            </w:tcBorders>
            <w:shd w:val="clear" w:color="000000" w:fill="D9D9D9"/>
            <w:vAlign w:val="center"/>
          </w:tcPr>
          <w:p w14:paraId="5FB81122" w14:textId="50B8F9E5" w:rsidR="00102AF6" w:rsidRPr="00A659CD" w:rsidRDefault="00102AF6" w:rsidP="00102AF6">
            <w:pPr>
              <w:spacing w:before="0" w:after="0"/>
              <w:jc w:val="center"/>
              <w:rPr>
                <w:b/>
                <w:bCs/>
                <w:noProof/>
                <w:color w:val="000000"/>
                <w:sz w:val="18"/>
                <w:szCs w:val="18"/>
                <w:lang w:val="en-IE" w:eastAsia="en-IE"/>
              </w:rPr>
            </w:pPr>
            <w:r>
              <w:rPr>
                <w:b/>
                <w:bCs/>
                <w:noProof/>
                <w:color w:val="000000"/>
                <w:sz w:val="16"/>
                <w:szCs w:val="16"/>
              </w:rPr>
              <w:t>26.626</w:t>
            </w:r>
          </w:p>
        </w:tc>
        <w:tc>
          <w:tcPr>
            <w:tcW w:w="540" w:type="pct"/>
            <w:tcBorders>
              <w:top w:val="nil"/>
              <w:left w:val="single" w:sz="4" w:space="0" w:color="auto"/>
              <w:bottom w:val="single" w:sz="4" w:space="0" w:color="auto"/>
              <w:right w:val="single" w:sz="4" w:space="0" w:color="auto"/>
            </w:tcBorders>
            <w:shd w:val="clear" w:color="000000" w:fill="D9D9D9"/>
            <w:vAlign w:val="center"/>
          </w:tcPr>
          <w:p w14:paraId="3376348C" w14:textId="6357A32D" w:rsidR="00102AF6" w:rsidRPr="00A659CD" w:rsidRDefault="00102AF6" w:rsidP="00102AF6">
            <w:pPr>
              <w:spacing w:before="0" w:after="0"/>
              <w:jc w:val="center"/>
              <w:rPr>
                <w:b/>
                <w:bCs/>
                <w:noProof/>
                <w:color w:val="000000"/>
                <w:sz w:val="18"/>
                <w:szCs w:val="18"/>
                <w:lang w:val="en-IE" w:eastAsia="en-IE"/>
              </w:rPr>
            </w:pPr>
            <w:r>
              <w:rPr>
                <w:b/>
                <w:bCs/>
                <w:noProof/>
                <w:color w:val="000000"/>
                <w:sz w:val="16"/>
                <w:szCs w:val="16"/>
              </w:rPr>
              <w:t>26.626</w:t>
            </w:r>
          </w:p>
        </w:tc>
        <w:tc>
          <w:tcPr>
            <w:tcW w:w="540" w:type="pct"/>
            <w:tcBorders>
              <w:top w:val="nil"/>
              <w:left w:val="single" w:sz="4" w:space="0" w:color="auto"/>
              <w:bottom w:val="single" w:sz="4" w:space="0" w:color="auto"/>
              <w:right w:val="single" w:sz="4" w:space="0" w:color="auto"/>
            </w:tcBorders>
            <w:shd w:val="clear" w:color="000000" w:fill="D9D9D9"/>
            <w:vAlign w:val="center"/>
          </w:tcPr>
          <w:p w14:paraId="58CAA79D" w14:textId="341BDF26" w:rsidR="00102AF6" w:rsidRPr="00A659CD" w:rsidRDefault="00102AF6" w:rsidP="00102AF6">
            <w:pPr>
              <w:spacing w:before="0" w:after="0"/>
              <w:jc w:val="center"/>
              <w:rPr>
                <w:b/>
                <w:bCs/>
                <w:noProof/>
                <w:color w:val="000000"/>
                <w:sz w:val="18"/>
                <w:szCs w:val="18"/>
                <w:lang w:val="en-IE" w:eastAsia="en-IE"/>
              </w:rPr>
            </w:pPr>
            <w:r>
              <w:rPr>
                <w:b/>
                <w:bCs/>
                <w:noProof/>
                <w:color w:val="000000"/>
                <w:sz w:val="16"/>
                <w:szCs w:val="16"/>
              </w:rPr>
              <w:t>26.626</w:t>
            </w:r>
          </w:p>
        </w:tc>
        <w:tc>
          <w:tcPr>
            <w:tcW w:w="716" w:type="pct"/>
            <w:tcBorders>
              <w:top w:val="nil"/>
              <w:left w:val="single" w:sz="4" w:space="0" w:color="auto"/>
              <w:bottom w:val="single" w:sz="4" w:space="0" w:color="auto"/>
              <w:right w:val="single" w:sz="8" w:space="0" w:color="auto"/>
            </w:tcBorders>
            <w:shd w:val="clear" w:color="000000" w:fill="D9D9D9"/>
            <w:vAlign w:val="center"/>
            <w:hideMark/>
          </w:tcPr>
          <w:p w14:paraId="718D1A2F" w14:textId="2C4C7A91" w:rsidR="00102AF6" w:rsidRPr="00A659CD" w:rsidRDefault="00102AF6" w:rsidP="00102AF6">
            <w:pPr>
              <w:spacing w:before="0" w:after="0"/>
              <w:jc w:val="right"/>
              <w:rPr>
                <w:b/>
                <w:bCs/>
                <w:noProof/>
                <w:color w:val="000000"/>
                <w:sz w:val="18"/>
                <w:szCs w:val="18"/>
                <w:lang w:val="en-IE" w:eastAsia="en-IE"/>
              </w:rPr>
            </w:pPr>
            <w:r>
              <w:rPr>
                <w:b/>
                <w:bCs/>
                <w:noProof/>
                <w:color w:val="000000"/>
                <w:sz w:val="16"/>
                <w:szCs w:val="16"/>
              </w:rPr>
              <w:t>148.719</w:t>
            </w:r>
          </w:p>
        </w:tc>
      </w:tr>
      <w:tr w:rsidR="00486288" w:rsidRPr="00290112" w14:paraId="62BE45DC" w14:textId="77777777" w:rsidTr="00195A6B">
        <w:trPr>
          <w:trHeight w:val="300"/>
        </w:trPr>
        <w:tc>
          <w:tcPr>
            <w:tcW w:w="149" w:type="pct"/>
            <w:tcBorders>
              <w:top w:val="single" w:sz="4" w:space="0" w:color="auto"/>
              <w:left w:val="single" w:sz="4" w:space="0" w:color="auto"/>
              <w:bottom w:val="single" w:sz="4" w:space="0" w:color="auto"/>
            </w:tcBorders>
          </w:tcPr>
          <w:p w14:paraId="220040F1" w14:textId="77777777" w:rsidR="00486288" w:rsidRPr="00290112" w:rsidRDefault="00486288" w:rsidP="00445C9D">
            <w:pPr>
              <w:spacing w:before="0" w:after="0"/>
              <w:jc w:val="center"/>
              <w:rPr>
                <w:noProof/>
                <w:color w:val="000000"/>
                <w:sz w:val="16"/>
                <w:szCs w:val="16"/>
                <w:lang w:val="en-IE" w:eastAsia="en-IE"/>
              </w:rPr>
            </w:pPr>
          </w:p>
        </w:tc>
        <w:tc>
          <w:tcPr>
            <w:tcW w:w="147" w:type="pct"/>
            <w:tcBorders>
              <w:top w:val="single" w:sz="4" w:space="0" w:color="auto"/>
              <w:bottom w:val="single" w:sz="4" w:space="0" w:color="auto"/>
            </w:tcBorders>
          </w:tcPr>
          <w:p w14:paraId="7EC82D92" w14:textId="77777777" w:rsidR="00486288" w:rsidRPr="00290112" w:rsidRDefault="00486288" w:rsidP="00445C9D">
            <w:pPr>
              <w:spacing w:before="0" w:after="0"/>
              <w:jc w:val="center"/>
              <w:rPr>
                <w:noProof/>
                <w:color w:val="000000"/>
                <w:sz w:val="16"/>
                <w:szCs w:val="16"/>
                <w:lang w:val="en-IE" w:eastAsia="en-IE"/>
              </w:rPr>
            </w:pPr>
          </w:p>
        </w:tc>
        <w:tc>
          <w:tcPr>
            <w:tcW w:w="146" w:type="pct"/>
            <w:tcBorders>
              <w:top w:val="single" w:sz="4" w:space="0" w:color="auto"/>
              <w:bottom w:val="single" w:sz="4" w:space="0" w:color="auto"/>
            </w:tcBorders>
          </w:tcPr>
          <w:p w14:paraId="608939F1" w14:textId="77777777" w:rsidR="00486288" w:rsidRPr="00290112" w:rsidRDefault="00486288" w:rsidP="00445C9D">
            <w:pPr>
              <w:spacing w:before="0" w:after="0"/>
              <w:jc w:val="center"/>
              <w:rPr>
                <w:noProof/>
                <w:color w:val="000000"/>
                <w:sz w:val="16"/>
                <w:szCs w:val="16"/>
                <w:lang w:val="en-IE" w:eastAsia="en-IE"/>
              </w:rPr>
            </w:pPr>
          </w:p>
        </w:tc>
        <w:tc>
          <w:tcPr>
            <w:tcW w:w="4558" w:type="pct"/>
            <w:gridSpan w:val="9"/>
            <w:tcBorders>
              <w:top w:val="single" w:sz="4" w:space="0" w:color="auto"/>
              <w:bottom w:val="single" w:sz="4" w:space="0" w:color="auto"/>
              <w:right w:val="single" w:sz="4" w:space="0" w:color="auto"/>
            </w:tcBorders>
            <w:noWrap/>
            <w:vAlign w:val="center"/>
            <w:hideMark/>
          </w:tcPr>
          <w:p w14:paraId="0B80AECB" w14:textId="77777777" w:rsidR="00486288" w:rsidRPr="00290112" w:rsidRDefault="00486288" w:rsidP="00445C9D">
            <w:pPr>
              <w:spacing w:before="0" w:after="0"/>
              <w:jc w:val="center"/>
              <w:rPr>
                <w:noProof/>
                <w:color w:val="000000"/>
                <w:sz w:val="16"/>
                <w:szCs w:val="16"/>
                <w:lang w:val="en-IE" w:eastAsia="en-IE"/>
              </w:rPr>
            </w:pPr>
          </w:p>
        </w:tc>
      </w:tr>
      <w:tr w:rsidR="000E3F9D" w:rsidRPr="00290112" w14:paraId="7C5313F4" w14:textId="77777777" w:rsidTr="000E3F9D">
        <w:trPr>
          <w:trHeight w:val="312"/>
        </w:trPr>
        <w:tc>
          <w:tcPr>
            <w:tcW w:w="574" w:type="pct"/>
            <w:gridSpan w:val="4"/>
            <w:tcBorders>
              <w:top w:val="single" w:sz="4" w:space="0" w:color="auto"/>
              <w:left w:val="single" w:sz="12" w:space="0" w:color="auto"/>
              <w:bottom w:val="single" w:sz="12" w:space="0" w:color="auto"/>
              <w:right w:val="single" w:sz="8" w:space="0" w:color="auto"/>
            </w:tcBorders>
            <w:vAlign w:val="center"/>
            <w:hideMark/>
          </w:tcPr>
          <w:p w14:paraId="388AF7E4" w14:textId="77777777" w:rsidR="00102AF6" w:rsidRPr="00290112" w:rsidRDefault="00102AF6" w:rsidP="00102AF6">
            <w:pPr>
              <w:spacing w:before="0" w:after="0"/>
              <w:jc w:val="center"/>
              <w:rPr>
                <w:b/>
                <w:bCs/>
                <w:noProof/>
                <w:color w:val="000000"/>
                <w:sz w:val="16"/>
                <w:szCs w:val="16"/>
                <w:lang w:val="en-IE" w:eastAsia="en-IE"/>
              </w:rPr>
            </w:pPr>
            <w:r w:rsidRPr="00290112">
              <w:rPr>
                <w:b/>
                <w:bCs/>
                <w:noProof/>
                <w:color w:val="000000"/>
                <w:sz w:val="16"/>
                <w:szCs w:val="16"/>
                <w:lang w:val="en-IE" w:eastAsia="en-IE"/>
              </w:rPr>
              <w:t>TOTAL</w:t>
            </w:r>
          </w:p>
        </w:tc>
        <w:tc>
          <w:tcPr>
            <w:tcW w:w="381" w:type="pct"/>
            <w:tcBorders>
              <w:top w:val="single" w:sz="4" w:space="0" w:color="auto"/>
              <w:left w:val="nil"/>
              <w:bottom w:val="single" w:sz="12" w:space="0" w:color="auto"/>
              <w:right w:val="single" w:sz="8" w:space="0" w:color="auto"/>
            </w:tcBorders>
            <w:shd w:val="clear" w:color="000000" w:fill="D9D9D9"/>
            <w:vAlign w:val="center"/>
            <w:hideMark/>
          </w:tcPr>
          <w:p w14:paraId="4654C00B" w14:textId="3802D33A" w:rsidR="00102AF6" w:rsidRPr="00AC59A1" w:rsidRDefault="00102AF6" w:rsidP="00102AF6">
            <w:pPr>
              <w:spacing w:before="0" w:after="0"/>
              <w:jc w:val="right"/>
              <w:rPr>
                <w:rFonts w:ascii="Arial Narrow" w:hAnsi="Arial Narrow"/>
                <w:b/>
                <w:noProof/>
                <w:color w:val="000000"/>
                <w:sz w:val="20"/>
                <w:szCs w:val="20"/>
                <w:lang w:val="en-IE" w:eastAsia="en-IE"/>
              </w:rPr>
            </w:pPr>
            <w:r>
              <w:rPr>
                <w:b/>
                <w:bCs/>
                <w:noProof/>
                <w:color w:val="000000"/>
                <w:sz w:val="16"/>
                <w:szCs w:val="16"/>
              </w:rPr>
              <w:t>6.604</w:t>
            </w:r>
          </w:p>
        </w:tc>
        <w:tc>
          <w:tcPr>
            <w:tcW w:w="405" w:type="pct"/>
            <w:tcBorders>
              <w:top w:val="single" w:sz="4" w:space="0" w:color="auto"/>
              <w:left w:val="nil"/>
              <w:bottom w:val="single" w:sz="12" w:space="0" w:color="auto"/>
              <w:right w:val="single" w:sz="8" w:space="0" w:color="auto"/>
            </w:tcBorders>
            <w:shd w:val="clear" w:color="000000" w:fill="D9D9D9"/>
            <w:vAlign w:val="center"/>
            <w:hideMark/>
          </w:tcPr>
          <w:p w14:paraId="3C583426" w14:textId="5F6E246C" w:rsidR="00102AF6" w:rsidRPr="00AC59A1" w:rsidRDefault="00102AF6" w:rsidP="00102AF6">
            <w:pPr>
              <w:spacing w:before="0" w:after="0"/>
              <w:jc w:val="right"/>
              <w:rPr>
                <w:rFonts w:ascii="Arial Narrow" w:hAnsi="Arial Narrow"/>
                <w:b/>
                <w:noProof/>
                <w:color w:val="000000"/>
                <w:sz w:val="20"/>
                <w:szCs w:val="20"/>
                <w:lang w:val="en-IE" w:eastAsia="en-IE"/>
              </w:rPr>
            </w:pPr>
            <w:r>
              <w:rPr>
                <w:b/>
                <w:bCs/>
                <w:noProof/>
                <w:color w:val="000000"/>
                <w:sz w:val="16"/>
                <w:szCs w:val="16"/>
              </w:rPr>
              <w:t>13.528</w:t>
            </w:r>
          </w:p>
        </w:tc>
        <w:tc>
          <w:tcPr>
            <w:tcW w:w="614" w:type="pct"/>
            <w:tcBorders>
              <w:top w:val="single" w:sz="4" w:space="0" w:color="auto"/>
              <w:left w:val="nil"/>
              <w:bottom w:val="single" w:sz="12" w:space="0" w:color="auto"/>
              <w:right w:val="single" w:sz="8" w:space="0" w:color="auto"/>
            </w:tcBorders>
            <w:shd w:val="clear" w:color="000000" w:fill="D9D9D9"/>
            <w:vAlign w:val="center"/>
            <w:hideMark/>
          </w:tcPr>
          <w:p w14:paraId="1ED55A97" w14:textId="0D06C447" w:rsidR="00102AF6" w:rsidRPr="00AC59A1" w:rsidRDefault="009B66E7" w:rsidP="00102AF6">
            <w:pPr>
              <w:spacing w:before="0" w:after="0"/>
              <w:jc w:val="right"/>
              <w:rPr>
                <w:rFonts w:ascii="Arial Narrow" w:hAnsi="Arial Narrow"/>
                <w:b/>
                <w:noProof/>
                <w:color w:val="000000"/>
                <w:sz w:val="20"/>
                <w:szCs w:val="20"/>
                <w:lang w:val="en-IE" w:eastAsia="en-IE"/>
              </w:rPr>
            </w:pPr>
            <w:r>
              <w:rPr>
                <w:b/>
                <w:bCs/>
                <w:noProof/>
                <w:color w:val="000000"/>
                <w:sz w:val="16"/>
                <w:szCs w:val="16"/>
              </w:rPr>
              <w:t>22.352</w:t>
            </w:r>
          </w:p>
        </w:tc>
        <w:tc>
          <w:tcPr>
            <w:tcW w:w="614" w:type="pct"/>
            <w:tcBorders>
              <w:top w:val="single" w:sz="4" w:space="0" w:color="auto"/>
              <w:left w:val="nil"/>
              <w:bottom w:val="single" w:sz="12" w:space="0" w:color="auto"/>
              <w:right w:val="single" w:sz="8" w:space="0" w:color="auto"/>
            </w:tcBorders>
            <w:shd w:val="clear" w:color="000000" w:fill="D9D9D9"/>
            <w:vAlign w:val="center"/>
            <w:hideMark/>
          </w:tcPr>
          <w:p w14:paraId="7A0122F3" w14:textId="57A482BA" w:rsidR="00102AF6" w:rsidRPr="00AC59A1" w:rsidRDefault="009B66E7" w:rsidP="00102AF6">
            <w:pPr>
              <w:spacing w:before="0" w:after="0"/>
              <w:jc w:val="right"/>
              <w:rPr>
                <w:rFonts w:ascii="Arial Narrow" w:hAnsi="Arial Narrow"/>
                <w:b/>
                <w:noProof/>
                <w:color w:val="000000"/>
                <w:sz w:val="20"/>
                <w:szCs w:val="20"/>
                <w:lang w:val="en-IE" w:eastAsia="en-IE"/>
              </w:rPr>
            </w:pPr>
            <w:r>
              <w:rPr>
                <w:b/>
                <w:bCs/>
                <w:noProof/>
                <w:color w:val="000000"/>
                <w:sz w:val="16"/>
                <w:szCs w:val="16"/>
              </w:rPr>
              <w:t>26.356</w:t>
            </w:r>
          </w:p>
        </w:tc>
        <w:tc>
          <w:tcPr>
            <w:tcW w:w="614" w:type="pct"/>
            <w:tcBorders>
              <w:top w:val="single" w:sz="4" w:space="0" w:color="auto"/>
              <w:left w:val="nil"/>
              <w:bottom w:val="single" w:sz="12" w:space="0" w:color="auto"/>
              <w:right w:val="single" w:sz="4" w:space="0" w:color="auto"/>
            </w:tcBorders>
            <w:shd w:val="clear" w:color="000000" w:fill="D9D9D9"/>
            <w:vAlign w:val="center"/>
          </w:tcPr>
          <w:p w14:paraId="18A6CB27" w14:textId="5D37F67B" w:rsidR="00102AF6" w:rsidRPr="00AC59A1" w:rsidRDefault="00102AF6" w:rsidP="00102AF6">
            <w:pPr>
              <w:spacing w:before="0" w:after="0"/>
              <w:jc w:val="center"/>
              <w:rPr>
                <w:rFonts w:ascii="Arial Narrow" w:hAnsi="Arial Narrow"/>
                <w:b/>
                <w:noProof/>
                <w:color w:val="000000"/>
                <w:sz w:val="20"/>
                <w:szCs w:val="20"/>
                <w:lang w:val="en-IE" w:eastAsia="en-IE"/>
              </w:rPr>
            </w:pPr>
            <w:r>
              <w:rPr>
                <w:b/>
                <w:bCs/>
                <w:noProof/>
                <w:color w:val="000000"/>
                <w:sz w:val="16"/>
                <w:szCs w:val="16"/>
              </w:rPr>
              <w:t>26.626</w:t>
            </w:r>
          </w:p>
        </w:tc>
        <w:tc>
          <w:tcPr>
            <w:tcW w:w="540" w:type="pct"/>
            <w:tcBorders>
              <w:top w:val="single" w:sz="4" w:space="0" w:color="auto"/>
              <w:left w:val="single" w:sz="4" w:space="0" w:color="auto"/>
              <w:bottom w:val="single" w:sz="12" w:space="0" w:color="auto"/>
              <w:right w:val="single" w:sz="4" w:space="0" w:color="auto"/>
            </w:tcBorders>
            <w:shd w:val="clear" w:color="000000" w:fill="D9D9D9"/>
            <w:vAlign w:val="center"/>
          </w:tcPr>
          <w:p w14:paraId="51CC48D8" w14:textId="46F7AF84" w:rsidR="00102AF6" w:rsidRPr="00AC59A1" w:rsidRDefault="00102AF6" w:rsidP="00102AF6">
            <w:pPr>
              <w:spacing w:before="0" w:after="0"/>
              <w:jc w:val="center"/>
              <w:rPr>
                <w:rFonts w:ascii="Arial Narrow" w:hAnsi="Arial Narrow"/>
                <w:b/>
                <w:noProof/>
                <w:color w:val="000000"/>
                <w:sz w:val="20"/>
                <w:szCs w:val="20"/>
                <w:lang w:val="en-IE" w:eastAsia="en-IE"/>
              </w:rPr>
            </w:pPr>
            <w:r>
              <w:rPr>
                <w:b/>
                <w:bCs/>
                <w:noProof/>
                <w:color w:val="000000"/>
                <w:sz w:val="16"/>
                <w:szCs w:val="16"/>
              </w:rPr>
              <w:t>26.626</w:t>
            </w:r>
          </w:p>
        </w:tc>
        <w:tc>
          <w:tcPr>
            <w:tcW w:w="540" w:type="pct"/>
            <w:tcBorders>
              <w:top w:val="single" w:sz="4" w:space="0" w:color="auto"/>
              <w:left w:val="single" w:sz="4" w:space="0" w:color="auto"/>
              <w:bottom w:val="single" w:sz="12" w:space="0" w:color="auto"/>
              <w:right w:val="single" w:sz="4" w:space="0" w:color="auto"/>
            </w:tcBorders>
            <w:shd w:val="clear" w:color="000000" w:fill="D9D9D9"/>
            <w:vAlign w:val="center"/>
          </w:tcPr>
          <w:p w14:paraId="251370B8" w14:textId="271524D6" w:rsidR="00102AF6" w:rsidRPr="00AC59A1" w:rsidRDefault="00102AF6" w:rsidP="00102AF6">
            <w:pPr>
              <w:spacing w:before="0" w:after="0"/>
              <w:jc w:val="center"/>
              <w:rPr>
                <w:rFonts w:ascii="Arial Narrow" w:hAnsi="Arial Narrow"/>
                <w:b/>
                <w:noProof/>
                <w:color w:val="000000"/>
                <w:sz w:val="20"/>
                <w:szCs w:val="20"/>
                <w:lang w:val="en-IE" w:eastAsia="en-IE"/>
              </w:rPr>
            </w:pPr>
            <w:r>
              <w:rPr>
                <w:b/>
                <w:bCs/>
                <w:noProof/>
                <w:color w:val="000000"/>
                <w:sz w:val="16"/>
                <w:szCs w:val="16"/>
              </w:rPr>
              <w:t>26.626</w:t>
            </w:r>
          </w:p>
        </w:tc>
        <w:tc>
          <w:tcPr>
            <w:tcW w:w="716" w:type="pct"/>
            <w:tcBorders>
              <w:top w:val="single" w:sz="4" w:space="0" w:color="auto"/>
              <w:left w:val="single" w:sz="4" w:space="0" w:color="auto"/>
              <w:bottom w:val="single" w:sz="12" w:space="0" w:color="auto"/>
              <w:right w:val="single" w:sz="8" w:space="0" w:color="auto"/>
            </w:tcBorders>
            <w:shd w:val="clear" w:color="000000" w:fill="D9D9D9"/>
            <w:vAlign w:val="center"/>
            <w:hideMark/>
          </w:tcPr>
          <w:p w14:paraId="75D80C0C" w14:textId="7132DCF6" w:rsidR="00102AF6" w:rsidRPr="00AC59A1" w:rsidRDefault="00102AF6" w:rsidP="00102AF6">
            <w:pPr>
              <w:spacing w:before="0" w:after="0"/>
              <w:jc w:val="right"/>
              <w:rPr>
                <w:rFonts w:ascii="Arial Narrow" w:hAnsi="Arial Narrow"/>
                <w:b/>
                <w:noProof/>
                <w:color w:val="000000"/>
                <w:sz w:val="20"/>
                <w:szCs w:val="20"/>
                <w:lang w:val="en-IE" w:eastAsia="en-IE"/>
              </w:rPr>
            </w:pPr>
            <w:r>
              <w:rPr>
                <w:b/>
                <w:bCs/>
                <w:noProof/>
                <w:color w:val="000000"/>
                <w:sz w:val="16"/>
                <w:szCs w:val="16"/>
              </w:rPr>
              <w:t>148.719</w:t>
            </w:r>
          </w:p>
        </w:tc>
      </w:tr>
    </w:tbl>
    <w:p w14:paraId="1A31718D" w14:textId="77777777" w:rsidR="00486288" w:rsidRDefault="006052EE" w:rsidP="00486288">
      <w:pPr>
        <w:pStyle w:val="ManualHeading3"/>
        <w:rPr>
          <w:noProof/>
        </w:rPr>
      </w:pPr>
      <w:bookmarkStart w:id="173" w:name="_Toc167220293"/>
      <w:bookmarkStart w:id="174" w:name="_Toc177549026"/>
      <w:r>
        <w:rPr>
          <w:noProof/>
        </w:rPr>
        <w:t>3.2.3.3.</w:t>
      </w:r>
      <w:r>
        <w:rPr>
          <w:noProof/>
        </w:rPr>
        <w:tab/>
        <w:t>Total appropriations</w:t>
      </w:r>
      <w:bookmarkEnd w:id="173"/>
      <w:bookmarkEnd w:id="174"/>
    </w:p>
    <w:tbl>
      <w:tblPr>
        <w:tblW w:w="9289" w:type="dxa"/>
        <w:tblLook w:val="04A0" w:firstRow="1" w:lastRow="0" w:firstColumn="1" w:lastColumn="0" w:noHBand="0" w:noVBand="1"/>
      </w:tblPr>
      <w:tblGrid>
        <w:gridCol w:w="584"/>
        <w:gridCol w:w="577"/>
        <w:gridCol w:w="567"/>
        <w:gridCol w:w="132"/>
        <w:gridCol w:w="799"/>
        <w:gridCol w:w="972"/>
        <w:gridCol w:w="920"/>
        <w:gridCol w:w="920"/>
        <w:gridCol w:w="920"/>
        <w:gridCol w:w="920"/>
        <w:gridCol w:w="920"/>
        <w:gridCol w:w="1058"/>
      </w:tblGrid>
      <w:tr w:rsidR="00524D56" w:rsidRPr="00290112" w14:paraId="55C98A8B" w14:textId="77777777" w:rsidTr="00102AF6">
        <w:trPr>
          <w:trHeight w:val="519"/>
        </w:trPr>
        <w:tc>
          <w:tcPr>
            <w:tcW w:w="1670" w:type="dxa"/>
            <w:gridSpan w:val="4"/>
            <w:vMerge w:val="restart"/>
            <w:tcBorders>
              <w:top w:val="single" w:sz="8" w:space="0" w:color="auto"/>
              <w:left w:val="single" w:sz="8" w:space="0" w:color="auto"/>
              <w:bottom w:val="single" w:sz="8" w:space="0" w:color="000000"/>
              <w:right w:val="single" w:sz="8" w:space="0" w:color="auto"/>
            </w:tcBorders>
            <w:vAlign w:val="center"/>
            <w:hideMark/>
          </w:tcPr>
          <w:p w14:paraId="75DDF613" w14:textId="77777777" w:rsidR="00E67DD0"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TOTAL</w:t>
            </w:r>
            <w:r w:rsidRPr="00290112">
              <w:rPr>
                <w:b/>
                <w:bCs/>
                <w:noProof/>
                <w:color w:val="000000"/>
                <w:sz w:val="18"/>
                <w:szCs w:val="18"/>
                <w:lang w:val="en-IE" w:eastAsia="en-IE"/>
              </w:rPr>
              <w:br/>
              <w:t>VOTED APPROPRIATIONS</w:t>
            </w:r>
          </w:p>
          <w:p w14:paraId="5F363E85" w14:textId="77777777" w:rsidR="00E67DD0" w:rsidRDefault="00E67DD0" w:rsidP="00445C9D">
            <w:pPr>
              <w:spacing w:before="0" w:after="0"/>
              <w:jc w:val="center"/>
              <w:rPr>
                <w:b/>
                <w:bCs/>
                <w:noProof/>
                <w:color w:val="000000"/>
                <w:sz w:val="18"/>
                <w:szCs w:val="18"/>
                <w:lang w:val="en-IE" w:eastAsia="en-IE"/>
              </w:rPr>
            </w:pPr>
            <w:r>
              <w:rPr>
                <w:b/>
                <w:bCs/>
                <w:noProof/>
                <w:color w:val="000000"/>
                <w:sz w:val="18"/>
                <w:szCs w:val="18"/>
                <w:lang w:val="en-IE" w:eastAsia="en-IE"/>
              </w:rPr>
              <w:t>+</w:t>
            </w:r>
          </w:p>
          <w:p w14:paraId="3F096BD4"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EXTERNAL ASSIGNED REVENUES</w:t>
            </w:r>
          </w:p>
        </w:tc>
        <w:tc>
          <w:tcPr>
            <w:tcW w:w="813" w:type="dxa"/>
            <w:tcBorders>
              <w:top w:val="single" w:sz="8" w:space="0" w:color="auto"/>
              <w:left w:val="nil"/>
              <w:bottom w:val="nil"/>
              <w:right w:val="single" w:sz="8" w:space="0" w:color="auto"/>
            </w:tcBorders>
            <w:vAlign w:val="center"/>
            <w:hideMark/>
          </w:tcPr>
          <w:p w14:paraId="677A72FD"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997" w:type="dxa"/>
            <w:tcBorders>
              <w:top w:val="single" w:sz="8" w:space="0" w:color="auto"/>
              <w:left w:val="nil"/>
              <w:bottom w:val="nil"/>
              <w:right w:val="single" w:sz="8" w:space="0" w:color="auto"/>
            </w:tcBorders>
            <w:vAlign w:val="center"/>
            <w:hideMark/>
          </w:tcPr>
          <w:p w14:paraId="5F9A3EFB"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946" w:type="dxa"/>
            <w:tcBorders>
              <w:top w:val="single" w:sz="8" w:space="0" w:color="auto"/>
              <w:left w:val="nil"/>
              <w:bottom w:val="nil"/>
              <w:right w:val="single" w:sz="8" w:space="0" w:color="auto"/>
            </w:tcBorders>
            <w:vAlign w:val="center"/>
            <w:hideMark/>
          </w:tcPr>
          <w:p w14:paraId="3B6F12AD"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946" w:type="dxa"/>
            <w:tcBorders>
              <w:top w:val="single" w:sz="8" w:space="0" w:color="auto"/>
              <w:left w:val="nil"/>
              <w:bottom w:val="nil"/>
              <w:right w:val="single" w:sz="8" w:space="0" w:color="auto"/>
            </w:tcBorders>
            <w:vAlign w:val="center"/>
            <w:hideMark/>
          </w:tcPr>
          <w:p w14:paraId="2F2C5B7A" w14:textId="77777777" w:rsidR="00486288" w:rsidRPr="00290112" w:rsidRDefault="00486288" w:rsidP="00445C9D">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946" w:type="dxa"/>
            <w:tcBorders>
              <w:top w:val="single" w:sz="8" w:space="0" w:color="auto"/>
              <w:left w:val="single" w:sz="8" w:space="0" w:color="auto"/>
              <w:bottom w:val="single" w:sz="8" w:space="0" w:color="000000"/>
              <w:right w:val="single" w:sz="8" w:space="0" w:color="auto"/>
            </w:tcBorders>
            <w:vAlign w:val="center"/>
          </w:tcPr>
          <w:p w14:paraId="53BE2EFC" w14:textId="77777777" w:rsidR="00486288" w:rsidRPr="00696BC2" w:rsidRDefault="00486288" w:rsidP="00445C9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946" w:type="dxa"/>
            <w:tcBorders>
              <w:top w:val="single" w:sz="8" w:space="0" w:color="auto"/>
              <w:left w:val="single" w:sz="8" w:space="0" w:color="auto"/>
              <w:bottom w:val="single" w:sz="8" w:space="0" w:color="000000"/>
              <w:right w:val="single" w:sz="8" w:space="0" w:color="auto"/>
            </w:tcBorders>
            <w:vAlign w:val="center"/>
          </w:tcPr>
          <w:p w14:paraId="421D6751" w14:textId="77777777" w:rsidR="00486288" w:rsidRPr="00696BC2" w:rsidRDefault="00486288" w:rsidP="00445C9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946" w:type="dxa"/>
            <w:tcBorders>
              <w:top w:val="single" w:sz="8" w:space="0" w:color="auto"/>
              <w:left w:val="single" w:sz="8" w:space="0" w:color="auto"/>
              <w:bottom w:val="single" w:sz="8" w:space="0" w:color="000000"/>
              <w:right w:val="single" w:sz="8" w:space="0" w:color="auto"/>
            </w:tcBorders>
            <w:vAlign w:val="center"/>
          </w:tcPr>
          <w:p w14:paraId="7D116C3C" w14:textId="77777777" w:rsidR="00486288" w:rsidRPr="00696BC2" w:rsidRDefault="00486288" w:rsidP="00445C9D">
            <w:pPr>
              <w:spacing w:before="0" w:after="0"/>
              <w:jc w:val="center"/>
              <w:rPr>
                <w:noProof/>
                <w:color w:val="000000"/>
                <w:sz w:val="18"/>
                <w:szCs w:val="18"/>
                <w:lang w:val="en-IE" w:eastAsia="en-IE"/>
              </w:rPr>
            </w:pPr>
            <w:r w:rsidRPr="00696BC2">
              <w:rPr>
                <w:noProof/>
                <w:color w:val="000000"/>
                <w:sz w:val="18"/>
                <w:szCs w:val="18"/>
                <w:lang w:val="en-IE" w:eastAsia="en-IE"/>
              </w:rPr>
              <w:t>Year</w:t>
            </w:r>
          </w:p>
        </w:tc>
        <w:tc>
          <w:tcPr>
            <w:tcW w:w="1079" w:type="dxa"/>
            <w:vMerge w:val="restart"/>
            <w:tcBorders>
              <w:top w:val="single" w:sz="8" w:space="0" w:color="auto"/>
              <w:left w:val="single" w:sz="8" w:space="0" w:color="auto"/>
              <w:bottom w:val="single" w:sz="8" w:space="0" w:color="000000"/>
              <w:right w:val="single" w:sz="8" w:space="0" w:color="auto"/>
            </w:tcBorders>
            <w:vAlign w:val="center"/>
            <w:hideMark/>
          </w:tcPr>
          <w:p w14:paraId="20722386" w14:textId="65A13A06"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TOTAL</w:t>
            </w:r>
            <w:r>
              <w:rPr>
                <w:b/>
                <w:bCs/>
                <w:noProof/>
                <w:color w:val="000000"/>
                <w:sz w:val="18"/>
                <w:szCs w:val="18"/>
                <w:lang w:val="en-IE" w:eastAsia="en-IE"/>
              </w:rPr>
              <w:t xml:space="preserve"> </w:t>
            </w:r>
            <w:r w:rsidRPr="00290112">
              <w:rPr>
                <w:b/>
                <w:bCs/>
                <w:noProof/>
                <w:color w:val="000000"/>
                <w:sz w:val="18"/>
                <w:szCs w:val="18"/>
                <w:lang w:val="en-IE" w:eastAsia="en-IE"/>
              </w:rPr>
              <w:t>202</w:t>
            </w:r>
            <w:r>
              <w:rPr>
                <w:b/>
                <w:bCs/>
                <w:noProof/>
                <w:color w:val="000000"/>
                <w:sz w:val="18"/>
                <w:szCs w:val="18"/>
                <w:lang w:val="en-IE" w:eastAsia="en-IE"/>
              </w:rPr>
              <w:t>8</w:t>
            </w:r>
            <w:r w:rsidRPr="00290112">
              <w:rPr>
                <w:b/>
                <w:bCs/>
                <w:noProof/>
                <w:color w:val="000000"/>
                <w:sz w:val="18"/>
                <w:szCs w:val="18"/>
                <w:lang w:val="en-IE" w:eastAsia="en-IE"/>
              </w:rPr>
              <w:t xml:space="preserve"> </w:t>
            </w:r>
            <w:r w:rsidR="00524D56">
              <w:rPr>
                <w:b/>
                <w:bCs/>
                <w:noProof/>
                <w:color w:val="000000"/>
                <w:sz w:val="18"/>
                <w:szCs w:val="18"/>
                <w:lang w:val="en-IE" w:eastAsia="en-IE"/>
              </w:rPr>
              <w:t>–</w:t>
            </w:r>
            <w:r w:rsidRPr="00290112">
              <w:rPr>
                <w:b/>
                <w:bCs/>
                <w:noProof/>
                <w:color w:val="000000"/>
                <w:sz w:val="18"/>
                <w:szCs w:val="18"/>
                <w:lang w:val="en-IE" w:eastAsia="en-IE"/>
              </w:rPr>
              <w:t xml:space="preserve"> 20</w:t>
            </w:r>
            <w:r>
              <w:rPr>
                <w:b/>
                <w:bCs/>
                <w:noProof/>
                <w:color w:val="000000"/>
                <w:sz w:val="18"/>
                <w:szCs w:val="18"/>
                <w:lang w:val="en-IE" w:eastAsia="en-IE"/>
              </w:rPr>
              <w:t>34</w:t>
            </w:r>
          </w:p>
        </w:tc>
      </w:tr>
      <w:tr w:rsidR="00524D56" w:rsidRPr="00290112" w14:paraId="2E38432D" w14:textId="77777777" w:rsidTr="00102AF6">
        <w:trPr>
          <w:trHeight w:val="519"/>
        </w:trPr>
        <w:tc>
          <w:tcPr>
            <w:tcW w:w="1670" w:type="dxa"/>
            <w:gridSpan w:val="4"/>
            <w:vMerge/>
            <w:tcBorders>
              <w:top w:val="single" w:sz="8" w:space="0" w:color="auto"/>
              <w:left w:val="single" w:sz="8" w:space="0" w:color="auto"/>
              <w:bottom w:val="single" w:sz="8" w:space="0" w:color="auto"/>
              <w:right w:val="single" w:sz="8" w:space="0" w:color="auto"/>
            </w:tcBorders>
            <w:vAlign w:val="center"/>
            <w:hideMark/>
          </w:tcPr>
          <w:p w14:paraId="2FD4DF8C" w14:textId="77777777" w:rsidR="00486288" w:rsidRPr="00290112" w:rsidRDefault="00486288" w:rsidP="00445C9D">
            <w:pPr>
              <w:spacing w:before="0" w:after="0"/>
              <w:jc w:val="left"/>
              <w:rPr>
                <w:b/>
                <w:bCs/>
                <w:noProof/>
                <w:color w:val="000000"/>
                <w:sz w:val="18"/>
                <w:szCs w:val="18"/>
                <w:lang w:val="en-IE" w:eastAsia="en-IE"/>
              </w:rPr>
            </w:pPr>
          </w:p>
        </w:tc>
        <w:tc>
          <w:tcPr>
            <w:tcW w:w="813" w:type="dxa"/>
            <w:tcBorders>
              <w:top w:val="nil"/>
              <w:left w:val="nil"/>
              <w:bottom w:val="single" w:sz="8" w:space="0" w:color="auto"/>
              <w:right w:val="single" w:sz="8" w:space="0" w:color="auto"/>
            </w:tcBorders>
            <w:vAlign w:val="center"/>
            <w:hideMark/>
          </w:tcPr>
          <w:p w14:paraId="1490CAAA"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202</w:t>
            </w:r>
            <w:r>
              <w:rPr>
                <w:b/>
                <w:bCs/>
                <w:noProof/>
                <w:color w:val="000000"/>
                <w:sz w:val="18"/>
                <w:szCs w:val="18"/>
                <w:lang w:val="en-IE" w:eastAsia="en-IE"/>
              </w:rPr>
              <w:t>8</w:t>
            </w:r>
          </w:p>
        </w:tc>
        <w:tc>
          <w:tcPr>
            <w:tcW w:w="997" w:type="dxa"/>
            <w:tcBorders>
              <w:top w:val="nil"/>
              <w:left w:val="nil"/>
              <w:bottom w:val="single" w:sz="8" w:space="0" w:color="auto"/>
              <w:right w:val="single" w:sz="8" w:space="0" w:color="auto"/>
            </w:tcBorders>
            <w:vAlign w:val="center"/>
            <w:hideMark/>
          </w:tcPr>
          <w:p w14:paraId="11BB9634"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202</w:t>
            </w:r>
            <w:r>
              <w:rPr>
                <w:b/>
                <w:bCs/>
                <w:noProof/>
                <w:color w:val="000000"/>
                <w:sz w:val="18"/>
                <w:szCs w:val="18"/>
                <w:lang w:val="en-IE" w:eastAsia="en-IE"/>
              </w:rPr>
              <w:t>9</w:t>
            </w:r>
          </w:p>
        </w:tc>
        <w:tc>
          <w:tcPr>
            <w:tcW w:w="946" w:type="dxa"/>
            <w:tcBorders>
              <w:top w:val="nil"/>
              <w:left w:val="nil"/>
              <w:bottom w:val="single" w:sz="8" w:space="0" w:color="auto"/>
              <w:right w:val="single" w:sz="8" w:space="0" w:color="auto"/>
            </w:tcBorders>
            <w:vAlign w:val="center"/>
            <w:hideMark/>
          </w:tcPr>
          <w:p w14:paraId="647E1671"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w:t>
            </w:r>
            <w:r>
              <w:rPr>
                <w:b/>
                <w:bCs/>
                <w:noProof/>
                <w:color w:val="000000"/>
                <w:sz w:val="18"/>
                <w:szCs w:val="18"/>
                <w:lang w:val="en-IE" w:eastAsia="en-IE"/>
              </w:rPr>
              <w:t>30</w:t>
            </w:r>
          </w:p>
        </w:tc>
        <w:tc>
          <w:tcPr>
            <w:tcW w:w="946" w:type="dxa"/>
            <w:tcBorders>
              <w:top w:val="nil"/>
              <w:left w:val="nil"/>
              <w:bottom w:val="single" w:sz="8" w:space="0" w:color="auto"/>
              <w:right w:val="single" w:sz="8" w:space="0" w:color="auto"/>
            </w:tcBorders>
            <w:vAlign w:val="center"/>
            <w:hideMark/>
          </w:tcPr>
          <w:p w14:paraId="542FC6D0" w14:textId="77777777" w:rsidR="00486288" w:rsidRPr="00290112" w:rsidRDefault="00486288" w:rsidP="00445C9D">
            <w:pPr>
              <w:spacing w:before="0" w:after="0"/>
              <w:jc w:val="center"/>
              <w:rPr>
                <w:b/>
                <w:bCs/>
                <w:noProof/>
                <w:color w:val="000000"/>
                <w:sz w:val="18"/>
                <w:szCs w:val="18"/>
                <w:lang w:val="en-IE" w:eastAsia="en-IE"/>
              </w:rPr>
            </w:pPr>
            <w:r w:rsidRPr="00290112">
              <w:rPr>
                <w:b/>
                <w:bCs/>
                <w:noProof/>
                <w:color w:val="000000"/>
                <w:sz w:val="18"/>
                <w:szCs w:val="18"/>
                <w:lang w:val="en-IE" w:eastAsia="en-IE"/>
              </w:rPr>
              <w:t>20</w:t>
            </w:r>
            <w:r>
              <w:rPr>
                <w:b/>
                <w:bCs/>
                <w:noProof/>
                <w:color w:val="000000"/>
                <w:sz w:val="18"/>
                <w:szCs w:val="18"/>
                <w:lang w:val="en-IE" w:eastAsia="en-IE"/>
              </w:rPr>
              <w:t>31</w:t>
            </w:r>
          </w:p>
        </w:tc>
        <w:tc>
          <w:tcPr>
            <w:tcW w:w="946" w:type="dxa"/>
            <w:tcBorders>
              <w:top w:val="single" w:sz="8" w:space="0" w:color="auto"/>
              <w:left w:val="single" w:sz="8" w:space="0" w:color="auto"/>
              <w:bottom w:val="single" w:sz="8" w:space="0" w:color="auto"/>
              <w:right w:val="single" w:sz="8" w:space="0" w:color="auto"/>
            </w:tcBorders>
            <w:vAlign w:val="center"/>
          </w:tcPr>
          <w:p w14:paraId="47EB0AA1" w14:textId="77777777" w:rsidR="00486288" w:rsidRPr="00290112" w:rsidRDefault="00486288" w:rsidP="00445C9D">
            <w:pPr>
              <w:spacing w:before="0" w:after="0"/>
              <w:jc w:val="center"/>
              <w:rPr>
                <w:b/>
                <w:bCs/>
                <w:noProof/>
                <w:color w:val="000000"/>
                <w:sz w:val="18"/>
                <w:szCs w:val="18"/>
                <w:lang w:val="en-IE" w:eastAsia="en-IE"/>
              </w:rPr>
            </w:pPr>
            <w:r>
              <w:rPr>
                <w:b/>
                <w:bCs/>
                <w:noProof/>
                <w:color w:val="000000"/>
                <w:sz w:val="18"/>
                <w:szCs w:val="18"/>
                <w:lang w:val="en-IE" w:eastAsia="en-IE"/>
              </w:rPr>
              <w:t>2032</w:t>
            </w:r>
          </w:p>
        </w:tc>
        <w:tc>
          <w:tcPr>
            <w:tcW w:w="946" w:type="dxa"/>
            <w:tcBorders>
              <w:top w:val="single" w:sz="8" w:space="0" w:color="auto"/>
              <w:left w:val="single" w:sz="8" w:space="0" w:color="auto"/>
              <w:bottom w:val="single" w:sz="8" w:space="0" w:color="auto"/>
              <w:right w:val="single" w:sz="8" w:space="0" w:color="auto"/>
            </w:tcBorders>
            <w:vAlign w:val="center"/>
          </w:tcPr>
          <w:p w14:paraId="1F03A000" w14:textId="77777777" w:rsidR="00486288" w:rsidRPr="00290112" w:rsidRDefault="00486288" w:rsidP="00445C9D">
            <w:pPr>
              <w:spacing w:before="0" w:after="0"/>
              <w:jc w:val="center"/>
              <w:rPr>
                <w:b/>
                <w:bCs/>
                <w:noProof/>
                <w:color w:val="000000"/>
                <w:sz w:val="18"/>
                <w:szCs w:val="18"/>
                <w:lang w:val="en-IE" w:eastAsia="en-IE"/>
              </w:rPr>
            </w:pPr>
            <w:r>
              <w:rPr>
                <w:b/>
                <w:bCs/>
                <w:noProof/>
                <w:color w:val="000000"/>
                <w:sz w:val="18"/>
                <w:szCs w:val="18"/>
                <w:lang w:val="en-IE" w:eastAsia="en-IE"/>
              </w:rPr>
              <w:t>2033</w:t>
            </w:r>
          </w:p>
        </w:tc>
        <w:tc>
          <w:tcPr>
            <w:tcW w:w="946" w:type="dxa"/>
            <w:tcBorders>
              <w:top w:val="single" w:sz="8" w:space="0" w:color="auto"/>
              <w:left w:val="single" w:sz="8" w:space="0" w:color="auto"/>
              <w:bottom w:val="single" w:sz="8" w:space="0" w:color="auto"/>
              <w:right w:val="single" w:sz="8" w:space="0" w:color="auto"/>
            </w:tcBorders>
            <w:vAlign w:val="center"/>
          </w:tcPr>
          <w:p w14:paraId="691DEDD9" w14:textId="77777777" w:rsidR="00486288" w:rsidRPr="00290112" w:rsidRDefault="00486288" w:rsidP="00445C9D">
            <w:pPr>
              <w:spacing w:before="0" w:after="0"/>
              <w:jc w:val="center"/>
              <w:rPr>
                <w:b/>
                <w:bCs/>
                <w:noProof/>
                <w:color w:val="000000"/>
                <w:sz w:val="18"/>
                <w:szCs w:val="18"/>
                <w:lang w:val="en-IE" w:eastAsia="en-IE"/>
              </w:rPr>
            </w:pPr>
            <w:r>
              <w:rPr>
                <w:b/>
                <w:bCs/>
                <w:noProof/>
                <w:color w:val="000000"/>
                <w:sz w:val="18"/>
                <w:szCs w:val="18"/>
                <w:lang w:val="en-IE" w:eastAsia="en-IE"/>
              </w:rPr>
              <w:t>2034</w:t>
            </w:r>
          </w:p>
        </w:tc>
        <w:tc>
          <w:tcPr>
            <w:tcW w:w="1079" w:type="dxa"/>
            <w:vMerge/>
            <w:tcBorders>
              <w:top w:val="single" w:sz="8" w:space="0" w:color="auto"/>
              <w:left w:val="single" w:sz="8" w:space="0" w:color="auto"/>
              <w:bottom w:val="single" w:sz="8" w:space="0" w:color="auto"/>
              <w:right w:val="single" w:sz="8" w:space="0" w:color="auto"/>
            </w:tcBorders>
            <w:vAlign w:val="center"/>
            <w:hideMark/>
          </w:tcPr>
          <w:p w14:paraId="3C3A9378" w14:textId="77777777" w:rsidR="00486288" w:rsidRPr="00290112" w:rsidRDefault="00486288" w:rsidP="00445C9D">
            <w:pPr>
              <w:spacing w:before="0" w:after="0"/>
              <w:jc w:val="left"/>
              <w:rPr>
                <w:b/>
                <w:bCs/>
                <w:noProof/>
                <w:color w:val="000000"/>
                <w:sz w:val="18"/>
                <w:szCs w:val="18"/>
                <w:lang w:val="en-IE" w:eastAsia="en-IE"/>
              </w:rPr>
            </w:pPr>
          </w:p>
        </w:tc>
      </w:tr>
      <w:tr w:rsidR="00486288" w:rsidRPr="00290112" w14:paraId="2A32F159" w14:textId="77777777" w:rsidTr="00102AF6">
        <w:trPr>
          <w:trHeight w:val="300"/>
        </w:trPr>
        <w:tc>
          <w:tcPr>
            <w:tcW w:w="522" w:type="dxa"/>
            <w:tcBorders>
              <w:top w:val="single" w:sz="8" w:space="0" w:color="auto"/>
              <w:left w:val="single" w:sz="8" w:space="0" w:color="auto"/>
              <w:bottom w:val="single" w:sz="8" w:space="0" w:color="auto"/>
              <w:right w:val="single" w:sz="4" w:space="0" w:color="auto"/>
            </w:tcBorders>
          </w:tcPr>
          <w:p w14:paraId="3F75F45B" w14:textId="77777777" w:rsidR="00486288" w:rsidRPr="00290112" w:rsidRDefault="00486288" w:rsidP="00445C9D">
            <w:pPr>
              <w:spacing w:before="0" w:after="0"/>
              <w:jc w:val="left"/>
              <w:rPr>
                <w:b/>
                <w:bCs/>
                <w:noProof/>
                <w:sz w:val="16"/>
                <w:szCs w:val="16"/>
                <w:lang w:val="en-IE" w:eastAsia="en-IE"/>
              </w:rPr>
            </w:pPr>
          </w:p>
        </w:tc>
        <w:tc>
          <w:tcPr>
            <w:tcW w:w="513" w:type="dxa"/>
            <w:tcBorders>
              <w:top w:val="single" w:sz="8" w:space="0" w:color="auto"/>
              <w:left w:val="single" w:sz="8" w:space="0" w:color="auto"/>
              <w:bottom w:val="single" w:sz="8" w:space="0" w:color="auto"/>
              <w:right w:val="single" w:sz="8" w:space="0" w:color="auto"/>
            </w:tcBorders>
          </w:tcPr>
          <w:p w14:paraId="2B2C2D30" w14:textId="77777777" w:rsidR="00486288" w:rsidRPr="00290112" w:rsidRDefault="00486288" w:rsidP="00445C9D">
            <w:pPr>
              <w:spacing w:before="0" w:after="0"/>
              <w:jc w:val="left"/>
              <w:rPr>
                <w:b/>
                <w:bCs/>
                <w:noProof/>
                <w:sz w:val="16"/>
                <w:szCs w:val="16"/>
                <w:lang w:val="en-IE" w:eastAsia="en-IE"/>
              </w:rPr>
            </w:pPr>
          </w:p>
        </w:tc>
        <w:tc>
          <w:tcPr>
            <w:tcW w:w="500" w:type="dxa"/>
            <w:tcBorders>
              <w:top w:val="single" w:sz="8" w:space="0" w:color="auto"/>
              <w:left w:val="single" w:sz="8" w:space="0" w:color="auto"/>
              <w:bottom w:val="single" w:sz="8" w:space="0" w:color="auto"/>
              <w:right w:val="single" w:sz="8" w:space="0" w:color="auto"/>
            </w:tcBorders>
          </w:tcPr>
          <w:p w14:paraId="58CE5404" w14:textId="77777777" w:rsidR="00486288" w:rsidRPr="00290112" w:rsidRDefault="00486288" w:rsidP="00445C9D">
            <w:pPr>
              <w:spacing w:before="0" w:after="0"/>
              <w:jc w:val="left"/>
              <w:rPr>
                <w:b/>
                <w:bCs/>
                <w:noProof/>
                <w:sz w:val="16"/>
                <w:szCs w:val="16"/>
                <w:lang w:val="en-IE" w:eastAsia="en-IE"/>
              </w:rPr>
            </w:pPr>
          </w:p>
        </w:tc>
        <w:tc>
          <w:tcPr>
            <w:tcW w:w="7754" w:type="dxa"/>
            <w:gridSpan w:val="9"/>
            <w:tcBorders>
              <w:top w:val="single" w:sz="8" w:space="0" w:color="auto"/>
              <w:left w:val="single" w:sz="8" w:space="0" w:color="auto"/>
              <w:bottom w:val="single" w:sz="8" w:space="0" w:color="auto"/>
              <w:right w:val="single" w:sz="4" w:space="0" w:color="auto"/>
            </w:tcBorders>
            <w:vAlign w:val="center"/>
            <w:hideMark/>
          </w:tcPr>
          <w:p w14:paraId="7E7A0586" w14:textId="77777777" w:rsidR="00486288" w:rsidRPr="00290112" w:rsidRDefault="00486288" w:rsidP="00445C9D">
            <w:pPr>
              <w:spacing w:before="0" w:after="0"/>
              <w:jc w:val="left"/>
              <w:rPr>
                <w:b/>
                <w:bCs/>
                <w:noProof/>
                <w:sz w:val="16"/>
                <w:szCs w:val="16"/>
                <w:lang w:val="en-IE" w:eastAsia="en-IE"/>
              </w:rPr>
            </w:pPr>
            <w:r w:rsidRPr="00290112">
              <w:rPr>
                <w:b/>
                <w:bCs/>
                <w:noProof/>
                <w:sz w:val="16"/>
                <w:szCs w:val="16"/>
                <w:lang w:val="en-IE" w:eastAsia="en-IE"/>
              </w:rPr>
              <w:t xml:space="preserve">HEADING </w:t>
            </w:r>
            <w:r>
              <w:rPr>
                <w:b/>
                <w:bCs/>
                <w:noProof/>
                <w:sz w:val="16"/>
                <w:szCs w:val="16"/>
                <w:lang w:val="en-IE" w:eastAsia="en-IE"/>
              </w:rPr>
              <w:t>4</w:t>
            </w:r>
          </w:p>
        </w:tc>
      </w:tr>
      <w:tr w:rsidR="00524D56" w:rsidRPr="00290112" w14:paraId="1C852C22" w14:textId="77777777" w:rsidTr="00102AF6">
        <w:trPr>
          <w:trHeight w:val="300"/>
        </w:trPr>
        <w:tc>
          <w:tcPr>
            <w:tcW w:w="1670" w:type="dxa"/>
            <w:gridSpan w:val="4"/>
            <w:tcBorders>
              <w:top w:val="nil"/>
              <w:left w:val="single" w:sz="8" w:space="0" w:color="auto"/>
              <w:bottom w:val="single" w:sz="8" w:space="0" w:color="auto"/>
              <w:right w:val="single" w:sz="8" w:space="0" w:color="auto"/>
            </w:tcBorders>
            <w:vAlign w:val="center"/>
            <w:hideMark/>
          </w:tcPr>
          <w:p w14:paraId="7F61ACFC" w14:textId="77777777" w:rsidR="00C749C0" w:rsidRPr="00290112" w:rsidRDefault="00C749C0" w:rsidP="00C749C0">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813" w:type="dxa"/>
            <w:tcBorders>
              <w:top w:val="nil"/>
              <w:left w:val="nil"/>
              <w:bottom w:val="single" w:sz="8" w:space="0" w:color="auto"/>
              <w:right w:val="single" w:sz="8" w:space="0" w:color="auto"/>
            </w:tcBorders>
            <w:shd w:val="clear" w:color="000000" w:fill="D9D9D9"/>
            <w:vAlign w:val="center"/>
            <w:hideMark/>
          </w:tcPr>
          <w:p w14:paraId="61362E97" w14:textId="4753C48D" w:rsidR="00C749C0" w:rsidRPr="00850895" w:rsidRDefault="00C749C0" w:rsidP="00C749C0">
            <w:pPr>
              <w:spacing w:before="0" w:after="0"/>
              <w:jc w:val="right"/>
              <w:rPr>
                <w:b/>
                <w:bCs/>
                <w:noProof/>
                <w:color w:val="000000"/>
                <w:sz w:val="18"/>
                <w:szCs w:val="18"/>
                <w:lang w:val="en-IE" w:eastAsia="en-IE"/>
              </w:rPr>
            </w:pPr>
            <w:r>
              <w:rPr>
                <w:noProof/>
                <w:color w:val="000000"/>
                <w:sz w:val="16"/>
                <w:szCs w:val="16"/>
              </w:rPr>
              <w:t>3,451</w:t>
            </w:r>
          </w:p>
        </w:tc>
        <w:tc>
          <w:tcPr>
            <w:tcW w:w="997" w:type="dxa"/>
            <w:tcBorders>
              <w:top w:val="nil"/>
              <w:left w:val="nil"/>
              <w:bottom w:val="single" w:sz="8" w:space="0" w:color="auto"/>
              <w:right w:val="single" w:sz="8" w:space="0" w:color="auto"/>
            </w:tcBorders>
            <w:shd w:val="clear" w:color="000000" w:fill="D9D9D9"/>
            <w:vAlign w:val="center"/>
            <w:hideMark/>
          </w:tcPr>
          <w:p w14:paraId="76A6382F" w14:textId="73A8205F" w:rsidR="00C749C0" w:rsidRPr="00850895" w:rsidRDefault="00C749C0" w:rsidP="00C749C0">
            <w:pPr>
              <w:spacing w:before="0" w:after="0"/>
              <w:jc w:val="right"/>
              <w:rPr>
                <w:b/>
                <w:bCs/>
                <w:noProof/>
                <w:color w:val="000000"/>
                <w:sz w:val="18"/>
                <w:szCs w:val="18"/>
                <w:lang w:val="en-IE" w:eastAsia="en-IE"/>
              </w:rPr>
            </w:pPr>
            <w:r>
              <w:rPr>
                <w:noProof/>
                <w:color w:val="000000"/>
                <w:sz w:val="16"/>
                <w:szCs w:val="16"/>
              </w:rPr>
              <w:t>4,243</w:t>
            </w:r>
          </w:p>
        </w:tc>
        <w:tc>
          <w:tcPr>
            <w:tcW w:w="946" w:type="dxa"/>
            <w:tcBorders>
              <w:top w:val="nil"/>
              <w:left w:val="nil"/>
              <w:bottom w:val="single" w:sz="8" w:space="0" w:color="auto"/>
              <w:right w:val="single" w:sz="8" w:space="0" w:color="auto"/>
            </w:tcBorders>
            <w:shd w:val="clear" w:color="000000" w:fill="D9D9D9"/>
            <w:vAlign w:val="center"/>
            <w:hideMark/>
          </w:tcPr>
          <w:p w14:paraId="61C66167" w14:textId="13EEE3D6" w:rsidR="00C749C0" w:rsidRPr="00850895" w:rsidRDefault="00C749C0" w:rsidP="00C749C0">
            <w:pPr>
              <w:spacing w:before="0" w:after="0"/>
              <w:jc w:val="right"/>
              <w:rPr>
                <w:b/>
                <w:bCs/>
                <w:noProof/>
                <w:color w:val="000000"/>
                <w:sz w:val="18"/>
                <w:szCs w:val="18"/>
                <w:lang w:val="en-IE" w:eastAsia="en-IE"/>
              </w:rPr>
            </w:pPr>
            <w:r>
              <w:rPr>
                <w:noProof/>
                <w:color w:val="000000"/>
                <w:sz w:val="16"/>
                <w:szCs w:val="16"/>
              </w:rPr>
              <w:t>4,033</w:t>
            </w:r>
          </w:p>
        </w:tc>
        <w:tc>
          <w:tcPr>
            <w:tcW w:w="946" w:type="dxa"/>
            <w:tcBorders>
              <w:top w:val="nil"/>
              <w:left w:val="nil"/>
              <w:bottom w:val="single" w:sz="8" w:space="0" w:color="auto"/>
              <w:right w:val="single" w:sz="8" w:space="0" w:color="auto"/>
            </w:tcBorders>
            <w:shd w:val="clear" w:color="000000" w:fill="D9D9D9"/>
            <w:vAlign w:val="center"/>
            <w:hideMark/>
          </w:tcPr>
          <w:p w14:paraId="12938FDA" w14:textId="4EA73E04" w:rsidR="00C749C0" w:rsidRPr="00850895" w:rsidRDefault="00C749C0" w:rsidP="00C749C0">
            <w:pPr>
              <w:spacing w:before="0" w:after="0"/>
              <w:jc w:val="right"/>
              <w:rPr>
                <w:b/>
                <w:bCs/>
                <w:noProof/>
                <w:color w:val="000000"/>
                <w:sz w:val="18"/>
                <w:szCs w:val="18"/>
                <w:lang w:val="en-IE" w:eastAsia="en-IE"/>
              </w:rPr>
            </w:pPr>
            <w:r>
              <w:rPr>
                <w:noProof/>
                <w:color w:val="000000"/>
                <w:sz w:val="16"/>
                <w:szCs w:val="16"/>
              </w:rPr>
              <w:t>4,033</w:t>
            </w:r>
          </w:p>
        </w:tc>
        <w:tc>
          <w:tcPr>
            <w:tcW w:w="946" w:type="dxa"/>
            <w:tcBorders>
              <w:top w:val="nil"/>
              <w:left w:val="nil"/>
              <w:bottom w:val="single" w:sz="8" w:space="0" w:color="auto"/>
              <w:right w:val="single" w:sz="4" w:space="0" w:color="auto"/>
            </w:tcBorders>
            <w:shd w:val="clear" w:color="000000" w:fill="D9D9D9"/>
            <w:vAlign w:val="center"/>
          </w:tcPr>
          <w:p w14:paraId="42025318" w14:textId="0102FEEA" w:rsidR="00C749C0" w:rsidRPr="00850895" w:rsidRDefault="00C749C0" w:rsidP="00C749C0">
            <w:pPr>
              <w:spacing w:before="0" w:after="0"/>
              <w:jc w:val="center"/>
              <w:rPr>
                <w:b/>
                <w:bCs/>
                <w:noProof/>
                <w:color w:val="000000"/>
                <w:sz w:val="18"/>
                <w:szCs w:val="18"/>
                <w:lang w:val="en-IE" w:eastAsia="en-IE"/>
              </w:rPr>
            </w:pPr>
            <w:r>
              <w:rPr>
                <w:noProof/>
                <w:color w:val="000000"/>
                <w:sz w:val="16"/>
                <w:szCs w:val="16"/>
              </w:rPr>
              <w:t>4,033</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6E3AA2B2" w14:textId="6AFA1A37" w:rsidR="00C749C0" w:rsidRPr="00850895" w:rsidRDefault="00C749C0" w:rsidP="00C749C0">
            <w:pPr>
              <w:spacing w:before="0" w:after="0"/>
              <w:jc w:val="center"/>
              <w:rPr>
                <w:b/>
                <w:bCs/>
                <w:noProof/>
                <w:color w:val="000000"/>
                <w:sz w:val="18"/>
                <w:szCs w:val="18"/>
                <w:lang w:val="en-IE" w:eastAsia="en-IE"/>
              </w:rPr>
            </w:pPr>
            <w:r>
              <w:rPr>
                <w:noProof/>
                <w:color w:val="000000"/>
                <w:sz w:val="16"/>
                <w:szCs w:val="16"/>
              </w:rPr>
              <w:t>4,033</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5A8084D8" w14:textId="17CCAD90" w:rsidR="00C749C0" w:rsidRPr="00850895" w:rsidRDefault="00C749C0" w:rsidP="00C749C0">
            <w:pPr>
              <w:spacing w:before="0" w:after="0"/>
              <w:jc w:val="center"/>
              <w:rPr>
                <w:b/>
                <w:bCs/>
                <w:noProof/>
                <w:color w:val="000000"/>
                <w:sz w:val="18"/>
                <w:szCs w:val="18"/>
                <w:lang w:val="en-IE" w:eastAsia="en-IE"/>
              </w:rPr>
            </w:pPr>
            <w:r>
              <w:rPr>
                <w:noProof/>
                <w:color w:val="000000"/>
                <w:sz w:val="16"/>
                <w:szCs w:val="16"/>
              </w:rPr>
              <w:t>4,033</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14:paraId="0F7527D1" w14:textId="222B3CD0" w:rsidR="00C749C0" w:rsidRPr="00850895" w:rsidRDefault="00C749C0" w:rsidP="00C749C0">
            <w:pPr>
              <w:spacing w:before="0" w:after="0"/>
              <w:jc w:val="right"/>
              <w:rPr>
                <w:b/>
                <w:bCs/>
                <w:noProof/>
                <w:color w:val="000000"/>
                <w:sz w:val="18"/>
                <w:szCs w:val="18"/>
                <w:lang w:val="en-IE" w:eastAsia="en-IE"/>
              </w:rPr>
            </w:pPr>
            <w:r>
              <w:rPr>
                <w:b/>
                <w:bCs/>
                <w:noProof/>
                <w:color w:val="000000"/>
                <w:sz w:val="16"/>
                <w:szCs w:val="16"/>
              </w:rPr>
              <w:t>28,069</w:t>
            </w:r>
          </w:p>
        </w:tc>
      </w:tr>
      <w:tr w:rsidR="00524D56" w:rsidRPr="00290112" w14:paraId="0EBAAEBE" w14:textId="77777777" w:rsidTr="00102AF6">
        <w:trPr>
          <w:trHeight w:val="300"/>
        </w:trPr>
        <w:tc>
          <w:tcPr>
            <w:tcW w:w="1670" w:type="dxa"/>
            <w:gridSpan w:val="4"/>
            <w:tcBorders>
              <w:top w:val="nil"/>
              <w:left w:val="single" w:sz="8" w:space="0" w:color="auto"/>
              <w:bottom w:val="single" w:sz="8" w:space="0" w:color="auto"/>
              <w:right w:val="single" w:sz="8" w:space="0" w:color="auto"/>
            </w:tcBorders>
            <w:vAlign w:val="center"/>
            <w:hideMark/>
          </w:tcPr>
          <w:p w14:paraId="68F4EDD1" w14:textId="77777777" w:rsidR="00C749C0" w:rsidRPr="00290112" w:rsidRDefault="00C749C0" w:rsidP="00C749C0">
            <w:pPr>
              <w:spacing w:before="0" w:after="0"/>
              <w:jc w:val="left"/>
              <w:rPr>
                <w:noProof/>
                <w:color w:val="000000"/>
                <w:sz w:val="16"/>
                <w:szCs w:val="16"/>
                <w:lang w:val="en-IE" w:eastAsia="en-IE"/>
              </w:rPr>
            </w:pPr>
            <w:r w:rsidRPr="00290112">
              <w:rPr>
                <w:noProof/>
                <w:color w:val="000000"/>
                <w:sz w:val="16"/>
                <w:szCs w:val="16"/>
                <w:lang w:val="en-IE" w:eastAsia="en-IE"/>
              </w:rPr>
              <w:t xml:space="preserve">Other administrative expenditure </w:t>
            </w:r>
          </w:p>
        </w:tc>
        <w:tc>
          <w:tcPr>
            <w:tcW w:w="813" w:type="dxa"/>
            <w:tcBorders>
              <w:top w:val="nil"/>
              <w:left w:val="nil"/>
              <w:bottom w:val="single" w:sz="8" w:space="0" w:color="auto"/>
              <w:right w:val="single" w:sz="8" w:space="0" w:color="auto"/>
            </w:tcBorders>
            <w:shd w:val="clear" w:color="000000" w:fill="D9D9D9"/>
            <w:vAlign w:val="center"/>
            <w:hideMark/>
          </w:tcPr>
          <w:p w14:paraId="17546D14" w14:textId="77777777" w:rsidR="00C749C0" w:rsidRPr="00D44F78" w:rsidRDefault="00C749C0" w:rsidP="00C749C0">
            <w:pPr>
              <w:spacing w:before="0" w:after="0"/>
              <w:jc w:val="right"/>
              <w:rPr>
                <w:b/>
                <w:noProof/>
                <w:color w:val="000000"/>
                <w:sz w:val="18"/>
                <w:szCs w:val="18"/>
                <w:lang w:val="en-IE" w:eastAsia="en-IE"/>
              </w:rPr>
            </w:pPr>
            <w:r>
              <w:rPr>
                <w:noProof/>
                <w:color w:val="000000"/>
                <w:sz w:val="16"/>
                <w:szCs w:val="16"/>
              </w:rPr>
              <w:t>0,200</w:t>
            </w:r>
          </w:p>
        </w:tc>
        <w:tc>
          <w:tcPr>
            <w:tcW w:w="997" w:type="dxa"/>
            <w:tcBorders>
              <w:top w:val="nil"/>
              <w:left w:val="nil"/>
              <w:bottom w:val="single" w:sz="8" w:space="0" w:color="auto"/>
              <w:right w:val="single" w:sz="8" w:space="0" w:color="auto"/>
            </w:tcBorders>
            <w:shd w:val="clear" w:color="000000" w:fill="D9D9D9"/>
            <w:vAlign w:val="center"/>
            <w:hideMark/>
          </w:tcPr>
          <w:p w14:paraId="1CE95F4D" w14:textId="77777777" w:rsidR="00C749C0" w:rsidRPr="00D44F78" w:rsidRDefault="00C749C0" w:rsidP="00C749C0">
            <w:pPr>
              <w:spacing w:before="0" w:after="0"/>
              <w:jc w:val="right"/>
              <w:rPr>
                <w:b/>
                <w:noProof/>
                <w:color w:val="000000"/>
                <w:sz w:val="18"/>
                <w:szCs w:val="18"/>
                <w:lang w:val="en-IE" w:eastAsia="en-IE"/>
              </w:rPr>
            </w:pPr>
            <w:r>
              <w:rPr>
                <w:noProof/>
                <w:color w:val="000000"/>
                <w:sz w:val="16"/>
                <w:szCs w:val="16"/>
              </w:rPr>
              <w:t>0,200</w:t>
            </w:r>
          </w:p>
        </w:tc>
        <w:tc>
          <w:tcPr>
            <w:tcW w:w="946" w:type="dxa"/>
            <w:tcBorders>
              <w:top w:val="nil"/>
              <w:left w:val="nil"/>
              <w:bottom w:val="single" w:sz="8" w:space="0" w:color="auto"/>
              <w:right w:val="single" w:sz="8" w:space="0" w:color="auto"/>
            </w:tcBorders>
            <w:shd w:val="clear" w:color="000000" w:fill="D9D9D9"/>
            <w:vAlign w:val="center"/>
            <w:hideMark/>
          </w:tcPr>
          <w:p w14:paraId="3FF9C7F1" w14:textId="77777777" w:rsidR="00C749C0" w:rsidRPr="00D44F78" w:rsidRDefault="00C749C0" w:rsidP="00C749C0">
            <w:pPr>
              <w:spacing w:before="0" w:after="0"/>
              <w:jc w:val="right"/>
              <w:rPr>
                <w:b/>
                <w:noProof/>
                <w:color w:val="000000"/>
                <w:sz w:val="18"/>
                <w:szCs w:val="18"/>
                <w:lang w:val="en-IE" w:eastAsia="en-IE"/>
              </w:rPr>
            </w:pPr>
            <w:r>
              <w:rPr>
                <w:noProof/>
                <w:color w:val="000000"/>
                <w:sz w:val="16"/>
                <w:szCs w:val="16"/>
              </w:rPr>
              <w:t>0,200</w:t>
            </w:r>
          </w:p>
        </w:tc>
        <w:tc>
          <w:tcPr>
            <w:tcW w:w="946" w:type="dxa"/>
            <w:tcBorders>
              <w:top w:val="nil"/>
              <w:left w:val="nil"/>
              <w:bottom w:val="single" w:sz="8" w:space="0" w:color="auto"/>
              <w:right w:val="single" w:sz="8" w:space="0" w:color="auto"/>
            </w:tcBorders>
            <w:shd w:val="clear" w:color="000000" w:fill="D9D9D9"/>
            <w:vAlign w:val="center"/>
            <w:hideMark/>
          </w:tcPr>
          <w:p w14:paraId="6C784084" w14:textId="77777777" w:rsidR="00C749C0" w:rsidRPr="00D44F78" w:rsidRDefault="00C749C0" w:rsidP="00C749C0">
            <w:pPr>
              <w:spacing w:before="0" w:after="0"/>
              <w:jc w:val="right"/>
              <w:rPr>
                <w:b/>
                <w:noProof/>
                <w:color w:val="000000"/>
                <w:sz w:val="18"/>
                <w:szCs w:val="18"/>
                <w:lang w:val="en-IE" w:eastAsia="en-IE"/>
              </w:rPr>
            </w:pPr>
            <w:r>
              <w:rPr>
                <w:noProof/>
                <w:color w:val="000000"/>
                <w:sz w:val="16"/>
                <w:szCs w:val="16"/>
              </w:rPr>
              <w:t>0,200</w:t>
            </w:r>
          </w:p>
        </w:tc>
        <w:tc>
          <w:tcPr>
            <w:tcW w:w="946" w:type="dxa"/>
            <w:tcBorders>
              <w:top w:val="nil"/>
              <w:left w:val="nil"/>
              <w:bottom w:val="single" w:sz="8" w:space="0" w:color="auto"/>
              <w:right w:val="single" w:sz="4" w:space="0" w:color="auto"/>
            </w:tcBorders>
            <w:shd w:val="clear" w:color="000000" w:fill="D9D9D9"/>
            <w:vAlign w:val="center"/>
          </w:tcPr>
          <w:p w14:paraId="5C4FEB3B" w14:textId="77777777" w:rsidR="00C749C0" w:rsidRPr="00D44F78" w:rsidRDefault="00C749C0" w:rsidP="00C749C0">
            <w:pPr>
              <w:spacing w:before="0" w:after="0"/>
              <w:jc w:val="center"/>
              <w:rPr>
                <w:b/>
                <w:noProof/>
                <w:color w:val="000000"/>
                <w:sz w:val="18"/>
                <w:szCs w:val="18"/>
                <w:lang w:val="en-IE" w:eastAsia="en-IE"/>
              </w:rPr>
            </w:pPr>
            <w:r>
              <w:rPr>
                <w:noProof/>
                <w:color w:val="000000"/>
                <w:sz w:val="16"/>
                <w:szCs w:val="16"/>
              </w:rPr>
              <w:t>0,200</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01002A34" w14:textId="77777777" w:rsidR="00C749C0" w:rsidRPr="00D44F78" w:rsidRDefault="00C749C0" w:rsidP="00C749C0">
            <w:pPr>
              <w:spacing w:before="0" w:after="0"/>
              <w:jc w:val="center"/>
              <w:rPr>
                <w:b/>
                <w:noProof/>
                <w:color w:val="000000"/>
                <w:sz w:val="18"/>
                <w:szCs w:val="18"/>
                <w:lang w:val="en-IE" w:eastAsia="en-IE"/>
              </w:rPr>
            </w:pPr>
            <w:r>
              <w:rPr>
                <w:noProof/>
                <w:color w:val="000000"/>
                <w:sz w:val="16"/>
                <w:szCs w:val="16"/>
              </w:rPr>
              <w:t>0,200</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7E5FB25A" w14:textId="77777777" w:rsidR="00C749C0" w:rsidRPr="00D44F78" w:rsidRDefault="00C749C0" w:rsidP="00C749C0">
            <w:pPr>
              <w:spacing w:before="0" w:after="0"/>
              <w:jc w:val="center"/>
              <w:rPr>
                <w:b/>
                <w:noProof/>
                <w:color w:val="000000"/>
                <w:sz w:val="18"/>
                <w:szCs w:val="18"/>
                <w:lang w:val="en-IE" w:eastAsia="en-IE"/>
              </w:rPr>
            </w:pPr>
            <w:r>
              <w:rPr>
                <w:noProof/>
                <w:color w:val="000000"/>
                <w:sz w:val="16"/>
                <w:szCs w:val="16"/>
              </w:rPr>
              <w:t>0,200</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14:paraId="384A2002" w14:textId="77777777" w:rsidR="00C749C0" w:rsidRPr="00D44F78" w:rsidRDefault="00C749C0" w:rsidP="00C749C0">
            <w:pPr>
              <w:spacing w:before="0" w:after="0"/>
              <w:jc w:val="right"/>
              <w:rPr>
                <w:b/>
                <w:noProof/>
                <w:color w:val="000000"/>
                <w:sz w:val="18"/>
                <w:szCs w:val="18"/>
                <w:lang w:val="en-IE" w:eastAsia="en-IE"/>
              </w:rPr>
            </w:pPr>
            <w:r>
              <w:rPr>
                <w:b/>
                <w:bCs/>
                <w:noProof/>
                <w:color w:val="000000"/>
                <w:sz w:val="16"/>
                <w:szCs w:val="16"/>
              </w:rPr>
              <w:t>1,400</w:t>
            </w:r>
          </w:p>
        </w:tc>
      </w:tr>
      <w:tr w:rsidR="00524D56" w:rsidRPr="00290112" w14:paraId="4B7ACBCA" w14:textId="77777777" w:rsidTr="00102AF6">
        <w:trPr>
          <w:trHeight w:val="300"/>
        </w:trPr>
        <w:tc>
          <w:tcPr>
            <w:tcW w:w="1670" w:type="dxa"/>
            <w:gridSpan w:val="4"/>
            <w:tcBorders>
              <w:top w:val="nil"/>
              <w:left w:val="single" w:sz="8" w:space="0" w:color="auto"/>
              <w:bottom w:val="single" w:sz="8" w:space="0" w:color="auto"/>
              <w:right w:val="single" w:sz="8" w:space="0" w:color="auto"/>
            </w:tcBorders>
            <w:shd w:val="clear" w:color="000000" w:fill="CCCCCC"/>
            <w:vAlign w:val="center"/>
            <w:hideMark/>
          </w:tcPr>
          <w:p w14:paraId="2ACE637A" w14:textId="77777777" w:rsidR="00102AF6" w:rsidRPr="00290112" w:rsidRDefault="00102AF6" w:rsidP="00102AF6">
            <w:pPr>
              <w:spacing w:before="0" w:after="0"/>
              <w:jc w:val="center"/>
              <w:rPr>
                <w:b/>
                <w:bCs/>
                <w:noProof/>
                <w:color w:val="000000"/>
                <w:sz w:val="16"/>
                <w:szCs w:val="16"/>
                <w:lang w:val="en-IE" w:eastAsia="en-IE"/>
              </w:rPr>
            </w:pPr>
            <w:r w:rsidRPr="00290112">
              <w:rPr>
                <w:b/>
                <w:bCs/>
                <w:noProof/>
                <w:color w:val="000000"/>
                <w:sz w:val="16"/>
                <w:szCs w:val="16"/>
                <w:lang w:val="en-IE" w:eastAsia="en-IE"/>
              </w:rPr>
              <w:t xml:space="preserve">Subtotal HEADING </w:t>
            </w:r>
            <w:r>
              <w:rPr>
                <w:b/>
                <w:bCs/>
                <w:noProof/>
                <w:color w:val="000000"/>
                <w:sz w:val="16"/>
                <w:szCs w:val="16"/>
                <w:lang w:val="en-IE" w:eastAsia="en-IE"/>
              </w:rPr>
              <w:t>4</w:t>
            </w:r>
          </w:p>
        </w:tc>
        <w:tc>
          <w:tcPr>
            <w:tcW w:w="813" w:type="dxa"/>
            <w:tcBorders>
              <w:top w:val="nil"/>
              <w:left w:val="nil"/>
              <w:bottom w:val="single" w:sz="8" w:space="0" w:color="auto"/>
              <w:right w:val="single" w:sz="8" w:space="0" w:color="auto"/>
            </w:tcBorders>
            <w:shd w:val="clear" w:color="000000" w:fill="D9D9D9"/>
            <w:vAlign w:val="center"/>
            <w:hideMark/>
          </w:tcPr>
          <w:p w14:paraId="4ACAF87E" w14:textId="6FC8C6AF" w:rsidR="00102AF6" w:rsidRPr="007C427D" w:rsidRDefault="00102AF6" w:rsidP="00102AF6">
            <w:pPr>
              <w:spacing w:before="0" w:after="0"/>
              <w:jc w:val="right"/>
              <w:rPr>
                <w:b/>
                <w:bCs/>
                <w:noProof/>
                <w:color w:val="000000"/>
                <w:sz w:val="18"/>
                <w:szCs w:val="18"/>
                <w:lang w:val="en-IE" w:eastAsia="en-IE"/>
              </w:rPr>
            </w:pPr>
            <w:r>
              <w:rPr>
                <w:b/>
                <w:bCs/>
                <w:noProof/>
                <w:color w:val="000000"/>
                <w:sz w:val="16"/>
                <w:szCs w:val="16"/>
              </w:rPr>
              <w:t>3,651</w:t>
            </w:r>
          </w:p>
        </w:tc>
        <w:tc>
          <w:tcPr>
            <w:tcW w:w="997" w:type="dxa"/>
            <w:tcBorders>
              <w:top w:val="nil"/>
              <w:left w:val="nil"/>
              <w:bottom w:val="single" w:sz="8" w:space="0" w:color="auto"/>
              <w:right w:val="single" w:sz="8" w:space="0" w:color="auto"/>
            </w:tcBorders>
            <w:shd w:val="clear" w:color="000000" w:fill="D9D9D9"/>
            <w:vAlign w:val="center"/>
            <w:hideMark/>
          </w:tcPr>
          <w:p w14:paraId="67ABC3F3" w14:textId="047B2096" w:rsidR="00102AF6" w:rsidRPr="007C427D" w:rsidRDefault="00102AF6" w:rsidP="00102AF6">
            <w:pPr>
              <w:spacing w:before="0" w:after="0"/>
              <w:jc w:val="right"/>
              <w:rPr>
                <w:b/>
                <w:bCs/>
                <w:noProof/>
                <w:color w:val="000000"/>
                <w:sz w:val="18"/>
                <w:szCs w:val="18"/>
                <w:lang w:val="en-IE" w:eastAsia="en-IE"/>
              </w:rPr>
            </w:pPr>
            <w:r>
              <w:rPr>
                <w:b/>
                <w:bCs/>
                <w:noProof/>
                <w:color w:val="000000"/>
                <w:sz w:val="16"/>
                <w:szCs w:val="16"/>
              </w:rPr>
              <w:t>4,443</w:t>
            </w:r>
          </w:p>
        </w:tc>
        <w:tc>
          <w:tcPr>
            <w:tcW w:w="946" w:type="dxa"/>
            <w:tcBorders>
              <w:top w:val="nil"/>
              <w:left w:val="nil"/>
              <w:bottom w:val="single" w:sz="8" w:space="0" w:color="auto"/>
              <w:right w:val="single" w:sz="8" w:space="0" w:color="auto"/>
            </w:tcBorders>
            <w:shd w:val="clear" w:color="000000" w:fill="D9D9D9"/>
            <w:vAlign w:val="center"/>
            <w:hideMark/>
          </w:tcPr>
          <w:p w14:paraId="43893ABC" w14:textId="029DDB76" w:rsidR="00102AF6" w:rsidRPr="007C427D" w:rsidRDefault="00102AF6" w:rsidP="00102AF6">
            <w:pPr>
              <w:spacing w:before="0" w:after="0"/>
              <w:jc w:val="right"/>
              <w:rPr>
                <w:b/>
                <w:bCs/>
                <w:noProof/>
                <w:color w:val="000000"/>
                <w:sz w:val="18"/>
                <w:szCs w:val="18"/>
                <w:lang w:val="en-IE" w:eastAsia="en-IE"/>
              </w:rPr>
            </w:pPr>
            <w:r>
              <w:rPr>
                <w:b/>
                <w:bCs/>
                <w:noProof/>
                <w:color w:val="000000"/>
                <w:sz w:val="16"/>
                <w:szCs w:val="16"/>
              </w:rPr>
              <w:t>4,443</w:t>
            </w:r>
          </w:p>
        </w:tc>
        <w:tc>
          <w:tcPr>
            <w:tcW w:w="946" w:type="dxa"/>
            <w:tcBorders>
              <w:top w:val="nil"/>
              <w:left w:val="nil"/>
              <w:bottom w:val="single" w:sz="8" w:space="0" w:color="auto"/>
              <w:right w:val="single" w:sz="8" w:space="0" w:color="auto"/>
            </w:tcBorders>
            <w:shd w:val="clear" w:color="000000" w:fill="D9D9D9"/>
            <w:vAlign w:val="center"/>
            <w:hideMark/>
          </w:tcPr>
          <w:p w14:paraId="029F2900" w14:textId="7CF8DD7C" w:rsidR="00102AF6" w:rsidRPr="007C427D" w:rsidRDefault="00102AF6" w:rsidP="00102AF6">
            <w:pPr>
              <w:spacing w:before="0" w:after="0"/>
              <w:jc w:val="right"/>
              <w:rPr>
                <w:b/>
                <w:bCs/>
                <w:noProof/>
                <w:color w:val="000000"/>
                <w:sz w:val="18"/>
                <w:szCs w:val="18"/>
                <w:lang w:val="en-IE" w:eastAsia="en-IE"/>
              </w:rPr>
            </w:pPr>
            <w:r>
              <w:rPr>
                <w:b/>
                <w:bCs/>
                <w:noProof/>
                <w:color w:val="000000"/>
                <w:sz w:val="16"/>
                <w:szCs w:val="16"/>
              </w:rPr>
              <w:t>4,233</w:t>
            </w:r>
          </w:p>
        </w:tc>
        <w:tc>
          <w:tcPr>
            <w:tcW w:w="946" w:type="dxa"/>
            <w:tcBorders>
              <w:top w:val="nil"/>
              <w:left w:val="nil"/>
              <w:bottom w:val="single" w:sz="8" w:space="0" w:color="auto"/>
              <w:right w:val="single" w:sz="4" w:space="0" w:color="auto"/>
            </w:tcBorders>
            <w:shd w:val="clear" w:color="000000" w:fill="D9D9D9"/>
            <w:vAlign w:val="center"/>
          </w:tcPr>
          <w:p w14:paraId="2EF48B4A" w14:textId="7255D0E9" w:rsidR="00102AF6" w:rsidRPr="007C427D" w:rsidRDefault="00102AF6" w:rsidP="00102AF6">
            <w:pPr>
              <w:spacing w:before="0" w:after="0"/>
              <w:jc w:val="center"/>
              <w:rPr>
                <w:b/>
                <w:bCs/>
                <w:noProof/>
                <w:color w:val="000000"/>
                <w:sz w:val="18"/>
                <w:szCs w:val="18"/>
                <w:lang w:val="en-IE" w:eastAsia="en-IE"/>
              </w:rPr>
            </w:pPr>
            <w:r>
              <w:rPr>
                <w:b/>
                <w:bCs/>
                <w:noProof/>
                <w:color w:val="000000"/>
                <w:sz w:val="16"/>
                <w:szCs w:val="16"/>
              </w:rPr>
              <w:t>4,233</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769068C1" w14:textId="613C7CF1" w:rsidR="00102AF6" w:rsidRPr="007C427D" w:rsidRDefault="00102AF6" w:rsidP="00102AF6">
            <w:pPr>
              <w:spacing w:before="0" w:after="0"/>
              <w:jc w:val="center"/>
              <w:rPr>
                <w:b/>
                <w:bCs/>
                <w:noProof/>
                <w:color w:val="000000"/>
                <w:sz w:val="18"/>
                <w:szCs w:val="18"/>
                <w:lang w:val="en-IE" w:eastAsia="en-IE"/>
              </w:rPr>
            </w:pPr>
            <w:r>
              <w:rPr>
                <w:b/>
                <w:bCs/>
                <w:noProof/>
                <w:color w:val="000000"/>
                <w:sz w:val="16"/>
                <w:szCs w:val="16"/>
              </w:rPr>
              <w:t>4,233</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1D0FA0E9" w14:textId="689224F5" w:rsidR="00102AF6" w:rsidRPr="007C427D" w:rsidRDefault="00102AF6" w:rsidP="00102AF6">
            <w:pPr>
              <w:spacing w:before="0" w:after="0"/>
              <w:jc w:val="center"/>
              <w:rPr>
                <w:b/>
                <w:bCs/>
                <w:noProof/>
                <w:color w:val="000000"/>
                <w:sz w:val="18"/>
                <w:szCs w:val="18"/>
                <w:lang w:val="en-IE" w:eastAsia="en-IE"/>
              </w:rPr>
            </w:pPr>
            <w:r>
              <w:rPr>
                <w:b/>
                <w:bCs/>
                <w:noProof/>
                <w:color w:val="000000"/>
                <w:sz w:val="16"/>
                <w:szCs w:val="16"/>
              </w:rPr>
              <w:t>4,233</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14:paraId="7B9CDA97" w14:textId="49A0AB10" w:rsidR="00102AF6" w:rsidRPr="007C427D" w:rsidRDefault="00102AF6" w:rsidP="00102AF6">
            <w:pPr>
              <w:spacing w:before="0" w:after="0"/>
              <w:jc w:val="right"/>
              <w:rPr>
                <w:b/>
                <w:bCs/>
                <w:noProof/>
                <w:color w:val="000000"/>
                <w:sz w:val="18"/>
                <w:szCs w:val="18"/>
                <w:lang w:val="en-IE" w:eastAsia="en-IE"/>
              </w:rPr>
            </w:pPr>
            <w:r>
              <w:rPr>
                <w:b/>
                <w:bCs/>
                <w:noProof/>
                <w:color w:val="000000"/>
                <w:sz w:val="16"/>
                <w:szCs w:val="16"/>
              </w:rPr>
              <w:t>29,469</w:t>
            </w:r>
          </w:p>
        </w:tc>
      </w:tr>
      <w:tr w:rsidR="00486288" w:rsidRPr="00290112" w14:paraId="419EF700" w14:textId="77777777" w:rsidTr="00445C9D">
        <w:trPr>
          <w:trHeight w:val="300"/>
        </w:trPr>
        <w:tc>
          <w:tcPr>
            <w:tcW w:w="9289" w:type="dxa"/>
            <w:gridSpan w:val="12"/>
            <w:tcBorders>
              <w:top w:val="single" w:sz="8" w:space="0" w:color="auto"/>
              <w:left w:val="single" w:sz="8" w:space="0" w:color="auto"/>
              <w:bottom w:val="single" w:sz="8" w:space="0" w:color="auto"/>
              <w:right w:val="single" w:sz="4" w:space="0" w:color="auto"/>
            </w:tcBorders>
          </w:tcPr>
          <w:p w14:paraId="40E8E4D1" w14:textId="77777777" w:rsidR="00486288" w:rsidRPr="00290112" w:rsidRDefault="00486288" w:rsidP="00445C9D">
            <w:pPr>
              <w:spacing w:before="0" w:after="0"/>
              <w:jc w:val="center"/>
              <w:rPr>
                <w:b/>
                <w:bCs/>
                <w:noProof/>
                <w:sz w:val="16"/>
                <w:szCs w:val="16"/>
                <w:lang w:val="en-IE" w:eastAsia="en-IE"/>
              </w:rPr>
            </w:pPr>
            <w:r w:rsidRPr="00290112">
              <w:rPr>
                <w:b/>
                <w:bCs/>
                <w:noProof/>
                <w:sz w:val="16"/>
                <w:szCs w:val="16"/>
                <w:lang w:val="en-IE" w:eastAsia="en-IE"/>
              </w:rPr>
              <w:t xml:space="preserve">Outside HEADING </w:t>
            </w:r>
            <w:r>
              <w:rPr>
                <w:b/>
                <w:bCs/>
                <w:noProof/>
                <w:sz w:val="16"/>
                <w:szCs w:val="16"/>
                <w:lang w:val="en-IE" w:eastAsia="en-IE"/>
              </w:rPr>
              <w:t>4</w:t>
            </w:r>
          </w:p>
        </w:tc>
      </w:tr>
      <w:tr w:rsidR="00524D56" w:rsidRPr="00290112" w14:paraId="5EFA55EA" w14:textId="77777777" w:rsidTr="00102AF6">
        <w:trPr>
          <w:trHeight w:val="300"/>
        </w:trPr>
        <w:tc>
          <w:tcPr>
            <w:tcW w:w="1670" w:type="dxa"/>
            <w:gridSpan w:val="4"/>
            <w:tcBorders>
              <w:top w:val="nil"/>
              <w:left w:val="single" w:sz="8" w:space="0" w:color="auto"/>
              <w:bottom w:val="single" w:sz="8" w:space="0" w:color="auto"/>
              <w:right w:val="single" w:sz="8" w:space="0" w:color="auto"/>
            </w:tcBorders>
            <w:vAlign w:val="center"/>
            <w:hideMark/>
          </w:tcPr>
          <w:p w14:paraId="0A768302" w14:textId="77777777" w:rsidR="00102AF6" w:rsidRPr="00290112" w:rsidRDefault="00102AF6" w:rsidP="00102AF6">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813" w:type="dxa"/>
            <w:tcBorders>
              <w:top w:val="nil"/>
              <w:left w:val="nil"/>
              <w:bottom w:val="single" w:sz="8" w:space="0" w:color="auto"/>
              <w:right w:val="single" w:sz="8" w:space="0" w:color="auto"/>
            </w:tcBorders>
            <w:shd w:val="clear" w:color="000000" w:fill="D9D9D9"/>
            <w:vAlign w:val="center"/>
            <w:hideMark/>
          </w:tcPr>
          <w:p w14:paraId="7F8CAC8E" w14:textId="33CF5968" w:rsidR="00102AF6" w:rsidRPr="00873F15" w:rsidRDefault="00102AF6" w:rsidP="00102AF6">
            <w:pPr>
              <w:spacing w:before="0" w:after="0"/>
              <w:jc w:val="right"/>
              <w:rPr>
                <w:noProof/>
                <w:color w:val="000000"/>
                <w:sz w:val="18"/>
                <w:szCs w:val="18"/>
                <w:lang w:val="en-IE" w:eastAsia="en-IE"/>
              </w:rPr>
            </w:pPr>
            <w:r w:rsidDel="004378C1">
              <w:rPr>
                <w:noProof/>
                <w:color w:val="000000"/>
                <w:sz w:val="16"/>
                <w:szCs w:val="16"/>
              </w:rPr>
              <w:t>6</w:t>
            </w:r>
            <w:r>
              <w:rPr>
                <w:noProof/>
                <w:color w:val="000000"/>
                <w:sz w:val="16"/>
                <w:szCs w:val="16"/>
              </w:rPr>
              <w:t>,</w:t>
            </w:r>
            <w:r w:rsidDel="004378C1">
              <w:rPr>
                <w:noProof/>
                <w:color w:val="000000"/>
                <w:sz w:val="16"/>
                <w:szCs w:val="16"/>
              </w:rPr>
              <w:t>357</w:t>
            </w:r>
          </w:p>
        </w:tc>
        <w:tc>
          <w:tcPr>
            <w:tcW w:w="997" w:type="dxa"/>
            <w:tcBorders>
              <w:top w:val="nil"/>
              <w:left w:val="nil"/>
              <w:bottom w:val="single" w:sz="8" w:space="0" w:color="auto"/>
              <w:right w:val="single" w:sz="8" w:space="0" w:color="auto"/>
            </w:tcBorders>
            <w:shd w:val="clear" w:color="000000" w:fill="D9D9D9"/>
            <w:vAlign w:val="center"/>
            <w:hideMark/>
          </w:tcPr>
          <w:p w14:paraId="52C4B2B4" w14:textId="34A5C765" w:rsidR="00102AF6" w:rsidDel="004378C1" w:rsidRDefault="00102AF6" w:rsidP="00102AF6">
            <w:pPr>
              <w:spacing w:before="0" w:after="0"/>
              <w:jc w:val="right"/>
              <w:rPr>
                <w:rFonts w:ascii="Arial Narrow" w:hAnsi="Arial Narrow" w:cs="Calibri"/>
                <w:noProof/>
                <w:color w:val="000000"/>
                <w:sz w:val="20"/>
                <w:szCs w:val="20"/>
                <w:lang w:val="en-IE"/>
              </w:rPr>
            </w:pPr>
            <w:r>
              <w:rPr>
                <w:rFonts w:ascii="Arial Narrow" w:hAnsi="Arial Narrow" w:cs="Calibri"/>
                <w:noProof/>
                <w:color w:val="000000"/>
                <w:sz w:val="20"/>
                <w:szCs w:val="20"/>
              </w:rPr>
              <w:t>14,495</w:t>
            </w:r>
          </w:p>
          <w:p w14:paraId="5F088B9D" w14:textId="77777777" w:rsidR="00102AF6" w:rsidRPr="00873F15" w:rsidRDefault="00102AF6" w:rsidP="00102AF6">
            <w:pPr>
              <w:spacing w:before="0" w:after="0"/>
              <w:jc w:val="right"/>
              <w:rPr>
                <w:noProof/>
                <w:color w:val="000000"/>
                <w:sz w:val="18"/>
                <w:szCs w:val="18"/>
                <w:lang w:val="en-IE" w:eastAsia="en-IE"/>
              </w:rPr>
            </w:pPr>
          </w:p>
        </w:tc>
        <w:tc>
          <w:tcPr>
            <w:tcW w:w="946" w:type="dxa"/>
            <w:tcBorders>
              <w:top w:val="nil"/>
              <w:left w:val="nil"/>
              <w:bottom w:val="single" w:sz="8" w:space="0" w:color="auto"/>
              <w:right w:val="single" w:sz="8" w:space="0" w:color="auto"/>
            </w:tcBorders>
            <w:shd w:val="clear" w:color="000000" w:fill="D9D9D9"/>
            <w:vAlign w:val="center"/>
            <w:hideMark/>
          </w:tcPr>
          <w:p w14:paraId="65E0F946" w14:textId="56DF34A6" w:rsidR="00102AF6" w:rsidRPr="00873F15" w:rsidRDefault="00524D56" w:rsidP="00102AF6">
            <w:pPr>
              <w:spacing w:before="0" w:after="0"/>
              <w:jc w:val="right"/>
              <w:rPr>
                <w:noProof/>
                <w:color w:val="000000"/>
                <w:sz w:val="18"/>
                <w:szCs w:val="18"/>
                <w:lang w:val="en-IE" w:eastAsia="en-IE"/>
              </w:rPr>
            </w:pPr>
            <w:r>
              <w:rPr>
                <w:noProof/>
                <w:color w:val="000000"/>
                <w:sz w:val="16"/>
                <w:szCs w:val="16"/>
              </w:rPr>
              <w:t>23,051</w:t>
            </w:r>
          </w:p>
        </w:tc>
        <w:tc>
          <w:tcPr>
            <w:tcW w:w="946" w:type="dxa"/>
            <w:tcBorders>
              <w:top w:val="nil"/>
              <w:left w:val="nil"/>
              <w:bottom w:val="single" w:sz="8" w:space="0" w:color="auto"/>
              <w:right w:val="single" w:sz="8" w:space="0" w:color="auto"/>
            </w:tcBorders>
            <w:shd w:val="clear" w:color="000000" w:fill="D9D9D9"/>
            <w:vAlign w:val="center"/>
            <w:hideMark/>
          </w:tcPr>
          <w:p w14:paraId="02C7DA36" w14:textId="4BF39EAB" w:rsidR="00102AF6" w:rsidRPr="00873F15" w:rsidRDefault="00102AF6" w:rsidP="00102AF6">
            <w:pPr>
              <w:spacing w:before="0" w:after="0"/>
              <w:jc w:val="right"/>
              <w:rPr>
                <w:noProof/>
                <w:color w:val="000000"/>
                <w:sz w:val="18"/>
                <w:szCs w:val="18"/>
                <w:lang w:val="en-IE" w:eastAsia="en-IE"/>
              </w:rPr>
            </w:pPr>
            <w:r>
              <w:rPr>
                <w:noProof/>
                <w:color w:val="000000"/>
                <w:sz w:val="16"/>
                <w:szCs w:val="16"/>
              </w:rPr>
              <w:t>27,292</w:t>
            </w:r>
          </w:p>
        </w:tc>
        <w:tc>
          <w:tcPr>
            <w:tcW w:w="946" w:type="dxa"/>
            <w:tcBorders>
              <w:top w:val="nil"/>
              <w:left w:val="nil"/>
              <w:bottom w:val="single" w:sz="8" w:space="0" w:color="auto"/>
              <w:right w:val="single" w:sz="4" w:space="0" w:color="auto"/>
            </w:tcBorders>
            <w:shd w:val="clear" w:color="000000" w:fill="D9D9D9"/>
            <w:vAlign w:val="center"/>
          </w:tcPr>
          <w:p w14:paraId="480AECAF" w14:textId="5C1AE235" w:rsidR="00102AF6" w:rsidRPr="00873F15" w:rsidRDefault="00102AF6" w:rsidP="00102AF6">
            <w:pPr>
              <w:spacing w:before="0" w:after="0"/>
              <w:jc w:val="center"/>
              <w:rPr>
                <w:noProof/>
                <w:color w:val="000000"/>
                <w:sz w:val="18"/>
                <w:szCs w:val="18"/>
                <w:lang w:val="en-IE" w:eastAsia="en-IE"/>
              </w:rPr>
            </w:pPr>
            <w:r>
              <w:rPr>
                <w:noProof/>
                <w:color w:val="000000"/>
                <w:sz w:val="16"/>
                <w:szCs w:val="16"/>
              </w:rPr>
              <w:t>27,557</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6626CFB7" w14:textId="0E64EE2A" w:rsidR="00102AF6" w:rsidRPr="00873F15" w:rsidRDefault="00102AF6" w:rsidP="00102AF6">
            <w:pPr>
              <w:spacing w:before="0" w:after="0"/>
              <w:jc w:val="center"/>
              <w:rPr>
                <w:noProof/>
                <w:color w:val="000000"/>
                <w:sz w:val="18"/>
                <w:szCs w:val="18"/>
                <w:lang w:val="en-IE" w:eastAsia="en-IE"/>
              </w:rPr>
            </w:pPr>
            <w:r>
              <w:rPr>
                <w:noProof/>
                <w:color w:val="000000"/>
                <w:sz w:val="16"/>
                <w:szCs w:val="16"/>
              </w:rPr>
              <w:t>27,557</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79FB7DAA" w14:textId="51116BBE" w:rsidR="00102AF6" w:rsidRPr="00873F15" w:rsidRDefault="00102AF6" w:rsidP="00102AF6">
            <w:pPr>
              <w:spacing w:before="0" w:after="0"/>
              <w:jc w:val="center"/>
              <w:rPr>
                <w:noProof/>
                <w:color w:val="000000"/>
                <w:sz w:val="18"/>
                <w:szCs w:val="18"/>
                <w:lang w:val="en-IE" w:eastAsia="en-IE"/>
              </w:rPr>
            </w:pPr>
            <w:r>
              <w:rPr>
                <w:noProof/>
                <w:color w:val="000000"/>
                <w:sz w:val="16"/>
                <w:szCs w:val="16"/>
              </w:rPr>
              <w:t>27,557</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14:paraId="4010C8F6" w14:textId="245F317D" w:rsidR="00102AF6" w:rsidRPr="002007C9" w:rsidRDefault="00102AF6" w:rsidP="00102AF6">
            <w:pPr>
              <w:spacing w:before="0" w:after="0"/>
              <w:jc w:val="right"/>
              <w:rPr>
                <w:b/>
                <w:bCs/>
                <w:noProof/>
                <w:color w:val="000000"/>
                <w:sz w:val="18"/>
                <w:szCs w:val="18"/>
                <w:lang w:val="en-IE" w:eastAsia="en-IE"/>
              </w:rPr>
            </w:pPr>
            <w:r>
              <w:rPr>
                <w:b/>
                <w:bCs/>
                <w:noProof/>
                <w:color w:val="000000"/>
                <w:sz w:val="16"/>
                <w:szCs w:val="16"/>
              </w:rPr>
              <w:t>153,866</w:t>
            </w:r>
          </w:p>
        </w:tc>
      </w:tr>
      <w:tr w:rsidR="00524D56" w:rsidRPr="00290112" w14:paraId="674C89D0" w14:textId="77777777" w:rsidTr="00102AF6">
        <w:trPr>
          <w:trHeight w:val="300"/>
        </w:trPr>
        <w:tc>
          <w:tcPr>
            <w:tcW w:w="1670" w:type="dxa"/>
            <w:gridSpan w:val="4"/>
            <w:tcBorders>
              <w:top w:val="nil"/>
              <w:left w:val="single" w:sz="8" w:space="0" w:color="auto"/>
              <w:bottom w:val="single" w:sz="8" w:space="0" w:color="auto"/>
              <w:right w:val="single" w:sz="8" w:space="0" w:color="auto"/>
            </w:tcBorders>
            <w:vAlign w:val="center"/>
          </w:tcPr>
          <w:p w14:paraId="44BED5F6" w14:textId="72FA5D9A" w:rsidR="00C749C0" w:rsidRPr="00290112" w:rsidRDefault="00C749C0" w:rsidP="00C749C0">
            <w:pPr>
              <w:spacing w:before="0" w:after="0"/>
              <w:jc w:val="left"/>
              <w:rPr>
                <w:noProof/>
                <w:color w:val="000000"/>
                <w:sz w:val="16"/>
                <w:szCs w:val="16"/>
                <w:lang w:val="en-IE" w:eastAsia="en-IE"/>
              </w:rPr>
            </w:pPr>
          </w:p>
        </w:tc>
        <w:tc>
          <w:tcPr>
            <w:tcW w:w="813" w:type="dxa"/>
            <w:tcBorders>
              <w:top w:val="nil"/>
              <w:left w:val="nil"/>
              <w:bottom w:val="single" w:sz="8" w:space="0" w:color="auto"/>
              <w:right w:val="single" w:sz="8" w:space="0" w:color="auto"/>
            </w:tcBorders>
            <w:shd w:val="clear" w:color="000000" w:fill="D9D9D9"/>
            <w:vAlign w:val="center"/>
          </w:tcPr>
          <w:p w14:paraId="6823240B" w14:textId="09E5CAF2" w:rsidR="00C749C0" w:rsidRPr="00873F15" w:rsidRDefault="00C749C0" w:rsidP="00C749C0">
            <w:pPr>
              <w:spacing w:before="0" w:after="0"/>
              <w:jc w:val="right"/>
              <w:rPr>
                <w:noProof/>
                <w:color w:val="000000"/>
                <w:sz w:val="18"/>
                <w:szCs w:val="18"/>
                <w:lang w:val="en-IE" w:eastAsia="en-IE"/>
              </w:rPr>
            </w:pPr>
          </w:p>
        </w:tc>
        <w:tc>
          <w:tcPr>
            <w:tcW w:w="997" w:type="dxa"/>
            <w:tcBorders>
              <w:top w:val="nil"/>
              <w:left w:val="nil"/>
              <w:bottom w:val="single" w:sz="8" w:space="0" w:color="auto"/>
              <w:right w:val="single" w:sz="8" w:space="0" w:color="auto"/>
            </w:tcBorders>
            <w:shd w:val="clear" w:color="000000" w:fill="D9D9D9"/>
          </w:tcPr>
          <w:p w14:paraId="272AA67E" w14:textId="4FA74BE7" w:rsidR="00C749C0" w:rsidRPr="00873F15" w:rsidRDefault="00C749C0" w:rsidP="00C749C0">
            <w:pPr>
              <w:spacing w:before="0" w:after="0"/>
              <w:jc w:val="right"/>
              <w:rPr>
                <w:noProof/>
                <w:color w:val="000000"/>
                <w:sz w:val="18"/>
                <w:szCs w:val="18"/>
                <w:lang w:val="en-IE" w:eastAsia="en-IE"/>
              </w:rPr>
            </w:pPr>
          </w:p>
        </w:tc>
        <w:tc>
          <w:tcPr>
            <w:tcW w:w="946" w:type="dxa"/>
            <w:tcBorders>
              <w:top w:val="nil"/>
              <w:left w:val="nil"/>
              <w:bottom w:val="single" w:sz="8" w:space="0" w:color="auto"/>
              <w:right w:val="single" w:sz="8" w:space="0" w:color="auto"/>
            </w:tcBorders>
            <w:shd w:val="clear" w:color="000000" w:fill="D9D9D9"/>
          </w:tcPr>
          <w:p w14:paraId="2A420A37" w14:textId="6017BA47" w:rsidR="00C749C0" w:rsidRPr="00873F15" w:rsidRDefault="00C749C0" w:rsidP="00C749C0">
            <w:pPr>
              <w:spacing w:before="0" w:after="0"/>
              <w:jc w:val="right"/>
              <w:rPr>
                <w:noProof/>
                <w:color w:val="000000"/>
                <w:sz w:val="18"/>
                <w:szCs w:val="18"/>
                <w:lang w:val="en-IE" w:eastAsia="en-IE"/>
              </w:rPr>
            </w:pPr>
          </w:p>
        </w:tc>
        <w:tc>
          <w:tcPr>
            <w:tcW w:w="946" w:type="dxa"/>
            <w:tcBorders>
              <w:top w:val="nil"/>
              <w:left w:val="nil"/>
              <w:bottom w:val="single" w:sz="8" w:space="0" w:color="auto"/>
              <w:right w:val="single" w:sz="8" w:space="0" w:color="auto"/>
            </w:tcBorders>
            <w:shd w:val="clear" w:color="000000" w:fill="D9D9D9"/>
          </w:tcPr>
          <w:p w14:paraId="428E9CAC" w14:textId="09521C13" w:rsidR="00C749C0" w:rsidRPr="00873F15" w:rsidRDefault="00C749C0" w:rsidP="00C749C0">
            <w:pPr>
              <w:spacing w:before="0" w:after="0"/>
              <w:jc w:val="right"/>
              <w:rPr>
                <w:noProof/>
                <w:color w:val="000000"/>
                <w:sz w:val="18"/>
                <w:szCs w:val="18"/>
                <w:lang w:val="en-IE" w:eastAsia="en-IE"/>
              </w:rPr>
            </w:pPr>
          </w:p>
        </w:tc>
        <w:tc>
          <w:tcPr>
            <w:tcW w:w="946" w:type="dxa"/>
            <w:tcBorders>
              <w:top w:val="nil"/>
              <w:left w:val="nil"/>
              <w:bottom w:val="single" w:sz="8" w:space="0" w:color="auto"/>
              <w:right w:val="single" w:sz="4" w:space="0" w:color="auto"/>
            </w:tcBorders>
            <w:shd w:val="clear" w:color="000000" w:fill="D9D9D9"/>
          </w:tcPr>
          <w:p w14:paraId="741D5144" w14:textId="2E0BB60F" w:rsidR="00C749C0" w:rsidRPr="00873F15" w:rsidRDefault="00C749C0" w:rsidP="00C749C0">
            <w:pPr>
              <w:spacing w:before="0" w:after="0"/>
              <w:jc w:val="center"/>
              <w:rPr>
                <w:noProof/>
                <w:color w:val="000000"/>
                <w:sz w:val="18"/>
                <w:szCs w:val="18"/>
                <w:lang w:val="en-IE" w:eastAsia="en-IE"/>
              </w:rPr>
            </w:pPr>
          </w:p>
        </w:tc>
        <w:tc>
          <w:tcPr>
            <w:tcW w:w="946" w:type="dxa"/>
            <w:tcBorders>
              <w:top w:val="nil"/>
              <w:left w:val="single" w:sz="4" w:space="0" w:color="auto"/>
              <w:bottom w:val="single" w:sz="8" w:space="0" w:color="auto"/>
              <w:right w:val="single" w:sz="4" w:space="0" w:color="auto"/>
            </w:tcBorders>
            <w:shd w:val="clear" w:color="000000" w:fill="D9D9D9"/>
          </w:tcPr>
          <w:p w14:paraId="23C3954A" w14:textId="125416EC" w:rsidR="00C749C0" w:rsidRPr="00873F15" w:rsidRDefault="00C749C0" w:rsidP="00C749C0">
            <w:pPr>
              <w:spacing w:before="0" w:after="0"/>
              <w:jc w:val="center"/>
              <w:rPr>
                <w:noProof/>
                <w:color w:val="000000"/>
                <w:sz w:val="18"/>
                <w:szCs w:val="18"/>
                <w:lang w:val="en-IE" w:eastAsia="en-IE"/>
              </w:rPr>
            </w:pPr>
          </w:p>
        </w:tc>
        <w:tc>
          <w:tcPr>
            <w:tcW w:w="946" w:type="dxa"/>
            <w:tcBorders>
              <w:top w:val="nil"/>
              <w:left w:val="single" w:sz="4" w:space="0" w:color="auto"/>
              <w:bottom w:val="single" w:sz="8" w:space="0" w:color="auto"/>
              <w:right w:val="single" w:sz="4" w:space="0" w:color="auto"/>
            </w:tcBorders>
            <w:shd w:val="clear" w:color="000000" w:fill="D9D9D9"/>
          </w:tcPr>
          <w:p w14:paraId="21430DD4" w14:textId="3F001B6C" w:rsidR="00C749C0" w:rsidRPr="00873F15" w:rsidRDefault="00C749C0" w:rsidP="00C749C0">
            <w:pPr>
              <w:spacing w:before="0" w:after="0"/>
              <w:jc w:val="center"/>
              <w:rPr>
                <w:noProof/>
                <w:color w:val="000000"/>
                <w:sz w:val="18"/>
                <w:szCs w:val="18"/>
                <w:lang w:val="en-IE" w:eastAsia="en-IE"/>
              </w:rPr>
            </w:pPr>
          </w:p>
        </w:tc>
        <w:tc>
          <w:tcPr>
            <w:tcW w:w="1079" w:type="dxa"/>
            <w:tcBorders>
              <w:top w:val="nil"/>
              <w:left w:val="single" w:sz="4" w:space="0" w:color="auto"/>
              <w:bottom w:val="single" w:sz="8" w:space="0" w:color="auto"/>
              <w:right w:val="single" w:sz="8" w:space="0" w:color="auto"/>
            </w:tcBorders>
            <w:shd w:val="clear" w:color="000000" w:fill="D9D9D9"/>
          </w:tcPr>
          <w:p w14:paraId="24763E9B" w14:textId="0228E737" w:rsidR="00C749C0" w:rsidRPr="002007C9" w:rsidRDefault="00C749C0" w:rsidP="00C749C0">
            <w:pPr>
              <w:spacing w:before="0" w:after="0"/>
              <w:jc w:val="right"/>
              <w:rPr>
                <w:b/>
                <w:bCs/>
                <w:noProof/>
                <w:color w:val="000000"/>
                <w:sz w:val="18"/>
                <w:szCs w:val="18"/>
                <w:lang w:val="en-IE" w:eastAsia="en-IE"/>
              </w:rPr>
            </w:pPr>
          </w:p>
        </w:tc>
      </w:tr>
      <w:tr w:rsidR="00524D56" w:rsidRPr="00290112" w14:paraId="0B467803" w14:textId="77777777" w:rsidTr="00102AF6">
        <w:trPr>
          <w:trHeight w:val="300"/>
        </w:trPr>
        <w:tc>
          <w:tcPr>
            <w:tcW w:w="1670" w:type="dxa"/>
            <w:gridSpan w:val="4"/>
            <w:tcBorders>
              <w:top w:val="nil"/>
              <w:left w:val="single" w:sz="8" w:space="0" w:color="auto"/>
              <w:bottom w:val="single" w:sz="8" w:space="0" w:color="auto"/>
              <w:right w:val="single" w:sz="8" w:space="0" w:color="auto"/>
            </w:tcBorders>
            <w:vAlign w:val="center"/>
          </w:tcPr>
          <w:p w14:paraId="7E4FD1AB" w14:textId="77777777" w:rsidR="00102AF6" w:rsidRPr="00290112" w:rsidRDefault="00102AF6" w:rsidP="00102AF6">
            <w:pPr>
              <w:spacing w:before="0" w:after="0"/>
              <w:jc w:val="left"/>
              <w:rPr>
                <w:noProof/>
                <w:color w:val="000000"/>
                <w:sz w:val="16"/>
                <w:szCs w:val="16"/>
                <w:lang w:val="en-IE" w:eastAsia="en-IE"/>
              </w:rPr>
            </w:pPr>
            <w:r w:rsidRPr="00290112">
              <w:rPr>
                <w:noProof/>
                <w:color w:val="000000"/>
                <w:sz w:val="16"/>
                <w:szCs w:val="16"/>
                <w:lang w:val="en-IE" w:eastAsia="en-IE"/>
              </w:rPr>
              <w:t>Other expenditure of an administrative nature</w:t>
            </w:r>
          </w:p>
        </w:tc>
        <w:tc>
          <w:tcPr>
            <w:tcW w:w="813" w:type="dxa"/>
            <w:tcBorders>
              <w:top w:val="nil"/>
              <w:left w:val="nil"/>
              <w:bottom w:val="single" w:sz="8" w:space="0" w:color="auto"/>
              <w:right w:val="single" w:sz="8" w:space="0" w:color="auto"/>
            </w:tcBorders>
            <w:shd w:val="clear" w:color="000000" w:fill="D9D9D9"/>
            <w:vAlign w:val="center"/>
          </w:tcPr>
          <w:p w14:paraId="572B768B" w14:textId="763AC873" w:rsidR="00102AF6" w:rsidRDefault="00102AF6" w:rsidP="00102AF6">
            <w:pPr>
              <w:spacing w:before="0" w:after="0"/>
              <w:jc w:val="right"/>
              <w:rPr>
                <w:noProof/>
                <w:color w:val="000000"/>
                <w:sz w:val="16"/>
                <w:szCs w:val="16"/>
              </w:rPr>
            </w:pPr>
            <w:r w:rsidDel="00376079">
              <w:rPr>
                <w:noProof/>
                <w:color w:val="000000"/>
                <w:sz w:val="16"/>
                <w:szCs w:val="16"/>
              </w:rPr>
              <w:t>0</w:t>
            </w:r>
            <w:r>
              <w:rPr>
                <w:noProof/>
                <w:color w:val="000000"/>
                <w:sz w:val="16"/>
                <w:szCs w:val="16"/>
              </w:rPr>
              <w:t>,</w:t>
            </w:r>
            <w:r w:rsidDel="00376079">
              <w:rPr>
                <w:noProof/>
                <w:color w:val="000000"/>
                <w:sz w:val="16"/>
                <w:szCs w:val="16"/>
              </w:rPr>
              <w:t>248</w:t>
            </w:r>
          </w:p>
        </w:tc>
        <w:tc>
          <w:tcPr>
            <w:tcW w:w="997" w:type="dxa"/>
            <w:tcBorders>
              <w:top w:val="nil"/>
              <w:left w:val="nil"/>
              <w:bottom w:val="single" w:sz="8" w:space="0" w:color="auto"/>
              <w:right w:val="single" w:sz="8" w:space="0" w:color="auto"/>
            </w:tcBorders>
            <w:shd w:val="clear" w:color="000000" w:fill="D9D9D9"/>
            <w:vAlign w:val="center"/>
          </w:tcPr>
          <w:p w14:paraId="396FA237" w14:textId="4828C8B5" w:rsidR="00102AF6" w:rsidRDefault="00102AF6" w:rsidP="00102AF6">
            <w:pPr>
              <w:spacing w:before="0" w:after="0"/>
              <w:jc w:val="right"/>
              <w:rPr>
                <w:noProof/>
                <w:color w:val="000000"/>
                <w:sz w:val="16"/>
                <w:szCs w:val="16"/>
              </w:rPr>
            </w:pPr>
            <w:r w:rsidDel="00376079">
              <w:rPr>
                <w:noProof/>
                <w:color w:val="000000"/>
                <w:sz w:val="16"/>
                <w:szCs w:val="16"/>
              </w:rPr>
              <w:t>0</w:t>
            </w:r>
            <w:r>
              <w:rPr>
                <w:noProof/>
                <w:color w:val="000000"/>
                <w:sz w:val="16"/>
                <w:szCs w:val="16"/>
              </w:rPr>
              <w:t>,</w:t>
            </w:r>
            <w:r w:rsidDel="00376079">
              <w:rPr>
                <w:noProof/>
                <w:color w:val="000000"/>
                <w:sz w:val="16"/>
                <w:szCs w:val="16"/>
              </w:rPr>
              <w:t>743</w:t>
            </w:r>
          </w:p>
        </w:tc>
        <w:tc>
          <w:tcPr>
            <w:tcW w:w="946" w:type="dxa"/>
            <w:tcBorders>
              <w:top w:val="nil"/>
              <w:left w:val="nil"/>
              <w:bottom w:val="single" w:sz="8" w:space="0" w:color="auto"/>
              <w:right w:val="single" w:sz="8" w:space="0" w:color="auto"/>
            </w:tcBorders>
            <w:shd w:val="clear" w:color="000000" w:fill="D9D9D9"/>
            <w:vAlign w:val="center"/>
          </w:tcPr>
          <w:p w14:paraId="0AAEEB28" w14:textId="5FA8ABEE" w:rsidR="00102AF6" w:rsidRDefault="00102AF6" w:rsidP="00102AF6">
            <w:pPr>
              <w:spacing w:before="0" w:after="0"/>
              <w:jc w:val="right"/>
              <w:rPr>
                <w:noProof/>
                <w:color w:val="000000"/>
                <w:sz w:val="16"/>
                <w:szCs w:val="16"/>
              </w:rPr>
            </w:pPr>
            <w:r w:rsidDel="00376079">
              <w:rPr>
                <w:noProof/>
                <w:color w:val="000000"/>
                <w:sz w:val="16"/>
                <w:szCs w:val="16"/>
              </w:rPr>
              <w:t>1</w:t>
            </w:r>
            <w:r>
              <w:rPr>
                <w:noProof/>
                <w:color w:val="000000"/>
                <w:sz w:val="16"/>
                <w:szCs w:val="16"/>
              </w:rPr>
              <w:t>,</w:t>
            </w:r>
            <w:r w:rsidDel="00376079">
              <w:rPr>
                <w:noProof/>
                <w:color w:val="000000"/>
                <w:sz w:val="16"/>
                <w:szCs w:val="16"/>
              </w:rPr>
              <w:t>500</w:t>
            </w:r>
          </w:p>
        </w:tc>
        <w:tc>
          <w:tcPr>
            <w:tcW w:w="946" w:type="dxa"/>
            <w:tcBorders>
              <w:top w:val="nil"/>
              <w:left w:val="nil"/>
              <w:bottom w:val="single" w:sz="8" w:space="0" w:color="auto"/>
              <w:right w:val="single" w:sz="8" w:space="0" w:color="auto"/>
            </w:tcBorders>
            <w:shd w:val="clear" w:color="000000" w:fill="D9D9D9"/>
            <w:vAlign w:val="center"/>
          </w:tcPr>
          <w:p w14:paraId="73800278" w14:textId="64D8C40B" w:rsidR="00102AF6" w:rsidRDefault="00102AF6" w:rsidP="00102AF6">
            <w:pPr>
              <w:spacing w:before="0" w:after="0"/>
              <w:jc w:val="right"/>
              <w:rPr>
                <w:noProof/>
                <w:color w:val="000000"/>
                <w:sz w:val="16"/>
                <w:szCs w:val="16"/>
              </w:rPr>
            </w:pPr>
            <w:r w:rsidDel="00376079">
              <w:rPr>
                <w:noProof/>
                <w:color w:val="000000"/>
                <w:sz w:val="16"/>
                <w:szCs w:val="16"/>
              </w:rPr>
              <w:t>1</w:t>
            </w:r>
            <w:r>
              <w:rPr>
                <w:noProof/>
                <w:color w:val="000000"/>
                <w:sz w:val="16"/>
                <w:szCs w:val="16"/>
              </w:rPr>
              <w:t>,</w:t>
            </w:r>
            <w:r w:rsidDel="00376079">
              <w:rPr>
                <w:noProof/>
                <w:color w:val="000000"/>
                <w:sz w:val="16"/>
                <w:szCs w:val="16"/>
              </w:rPr>
              <w:t>500</w:t>
            </w:r>
          </w:p>
        </w:tc>
        <w:tc>
          <w:tcPr>
            <w:tcW w:w="946" w:type="dxa"/>
            <w:tcBorders>
              <w:top w:val="nil"/>
              <w:left w:val="nil"/>
              <w:bottom w:val="single" w:sz="8" w:space="0" w:color="auto"/>
              <w:right w:val="single" w:sz="4" w:space="0" w:color="auto"/>
            </w:tcBorders>
            <w:shd w:val="clear" w:color="000000" w:fill="D9D9D9"/>
            <w:vAlign w:val="center"/>
          </w:tcPr>
          <w:p w14:paraId="10EBA47E" w14:textId="6AE5BA20" w:rsidR="00102AF6" w:rsidRDefault="00102AF6" w:rsidP="00102AF6">
            <w:pPr>
              <w:spacing w:before="0" w:after="0"/>
              <w:jc w:val="center"/>
              <w:rPr>
                <w:noProof/>
                <w:color w:val="000000"/>
                <w:sz w:val="16"/>
                <w:szCs w:val="16"/>
              </w:rPr>
            </w:pPr>
            <w:r w:rsidDel="00376079">
              <w:rPr>
                <w:noProof/>
                <w:color w:val="000000"/>
                <w:sz w:val="16"/>
                <w:szCs w:val="16"/>
              </w:rPr>
              <w:t>1</w:t>
            </w:r>
            <w:r>
              <w:rPr>
                <w:noProof/>
                <w:color w:val="000000"/>
                <w:sz w:val="16"/>
                <w:szCs w:val="16"/>
              </w:rPr>
              <w:t>,</w:t>
            </w:r>
            <w:r w:rsidDel="00376079">
              <w:rPr>
                <w:noProof/>
                <w:color w:val="000000"/>
                <w:sz w:val="16"/>
                <w:szCs w:val="16"/>
              </w:rPr>
              <w:t>500</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3B1222A8" w14:textId="0A225F8E" w:rsidR="00102AF6" w:rsidRDefault="00102AF6" w:rsidP="00102AF6">
            <w:pPr>
              <w:spacing w:before="0" w:after="0"/>
              <w:jc w:val="center"/>
              <w:rPr>
                <w:noProof/>
                <w:color w:val="000000"/>
                <w:sz w:val="16"/>
                <w:szCs w:val="16"/>
              </w:rPr>
            </w:pPr>
            <w:r w:rsidDel="00376079">
              <w:rPr>
                <w:noProof/>
                <w:color w:val="000000"/>
                <w:sz w:val="16"/>
                <w:szCs w:val="16"/>
              </w:rPr>
              <w:t>1</w:t>
            </w:r>
            <w:r>
              <w:rPr>
                <w:noProof/>
                <w:color w:val="000000"/>
                <w:sz w:val="16"/>
                <w:szCs w:val="16"/>
              </w:rPr>
              <w:t>,</w:t>
            </w:r>
            <w:r w:rsidDel="00376079">
              <w:rPr>
                <w:noProof/>
                <w:color w:val="000000"/>
                <w:sz w:val="16"/>
                <w:szCs w:val="16"/>
              </w:rPr>
              <w:t>500</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41C8594D" w14:textId="63B87CDC" w:rsidR="00102AF6" w:rsidRDefault="00102AF6" w:rsidP="00102AF6">
            <w:pPr>
              <w:spacing w:before="0" w:after="0"/>
              <w:jc w:val="center"/>
              <w:rPr>
                <w:noProof/>
                <w:color w:val="000000"/>
                <w:sz w:val="16"/>
                <w:szCs w:val="16"/>
              </w:rPr>
            </w:pPr>
            <w:r w:rsidDel="00376079">
              <w:rPr>
                <w:noProof/>
                <w:color w:val="000000"/>
                <w:sz w:val="16"/>
                <w:szCs w:val="16"/>
              </w:rPr>
              <w:t>1</w:t>
            </w:r>
            <w:r>
              <w:rPr>
                <w:noProof/>
                <w:color w:val="000000"/>
                <w:sz w:val="16"/>
                <w:szCs w:val="16"/>
              </w:rPr>
              <w:t>,</w:t>
            </w:r>
            <w:r w:rsidDel="00376079">
              <w:rPr>
                <w:noProof/>
                <w:color w:val="000000"/>
                <w:sz w:val="16"/>
                <w:szCs w:val="16"/>
              </w:rPr>
              <w:t>500</w:t>
            </w:r>
          </w:p>
        </w:tc>
        <w:tc>
          <w:tcPr>
            <w:tcW w:w="1079" w:type="dxa"/>
            <w:tcBorders>
              <w:top w:val="nil"/>
              <w:left w:val="single" w:sz="4" w:space="0" w:color="auto"/>
              <w:bottom w:val="single" w:sz="8" w:space="0" w:color="auto"/>
              <w:right w:val="single" w:sz="8" w:space="0" w:color="auto"/>
            </w:tcBorders>
            <w:shd w:val="clear" w:color="000000" w:fill="D9D9D9"/>
            <w:vAlign w:val="center"/>
          </w:tcPr>
          <w:p w14:paraId="3E16C9BF" w14:textId="379AFF8E" w:rsidR="00102AF6" w:rsidRDefault="00102AF6" w:rsidP="00102AF6">
            <w:pPr>
              <w:spacing w:before="0" w:after="0"/>
              <w:jc w:val="right"/>
              <w:rPr>
                <w:b/>
                <w:bCs/>
                <w:noProof/>
                <w:color w:val="000000"/>
                <w:sz w:val="16"/>
                <w:szCs w:val="16"/>
              </w:rPr>
            </w:pPr>
            <w:r w:rsidDel="00376079">
              <w:rPr>
                <w:b/>
                <w:bCs/>
                <w:noProof/>
                <w:color w:val="000000"/>
                <w:sz w:val="16"/>
                <w:szCs w:val="16"/>
              </w:rPr>
              <w:t>8</w:t>
            </w:r>
            <w:r>
              <w:rPr>
                <w:b/>
                <w:bCs/>
                <w:noProof/>
                <w:color w:val="000000"/>
                <w:sz w:val="16"/>
                <w:szCs w:val="16"/>
              </w:rPr>
              <w:t>,</w:t>
            </w:r>
            <w:r w:rsidDel="00376079">
              <w:rPr>
                <w:b/>
                <w:bCs/>
                <w:noProof/>
                <w:color w:val="000000"/>
                <w:sz w:val="16"/>
                <w:szCs w:val="16"/>
              </w:rPr>
              <w:t>490</w:t>
            </w:r>
          </w:p>
        </w:tc>
      </w:tr>
      <w:tr w:rsidR="00524D56" w:rsidRPr="00290112" w14:paraId="076EAD03" w14:textId="77777777" w:rsidTr="00102AF6">
        <w:trPr>
          <w:trHeight w:val="300"/>
        </w:trPr>
        <w:tc>
          <w:tcPr>
            <w:tcW w:w="1670" w:type="dxa"/>
            <w:gridSpan w:val="4"/>
            <w:tcBorders>
              <w:top w:val="nil"/>
              <w:left w:val="single" w:sz="8" w:space="0" w:color="auto"/>
              <w:bottom w:val="single" w:sz="8" w:space="0" w:color="auto"/>
              <w:right w:val="single" w:sz="8" w:space="0" w:color="auto"/>
            </w:tcBorders>
            <w:shd w:val="clear" w:color="000000" w:fill="CCCCCC"/>
            <w:vAlign w:val="center"/>
            <w:hideMark/>
          </w:tcPr>
          <w:p w14:paraId="2976B37A" w14:textId="77777777" w:rsidR="00102AF6" w:rsidRPr="00290112" w:rsidRDefault="00102AF6" w:rsidP="00102AF6">
            <w:pPr>
              <w:spacing w:before="0" w:after="0"/>
              <w:jc w:val="center"/>
              <w:rPr>
                <w:b/>
                <w:bCs/>
                <w:noProof/>
                <w:color w:val="000000"/>
                <w:sz w:val="16"/>
                <w:szCs w:val="16"/>
                <w:lang w:val="en-IE" w:eastAsia="en-IE"/>
              </w:rPr>
            </w:pPr>
            <w:r w:rsidRPr="00290112">
              <w:rPr>
                <w:b/>
                <w:bCs/>
                <w:noProof/>
                <w:color w:val="000000"/>
                <w:sz w:val="16"/>
                <w:szCs w:val="16"/>
                <w:lang w:val="en-IE" w:eastAsia="en-IE"/>
              </w:rPr>
              <w:t xml:space="preserve">Subtotal outside HEADING </w:t>
            </w:r>
            <w:r>
              <w:rPr>
                <w:b/>
                <w:bCs/>
                <w:noProof/>
                <w:color w:val="000000"/>
                <w:sz w:val="16"/>
                <w:szCs w:val="16"/>
                <w:lang w:val="en-IE" w:eastAsia="en-IE"/>
              </w:rPr>
              <w:t>4</w:t>
            </w:r>
          </w:p>
        </w:tc>
        <w:tc>
          <w:tcPr>
            <w:tcW w:w="813" w:type="dxa"/>
            <w:tcBorders>
              <w:top w:val="nil"/>
              <w:left w:val="nil"/>
              <w:bottom w:val="single" w:sz="8" w:space="0" w:color="auto"/>
              <w:right w:val="single" w:sz="8" w:space="0" w:color="auto"/>
            </w:tcBorders>
            <w:shd w:val="clear" w:color="000000" w:fill="D9D9D9"/>
            <w:vAlign w:val="center"/>
            <w:hideMark/>
          </w:tcPr>
          <w:p w14:paraId="49D0257D" w14:textId="504AB92F" w:rsidR="00102AF6" w:rsidRPr="002007C9" w:rsidRDefault="00102AF6" w:rsidP="00102AF6">
            <w:pPr>
              <w:spacing w:before="0" w:after="0"/>
              <w:jc w:val="right"/>
              <w:rPr>
                <w:b/>
                <w:bCs/>
                <w:noProof/>
                <w:color w:val="000000"/>
                <w:sz w:val="18"/>
                <w:szCs w:val="18"/>
                <w:lang w:val="en-IE" w:eastAsia="en-IE"/>
              </w:rPr>
            </w:pPr>
            <w:r w:rsidDel="00376079">
              <w:rPr>
                <w:b/>
                <w:bCs/>
                <w:noProof/>
                <w:color w:val="000000"/>
                <w:sz w:val="16"/>
                <w:szCs w:val="16"/>
              </w:rPr>
              <w:t>6</w:t>
            </w:r>
            <w:r>
              <w:rPr>
                <w:b/>
                <w:bCs/>
                <w:noProof/>
                <w:color w:val="000000"/>
                <w:sz w:val="16"/>
                <w:szCs w:val="16"/>
              </w:rPr>
              <w:t>,</w:t>
            </w:r>
            <w:r w:rsidDel="00376079">
              <w:rPr>
                <w:b/>
                <w:bCs/>
                <w:noProof/>
                <w:color w:val="000000"/>
                <w:sz w:val="16"/>
                <w:szCs w:val="16"/>
              </w:rPr>
              <w:t>604</w:t>
            </w:r>
          </w:p>
        </w:tc>
        <w:tc>
          <w:tcPr>
            <w:tcW w:w="997" w:type="dxa"/>
            <w:tcBorders>
              <w:top w:val="nil"/>
              <w:left w:val="nil"/>
              <w:bottom w:val="single" w:sz="8" w:space="0" w:color="auto"/>
              <w:right w:val="single" w:sz="8" w:space="0" w:color="auto"/>
            </w:tcBorders>
            <w:shd w:val="clear" w:color="000000" w:fill="D9D9D9"/>
            <w:vAlign w:val="center"/>
            <w:hideMark/>
          </w:tcPr>
          <w:p w14:paraId="513B01E7" w14:textId="5DAF2EAB" w:rsidR="00102AF6" w:rsidRPr="002007C9" w:rsidRDefault="00102AF6" w:rsidP="00102AF6">
            <w:pPr>
              <w:spacing w:before="0" w:after="0"/>
              <w:jc w:val="right"/>
              <w:rPr>
                <w:b/>
                <w:bCs/>
                <w:noProof/>
                <w:color w:val="000000"/>
                <w:sz w:val="18"/>
                <w:szCs w:val="18"/>
                <w:lang w:val="en-IE" w:eastAsia="en-IE"/>
              </w:rPr>
            </w:pPr>
            <w:r>
              <w:rPr>
                <w:b/>
                <w:bCs/>
                <w:noProof/>
                <w:color w:val="000000"/>
                <w:sz w:val="16"/>
                <w:szCs w:val="16"/>
              </w:rPr>
              <w:t>1,060</w:t>
            </w:r>
          </w:p>
        </w:tc>
        <w:tc>
          <w:tcPr>
            <w:tcW w:w="946" w:type="dxa"/>
            <w:tcBorders>
              <w:top w:val="nil"/>
              <w:left w:val="nil"/>
              <w:bottom w:val="single" w:sz="8" w:space="0" w:color="auto"/>
              <w:right w:val="single" w:sz="8" w:space="0" w:color="auto"/>
            </w:tcBorders>
            <w:shd w:val="clear" w:color="000000" w:fill="D9D9D9"/>
            <w:vAlign w:val="center"/>
            <w:hideMark/>
          </w:tcPr>
          <w:p w14:paraId="5FC4DE6C" w14:textId="249E33DC" w:rsidR="00102AF6" w:rsidRPr="002007C9" w:rsidRDefault="00102AF6" w:rsidP="00102AF6">
            <w:pPr>
              <w:spacing w:before="0" w:after="0"/>
              <w:jc w:val="right"/>
              <w:rPr>
                <w:b/>
                <w:bCs/>
                <w:noProof/>
                <w:color w:val="000000"/>
                <w:sz w:val="18"/>
                <w:szCs w:val="18"/>
                <w:lang w:val="en-IE" w:eastAsia="en-IE"/>
              </w:rPr>
            </w:pPr>
            <w:r>
              <w:rPr>
                <w:b/>
                <w:bCs/>
                <w:noProof/>
                <w:color w:val="000000"/>
                <w:sz w:val="16"/>
                <w:szCs w:val="16"/>
              </w:rPr>
              <w:t>24,551</w:t>
            </w:r>
          </w:p>
        </w:tc>
        <w:tc>
          <w:tcPr>
            <w:tcW w:w="946" w:type="dxa"/>
            <w:tcBorders>
              <w:top w:val="nil"/>
              <w:left w:val="nil"/>
              <w:bottom w:val="single" w:sz="8" w:space="0" w:color="auto"/>
              <w:right w:val="single" w:sz="8" w:space="0" w:color="auto"/>
            </w:tcBorders>
            <w:shd w:val="clear" w:color="000000" w:fill="D9D9D9"/>
            <w:vAlign w:val="center"/>
            <w:hideMark/>
          </w:tcPr>
          <w:p w14:paraId="1E95B778" w14:textId="64383B50" w:rsidR="00102AF6" w:rsidRPr="002007C9" w:rsidRDefault="00102AF6" w:rsidP="00102AF6">
            <w:pPr>
              <w:spacing w:before="0" w:after="0"/>
              <w:jc w:val="right"/>
              <w:rPr>
                <w:b/>
                <w:bCs/>
                <w:noProof/>
                <w:color w:val="000000"/>
                <w:sz w:val="18"/>
                <w:szCs w:val="18"/>
                <w:lang w:val="en-IE" w:eastAsia="en-IE"/>
              </w:rPr>
            </w:pPr>
            <w:r>
              <w:rPr>
                <w:b/>
                <w:bCs/>
                <w:noProof/>
                <w:color w:val="000000"/>
                <w:sz w:val="16"/>
                <w:szCs w:val="16"/>
              </w:rPr>
              <w:t>28,792</w:t>
            </w:r>
          </w:p>
        </w:tc>
        <w:tc>
          <w:tcPr>
            <w:tcW w:w="946" w:type="dxa"/>
            <w:tcBorders>
              <w:top w:val="nil"/>
              <w:left w:val="nil"/>
              <w:bottom w:val="single" w:sz="8" w:space="0" w:color="auto"/>
              <w:right w:val="single" w:sz="4" w:space="0" w:color="auto"/>
            </w:tcBorders>
            <w:shd w:val="clear" w:color="000000" w:fill="D9D9D9"/>
            <w:vAlign w:val="center"/>
          </w:tcPr>
          <w:p w14:paraId="70AC2F16" w14:textId="5C485556" w:rsidR="00102AF6" w:rsidRPr="002007C9" w:rsidRDefault="00102AF6" w:rsidP="00102AF6">
            <w:pPr>
              <w:spacing w:before="0" w:after="0"/>
              <w:jc w:val="center"/>
              <w:rPr>
                <w:b/>
                <w:bCs/>
                <w:noProof/>
                <w:color w:val="000000"/>
                <w:sz w:val="18"/>
                <w:szCs w:val="18"/>
                <w:lang w:val="en-IE" w:eastAsia="en-IE"/>
              </w:rPr>
            </w:pPr>
            <w:r>
              <w:rPr>
                <w:b/>
                <w:bCs/>
                <w:noProof/>
                <w:color w:val="000000"/>
                <w:sz w:val="16"/>
                <w:szCs w:val="16"/>
              </w:rPr>
              <w:t>29,057</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18975D8C" w14:textId="5DFEA5F2" w:rsidR="00102AF6" w:rsidRPr="002007C9" w:rsidRDefault="00102AF6" w:rsidP="00102AF6">
            <w:pPr>
              <w:spacing w:before="0" w:after="0"/>
              <w:jc w:val="center"/>
              <w:rPr>
                <w:b/>
                <w:bCs/>
                <w:noProof/>
                <w:color w:val="000000"/>
                <w:sz w:val="18"/>
                <w:szCs w:val="18"/>
                <w:lang w:val="en-IE" w:eastAsia="en-IE"/>
              </w:rPr>
            </w:pPr>
            <w:r>
              <w:rPr>
                <w:b/>
                <w:bCs/>
                <w:noProof/>
                <w:color w:val="000000"/>
                <w:sz w:val="16"/>
                <w:szCs w:val="16"/>
              </w:rPr>
              <w:t>29,057</w:t>
            </w:r>
          </w:p>
        </w:tc>
        <w:tc>
          <w:tcPr>
            <w:tcW w:w="946" w:type="dxa"/>
            <w:tcBorders>
              <w:top w:val="nil"/>
              <w:left w:val="single" w:sz="4" w:space="0" w:color="auto"/>
              <w:bottom w:val="single" w:sz="8" w:space="0" w:color="auto"/>
              <w:right w:val="single" w:sz="4" w:space="0" w:color="auto"/>
            </w:tcBorders>
            <w:shd w:val="clear" w:color="000000" w:fill="D9D9D9"/>
            <w:vAlign w:val="center"/>
          </w:tcPr>
          <w:p w14:paraId="01EC95C3" w14:textId="0D312FBA" w:rsidR="00102AF6" w:rsidRPr="002007C9" w:rsidRDefault="00102AF6" w:rsidP="00102AF6">
            <w:pPr>
              <w:spacing w:before="0" w:after="0"/>
              <w:jc w:val="center"/>
              <w:rPr>
                <w:b/>
                <w:bCs/>
                <w:noProof/>
                <w:color w:val="000000"/>
                <w:sz w:val="18"/>
                <w:szCs w:val="18"/>
                <w:lang w:val="en-IE" w:eastAsia="en-IE"/>
              </w:rPr>
            </w:pPr>
            <w:r>
              <w:rPr>
                <w:b/>
                <w:bCs/>
                <w:noProof/>
                <w:color w:val="000000"/>
                <w:sz w:val="16"/>
                <w:szCs w:val="16"/>
              </w:rPr>
              <w:t>29,057</w:t>
            </w:r>
          </w:p>
        </w:tc>
        <w:tc>
          <w:tcPr>
            <w:tcW w:w="1079" w:type="dxa"/>
            <w:tcBorders>
              <w:top w:val="nil"/>
              <w:left w:val="single" w:sz="4" w:space="0" w:color="auto"/>
              <w:bottom w:val="single" w:sz="8" w:space="0" w:color="auto"/>
              <w:right w:val="single" w:sz="8" w:space="0" w:color="auto"/>
            </w:tcBorders>
            <w:shd w:val="clear" w:color="000000" w:fill="D9D9D9"/>
            <w:vAlign w:val="center"/>
            <w:hideMark/>
          </w:tcPr>
          <w:p w14:paraId="6C39FB68" w14:textId="33009AE2" w:rsidR="00102AF6" w:rsidRPr="002007C9" w:rsidRDefault="00102AF6" w:rsidP="00102AF6">
            <w:pPr>
              <w:spacing w:before="0" w:after="0"/>
              <w:jc w:val="right"/>
              <w:rPr>
                <w:b/>
                <w:bCs/>
                <w:noProof/>
                <w:color w:val="000000"/>
                <w:sz w:val="18"/>
                <w:szCs w:val="18"/>
                <w:lang w:val="en-IE" w:eastAsia="en-IE"/>
              </w:rPr>
            </w:pPr>
            <w:r>
              <w:rPr>
                <w:b/>
                <w:bCs/>
                <w:noProof/>
                <w:color w:val="000000"/>
                <w:sz w:val="16"/>
                <w:szCs w:val="16"/>
              </w:rPr>
              <w:t>162,356</w:t>
            </w:r>
          </w:p>
        </w:tc>
      </w:tr>
      <w:tr w:rsidR="00C749C0" w:rsidRPr="00290112" w14:paraId="02AD5E06" w14:textId="77777777" w:rsidTr="00445C9D">
        <w:trPr>
          <w:trHeight w:val="300"/>
        </w:trPr>
        <w:tc>
          <w:tcPr>
            <w:tcW w:w="9289" w:type="dxa"/>
            <w:gridSpan w:val="12"/>
            <w:tcBorders>
              <w:top w:val="single" w:sz="8" w:space="0" w:color="auto"/>
              <w:left w:val="single" w:sz="8" w:space="0" w:color="auto"/>
              <w:bottom w:val="single" w:sz="8" w:space="0" w:color="auto"/>
              <w:right w:val="single" w:sz="4" w:space="0" w:color="auto"/>
            </w:tcBorders>
          </w:tcPr>
          <w:p w14:paraId="3BF0099B" w14:textId="77777777" w:rsidR="00C749C0" w:rsidRPr="00290112" w:rsidRDefault="00C749C0" w:rsidP="00C749C0">
            <w:pPr>
              <w:spacing w:before="0" w:after="0"/>
              <w:jc w:val="center"/>
              <w:rPr>
                <w:noProof/>
                <w:color w:val="000000"/>
                <w:sz w:val="16"/>
                <w:szCs w:val="16"/>
                <w:lang w:val="en-IE" w:eastAsia="en-IE"/>
              </w:rPr>
            </w:pPr>
          </w:p>
        </w:tc>
      </w:tr>
      <w:tr w:rsidR="00524D56" w:rsidRPr="00290112" w14:paraId="11C1E65E" w14:textId="77777777" w:rsidTr="00102AF6">
        <w:trPr>
          <w:trHeight w:val="312"/>
        </w:trPr>
        <w:tc>
          <w:tcPr>
            <w:tcW w:w="1670" w:type="dxa"/>
            <w:gridSpan w:val="4"/>
            <w:tcBorders>
              <w:top w:val="single" w:sz="12" w:space="0" w:color="auto"/>
              <w:left w:val="single" w:sz="12" w:space="0" w:color="auto"/>
              <w:bottom w:val="single" w:sz="12" w:space="0" w:color="auto"/>
              <w:right w:val="single" w:sz="8" w:space="0" w:color="auto"/>
            </w:tcBorders>
            <w:vAlign w:val="center"/>
            <w:hideMark/>
          </w:tcPr>
          <w:p w14:paraId="4FFCB012" w14:textId="77777777" w:rsidR="00102AF6" w:rsidRPr="00290112" w:rsidRDefault="00102AF6" w:rsidP="00102AF6">
            <w:pPr>
              <w:spacing w:before="0" w:after="0"/>
              <w:jc w:val="center"/>
              <w:rPr>
                <w:b/>
                <w:bCs/>
                <w:noProof/>
                <w:color w:val="000000"/>
                <w:sz w:val="16"/>
                <w:szCs w:val="16"/>
                <w:lang w:val="en-IE" w:eastAsia="en-IE"/>
              </w:rPr>
            </w:pPr>
            <w:r w:rsidRPr="00290112">
              <w:rPr>
                <w:b/>
                <w:bCs/>
                <w:noProof/>
                <w:color w:val="000000"/>
                <w:sz w:val="16"/>
                <w:szCs w:val="16"/>
                <w:lang w:val="en-IE" w:eastAsia="en-IE"/>
              </w:rPr>
              <w:t>TOTAL</w:t>
            </w:r>
          </w:p>
        </w:tc>
        <w:tc>
          <w:tcPr>
            <w:tcW w:w="813" w:type="dxa"/>
            <w:tcBorders>
              <w:top w:val="single" w:sz="12" w:space="0" w:color="auto"/>
              <w:left w:val="nil"/>
              <w:bottom w:val="single" w:sz="12" w:space="0" w:color="auto"/>
              <w:right w:val="single" w:sz="8" w:space="0" w:color="auto"/>
            </w:tcBorders>
            <w:shd w:val="clear" w:color="000000" w:fill="D9D9D9"/>
            <w:vAlign w:val="center"/>
            <w:hideMark/>
          </w:tcPr>
          <w:p w14:paraId="2BFB7C9B" w14:textId="39429F4D" w:rsidR="00102AF6" w:rsidRPr="00152C6F" w:rsidRDefault="00102AF6" w:rsidP="00102AF6">
            <w:pPr>
              <w:spacing w:before="0" w:after="0"/>
              <w:jc w:val="right"/>
              <w:rPr>
                <w:b/>
                <w:bCs/>
                <w:noProof/>
                <w:color w:val="000000"/>
                <w:sz w:val="18"/>
                <w:szCs w:val="18"/>
                <w:lang w:val="en-IE" w:eastAsia="en-IE"/>
              </w:rPr>
            </w:pPr>
            <w:r>
              <w:rPr>
                <w:b/>
                <w:bCs/>
                <w:noProof/>
                <w:color w:val="000000"/>
                <w:sz w:val="16"/>
                <w:szCs w:val="16"/>
              </w:rPr>
              <w:t>10,255</w:t>
            </w:r>
          </w:p>
        </w:tc>
        <w:tc>
          <w:tcPr>
            <w:tcW w:w="997" w:type="dxa"/>
            <w:tcBorders>
              <w:top w:val="single" w:sz="12" w:space="0" w:color="auto"/>
              <w:left w:val="nil"/>
              <w:bottom w:val="single" w:sz="12" w:space="0" w:color="auto"/>
              <w:right w:val="single" w:sz="8" w:space="0" w:color="auto"/>
            </w:tcBorders>
            <w:shd w:val="clear" w:color="000000" w:fill="D9D9D9"/>
            <w:vAlign w:val="center"/>
            <w:hideMark/>
          </w:tcPr>
          <w:p w14:paraId="69E81D86" w14:textId="4BE62696" w:rsidR="00102AF6" w:rsidRPr="00152C6F" w:rsidRDefault="00102AF6" w:rsidP="00102AF6">
            <w:pPr>
              <w:spacing w:before="0" w:after="0"/>
              <w:jc w:val="right"/>
              <w:rPr>
                <w:b/>
                <w:bCs/>
                <w:noProof/>
                <w:color w:val="000000"/>
                <w:sz w:val="18"/>
                <w:szCs w:val="18"/>
                <w:lang w:val="en-IE" w:eastAsia="en-IE"/>
              </w:rPr>
            </w:pPr>
            <w:r>
              <w:rPr>
                <w:b/>
                <w:bCs/>
                <w:noProof/>
                <w:color w:val="000000"/>
                <w:sz w:val="16"/>
                <w:szCs w:val="16"/>
              </w:rPr>
              <w:t>17,971</w:t>
            </w:r>
          </w:p>
        </w:tc>
        <w:tc>
          <w:tcPr>
            <w:tcW w:w="946" w:type="dxa"/>
            <w:tcBorders>
              <w:top w:val="single" w:sz="12" w:space="0" w:color="auto"/>
              <w:left w:val="nil"/>
              <w:bottom w:val="single" w:sz="12" w:space="0" w:color="auto"/>
              <w:right w:val="single" w:sz="8" w:space="0" w:color="auto"/>
            </w:tcBorders>
            <w:shd w:val="clear" w:color="000000" w:fill="D9D9D9"/>
            <w:vAlign w:val="center"/>
            <w:hideMark/>
          </w:tcPr>
          <w:p w14:paraId="08C18802" w14:textId="57632B9F" w:rsidR="00102AF6" w:rsidRPr="00152C6F" w:rsidRDefault="00102AF6" w:rsidP="00102AF6">
            <w:pPr>
              <w:spacing w:before="0" w:after="0"/>
              <w:jc w:val="right"/>
              <w:rPr>
                <w:b/>
                <w:bCs/>
                <w:noProof/>
                <w:color w:val="000000"/>
                <w:sz w:val="18"/>
                <w:szCs w:val="18"/>
                <w:lang w:val="en-IE" w:eastAsia="en-IE"/>
              </w:rPr>
            </w:pPr>
            <w:r>
              <w:rPr>
                <w:b/>
                <w:bCs/>
                <w:noProof/>
                <w:color w:val="000000"/>
                <w:sz w:val="16"/>
                <w:szCs w:val="16"/>
              </w:rPr>
              <w:t>26,795</w:t>
            </w:r>
          </w:p>
        </w:tc>
        <w:tc>
          <w:tcPr>
            <w:tcW w:w="946" w:type="dxa"/>
            <w:tcBorders>
              <w:top w:val="single" w:sz="12" w:space="0" w:color="auto"/>
              <w:left w:val="nil"/>
              <w:bottom w:val="single" w:sz="12" w:space="0" w:color="auto"/>
              <w:right w:val="single" w:sz="8" w:space="0" w:color="auto"/>
            </w:tcBorders>
            <w:shd w:val="clear" w:color="000000" w:fill="D9D9D9"/>
            <w:vAlign w:val="center"/>
            <w:hideMark/>
          </w:tcPr>
          <w:p w14:paraId="038B5E8A" w14:textId="128D5884" w:rsidR="00102AF6" w:rsidRPr="00152C6F" w:rsidRDefault="00102AF6" w:rsidP="00102AF6">
            <w:pPr>
              <w:spacing w:before="0" w:after="0"/>
              <w:jc w:val="right"/>
              <w:rPr>
                <w:b/>
                <w:bCs/>
                <w:noProof/>
                <w:color w:val="000000"/>
                <w:sz w:val="18"/>
                <w:szCs w:val="18"/>
                <w:lang w:val="en-IE" w:eastAsia="en-IE"/>
              </w:rPr>
            </w:pPr>
            <w:r>
              <w:rPr>
                <w:b/>
                <w:bCs/>
                <w:noProof/>
                <w:color w:val="000000"/>
                <w:sz w:val="16"/>
                <w:szCs w:val="16"/>
              </w:rPr>
              <w:t>30,589</w:t>
            </w:r>
          </w:p>
        </w:tc>
        <w:tc>
          <w:tcPr>
            <w:tcW w:w="946" w:type="dxa"/>
            <w:tcBorders>
              <w:top w:val="single" w:sz="12" w:space="0" w:color="auto"/>
              <w:left w:val="nil"/>
              <w:bottom w:val="single" w:sz="12" w:space="0" w:color="auto"/>
              <w:right w:val="single" w:sz="4" w:space="0" w:color="auto"/>
            </w:tcBorders>
            <w:shd w:val="clear" w:color="000000" w:fill="D9D9D9"/>
            <w:vAlign w:val="center"/>
          </w:tcPr>
          <w:p w14:paraId="14B69540" w14:textId="53898D0E" w:rsidR="00102AF6" w:rsidRPr="00152C6F" w:rsidRDefault="00102AF6" w:rsidP="00102AF6">
            <w:pPr>
              <w:spacing w:before="0" w:after="0"/>
              <w:jc w:val="center"/>
              <w:rPr>
                <w:b/>
                <w:bCs/>
                <w:noProof/>
                <w:color w:val="000000"/>
                <w:sz w:val="18"/>
                <w:szCs w:val="18"/>
                <w:lang w:val="en-IE" w:eastAsia="en-IE"/>
              </w:rPr>
            </w:pPr>
            <w:r>
              <w:rPr>
                <w:b/>
                <w:bCs/>
                <w:noProof/>
                <w:color w:val="000000"/>
                <w:sz w:val="16"/>
                <w:szCs w:val="16"/>
              </w:rPr>
              <w:t>30,589</w:t>
            </w:r>
          </w:p>
        </w:tc>
        <w:tc>
          <w:tcPr>
            <w:tcW w:w="946" w:type="dxa"/>
            <w:tcBorders>
              <w:top w:val="single" w:sz="12" w:space="0" w:color="auto"/>
              <w:left w:val="single" w:sz="4" w:space="0" w:color="auto"/>
              <w:bottom w:val="single" w:sz="12" w:space="0" w:color="auto"/>
              <w:right w:val="single" w:sz="4" w:space="0" w:color="auto"/>
            </w:tcBorders>
            <w:shd w:val="clear" w:color="000000" w:fill="D9D9D9"/>
            <w:vAlign w:val="center"/>
          </w:tcPr>
          <w:p w14:paraId="3B8865CF" w14:textId="5EF52867" w:rsidR="00102AF6" w:rsidRPr="00152C6F" w:rsidRDefault="00102AF6" w:rsidP="00102AF6">
            <w:pPr>
              <w:spacing w:before="0" w:after="0"/>
              <w:jc w:val="center"/>
              <w:rPr>
                <w:b/>
                <w:bCs/>
                <w:noProof/>
                <w:color w:val="000000"/>
                <w:sz w:val="18"/>
                <w:szCs w:val="18"/>
                <w:lang w:val="en-IE" w:eastAsia="en-IE"/>
              </w:rPr>
            </w:pPr>
            <w:r>
              <w:rPr>
                <w:b/>
                <w:bCs/>
                <w:noProof/>
                <w:color w:val="000000"/>
                <w:sz w:val="16"/>
                <w:szCs w:val="16"/>
              </w:rPr>
              <w:t>30,589</w:t>
            </w:r>
          </w:p>
        </w:tc>
        <w:tc>
          <w:tcPr>
            <w:tcW w:w="946" w:type="dxa"/>
            <w:tcBorders>
              <w:top w:val="single" w:sz="12" w:space="0" w:color="auto"/>
              <w:left w:val="single" w:sz="4" w:space="0" w:color="auto"/>
              <w:bottom w:val="single" w:sz="12" w:space="0" w:color="auto"/>
              <w:right w:val="single" w:sz="4" w:space="0" w:color="auto"/>
            </w:tcBorders>
            <w:shd w:val="clear" w:color="000000" w:fill="D9D9D9"/>
            <w:vAlign w:val="center"/>
          </w:tcPr>
          <w:p w14:paraId="7AB67A75" w14:textId="7E1BDAD8" w:rsidR="00102AF6" w:rsidRPr="00152C6F" w:rsidRDefault="00102AF6" w:rsidP="00102AF6">
            <w:pPr>
              <w:spacing w:before="0" w:after="0"/>
              <w:jc w:val="center"/>
              <w:rPr>
                <w:b/>
                <w:bCs/>
                <w:noProof/>
                <w:color w:val="000000"/>
                <w:sz w:val="18"/>
                <w:szCs w:val="18"/>
                <w:lang w:val="en-IE" w:eastAsia="en-IE"/>
              </w:rPr>
            </w:pPr>
            <w:r>
              <w:rPr>
                <w:b/>
                <w:bCs/>
                <w:noProof/>
                <w:color w:val="000000"/>
                <w:sz w:val="16"/>
                <w:szCs w:val="16"/>
              </w:rPr>
              <w:t>30,589</w:t>
            </w:r>
          </w:p>
        </w:tc>
        <w:tc>
          <w:tcPr>
            <w:tcW w:w="1079" w:type="dxa"/>
            <w:tcBorders>
              <w:top w:val="single" w:sz="12" w:space="0" w:color="auto"/>
              <w:left w:val="single" w:sz="4" w:space="0" w:color="auto"/>
              <w:bottom w:val="single" w:sz="12" w:space="0" w:color="auto"/>
              <w:right w:val="single" w:sz="8" w:space="0" w:color="auto"/>
            </w:tcBorders>
            <w:shd w:val="clear" w:color="000000" w:fill="D9D9D9"/>
            <w:vAlign w:val="center"/>
            <w:hideMark/>
          </w:tcPr>
          <w:p w14:paraId="4584C68D" w14:textId="0DA79219" w:rsidR="00102AF6" w:rsidRPr="00152C6F" w:rsidRDefault="00102AF6" w:rsidP="00102AF6">
            <w:pPr>
              <w:spacing w:before="0" w:after="0"/>
              <w:jc w:val="right"/>
              <w:rPr>
                <w:b/>
                <w:bCs/>
                <w:noProof/>
                <w:color w:val="000000"/>
                <w:sz w:val="18"/>
                <w:szCs w:val="18"/>
                <w:lang w:val="en-IE" w:eastAsia="en-IE"/>
              </w:rPr>
            </w:pPr>
            <w:r>
              <w:rPr>
                <w:b/>
                <w:bCs/>
                <w:noProof/>
                <w:color w:val="000000"/>
                <w:sz w:val="16"/>
                <w:szCs w:val="16"/>
              </w:rPr>
              <w:t>178,188</w:t>
            </w:r>
          </w:p>
        </w:tc>
      </w:tr>
    </w:tbl>
    <w:p w14:paraId="56AF6124" w14:textId="77777777" w:rsidR="006052EE" w:rsidRPr="00290112" w:rsidRDefault="006052EE" w:rsidP="00445C9D">
      <w:pPr>
        <w:rPr>
          <w:noProof/>
          <w:sz w:val="22"/>
          <w:szCs w:val="28"/>
          <w:lang w:val="en-IE"/>
        </w:rPr>
      </w:pPr>
      <w:r w:rsidRPr="00290112">
        <w:rPr>
          <w:noProof/>
          <w:sz w:val="22"/>
          <w:szCs w:val="28"/>
          <w:lang w:val="en-IE"/>
        </w:rPr>
        <w:t>The appropriations required for human resources and other expenditure of an administrative nature will be met by appropriations from the DG that are already assigned to management of the action and/or have been redeployed within the DG, together</w:t>
      </w:r>
      <w:r>
        <w:rPr>
          <w:noProof/>
          <w:sz w:val="22"/>
          <w:szCs w:val="28"/>
          <w:lang w:val="en-IE"/>
        </w:rPr>
        <w:t>,</w:t>
      </w:r>
      <w:r w:rsidRPr="00290112">
        <w:rPr>
          <w:noProof/>
          <w:sz w:val="22"/>
          <w:szCs w:val="28"/>
          <w:lang w:val="en-IE"/>
        </w:rPr>
        <w:t xml:space="preserve"> if necessary</w:t>
      </w:r>
      <w:r>
        <w:rPr>
          <w:noProof/>
          <w:sz w:val="22"/>
          <w:szCs w:val="28"/>
          <w:lang w:val="en-IE"/>
        </w:rPr>
        <w:t>,</w:t>
      </w:r>
      <w:r w:rsidRPr="00290112">
        <w:rPr>
          <w:noProof/>
          <w:sz w:val="22"/>
          <w:szCs w:val="28"/>
          <w:lang w:val="en-IE"/>
        </w:rPr>
        <w:t xml:space="preserve"> with any additional allocation which may be granted to the managing DG under the annual allocation procedure and in the light of budgetary constraints.</w:t>
      </w:r>
    </w:p>
    <w:p w14:paraId="212E7660" w14:textId="77777777" w:rsidR="006052EE" w:rsidRDefault="006052EE" w:rsidP="00445C9D">
      <w:pPr>
        <w:pStyle w:val="ManualHeading3"/>
        <w:rPr>
          <w:bCs/>
          <w:noProof/>
          <w:szCs w:val="24"/>
        </w:rPr>
      </w:pPr>
      <w:bookmarkStart w:id="175" w:name="_Toc167220294"/>
      <w:bookmarkStart w:id="176" w:name="_Toc177549027"/>
      <w:r w:rsidRPr="0021790A">
        <w:rPr>
          <w:noProof/>
        </w:rPr>
        <w:t>3.2.</w:t>
      </w:r>
      <w:r>
        <w:rPr>
          <w:noProof/>
        </w:rPr>
        <w:t>4</w:t>
      </w:r>
      <w:r w:rsidRPr="0021790A">
        <w:rPr>
          <w:noProof/>
        </w:rPr>
        <w:t>.</w:t>
      </w:r>
      <w:r w:rsidRPr="0021790A">
        <w:rPr>
          <w:noProof/>
        </w:rPr>
        <w:tab/>
      </w:r>
      <w:r w:rsidRPr="00A238FB">
        <w:rPr>
          <w:noProof/>
        </w:rPr>
        <w:t>Estimated requirements of human resources</w:t>
      </w:r>
      <w:bookmarkEnd w:id="175"/>
      <w:bookmarkEnd w:id="176"/>
      <w:r>
        <w:rPr>
          <w:noProof/>
        </w:rPr>
        <w:t xml:space="preserve"> </w:t>
      </w:r>
    </w:p>
    <w:p w14:paraId="0E80019E" w14:textId="77777777" w:rsidR="006052EE" w:rsidRDefault="006052EE" w:rsidP="006052EE">
      <w:pPr>
        <w:pStyle w:val="ListDash1"/>
        <w:rPr>
          <w:noProof/>
        </w:rPr>
      </w:pPr>
      <w:r>
        <w:rPr>
          <w:rFonts w:ascii="Wingdings" w:eastAsia="Wingdings" w:hAnsi="Wingdings" w:cs="Wingdings"/>
          <w:noProof/>
        </w:rPr>
        <w:t></w:t>
      </w:r>
      <w:r>
        <w:rPr>
          <w:noProof/>
        </w:rPr>
        <w:tab/>
        <w:t xml:space="preserve">The proposal/initiative does not require the use of human resources </w:t>
      </w:r>
    </w:p>
    <w:p w14:paraId="5FCABB7A" w14:textId="77777777" w:rsidR="006052EE" w:rsidRDefault="00486288" w:rsidP="006052EE">
      <w:pPr>
        <w:pStyle w:val="ListDash1"/>
        <w:rPr>
          <w:noProof/>
        </w:rPr>
      </w:pPr>
      <w:r>
        <w:rPr>
          <w:rFonts w:ascii="Wingdings" w:eastAsia="Wingdings" w:hAnsi="Wingdings" w:cs="Wingdings"/>
          <w:noProof/>
        </w:rPr>
        <w:t></w:t>
      </w:r>
      <w:r w:rsidR="006052EE">
        <w:rPr>
          <w:noProof/>
        </w:rPr>
        <w:tab/>
        <w:t>The proposal/initiative requires the use of human resources, as explained below</w:t>
      </w:r>
    </w:p>
    <w:p w14:paraId="7F87102F" w14:textId="77777777" w:rsidR="006052EE" w:rsidRDefault="006052EE" w:rsidP="00445C9D">
      <w:pPr>
        <w:pStyle w:val="ManualHeading3"/>
        <w:rPr>
          <w:noProof/>
        </w:rPr>
      </w:pPr>
      <w:bookmarkStart w:id="177" w:name="_Toc167220295"/>
      <w:bookmarkStart w:id="178" w:name="_Toc177549028"/>
      <w:r w:rsidRPr="003268F2">
        <w:rPr>
          <w:noProof/>
        </w:rPr>
        <w:t>3.2.</w:t>
      </w:r>
      <w:r>
        <w:rPr>
          <w:noProof/>
        </w:rPr>
        <w:t>4</w:t>
      </w:r>
      <w:r w:rsidRPr="003268F2">
        <w:rPr>
          <w:noProof/>
        </w:rPr>
        <w:t>.1</w:t>
      </w:r>
      <w:r>
        <w:rPr>
          <w:noProof/>
        </w:rPr>
        <w:t>.</w:t>
      </w:r>
      <w:r>
        <w:rPr>
          <w:noProof/>
        </w:rPr>
        <w:tab/>
        <w:t>Financed from voted budget</w:t>
      </w:r>
      <w:bookmarkEnd w:id="177"/>
      <w:bookmarkEnd w:id="178"/>
    </w:p>
    <w:p w14:paraId="7B84C53F" w14:textId="77777777" w:rsidR="006052EE" w:rsidRDefault="006052EE" w:rsidP="00445C9D">
      <w:pPr>
        <w:spacing w:after="60"/>
        <w:jc w:val="right"/>
        <w:rPr>
          <w:i/>
          <w:noProof/>
          <w:sz w:val="20"/>
          <w:lang w:val="en-IE"/>
        </w:rPr>
      </w:pPr>
      <w:r w:rsidRPr="003A769F">
        <w:rPr>
          <w:i/>
          <w:noProof/>
          <w:sz w:val="20"/>
          <w:lang w:val="en-IE"/>
        </w:rPr>
        <w:t>Estimate to be expressed in full</w:t>
      </w:r>
      <w:r>
        <w:rPr>
          <w:i/>
          <w:noProof/>
          <w:sz w:val="20"/>
          <w:lang w:val="en-IE"/>
        </w:rPr>
        <w:t>-</w:t>
      </w:r>
      <w:r w:rsidRPr="003A769F">
        <w:rPr>
          <w:i/>
          <w:noProof/>
          <w:sz w:val="20"/>
          <w:lang w:val="en-IE"/>
        </w:rPr>
        <w:t>time equivalent units</w:t>
      </w:r>
      <w:r>
        <w:rPr>
          <w:i/>
          <w:noProof/>
          <w:sz w:val="20"/>
          <w:lang w:val="en-IE"/>
        </w:rPr>
        <w:t xml:space="preserve"> (FTEs)</w:t>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486288" w:rsidRPr="00186919" w14:paraId="4C14EDB3" w14:textId="77777777" w:rsidTr="00445C9D">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F8FEA90" w14:textId="77777777" w:rsidR="00486288" w:rsidRPr="00186919" w:rsidRDefault="00486288" w:rsidP="00445C9D">
            <w:pPr>
              <w:spacing w:before="0" w:after="0"/>
              <w:jc w:val="center"/>
              <w:rPr>
                <w:rFonts w:eastAsia="Times New Roman"/>
                <w:b/>
                <w:bCs/>
                <w:noProof/>
                <w:color w:val="000000"/>
                <w:sz w:val="18"/>
                <w:szCs w:val="18"/>
                <w:lang w:val="en-IE" w:eastAsia="en-IE"/>
              </w:rPr>
            </w:pPr>
            <w:bookmarkStart w:id="179" w:name="_Hlk156979231"/>
            <w:r w:rsidRPr="00186919">
              <w:rPr>
                <w:rFonts w:eastAsia="Times New Roman"/>
                <w:b/>
                <w:bCs/>
                <w:noProof/>
                <w:color w:val="000000"/>
                <w:sz w:val="18"/>
                <w:szCs w:val="18"/>
                <w:lang w:val="en-IE" w:eastAsia="en-IE"/>
              </w:rPr>
              <w:t>VOTED APPROPRIATIONS</w:t>
            </w:r>
          </w:p>
        </w:tc>
        <w:tc>
          <w:tcPr>
            <w:tcW w:w="519" w:type="pct"/>
            <w:tcBorders>
              <w:top w:val="single" w:sz="8" w:space="0" w:color="auto"/>
              <w:left w:val="nil"/>
              <w:bottom w:val="nil"/>
              <w:right w:val="single" w:sz="8" w:space="0" w:color="auto"/>
            </w:tcBorders>
            <w:vAlign w:val="center"/>
            <w:hideMark/>
          </w:tcPr>
          <w:p w14:paraId="3F2666B6" w14:textId="77777777" w:rsidR="00486288" w:rsidRPr="00186919" w:rsidRDefault="0048628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3F3F2A23" w14:textId="77777777" w:rsidR="00486288" w:rsidRPr="00186919" w:rsidRDefault="0048628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75404845" w14:textId="77777777" w:rsidR="00486288" w:rsidRPr="00186919" w:rsidRDefault="0048628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3E216AD0" w14:textId="77777777" w:rsidR="00486288" w:rsidRPr="00186919" w:rsidRDefault="0048628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230B8F32" w14:textId="77777777" w:rsidR="00486288" w:rsidRPr="00186919" w:rsidRDefault="0048628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0D813EA5" w14:textId="77777777" w:rsidR="00486288" w:rsidRPr="00186919" w:rsidRDefault="0048628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6" w:type="pct"/>
            <w:tcBorders>
              <w:top w:val="single" w:sz="8" w:space="0" w:color="auto"/>
              <w:left w:val="nil"/>
              <w:bottom w:val="nil"/>
              <w:right w:val="single" w:sz="8" w:space="0" w:color="auto"/>
            </w:tcBorders>
            <w:vAlign w:val="center"/>
            <w:hideMark/>
          </w:tcPr>
          <w:p w14:paraId="324CEC60" w14:textId="77777777" w:rsidR="00486288" w:rsidRPr="00186919" w:rsidRDefault="0048628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r>
      <w:tr w:rsidR="00486288" w:rsidRPr="00186919" w14:paraId="2C3B6B5A" w14:textId="77777777" w:rsidTr="00445C9D">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59EFC929" w14:textId="77777777" w:rsidR="00486288" w:rsidRPr="00186919" w:rsidRDefault="00486288" w:rsidP="00445C9D">
            <w:pPr>
              <w:spacing w:before="0" w:after="0"/>
              <w:jc w:val="left"/>
              <w:rPr>
                <w:rFonts w:eastAsia="Times New Roman"/>
                <w:b/>
                <w:bCs/>
                <w:noProof/>
                <w:color w:val="000000"/>
                <w:sz w:val="18"/>
                <w:szCs w:val="18"/>
                <w:lang w:val="en-IE" w:eastAsia="en-IE"/>
              </w:rPr>
            </w:pPr>
          </w:p>
        </w:tc>
        <w:tc>
          <w:tcPr>
            <w:tcW w:w="519" w:type="pct"/>
            <w:tcBorders>
              <w:top w:val="nil"/>
              <w:left w:val="nil"/>
              <w:bottom w:val="single" w:sz="8" w:space="0" w:color="auto"/>
              <w:right w:val="single" w:sz="8" w:space="0" w:color="auto"/>
            </w:tcBorders>
            <w:vAlign w:val="center"/>
            <w:hideMark/>
          </w:tcPr>
          <w:p w14:paraId="5F0521A1" w14:textId="77777777" w:rsidR="00486288" w:rsidRPr="00186919" w:rsidRDefault="0048628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14:paraId="62E8015E" w14:textId="77777777" w:rsidR="00486288" w:rsidRPr="00186919" w:rsidRDefault="0048628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14:paraId="798951DB" w14:textId="77777777" w:rsidR="00486288" w:rsidRPr="00186919" w:rsidRDefault="0048628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14:paraId="24162F2E" w14:textId="77777777" w:rsidR="00486288" w:rsidRPr="00186919" w:rsidRDefault="0048628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2031</w:t>
            </w:r>
          </w:p>
        </w:tc>
        <w:tc>
          <w:tcPr>
            <w:tcW w:w="519" w:type="pct"/>
            <w:tcBorders>
              <w:top w:val="nil"/>
              <w:left w:val="nil"/>
              <w:bottom w:val="single" w:sz="8" w:space="0" w:color="auto"/>
              <w:right w:val="single" w:sz="8" w:space="0" w:color="auto"/>
            </w:tcBorders>
            <w:vAlign w:val="center"/>
            <w:hideMark/>
          </w:tcPr>
          <w:p w14:paraId="021CAB7E" w14:textId="77777777" w:rsidR="00486288" w:rsidRPr="00186919" w:rsidRDefault="0048628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2032</w:t>
            </w:r>
          </w:p>
        </w:tc>
        <w:tc>
          <w:tcPr>
            <w:tcW w:w="519" w:type="pct"/>
            <w:tcBorders>
              <w:top w:val="nil"/>
              <w:left w:val="nil"/>
              <w:bottom w:val="single" w:sz="8" w:space="0" w:color="auto"/>
              <w:right w:val="single" w:sz="8" w:space="0" w:color="auto"/>
            </w:tcBorders>
            <w:vAlign w:val="center"/>
            <w:hideMark/>
          </w:tcPr>
          <w:p w14:paraId="20EBA198" w14:textId="77777777" w:rsidR="00486288" w:rsidRPr="00186919" w:rsidRDefault="0048628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2033</w:t>
            </w:r>
          </w:p>
        </w:tc>
        <w:tc>
          <w:tcPr>
            <w:tcW w:w="516" w:type="pct"/>
            <w:tcBorders>
              <w:top w:val="nil"/>
              <w:left w:val="nil"/>
              <w:bottom w:val="single" w:sz="8" w:space="0" w:color="auto"/>
              <w:right w:val="single" w:sz="8" w:space="0" w:color="auto"/>
            </w:tcBorders>
            <w:vAlign w:val="center"/>
            <w:hideMark/>
          </w:tcPr>
          <w:p w14:paraId="0AA30D21" w14:textId="77777777" w:rsidR="00486288" w:rsidRPr="00186919" w:rsidRDefault="0048628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2034</w:t>
            </w:r>
          </w:p>
        </w:tc>
      </w:tr>
      <w:tr w:rsidR="00486288" w:rsidRPr="00186919" w14:paraId="4A47B880" w14:textId="77777777" w:rsidTr="00445C9D">
        <w:trPr>
          <w:trHeight w:val="300"/>
        </w:trPr>
        <w:tc>
          <w:tcPr>
            <w:tcW w:w="5000" w:type="pct"/>
            <w:gridSpan w:val="9"/>
            <w:tcBorders>
              <w:top w:val="single" w:sz="8" w:space="0" w:color="auto"/>
              <w:left w:val="single" w:sz="8" w:space="0" w:color="auto"/>
              <w:bottom w:val="nil"/>
              <w:right w:val="nil"/>
            </w:tcBorders>
            <w:vAlign w:val="center"/>
            <w:hideMark/>
          </w:tcPr>
          <w:p w14:paraId="7E9236A8" w14:textId="77777777" w:rsidR="00486288" w:rsidRPr="00186919" w:rsidRDefault="00486288" w:rsidP="00445C9D">
            <w:pPr>
              <w:spacing w:before="0" w:after="0"/>
              <w:jc w:val="center"/>
              <w:rPr>
                <w:rFonts w:ascii="Wingdings" w:eastAsia="Times New Roman" w:hAnsi="Wingdings"/>
                <w:b/>
                <w:bCs/>
                <w:noProof/>
                <w:color w:val="000000"/>
                <w:sz w:val="16"/>
                <w:szCs w:val="16"/>
                <w:lang w:val="en-IE" w:eastAsia="en-IE"/>
              </w:rPr>
            </w:pPr>
            <w:r w:rsidRPr="00186919">
              <w:rPr>
                <w:rFonts w:ascii="Wingdings" w:eastAsia="Times New Roman" w:hAnsi="Wingdings"/>
                <w:b/>
                <w:bCs/>
                <w:noProof/>
                <w:color w:val="000000"/>
                <w:sz w:val="16"/>
                <w:szCs w:val="16"/>
                <w:lang w:val="en-IE" w:eastAsia="en-IE"/>
              </w:rPr>
              <w:t></w:t>
            </w:r>
            <w:r w:rsidRPr="00186919">
              <w:rPr>
                <w:rFonts w:eastAsia="Times New Roman"/>
                <w:b/>
                <w:bCs/>
                <w:noProof/>
                <w:color w:val="000000"/>
                <w:sz w:val="16"/>
                <w:szCs w:val="16"/>
                <w:lang w:val="en-IE" w:eastAsia="en-IE"/>
              </w:rPr>
              <w:t xml:space="preserve"> Establishment plan posts (officials and temporary staff)</w:t>
            </w:r>
          </w:p>
        </w:tc>
      </w:tr>
      <w:tr w:rsidR="00486288" w:rsidRPr="00186919" w14:paraId="2C2367EC" w14:textId="77777777" w:rsidTr="00D80845">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C7DEEE0"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20 01 02 01</w:t>
            </w: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hideMark/>
          </w:tcPr>
          <w:p w14:paraId="4641E230" w14:textId="709C85D9"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14</w:t>
            </w:r>
          </w:p>
        </w:tc>
        <w:tc>
          <w:tcPr>
            <w:tcW w:w="519" w:type="pct"/>
            <w:tcBorders>
              <w:top w:val="nil"/>
              <w:left w:val="nil"/>
              <w:bottom w:val="single" w:sz="8" w:space="0" w:color="auto"/>
              <w:right w:val="single" w:sz="8" w:space="0" w:color="auto"/>
            </w:tcBorders>
            <w:shd w:val="clear" w:color="000000" w:fill="D9D9D9"/>
            <w:hideMark/>
          </w:tcPr>
          <w:p w14:paraId="688F2AF8" w14:textId="3FC7BB96"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17</w:t>
            </w:r>
          </w:p>
        </w:tc>
        <w:tc>
          <w:tcPr>
            <w:tcW w:w="519" w:type="pct"/>
            <w:tcBorders>
              <w:top w:val="nil"/>
              <w:left w:val="nil"/>
              <w:bottom w:val="single" w:sz="8" w:space="0" w:color="auto"/>
              <w:right w:val="single" w:sz="8" w:space="0" w:color="auto"/>
            </w:tcBorders>
            <w:shd w:val="clear" w:color="000000" w:fill="D9D9D9"/>
          </w:tcPr>
          <w:p w14:paraId="57705CA3" w14:textId="6C7436BE"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17</w:t>
            </w:r>
          </w:p>
        </w:tc>
        <w:tc>
          <w:tcPr>
            <w:tcW w:w="519" w:type="pct"/>
            <w:tcBorders>
              <w:top w:val="nil"/>
              <w:left w:val="nil"/>
              <w:bottom w:val="single" w:sz="8" w:space="0" w:color="auto"/>
              <w:right w:val="single" w:sz="8" w:space="0" w:color="auto"/>
            </w:tcBorders>
            <w:shd w:val="clear" w:color="000000" w:fill="D9D9D9"/>
          </w:tcPr>
          <w:p w14:paraId="0C9EAC50" w14:textId="4164FB47"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17</w:t>
            </w:r>
          </w:p>
        </w:tc>
        <w:tc>
          <w:tcPr>
            <w:tcW w:w="519" w:type="pct"/>
            <w:tcBorders>
              <w:top w:val="nil"/>
              <w:left w:val="nil"/>
              <w:bottom w:val="single" w:sz="8" w:space="0" w:color="auto"/>
              <w:right w:val="single" w:sz="8" w:space="0" w:color="auto"/>
            </w:tcBorders>
            <w:shd w:val="clear" w:color="000000" w:fill="D9D9D9"/>
          </w:tcPr>
          <w:p w14:paraId="3E453D66" w14:textId="5A08AE21"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17</w:t>
            </w:r>
          </w:p>
        </w:tc>
        <w:tc>
          <w:tcPr>
            <w:tcW w:w="519" w:type="pct"/>
            <w:tcBorders>
              <w:top w:val="nil"/>
              <w:left w:val="nil"/>
              <w:bottom w:val="single" w:sz="8" w:space="0" w:color="auto"/>
              <w:right w:val="single" w:sz="8" w:space="0" w:color="auto"/>
            </w:tcBorders>
            <w:shd w:val="clear" w:color="000000" w:fill="D9D9D9"/>
          </w:tcPr>
          <w:p w14:paraId="01513EB6" w14:textId="1A0D11F1"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17</w:t>
            </w:r>
          </w:p>
        </w:tc>
        <w:tc>
          <w:tcPr>
            <w:tcW w:w="516" w:type="pct"/>
            <w:tcBorders>
              <w:top w:val="nil"/>
              <w:left w:val="nil"/>
              <w:bottom w:val="single" w:sz="8" w:space="0" w:color="auto"/>
              <w:right w:val="single" w:sz="8" w:space="0" w:color="auto"/>
            </w:tcBorders>
            <w:shd w:val="clear" w:color="000000" w:fill="D9D9D9"/>
          </w:tcPr>
          <w:p w14:paraId="24DF78A0" w14:textId="0275F7E3"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17</w:t>
            </w:r>
          </w:p>
        </w:tc>
      </w:tr>
      <w:tr w:rsidR="00486288" w:rsidRPr="00186919" w14:paraId="2842BCBB"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55686E3"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14:paraId="438192DC"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CEBE2BA"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065ED7C"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15487D0"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2EB0144"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C9C6B3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7C9EAD5"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38465090" w14:textId="77777777" w:rsidTr="00445C9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34F1320"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2B9D6727"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08B034E"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00AB3C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59EECF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CF4E718"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A524967"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51D6CB69"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2A856298"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C8D80D8"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(Direct research)</w:t>
            </w:r>
          </w:p>
        </w:tc>
        <w:tc>
          <w:tcPr>
            <w:tcW w:w="519" w:type="pct"/>
            <w:tcBorders>
              <w:top w:val="nil"/>
              <w:left w:val="nil"/>
              <w:bottom w:val="single" w:sz="8" w:space="0" w:color="auto"/>
              <w:right w:val="single" w:sz="8" w:space="0" w:color="auto"/>
            </w:tcBorders>
            <w:shd w:val="clear" w:color="000000" w:fill="D9D9D9"/>
            <w:vAlign w:val="center"/>
            <w:hideMark/>
          </w:tcPr>
          <w:p w14:paraId="5B94EB2F"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B0F48B5"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4653168"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9251AC2"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F802BE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320922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33930722"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28B000D5"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A242062"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14:paraId="36FB2E29"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D26BD9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24392B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5600F94"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1429B3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348C5B9"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79D62E02"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0011DAAD" w14:textId="77777777" w:rsidTr="00445C9D">
        <w:trPr>
          <w:trHeight w:val="300"/>
        </w:trPr>
        <w:tc>
          <w:tcPr>
            <w:tcW w:w="5000" w:type="pct"/>
            <w:gridSpan w:val="9"/>
            <w:tcBorders>
              <w:top w:val="single" w:sz="8" w:space="0" w:color="auto"/>
              <w:left w:val="single" w:sz="8" w:space="0" w:color="auto"/>
              <w:bottom w:val="nil"/>
              <w:right w:val="nil"/>
            </w:tcBorders>
            <w:vAlign w:val="center"/>
            <w:hideMark/>
          </w:tcPr>
          <w:p w14:paraId="031CB9D5" w14:textId="77777777" w:rsidR="00486288" w:rsidRPr="00186919" w:rsidRDefault="00486288" w:rsidP="00445C9D">
            <w:pPr>
              <w:spacing w:before="0" w:after="0"/>
              <w:jc w:val="center"/>
              <w:rPr>
                <w:rFonts w:ascii="Calibri" w:eastAsia="Times New Roman" w:hAnsi="Calibri" w:cs="Calibri"/>
                <w:b/>
                <w:bCs/>
                <w:noProof/>
                <w:color w:val="000000"/>
                <w:sz w:val="16"/>
                <w:szCs w:val="16"/>
                <w:lang w:val="en-IE" w:eastAsia="en-IE"/>
              </w:rPr>
            </w:pPr>
            <w:r w:rsidRPr="00186919">
              <w:rPr>
                <w:rFonts w:ascii="Calibri" w:eastAsia="Times New Roman" w:hAnsi="Calibri" w:cs="Calibri"/>
                <w:b/>
                <w:bCs/>
                <w:noProof/>
                <w:color w:val="000000"/>
                <w:sz w:val="16"/>
                <w:szCs w:val="16"/>
                <w:lang w:val="en-IE" w:eastAsia="en-IE"/>
              </w:rPr>
              <w:t>•</w:t>
            </w:r>
            <w:r w:rsidRPr="00186919">
              <w:rPr>
                <w:rFonts w:eastAsia="Times New Roman"/>
                <w:b/>
                <w:bCs/>
                <w:noProof/>
                <w:color w:val="000000"/>
                <w:sz w:val="16"/>
                <w:szCs w:val="16"/>
                <w:lang w:val="en-IE" w:eastAsia="en-IE"/>
              </w:rPr>
              <w:t xml:space="preserve"> External staff (in</w:t>
            </w:r>
            <w:r>
              <w:rPr>
                <w:rFonts w:eastAsia="Times New Roman"/>
                <w:b/>
                <w:bCs/>
                <w:noProof/>
                <w:color w:val="000000"/>
                <w:sz w:val="16"/>
                <w:szCs w:val="16"/>
                <w:lang w:val="en-IE" w:eastAsia="en-IE"/>
              </w:rPr>
              <w:t xml:space="preserve"> </w:t>
            </w:r>
            <w:r w:rsidRPr="00186919">
              <w:rPr>
                <w:rFonts w:eastAsia="Times New Roman"/>
                <w:b/>
                <w:bCs/>
                <w:noProof/>
                <w:color w:val="000000"/>
                <w:sz w:val="16"/>
                <w:szCs w:val="16"/>
                <w:lang w:val="en-IE" w:eastAsia="en-IE"/>
              </w:rPr>
              <w:t>FTEs)</w:t>
            </w:r>
          </w:p>
        </w:tc>
      </w:tr>
      <w:tr w:rsidR="00486288" w:rsidRPr="00186919" w14:paraId="7F61EB46" w14:textId="77777777" w:rsidTr="00445C9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7FEDE77"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20 02 01</w:t>
            </w: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000000" w:fill="D9D9D9"/>
            <w:hideMark/>
          </w:tcPr>
          <w:p w14:paraId="17A94DE0" w14:textId="77777777"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7</w:t>
            </w:r>
          </w:p>
        </w:tc>
        <w:tc>
          <w:tcPr>
            <w:tcW w:w="519" w:type="pct"/>
            <w:tcBorders>
              <w:top w:val="nil"/>
              <w:left w:val="nil"/>
              <w:bottom w:val="single" w:sz="8" w:space="0" w:color="auto"/>
              <w:right w:val="single" w:sz="8" w:space="0" w:color="auto"/>
            </w:tcBorders>
            <w:shd w:val="clear" w:color="000000" w:fill="D9D9D9"/>
            <w:hideMark/>
          </w:tcPr>
          <w:p w14:paraId="551D3A54" w14:textId="77777777"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9</w:t>
            </w:r>
          </w:p>
        </w:tc>
        <w:tc>
          <w:tcPr>
            <w:tcW w:w="519" w:type="pct"/>
            <w:tcBorders>
              <w:top w:val="nil"/>
              <w:left w:val="nil"/>
              <w:bottom w:val="single" w:sz="8" w:space="0" w:color="auto"/>
              <w:right w:val="single" w:sz="8" w:space="0" w:color="auto"/>
            </w:tcBorders>
            <w:shd w:val="clear" w:color="000000" w:fill="D9D9D9"/>
            <w:hideMark/>
          </w:tcPr>
          <w:p w14:paraId="5D538BF2" w14:textId="77777777"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9</w:t>
            </w:r>
          </w:p>
        </w:tc>
        <w:tc>
          <w:tcPr>
            <w:tcW w:w="519" w:type="pct"/>
            <w:tcBorders>
              <w:top w:val="nil"/>
              <w:left w:val="nil"/>
              <w:bottom w:val="single" w:sz="8" w:space="0" w:color="auto"/>
              <w:right w:val="single" w:sz="8" w:space="0" w:color="auto"/>
            </w:tcBorders>
            <w:shd w:val="clear" w:color="000000" w:fill="D9D9D9"/>
            <w:hideMark/>
          </w:tcPr>
          <w:p w14:paraId="692C9E2D" w14:textId="77777777"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7</w:t>
            </w:r>
          </w:p>
        </w:tc>
        <w:tc>
          <w:tcPr>
            <w:tcW w:w="519" w:type="pct"/>
            <w:tcBorders>
              <w:top w:val="nil"/>
              <w:left w:val="nil"/>
              <w:bottom w:val="single" w:sz="8" w:space="0" w:color="auto"/>
              <w:right w:val="single" w:sz="8" w:space="0" w:color="auto"/>
            </w:tcBorders>
            <w:shd w:val="clear" w:color="000000" w:fill="D9D9D9"/>
            <w:hideMark/>
          </w:tcPr>
          <w:p w14:paraId="6FBD0753" w14:textId="77777777"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7</w:t>
            </w:r>
          </w:p>
        </w:tc>
        <w:tc>
          <w:tcPr>
            <w:tcW w:w="519" w:type="pct"/>
            <w:tcBorders>
              <w:top w:val="nil"/>
              <w:left w:val="nil"/>
              <w:bottom w:val="single" w:sz="8" w:space="0" w:color="auto"/>
              <w:right w:val="single" w:sz="8" w:space="0" w:color="auto"/>
            </w:tcBorders>
            <w:shd w:val="clear" w:color="000000" w:fill="D9D9D9"/>
            <w:hideMark/>
          </w:tcPr>
          <w:p w14:paraId="41CEF955" w14:textId="77777777"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7</w:t>
            </w:r>
          </w:p>
        </w:tc>
        <w:tc>
          <w:tcPr>
            <w:tcW w:w="516" w:type="pct"/>
            <w:tcBorders>
              <w:top w:val="nil"/>
              <w:left w:val="nil"/>
              <w:bottom w:val="single" w:sz="8" w:space="0" w:color="auto"/>
              <w:right w:val="single" w:sz="8" w:space="0" w:color="auto"/>
            </w:tcBorders>
            <w:shd w:val="clear" w:color="000000" w:fill="D9D9D9"/>
            <w:hideMark/>
          </w:tcPr>
          <w:p w14:paraId="3C400739" w14:textId="77777777" w:rsidR="00486288" w:rsidRPr="00186919" w:rsidRDefault="0044599E" w:rsidP="00445C9D">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7</w:t>
            </w:r>
          </w:p>
        </w:tc>
      </w:tr>
      <w:tr w:rsidR="00486288" w:rsidRPr="00186919" w14:paraId="6494FBC0" w14:textId="77777777" w:rsidTr="00445C9D">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A8BC6E7"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14:paraId="0F5A6A1B"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AA54DA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2A0A9DA"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8A0F42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1C33B7B"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9CDCA41"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76D50104"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23B5FF0B" w14:textId="77777777" w:rsidTr="00445C9D">
        <w:trPr>
          <w:trHeight w:val="640"/>
        </w:trPr>
        <w:tc>
          <w:tcPr>
            <w:tcW w:w="751" w:type="pct"/>
            <w:tcBorders>
              <w:top w:val="nil"/>
              <w:left w:val="single" w:sz="8" w:space="0" w:color="auto"/>
              <w:bottom w:val="nil"/>
              <w:right w:val="single" w:sz="8" w:space="0" w:color="auto"/>
            </w:tcBorders>
            <w:vAlign w:val="center"/>
            <w:hideMark/>
          </w:tcPr>
          <w:p w14:paraId="428AD3FC"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Admin. Support line</w:t>
            </w:r>
          </w:p>
        </w:tc>
        <w:tc>
          <w:tcPr>
            <w:tcW w:w="619" w:type="pct"/>
            <w:tcBorders>
              <w:top w:val="nil"/>
              <w:left w:val="nil"/>
              <w:bottom w:val="single" w:sz="8" w:space="0" w:color="auto"/>
              <w:right w:val="single" w:sz="8" w:space="0" w:color="auto"/>
            </w:tcBorders>
            <w:vAlign w:val="center"/>
            <w:hideMark/>
          </w:tcPr>
          <w:p w14:paraId="62F33F37" w14:textId="77777777" w:rsidR="00486288" w:rsidRPr="00390906" w:rsidRDefault="00486288" w:rsidP="004830AF">
            <w:pPr>
              <w:pStyle w:val="ListParagraph"/>
              <w:numPr>
                <w:ilvl w:val="0"/>
                <w:numId w:val="18"/>
              </w:numPr>
              <w:spacing w:before="0" w:after="0"/>
              <w:ind w:left="169" w:hanging="152"/>
              <w:jc w:val="left"/>
              <w:rPr>
                <w:noProof/>
                <w:color w:val="000000"/>
                <w:sz w:val="16"/>
                <w:szCs w:val="16"/>
                <w:lang w:val="en-IE" w:eastAsia="en-IE"/>
              </w:rPr>
            </w:pPr>
            <w:r w:rsidRPr="00390906">
              <w:rPr>
                <w:noProof/>
                <w:color w:val="000000"/>
                <w:sz w:val="16"/>
                <w:szCs w:val="16"/>
                <w:lang w:val="en-IE" w:eastAsia="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14:paraId="28CD0490"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C34CB2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0624B8A"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5F8EC11"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984F04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C021AFF"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37D28E9D"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21791262" w14:textId="77777777" w:rsidTr="00445C9D">
        <w:trPr>
          <w:trHeight w:val="430"/>
        </w:trPr>
        <w:tc>
          <w:tcPr>
            <w:tcW w:w="751" w:type="pct"/>
            <w:tcBorders>
              <w:top w:val="nil"/>
              <w:left w:val="single" w:sz="8" w:space="0" w:color="auto"/>
              <w:bottom w:val="single" w:sz="8" w:space="0" w:color="auto"/>
              <w:right w:val="single" w:sz="8" w:space="0" w:color="auto"/>
            </w:tcBorders>
            <w:vAlign w:val="center"/>
            <w:hideMark/>
          </w:tcPr>
          <w:p w14:paraId="180612F4"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14:paraId="3C11D8D5" w14:textId="77777777" w:rsidR="00486288" w:rsidRPr="00390906" w:rsidRDefault="00486288" w:rsidP="004830AF">
            <w:pPr>
              <w:pStyle w:val="ListParagraph"/>
              <w:numPr>
                <w:ilvl w:val="0"/>
                <w:numId w:val="18"/>
              </w:numPr>
              <w:spacing w:before="0" w:after="0"/>
              <w:ind w:left="169" w:hanging="152"/>
              <w:jc w:val="left"/>
              <w:rPr>
                <w:noProof/>
                <w:color w:val="000000"/>
                <w:sz w:val="16"/>
                <w:szCs w:val="16"/>
                <w:lang w:val="en-IE" w:eastAsia="en-IE"/>
              </w:rPr>
            </w:pPr>
            <w:r w:rsidRPr="00390906">
              <w:rPr>
                <w:noProof/>
                <w:color w:val="000000"/>
                <w:sz w:val="16"/>
                <w:szCs w:val="16"/>
                <w:lang w:val="en-IE" w:eastAsia="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14:paraId="13B83414"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CB2AECC"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DE87F2F"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B63F4F5"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4B92E6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F35DF4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0C2EFE0"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26991B6B" w14:textId="77777777" w:rsidTr="00445C9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CC3014F"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2016070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818240F"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12C13BD"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2FE0DA8"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75EB142"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6C318E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659F2D48"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0F1AF819"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ABD9FCD"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(AC, END -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37A863B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20596E7"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B7B03B2"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9498D17"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5B6ABDC"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BEBDE2E"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2B75A9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479926C2"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8AC9520"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Other budget lines (specify) - Heading </w:t>
            </w:r>
            <w:r>
              <w:rPr>
                <w:rFonts w:eastAsia="Times New Roman"/>
                <w:noProof/>
                <w:color w:val="000000"/>
                <w:sz w:val="16"/>
                <w:szCs w:val="16"/>
                <w:lang w:val="en-IE" w:eastAsia="en-IE"/>
              </w:rPr>
              <w:t>4</w:t>
            </w:r>
          </w:p>
        </w:tc>
        <w:tc>
          <w:tcPr>
            <w:tcW w:w="519" w:type="pct"/>
            <w:tcBorders>
              <w:top w:val="nil"/>
              <w:left w:val="nil"/>
              <w:bottom w:val="single" w:sz="8" w:space="0" w:color="auto"/>
              <w:right w:val="single" w:sz="8" w:space="0" w:color="auto"/>
            </w:tcBorders>
            <w:shd w:val="clear" w:color="000000" w:fill="D9D9D9"/>
            <w:vAlign w:val="center"/>
            <w:hideMark/>
          </w:tcPr>
          <w:p w14:paraId="2FE1AF6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0123CBD"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6B0D4FB"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8E79579"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75E26D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204BE75"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0B0B3266"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7C6E209C" w14:textId="77777777" w:rsidTr="00445C9D">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970B7AF" w14:textId="77777777" w:rsidR="00486288" w:rsidRPr="00186919" w:rsidRDefault="0048628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Other budget lines (specify) - Outside Heading </w:t>
            </w:r>
            <w:r>
              <w:rPr>
                <w:rFonts w:eastAsia="Times New Roman"/>
                <w:noProof/>
                <w:color w:val="000000"/>
                <w:sz w:val="16"/>
                <w:szCs w:val="16"/>
                <w:lang w:val="en-IE" w:eastAsia="en-IE"/>
              </w:rPr>
              <w:t>4</w:t>
            </w:r>
          </w:p>
        </w:tc>
        <w:tc>
          <w:tcPr>
            <w:tcW w:w="519" w:type="pct"/>
            <w:tcBorders>
              <w:top w:val="nil"/>
              <w:left w:val="nil"/>
              <w:bottom w:val="single" w:sz="8" w:space="0" w:color="auto"/>
              <w:right w:val="single" w:sz="8" w:space="0" w:color="auto"/>
            </w:tcBorders>
            <w:shd w:val="clear" w:color="000000" w:fill="D9D9D9"/>
            <w:vAlign w:val="center"/>
            <w:hideMark/>
          </w:tcPr>
          <w:p w14:paraId="54438F9C"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EE9481C"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6803E5B"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0E4D6EA"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615AF23"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8ECD3A4"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70801337" w14:textId="77777777" w:rsidR="00486288" w:rsidRPr="00186919" w:rsidRDefault="0048628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486288" w:rsidRPr="00186919" w14:paraId="27EF8E09" w14:textId="77777777" w:rsidTr="00445C9D">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7E5F5C9" w14:textId="77777777" w:rsidR="00486288" w:rsidRPr="003A71B9" w:rsidRDefault="00486288" w:rsidP="00445C9D">
            <w:pPr>
              <w:spacing w:before="0" w:after="0"/>
              <w:ind w:firstLineChars="100" w:firstLine="160"/>
              <w:jc w:val="left"/>
              <w:rPr>
                <w:rFonts w:eastAsia="Times New Roman"/>
                <w:noProof/>
                <w:color w:val="000000"/>
                <w:sz w:val="16"/>
                <w:szCs w:val="16"/>
                <w:lang w:val="en-IE" w:eastAsia="en-IE"/>
              </w:rPr>
            </w:pPr>
            <w:r w:rsidRPr="003A71B9">
              <w:rPr>
                <w:rFonts w:eastAsia="Times New Roman"/>
                <w:noProof/>
                <w:color w:val="000000"/>
                <w:sz w:val="16"/>
                <w:szCs w:val="16"/>
                <w:lang w:val="en-IE" w:eastAsia="en-IE"/>
              </w:rPr>
              <w:t>TOTAL</w:t>
            </w:r>
          </w:p>
        </w:tc>
        <w:tc>
          <w:tcPr>
            <w:tcW w:w="519" w:type="pct"/>
            <w:tcBorders>
              <w:top w:val="nil"/>
              <w:left w:val="nil"/>
              <w:bottom w:val="single" w:sz="8" w:space="0" w:color="auto"/>
              <w:right w:val="single" w:sz="8" w:space="0" w:color="auto"/>
            </w:tcBorders>
            <w:shd w:val="clear" w:color="000000" w:fill="D9D9D9"/>
            <w:hideMark/>
          </w:tcPr>
          <w:p w14:paraId="3C12F643" w14:textId="02B36ED3" w:rsidR="00486288" w:rsidRPr="00186919" w:rsidRDefault="0044599E" w:rsidP="00445C9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21</w:t>
            </w:r>
          </w:p>
        </w:tc>
        <w:tc>
          <w:tcPr>
            <w:tcW w:w="519" w:type="pct"/>
            <w:tcBorders>
              <w:top w:val="nil"/>
              <w:left w:val="nil"/>
              <w:bottom w:val="single" w:sz="8" w:space="0" w:color="auto"/>
              <w:right w:val="single" w:sz="8" w:space="0" w:color="auto"/>
            </w:tcBorders>
            <w:shd w:val="clear" w:color="000000" w:fill="D9D9D9"/>
            <w:hideMark/>
          </w:tcPr>
          <w:p w14:paraId="3E7E44CD" w14:textId="38AF4057" w:rsidR="00486288" w:rsidRPr="00186919" w:rsidRDefault="0044599E" w:rsidP="00445C9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26</w:t>
            </w:r>
          </w:p>
        </w:tc>
        <w:tc>
          <w:tcPr>
            <w:tcW w:w="519" w:type="pct"/>
            <w:tcBorders>
              <w:top w:val="nil"/>
              <w:left w:val="nil"/>
              <w:bottom w:val="single" w:sz="8" w:space="0" w:color="auto"/>
              <w:right w:val="single" w:sz="8" w:space="0" w:color="auto"/>
            </w:tcBorders>
            <w:shd w:val="clear" w:color="000000" w:fill="D9D9D9"/>
            <w:hideMark/>
          </w:tcPr>
          <w:p w14:paraId="0D224BDC" w14:textId="3644101C" w:rsidR="00486288" w:rsidRPr="00186919" w:rsidRDefault="0044599E" w:rsidP="00445C9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26</w:t>
            </w:r>
          </w:p>
        </w:tc>
        <w:tc>
          <w:tcPr>
            <w:tcW w:w="519" w:type="pct"/>
            <w:tcBorders>
              <w:top w:val="nil"/>
              <w:left w:val="nil"/>
              <w:bottom w:val="single" w:sz="8" w:space="0" w:color="auto"/>
              <w:right w:val="single" w:sz="8" w:space="0" w:color="auto"/>
            </w:tcBorders>
            <w:shd w:val="clear" w:color="000000" w:fill="D9D9D9"/>
            <w:hideMark/>
          </w:tcPr>
          <w:p w14:paraId="77C4F329" w14:textId="6C2AD172" w:rsidR="00486288" w:rsidRPr="00186919" w:rsidRDefault="0044599E" w:rsidP="00445C9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24</w:t>
            </w:r>
          </w:p>
        </w:tc>
        <w:tc>
          <w:tcPr>
            <w:tcW w:w="519" w:type="pct"/>
            <w:tcBorders>
              <w:top w:val="nil"/>
              <w:left w:val="nil"/>
              <w:bottom w:val="single" w:sz="8" w:space="0" w:color="auto"/>
              <w:right w:val="single" w:sz="8" w:space="0" w:color="auto"/>
            </w:tcBorders>
            <w:shd w:val="clear" w:color="000000" w:fill="D9D9D9"/>
            <w:hideMark/>
          </w:tcPr>
          <w:p w14:paraId="59B16D98" w14:textId="41B1E2FF" w:rsidR="00486288" w:rsidRPr="00186919" w:rsidRDefault="0044599E" w:rsidP="00445C9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24</w:t>
            </w:r>
          </w:p>
        </w:tc>
        <w:tc>
          <w:tcPr>
            <w:tcW w:w="519" w:type="pct"/>
            <w:tcBorders>
              <w:top w:val="nil"/>
              <w:left w:val="nil"/>
              <w:bottom w:val="single" w:sz="8" w:space="0" w:color="auto"/>
              <w:right w:val="single" w:sz="8" w:space="0" w:color="auto"/>
            </w:tcBorders>
            <w:shd w:val="clear" w:color="000000" w:fill="D9D9D9"/>
            <w:hideMark/>
          </w:tcPr>
          <w:p w14:paraId="06C64A3F" w14:textId="605E2FB8" w:rsidR="00486288" w:rsidRPr="00186919" w:rsidRDefault="0044599E" w:rsidP="00445C9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24</w:t>
            </w:r>
          </w:p>
        </w:tc>
        <w:tc>
          <w:tcPr>
            <w:tcW w:w="516" w:type="pct"/>
            <w:tcBorders>
              <w:top w:val="nil"/>
              <w:left w:val="nil"/>
              <w:bottom w:val="single" w:sz="8" w:space="0" w:color="auto"/>
              <w:right w:val="single" w:sz="8" w:space="0" w:color="auto"/>
            </w:tcBorders>
            <w:shd w:val="clear" w:color="000000" w:fill="D9D9D9"/>
            <w:hideMark/>
          </w:tcPr>
          <w:p w14:paraId="001B0731" w14:textId="185992F1" w:rsidR="00486288" w:rsidRPr="00186919" w:rsidRDefault="0044599E" w:rsidP="00445C9D">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24</w:t>
            </w:r>
          </w:p>
        </w:tc>
      </w:tr>
    </w:tbl>
    <w:p w14:paraId="2C28C1B2" w14:textId="77777777" w:rsidR="00486288" w:rsidRDefault="00486288" w:rsidP="00445C9D">
      <w:pPr>
        <w:pStyle w:val="Text1"/>
        <w:spacing w:before="60" w:after="60"/>
        <w:ind w:left="-426" w:right="-427"/>
        <w:rPr>
          <w:b/>
          <w:noProof/>
          <w:sz w:val="18"/>
          <w:szCs w:val="18"/>
          <w:lang w:val="en-IE"/>
        </w:rPr>
      </w:pPr>
    </w:p>
    <w:p w14:paraId="329B8409" w14:textId="77777777" w:rsidR="006052EE" w:rsidRDefault="006052EE" w:rsidP="00486288">
      <w:pPr>
        <w:pStyle w:val="ManualHeading3"/>
        <w:ind w:left="0" w:firstLine="0"/>
        <w:rPr>
          <w:noProof/>
        </w:rPr>
      </w:pPr>
      <w:bookmarkStart w:id="180" w:name="_Toc167220296"/>
      <w:bookmarkStart w:id="181" w:name="_Toc177549029"/>
      <w:r w:rsidRPr="003268F2">
        <w:rPr>
          <w:noProof/>
        </w:rPr>
        <w:t>3.2.</w:t>
      </w:r>
      <w:r>
        <w:rPr>
          <w:noProof/>
        </w:rPr>
        <w:t>4</w:t>
      </w:r>
      <w:r w:rsidRPr="003268F2">
        <w:rPr>
          <w:noProof/>
        </w:rPr>
        <w:t>.</w:t>
      </w:r>
      <w:r>
        <w:rPr>
          <w:noProof/>
        </w:rPr>
        <w:t>2.</w:t>
      </w:r>
      <w:r>
        <w:rPr>
          <w:noProof/>
        </w:rPr>
        <w:tab/>
        <w:t>Financed from external assigned revenues</w:t>
      </w:r>
      <w:bookmarkEnd w:id="180"/>
      <w:bookmarkEnd w:id="18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3E3128" w:rsidRPr="00186919" w14:paraId="5F79EB65" w14:textId="77777777" w:rsidTr="00445C9D">
        <w:trPr>
          <w:trHeight w:val="35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132513DB" w14:textId="77777777" w:rsidR="003E3128" w:rsidRPr="00186919" w:rsidRDefault="003E3128" w:rsidP="00445C9D">
            <w:pPr>
              <w:spacing w:before="0" w:after="0"/>
              <w:jc w:val="center"/>
              <w:rPr>
                <w:rFonts w:eastAsia="Times New Roman"/>
                <w:b/>
                <w:bCs/>
                <w:noProof/>
                <w:color w:val="000000"/>
                <w:sz w:val="18"/>
                <w:szCs w:val="18"/>
                <w:lang w:val="en-IE" w:eastAsia="en-IE"/>
              </w:rPr>
            </w:pPr>
            <w:r w:rsidRPr="00186919">
              <w:rPr>
                <w:rFonts w:eastAsia="Times New Roman"/>
                <w:b/>
                <w:bCs/>
                <w:noProof/>
                <w:color w:val="000000"/>
                <w:sz w:val="18"/>
                <w:szCs w:val="18"/>
                <w:lang w:val="en-IE" w:eastAsia="en-IE"/>
              </w:rPr>
              <w:t>EXTERNAL ASSIGNED REVENUES</w:t>
            </w:r>
          </w:p>
        </w:tc>
        <w:tc>
          <w:tcPr>
            <w:tcW w:w="519" w:type="pct"/>
            <w:tcBorders>
              <w:top w:val="single" w:sz="8" w:space="0" w:color="auto"/>
              <w:left w:val="nil"/>
              <w:bottom w:val="nil"/>
              <w:right w:val="single" w:sz="8" w:space="0" w:color="auto"/>
            </w:tcBorders>
            <w:vAlign w:val="center"/>
            <w:hideMark/>
          </w:tcPr>
          <w:p w14:paraId="10777015"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51139FF5"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78EC5B08"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1E6D4ABA"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61D88F1F"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4BF77207"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6" w:type="pct"/>
            <w:tcBorders>
              <w:top w:val="single" w:sz="8" w:space="0" w:color="auto"/>
              <w:left w:val="nil"/>
              <w:bottom w:val="nil"/>
              <w:right w:val="single" w:sz="8" w:space="0" w:color="auto"/>
            </w:tcBorders>
            <w:vAlign w:val="center"/>
            <w:hideMark/>
          </w:tcPr>
          <w:p w14:paraId="6EDE413E"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r>
      <w:tr w:rsidR="003E3128" w:rsidRPr="00186919" w14:paraId="7E3150B2" w14:textId="77777777" w:rsidTr="00445C9D">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634875E7" w14:textId="77777777" w:rsidR="003E3128" w:rsidRPr="00186919" w:rsidRDefault="003E3128" w:rsidP="00445C9D">
            <w:pPr>
              <w:spacing w:before="0" w:after="0"/>
              <w:jc w:val="left"/>
              <w:rPr>
                <w:rFonts w:eastAsia="Times New Roman"/>
                <w:b/>
                <w:bCs/>
                <w:noProof/>
                <w:color w:val="000000"/>
                <w:sz w:val="18"/>
                <w:szCs w:val="18"/>
                <w:lang w:val="en-IE" w:eastAsia="en-IE"/>
              </w:rPr>
            </w:pPr>
          </w:p>
        </w:tc>
        <w:tc>
          <w:tcPr>
            <w:tcW w:w="519" w:type="pct"/>
            <w:tcBorders>
              <w:top w:val="nil"/>
              <w:left w:val="nil"/>
              <w:bottom w:val="single" w:sz="8" w:space="0" w:color="auto"/>
              <w:right w:val="single" w:sz="8" w:space="0" w:color="auto"/>
            </w:tcBorders>
            <w:vAlign w:val="center"/>
            <w:hideMark/>
          </w:tcPr>
          <w:p w14:paraId="6DE0148E"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14:paraId="48816C2B"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14:paraId="281F8CB5"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14:paraId="5D65C27C"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2031</w:t>
            </w:r>
          </w:p>
        </w:tc>
        <w:tc>
          <w:tcPr>
            <w:tcW w:w="519" w:type="pct"/>
            <w:tcBorders>
              <w:top w:val="nil"/>
              <w:left w:val="nil"/>
              <w:bottom w:val="single" w:sz="8" w:space="0" w:color="auto"/>
              <w:right w:val="single" w:sz="8" w:space="0" w:color="auto"/>
            </w:tcBorders>
            <w:vAlign w:val="center"/>
            <w:hideMark/>
          </w:tcPr>
          <w:p w14:paraId="23E2FADF"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2032</w:t>
            </w:r>
          </w:p>
        </w:tc>
        <w:tc>
          <w:tcPr>
            <w:tcW w:w="519" w:type="pct"/>
            <w:tcBorders>
              <w:top w:val="nil"/>
              <w:left w:val="nil"/>
              <w:bottom w:val="single" w:sz="8" w:space="0" w:color="auto"/>
              <w:right w:val="single" w:sz="8" w:space="0" w:color="auto"/>
            </w:tcBorders>
            <w:vAlign w:val="center"/>
            <w:hideMark/>
          </w:tcPr>
          <w:p w14:paraId="55BEFF19"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2033</w:t>
            </w:r>
          </w:p>
        </w:tc>
        <w:tc>
          <w:tcPr>
            <w:tcW w:w="516" w:type="pct"/>
            <w:tcBorders>
              <w:top w:val="nil"/>
              <w:left w:val="nil"/>
              <w:bottom w:val="single" w:sz="8" w:space="0" w:color="auto"/>
              <w:right w:val="single" w:sz="8" w:space="0" w:color="auto"/>
            </w:tcBorders>
            <w:vAlign w:val="center"/>
            <w:hideMark/>
          </w:tcPr>
          <w:p w14:paraId="1B4D43DE"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2034</w:t>
            </w:r>
          </w:p>
        </w:tc>
      </w:tr>
      <w:tr w:rsidR="003E3128" w:rsidRPr="00186919" w14:paraId="069CFCC8" w14:textId="77777777" w:rsidTr="00445C9D">
        <w:trPr>
          <w:trHeight w:val="300"/>
        </w:trPr>
        <w:tc>
          <w:tcPr>
            <w:tcW w:w="5000" w:type="pct"/>
            <w:gridSpan w:val="9"/>
            <w:tcBorders>
              <w:top w:val="single" w:sz="8" w:space="0" w:color="auto"/>
              <w:left w:val="single" w:sz="8" w:space="0" w:color="auto"/>
              <w:bottom w:val="nil"/>
              <w:right w:val="single" w:sz="8" w:space="0" w:color="000000"/>
            </w:tcBorders>
            <w:vAlign w:val="center"/>
            <w:hideMark/>
          </w:tcPr>
          <w:p w14:paraId="44F1AD95" w14:textId="77777777" w:rsidR="003E3128" w:rsidRPr="00186919" w:rsidRDefault="003E3128" w:rsidP="00445C9D">
            <w:pPr>
              <w:spacing w:before="0" w:after="0"/>
              <w:jc w:val="center"/>
              <w:rPr>
                <w:rFonts w:ascii="Wingdings" w:eastAsia="Times New Roman" w:hAnsi="Wingdings"/>
                <w:b/>
                <w:bCs/>
                <w:noProof/>
                <w:color w:val="000000"/>
                <w:sz w:val="16"/>
                <w:szCs w:val="16"/>
                <w:lang w:val="en-IE" w:eastAsia="en-IE"/>
              </w:rPr>
            </w:pPr>
            <w:r w:rsidRPr="00186919">
              <w:rPr>
                <w:rFonts w:ascii="Wingdings" w:eastAsia="Times New Roman" w:hAnsi="Wingdings"/>
                <w:b/>
                <w:bCs/>
                <w:noProof/>
                <w:color w:val="000000"/>
                <w:sz w:val="16"/>
                <w:szCs w:val="16"/>
                <w:lang w:val="en-IE" w:eastAsia="en-IE"/>
              </w:rPr>
              <w:t></w:t>
            </w:r>
            <w:r w:rsidRPr="00186919">
              <w:rPr>
                <w:rFonts w:eastAsia="Times New Roman"/>
                <w:b/>
                <w:bCs/>
                <w:noProof/>
                <w:color w:val="000000"/>
                <w:sz w:val="16"/>
                <w:szCs w:val="16"/>
                <w:lang w:val="en-IE" w:eastAsia="en-IE"/>
              </w:rPr>
              <w:t xml:space="preserve"> Establishment plan posts (officials and temporary staff)</w:t>
            </w:r>
          </w:p>
        </w:tc>
      </w:tr>
      <w:tr w:rsidR="003E3128" w:rsidRPr="00186919" w14:paraId="56D15B1D" w14:textId="77777777" w:rsidTr="00445C9D">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F9A3B5A"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20 01 02 01</w:t>
            </w: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14:paraId="6AE3DC7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28D82DE"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9E25CF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C15FD53"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2A4217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DA46A3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78B51E4"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074E80C3"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8A145B9"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14:paraId="1DFC8A0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C48BEE7"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DD0AE3D"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9B919A1"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D18E331"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ED0C75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5A7CF84D"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1C32B7DC"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9AE63B2"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62339FF8"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18CD40B"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2AF99DD"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5AE9477"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582899F"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BE68449"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56DB12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5CC963AB"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0C4225A"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(Direct research)</w:t>
            </w:r>
          </w:p>
        </w:tc>
        <w:tc>
          <w:tcPr>
            <w:tcW w:w="519" w:type="pct"/>
            <w:tcBorders>
              <w:top w:val="nil"/>
              <w:left w:val="nil"/>
              <w:bottom w:val="single" w:sz="8" w:space="0" w:color="auto"/>
              <w:right w:val="single" w:sz="8" w:space="0" w:color="auto"/>
            </w:tcBorders>
            <w:shd w:val="clear" w:color="000000" w:fill="D9D9D9"/>
            <w:vAlign w:val="center"/>
            <w:hideMark/>
          </w:tcPr>
          <w:p w14:paraId="5F66AFB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16FAADE"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3FAC0A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5BD440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8E857FD"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4845BFA"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24C9623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102AF6" w:rsidRPr="00186919" w14:paraId="6932C45C"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5017DD9" w14:textId="77777777" w:rsidR="00102AF6" w:rsidRPr="00186919" w:rsidRDefault="00102AF6" w:rsidP="00102AF6">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Other budget lines (</w:t>
            </w:r>
            <w:r>
              <w:rPr>
                <w:rFonts w:eastAsia="Times New Roman"/>
                <w:noProof/>
                <w:color w:val="000000"/>
                <w:sz w:val="16"/>
                <w:szCs w:val="16"/>
                <w:lang w:val="en-IE" w:eastAsia="en-IE"/>
              </w:rPr>
              <w:t>registry)</w:t>
            </w:r>
          </w:p>
        </w:tc>
        <w:tc>
          <w:tcPr>
            <w:tcW w:w="519" w:type="pct"/>
            <w:tcBorders>
              <w:top w:val="nil"/>
              <w:left w:val="nil"/>
              <w:bottom w:val="single" w:sz="8" w:space="0" w:color="auto"/>
              <w:right w:val="single" w:sz="8" w:space="0" w:color="auto"/>
            </w:tcBorders>
            <w:shd w:val="clear" w:color="000000" w:fill="D9D9D9"/>
            <w:vAlign w:val="center"/>
            <w:hideMark/>
          </w:tcPr>
          <w:p w14:paraId="1545C8CC" w14:textId="5F6D5CF8" w:rsidR="00102AF6" w:rsidRPr="00186919" w:rsidRDefault="00102AF6" w:rsidP="00102AF6">
            <w:pPr>
              <w:spacing w:before="0" w:after="0"/>
              <w:jc w:val="center"/>
              <w:rPr>
                <w:rFonts w:eastAsia="Times New Roman"/>
                <w:noProof/>
                <w:color w:val="000000"/>
                <w:sz w:val="16"/>
                <w:szCs w:val="16"/>
                <w:lang w:val="en-IE" w:eastAsia="en-IE"/>
              </w:rPr>
            </w:pPr>
            <w:r w:rsidDel="000A5FB8">
              <w:rPr>
                <w:noProof/>
                <w:color w:val="000000"/>
                <w:sz w:val="16"/>
                <w:lang w:val="en-IE"/>
              </w:rPr>
              <w:t>24</w:t>
            </w:r>
          </w:p>
        </w:tc>
        <w:tc>
          <w:tcPr>
            <w:tcW w:w="519" w:type="pct"/>
            <w:tcBorders>
              <w:top w:val="nil"/>
              <w:left w:val="nil"/>
              <w:bottom w:val="single" w:sz="8" w:space="0" w:color="auto"/>
              <w:right w:val="single" w:sz="8" w:space="0" w:color="auto"/>
            </w:tcBorders>
            <w:shd w:val="clear" w:color="000000" w:fill="D9D9D9"/>
            <w:vAlign w:val="center"/>
            <w:hideMark/>
          </w:tcPr>
          <w:p w14:paraId="31350138" w14:textId="3F66ED02" w:rsidR="00102AF6" w:rsidRPr="00186919" w:rsidRDefault="00102AF6" w:rsidP="00102AF6">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48</w:t>
            </w:r>
          </w:p>
        </w:tc>
        <w:tc>
          <w:tcPr>
            <w:tcW w:w="519" w:type="pct"/>
            <w:tcBorders>
              <w:top w:val="nil"/>
              <w:left w:val="nil"/>
              <w:bottom w:val="single" w:sz="8" w:space="0" w:color="auto"/>
              <w:right w:val="single" w:sz="8" w:space="0" w:color="auto"/>
            </w:tcBorders>
            <w:shd w:val="clear" w:color="000000" w:fill="D9D9D9"/>
            <w:vAlign w:val="center"/>
            <w:hideMark/>
          </w:tcPr>
          <w:p w14:paraId="597C8348" w14:textId="6A9F4E2D" w:rsidR="00102AF6" w:rsidRPr="00186919" w:rsidRDefault="00102AF6" w:rsidP="00102AF6">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80</w:t>
            </w:r>
          </w:p>
        </w:tc>
        <w:tc>
          <w:tcPr>
            <w:tcW w:w="519" w:type="pct"/>
            <w:tcBorders>
              <w:top w:val="nil"/>
              <w:left w:val="nil"/>
              <w:bottom w:val="single" w:sz="8" w:space="0" w:color="auto"/>
              <w:right w:val="single" w:sz="8" w:space="0" w:color="auto"/>
            </w:tcBorders>
            <w:shd w:val="clear" w:color="000000" w:fill="D9D9D9"/>
            <w:vAlign w:val="center"/>
            <w:hideMark/>
          </w:tcPr>
          <w:p w14:paraId="18C53501" w14:textId="7C86F620" w:rsidR="00102AF6" w:rsidRPr="00186919" w:rsidRDefault="00102AF6" w:rsidP="00102AF6">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80</w:t>
            </w:r>
          </w:p>
        </w:tc>
        <w:tc>
          <w:tcPr>
            <w:tcW w:w="519" w:type="pct"/>
            <w:tcBorders>
              <w:top w:val="nil"/>
              <w:left w:val="nil"/>
              <w:bottom w:val="single" w:sz="8" w:space="0" w:color="auto"/>
              <w:right w:val="single" w:sz="8" w:space="0" w:color="auto"/>
            </w:tcBorders>
            <w:shd w:val="clear" w:color="000000" w:fill="D9D9D9"/>
            <w:vAlign w:val="center"/>
            <w:hideMark/>
          </w:tcPr>
          <w:p w14:paraId="608F24A7" w14:textId="609D2B66" w:rsidR="00102AF6" w:rsidRPr="00186919" w:rsidRDefault="00102AF6" w:rsidP="00102AF6">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80</w:t>
            </w:r>
          </w:p>
        </w:tc>
        <w:tc>
          <w:tcPr>
            <w:tcW w:w="519" w:type="pct"/>
            <w:tcBorders>
              <w:top w:val="nil"/>
              <w:left w:val="nil"/>
              <w:bottom w:val="single" w:sz="8" w:space="0" w:color="auto"/>
              <w:right w:val="single" w:sz="8" w:space="0" w:color="auto"/>
            </w:tcBorders>
            <w:shd w:val="clear" w:color="000000" w:fill="D9D9D9"/>
            <w:vAlign w:val="center"/>
            <w:hideMark/>
          </w:tcPr>
          <w:p w14:paraId="6E7E0AD5" w14:textId="0896D8FA" w:rsidR="00102AF6" w:rsidRPr="00186919" w:rsidRDefault="00102AF6" w:rsidP="00102AF6">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80</w:t>
            </w:r>
          </w:p>
        </w:tc>
        <w:tc>
          <w:tcPr>
            <w:tcW w:w="516" w:type="pct"/>
            <w:tcBorders>
              <w:top w:val="nil"/>
              <w:left w:val="nil"/>
              <w:bottom w:val="single" w:sz="8" w:space="0" w:color="auto"/>
              <w:right w:val="single" w:sz="8" w:space="0" w:color="auto"/>
            </w:tcBorders>
            <w:shd w:val="clear" w:color="000000" w:fill="D9D9D9"/>
            <w:vAlign w:val="center"/>
            <w:hideMark/>
          </w:tcPr>
          <w:p w14:paraId="74728A5B" w14:textId="1E0E9809" w:rsidR="00102AF6" w:rsidRPr="00186919" w:rsidRDefault="00102AF6" w:rsidP="00102AF6">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80</w:t>
            </w:r>
          </w:p>
        </w:tc>
      </w:tr>
      <w:tr w:rsidR="003E3128" w:rsidRPr="00186919" w14:paraId="3B06CEAA" w14:textId="77777777" w:rsidTr="00445C9D">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5BA3EEA3" w14:textId="77777777" w:rsidR="003E3128" w:rsidRPr="00186919" w:rsidRDefault="003E3128" w:rsidP="00445C9D">
            <w:pPr>
              <w:spacing w:before="0" w:after="0"/>
              <w:jc w:val="center"/>
              <w:rPr>
                <w:rFonts w:ascii="Calibri" w:eastAsia="Times New Roman" w:hAnsi="Calibri" w:cs="Calibri"/>
                <w:b/>
                <w:bCs/>
                <w:noProof/>
                <w:color w:val="000000"/>
                <w:sz w:val="16"/>
                <w:szCs w:val="16"/>
                <w:lang w:val="en-IE" w:eastAsia="en-IE"/>
              </w:rPr>
            </w:pPr>
            <w:r w:rsidRPr="00186919">
              <w:rPr>
                <w:rFonts w:ascii="Calibri" w:eastAsia="Times New Roman" w:hAnsi="Calibri" w:cs="Calibri"/>
                <w:b/>
                <w:bCs/>
                <w:noProof/>
                <w:color w:val="000000"/>
                <w:sz w:val="16"/>
                <w:szCs w:val="16"/>
                <w:lang w:val="en-IE" w:eastAsia="en-IE"/>
              </w:rPr>
              <w:t>•</w:t>
            </w:r>
            <w:r w:rsidRPr="00186919">
              <w:rPr>
                <w:rFonts w:eastAsia="Times New Roman"/>
                <w:b/>
                <w:bCs/>
                <w:noProof/>
                <w:color w:val="000000"/>
                <w:sz w:val="16"/>
                <w:szCs w:val="16"/>
                <w:lang w:val="en-IE" w:eastAsia="en-IE"/>
              </w:rPr>
              <w:t xml:space="preserve"> External staff (in full time equivalent units)</w:t>
            </w:r>
          </w:p>
        </w:tc>
      </w:tr>
      <w:tr w:rsidR="003E3128" w:rsidRPr="00186919" w14:paraId="7387A861" w14:textId="77777777" w:rsidTr="00445C9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F33155F"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20 02 01</w:t>
            </w: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14:paraId="35C7872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2997C8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54AFCD8"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8D2ADFA"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56942E9"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238BE7B"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05F06CB9"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523F2C1C" w14:textId="77777777" w:rsidTr="00445C9D">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65393C4"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14:paraId="3F5889DD"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2ADBDF3"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E5CE4E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CC537CB"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4FA5F74"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42CD6F4"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773F4B78"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7B0DB3C7" w14:textId="77777777" w:rsidTr="00445C9D">
        <w:trPr>
          <w:trHeight w:val="640"/>
        </w:trPr>
        <w:tc>
          <w:tcPr>
            <w:tcW w:w="751" w:type="pct"/>
            <w:tcBorders>
              <w:top w:val="nil"/>
              <w:left w:val="single" w:sz="8" w:space="0" w:color="auto"/>
              <w:bottom w:val="nil"/>
              <w:right w:val="single" w:sz="8" w:space="0" w:color="auto"/>
            </w:tcBorders>
            <w:vAlign w:val="center"/>
            <w:hideMark/>
          </w:tcPr>
          <w:p w14:paraId="5C8C0F34"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Admin. Support line</w:t>
            </w:r>
          </w:p>
        </w:tc>
        <w:tc>
          <w:tcPr>
            <w:tcW w:w="619" w:type="pct"/>
            <w:tcBorders>
              <w:top w:val="nil"/>
              <w:left w:val="nil"/>
              <w:bottom w:val="single" w:sz="8" w:space="0" w:color="auto"/>
              <w:right w:val="single" w:sz="8" w:space="0" w:color="auto"/>
            </w:tcBorders>
            <w:vAlign w:val="center"/>
            <w:hideMark/>
          </w:tcPr>
          <w:p w14:paraId="0430205A" w14:textId="77777777" w:rsidR="003E3128" w:rsidRPr="007E7CA0" w:rsidRDefault="003E3128" w:rsidP="004830AF">
            <w:pPr>
              <w:pStyle w:val="ListParagraph"/>
              <w:numPr>
                <w:ilvl w:val="0"/>
                <w:numId w:val="19"/>
              </w:numPr>
              <w:spacing w:before="0" w:after="0"/>
              <w:ind w:left="169" w:hanging="209"/>
              <w:jc w:val="left"/>
              <w:rPr>
                <w:noProof/>
                <w:color w:val="000000"/>
                <w:sz w:val="16"/>
                <w:szCs w:val="16"/>
                <w:lang w:val="en-IE" w:eastAsia="en-IE"/>
              </w:rPr>
            </w:pPr>
            <w:r w:rsidRPr="007E7CA0">
              <w:rPr>
                <w:noProof/>
                <w:color w:val="000000"/>
                <w:sz w:val="16"/>
                <w:szCs w:val="16"/>
                <w:lang w:val="en-IE" w:eastAsia="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14:paraId="4555C3B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642CF21"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C10D192"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C44AACD"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1594F5E"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A469B4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1BF82E8"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48F3A25F" w14:textId="77777777" w:rsidTr="00445C9D">
        <w:trPr>
          <w:trHeight w:val="430"/>
        </w:trPr>
        <w:tc>
          <w:tcPr>
            <w:tcW w:w="751" w:type="pct"/>
            <w:tcBorders>
              <w:top w:val="nil"/>
              <w:left w:val="single" w:sz="8" w:space="0" w:color="auto"/>
              <w:bottom w:val="single" w:sz="8" w:space="0" w:color="auto"/>
              <w:right w:val="single" w:sz="8" w:space="0" w:color="auto"/>
            </w:tcBorders>
            <w:vAlign w:val="center"/>
            <w:hideMark/>
          </w:tcPr>
          <w:p w14:paraId="57B6CDA8"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14:paraId="1AFC8352" w14:textId="77777777" w:rsidR="003E3128" w:rsidRPr="007E7CA0" w:rsidRDefault="003E3128" w:rsidP="004830AF">
            <w:pPr>
              <w:pStyle w:val="ListParagraph"/>
              <w:numPr>
                <w:ilvl w:val="0"/>
                <w:numId w:val="19"/>
              </w:numPr>
              <w:spacing w:before="0" w:after="0"/>
              <w:ind w:left="169" w:hanging="209"/>
              <w:jc w:val="left"/>
              <w:rPr>
                <w:noProof/>
                <w:color w:val="000000"/>
                <w:sz w:val="16"/>
                <w:szCs w:val="16"/>
                <w:lang w:val="en-IE" w:eastAsia="en-IE"/>
              </w:rPr>
            </w:pPr>
            <w:r w:rsidRPr="007E7CA0">
              <w:rPr>
                <w:noProof/>
                <w:color w:val="000000"/>
                <w:sz w:val="16"/>
                <w:szCs w:val="16"/>
                <w:lang w:val="en-IE" w:eastAsia="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14:paraId="644699B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3849CF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1855C49"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4321FBB"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1F8202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6F63C21"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F6D8E2A"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501A1937" w14:textId="77777777" w:rsidTr="00445C9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5A8EA6E"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7C36689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E57082D"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BE17D7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49807C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76EBEA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E94B4FA"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09EFD063"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374BC3A1"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446361D"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(AC, END -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6496B5E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4CE1234"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09D04D8"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2CFB5E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58213E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A41FBC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0064D4FE"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6168ACC7"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09CC989"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Other budget lines (specify) - Heading </w:t>
            </w:r>
            <w:r>
              <w:rPr>
                <w:rFonts w:eastAsia="Times New Roman"/>
                <w:noProof/>
                <w:color w:val="000000"/>
                <w:sz w:val="16"/>
                <w:szCs w:val="16"/>
                <w:lang w:val="en-IE" w:eastAsia="en-IE"/>
              </w:rPr>
              <w:t>4</w:t>
            </w:r>
          </w:p>
        </w:tc>
        <w:tc>
          <w:tcPr>
            <w:tcW w:w="519" w:type="pct"/>
            <w:tcBorders>
              <w:top w:val="nil"/>
              <w:left w:val="nil"/>
              <w:bottom w:val="single" w:sz="8" w:space="0" w:color="auto"/>
              <w:right w:val="single" w:sz="8" w:space="0" w:color="auto"/>
            </w:tcBorders>
            <w:shd w:val="clear" w:color="000000" w:fill="D9D9D9"/>
            <w:vAlign w:val="center"/>
            <w:hideMark/>
          </w:tcPr>
          <w:p w14:paraId="49EC710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EB8CE8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2D787E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1857C9E"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90A68C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F61862A"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7B64B45F"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0E3F9D" w:rsidRPr="005F585C" w14:paraId="1AFCEE72" w14:textId="77777777" w:rsidTr="000E3F9D">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7B92956" w14:textId="77777777" w:rsidR="00102AF6" w:rsidRPr="00186919" w:rsidRDefault="00102AF6" w:rsidP="00102AF6">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Other budget lines (specify) - Outside Heading </w:t>
            </w:r>
            <w:r>
              <w:rPr>
                <w:rFonts w:eastAsia="Times New Roman"/>
                <w:noProof/>
                <w:color w:val="000000"/>
                <w:sz w:val="16"/>
                <w:szCs w:val="16"/>
                <w:lang w:val="en-IE" w:eastAsia="en-IE"/>
              </w:rPr>
              <w:t>4</w:t>
            </w:r>
          </w:p>
        </w:tc>
        <w:tc>
          <w:tcPr>
            <w:tcW w:w="519" w:type="pct"/>
            <w:tcBorders>
              <w:top w:val="nil"/>
              <w:left w:val="nil"/>
              <w:bottom w:val="single" w:sz="8" w:space="0" w:color="auto"/>
              <w:right w:val="single" w:sz="8" w:space="0" w:color="auto"/>
            </w:tcBorders>
            <w:shd w:val="clear" w:color="000000" w:fill="D9D9D9"/>
            <w:hideMark/>
          </w:tcPr>
          <w:p w14:paraId="65736FF4" w14:textId="28180FD1" w:rsidR="00102AF6" w:rsidRPr="005F585C" w:rsidRDefault="00102AF6" w:rsidP="00102AF6">
            <w:pPr>
              <w:spacing w:before="0" w:after="0"/>
              <w:jc w:val="center"/>
              <w:rPr>
                <w:rFonts w:eastAsia="Times New Roman"/>
                <w:b/>
                <w:noProof/>
                <w:color w:val="000000"/>
                <w:sz w:val="16"/>
                <w:szCs w:val="16"/>
                <w:lang w:val="en-IE" w:eastAsia="en-IE"/>
              </w:rPr>
            </w:pPr>
            <w:r w:rsidDel="00560E22">
              <w:rPr>
                <w:b/>
                <w:noProof/>
                <w:color w:val="000000"/>
                <w:sz w:val="16"/>
                <w:lang w:val="en-IE"/>
              </w:rPr>
              <w:t>4</w:t>
            </w:r>
          </w:p>
        </w:tc>
        <w:tc>
          <w:tcPr>
            <w:tcW w:w="519" w:type="pct"/>
            <w:tcBorders>
              <w:top w:val="nil"/>
              <w:left w:val="nil"/>
              <w:bottom w:val="single" w:sz="8" w:space="0" w:color="auto"/>
              <w:right w:val="single" w:sz="8" w:space="0" w:color="auto"/>
            </w:tcBorders>
            <w:shd w:val="clear" w:color="000000" w:fill="D9D9D9"/>
            <w:hideMark/>
          </w:tcPr>
          <w:p w14:paraId="189AC7D3" w14:textId="30EB4100" w:rsidR="00102AF6" w:rsidRPr="005F585C" w:rsidRDefault="00102AF6" w:rsidP="00102AF6">
            <w:pPr>
              <w:spacing w:before="0" w:after="0"/>
              <w:jc w:val="center"/>
              <w:rPr>
                <w:rFonts w:eastAsia="Times New Roman"/>
                <w:b/>
                <w:noProof/>
                <w:color w:val="000000"/>
                <w:sz w:val="16"/>
                <w:szCs w:val="16"/>
                <w:lang w:val="en-IE" w:eastAsia="en-IE"/>
              </w:rPr>
            </w:pPr>
            <w:r>
              <w:rPr>
                <w:rFonts w:eastAsia="Times New Roman"/>
                <w:b/>
                <w:bCs/>
                <w:noProof/>
                <w:color w:val="000000"/>
                <w:sz w:val="16"/>
                <w:szCs w:val="16"/>
                <w:lang w:val="en-IE" w:eastAsia="en-IE"/>
              </w:rPr>
              <w:t>22</w:t>
            </w:r>
          </w:p>
        </w:tc>
        <w:tc>
          <w:tcPr>
            <w:tcW w:w="519" w:type="pct"/>
            <w:tcBorders>
              <w:top w:val="nil"/>
              <w:left w:val="nil"/>
              <w:bottom w:val="single" w:sz="8" w:space="0" w:color="auto"/>
              <w:right w:val="single" w:sz="8" w:space="0" w:color="auto"/>
            </w:tcBorders>
            <w:shd w:val="clear" w:color="000000" w:fill="D9D9D9"/>
            <w:hideMark/>
          </w:tcPr>
          <w:p w14:paraId="04F09783" w14:textId="6BD43DAB" w:rsidR="00102AF6" w:rsidRPr="005F585C" w:rsidRDefault="00102AF6" w:rsidP="00102AF6">
            <w:pPr>
              <w:spacing w:before="0" w:after="0"/>
              <w:jc w:val="center"/>
              <w:rPr>
                <w:rFonts w:eastAsia="Times New Roman"/>
                <w:b/>
                <w:noProof/>
                <w:color w:val="000000"/>
                <w:sz w:val="16"/>
                <w:szCs w:val="16"/>
                <w:lang w:val="en-IE" w:eastAsia="en-IE"/>
              </w:rPr>
            </w:pPr>
            <w:r>
              <w:rPr>
                <w:b/>
                <w:noProof/>
                <w:color w:val="000000"/>
                <w:sz w:val="16"/>
                <w:lang w:val="en-IE"/>
              </w:rPr>
              <w:t>28</w:t>
            </w:r>
          </w:p>
        </w:tc>
        <w:tc>
          <w:tcPr>
            <w:tcW w:w="519" w:type="pct"/>
            <w:tcBorders>
              <w:top w:val="nil"/>
              <w:left w:val="nil"/>
              <w:bottom w:val="single" w:sz="8" w:space="0" w:color="auto"/>
              <w:right w:val="single" w:sz="8" w:space="0" w:color="auto"/>
            </w:tcBorders>
            <w:shd w:val="clear" w:color="000000" w:fill="D9D9D9"/>
            <w:hideMark/>
          </w:tcPr>
          <w:p w14:paraId="1CF1365D" w14:textId="4C296B86" w:rsidR="00102AF6" w:rsidRPr="005F585C" w:rsidRDefault="00102AF6" w:rsidP="00102AF6">
            <w:pPr>
              <w:spacing w:before="0" w:after="0"/>
              <w:jc w:val="center"/>
              <w:rPr>
                <w:rFonts w:eastAsia="Times New Roman"/>
                <w:b/>
                <w:noProof/>
                <w:color w:val="000000"/>
                <w:sz w:val="16"/>
                <w:szCs w:val="16"/>
                <w:lang w:val="en-IE" w:eastAsia="en-IE"/>
              </w:rPr>
            </w:pPr>
            <w:r>
              <w:rPr>
                <w:rFonts w:eastAsia="Times New Roman"/>
                <w:b/>
                <w:bCs/>
                <w:noProof/>
                <w:color w:val="000000"/>
                <w:sz w:val="16"/>
                <w:szCs w:val="16"/>
                <w:lang w:val="en-IE" w:eastAsia="en-IE"/>
              </w:rPr>
              <w:t>60</w:t>
            </w:r>
          </w:p>
        </w:tc>
        <w:tc>
          <w:tcPr>
            <w:tcW w:w="519" w:type="pct"/>
            <w:tcBorders>
              <w:top w:val="nil"/>
              <w:left w:val="nil"/>
              <w:bottom w:val="single" w:sz="8" w:space="0" w:color="auto"/>
              <w:right w:val="single" w:sz="8" w:space="0" w:color="auto"/>
            </w:tcBorders>
            <w:shd w:val="clear" w:color="000000" w:fill="D9D9D9"/>
            <w:hideMark/>
          </w:tcPr>
          <w:p w14:paraId="6CBF42FB" w14:textId="6C0EDB4E" w:rsidR="00102AF6" w:rsidRPr="005F585C" w:rsidRDefault="00102AF6" w:rsidP="00102AF6">
            <w:pPr>
              <w:spacing w:before="0" w:after="0"/>
              <w:jc w:val="center"/>
              <w:rPr>
                <w:rFonts w:eastAsia="Times New Roman"/>
                <w:b/>
                <w:noProof/>
                <w:color w:val="000000"/>
                <w:sz w:val="16"/>
                <w:szCs w:val="16"/>
                <w:lang w:val="en-IE" w:eastAsia="en-IE"/>
              </w:rPr>
            </w:pPr>
            <w:r>
              <w:rPr>
                <w:rFonts w:eastAsia="Times New Roman"/>
                <w:b/>
                <w:bCs/>
                <w:noProof/>
                <w:color w:val="000000"/>
                <w:sz w:val="16"/>
                <w:szCs w:val="16"/>
                <w:lang w:val="en-IE" w:eastAsia="en-IE"/>
              </w:rPr>
              <w:t>62</w:t>
            </w:r>
          </w:p>
        </w:tc>
        <w:tc>
          <w:tcPr>
            <w:tcW w:w="519" w:type="pct"/>
            <w:tcBorders>
              <w:top w:val="nil"/>
              <w:left w:val="nil"/>
              <w:bottom w:val="single" w:sz="8" w:space="0" w:color="auto"/>
              <w:right w:val="single" w:sz="8" w:space="0" w:color="auto"/>
            </w:tcBorders>
            <w:shd w:val="clear" w:color="000000" w:fill="D9D9D9"/>
            <w:hideMark/>
          </w:tcPr>
          <w:p w14:paraId="0079960B" w14:textId="11002132" w:rsidR="00102AF6" w:rsidRPr="005F585C" w:rsidRDefault="00102AF6" w:rsidP="00102AF6">
            <w:pPr>
              <w:spacing w:before="0" w:after="0"/>
              <w:jc w:val="center"/>
              <w:rPr>
                <w:rFonts w:eastAsia="Times New Roman"/>
                <w:b/>
                <w:noProof/>
                <w:color w:val="000000"/>
                <w:sz w:val="16"/>
                <w:szCs w:val="16"/>
                <w:lang w:val="en-IE" w:eastAsia="en-IE"/>
              </w:rPr>
            </w:pPr>
            <w:r>
              <w:rPr>
                <w:rFonts w:eastAsia="Times New Roman"/>
                <w:b/>
                <w:bCs/>
                <w:noProof/>
                <w:color w:val="000000"/>
                <w:sz w:val="16"/>
                <w:szCs w:val="16"/>
                <w:lang w:val="en-IE" w:eastAsia="en-IE"/>
              </w:rPr>
              <w:t>62</w:t>
            </w:r>
          </w:p>
        </w:tc>
        <w:tc>
          <w:tcPr>
            <w:tcW w:w="516" w:type="pct"/>
            <w:tcBorders>
              <w:top w:val="nil"/>
              <w:left w:val="nil"/>
              <w:bottom w:val="single" w:sz="8" w:space="0" w:color="auto"/>
              <w:right w:val="single" w:sz="8" w:space="0" w:color="auto"/>
            </w:tcBorders>
            <w:shd w:val="clear" w:color="000000" w:fill="D9D9D9"/>
            <w:hideMark/>
          </w:tcPr>
          <w:p w14:paraId="537DC50A" w14:textId="4D063755" w:rsidR="00102AF6" w:rsidRPr="005F585C" w:rsidRDefault="00102AF6" w:rsidP="00102AF6">
            <w:pPr>
              <w:spacing w:before="0" w:after="0"/>
              <w:jc w:val="center"/>
              <w:rPr>
                <w:rFonts w:eastAsia="Times New Roman"/>
                <w:b/>
                <w:noProof/>
                <w:color w:val="000000"/>
                <w:sz w:val="16"/>
                <w:szCs w:val="16"/>
                <w:lang w:val="en-IE" w:eastAsia="en-IE"/>
              </w:rPr>
            </w:pPr>
            <w:r>
              <w:rPr>
                <w:rFonts w:eastAsia="Times New Roman"/>
                <w:b/>
                <w:bCs/>
                <w:noProof/>
                <w:color w:val="000000"/>
                <w:sz w:val="16"/>
                <w:szCs w:val="16"/>
                <w:lang w:val="en-IE" w:eastAsia="en-IE"/>
              </w:rPr>
              <w:t>62</w:t>
            </w:r>
          </w:p>
        </w:tc>
      </w:tr>
      <w:tr w:rsidR="000E3F9D" w:rsidRPr="00186919" w14:paraId="6A24C4EA" w14:textId="77777777" w:rsidTr="000E3F9D">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4545A3C" w14:textId="77777777" w:rsidR="00102AF6" w:rsidRPr="00186919" w:rsidRDefault="00102AF6" w:rsidP="00102AF6">
            <w:pPr>
              <w:spacing w:before="0" w:after="0"/>
              <w:ind w:firstLineChars="100" w:firstLine="161"/>
              <w:jc w:val="left"/>
              <w:rPr>
                <w:rFonts w:eastAsia="Times New Roman"/>
                <w:b/>
                <w:bCs/>
                <w:noProof/>
                <w:color w:val="000000"/>
                <w:sz w:val="16"/>
                <w:szCs w:val="16"/>
                <w:lang w:val="en-IE" w:eastAsia="en-IE"/>
              </w:rPr>
            </w:pPr>
            <w:r w:rsidRPr="00186919">
              <w:rPr>
                <w:rFonts w:eastAsia="Times New Roman"/>
                <w:b/>
                <w:bCs/>
                <w:noProof/>
                <w:color w:val="000000"/>
                <w:sz w:val="16"/>
                <w:szCs w:val="16"/>
                <w:lang w:val="en-IE" w:eastAsia="en-IE"/>
              </w:rPr>
              <w:t>TOTAL</w:t>
            </w:r>
          </w:p>
        </w:tc>
        <w:tc>
          <w:tcPr>
            <w:tcW w:w="519" w:type="pct"/>
            <w:tcBorders>
              <w:top w:val="nil"/>
              <w:left w:val="nil"/>
              <w:bottom w:val="single" w:sz="8" w:space="0" w:color="auto"/>
              <w:right w:val="single" w:sz="8" w:space="0" w:color="auto"/>
            </w:tcBorders>
            <w:shd w:val="clear" w:color="000000" w:fill="D9D9D9"/>
            <w:hideMark/>
          </w:tcPr>
          <w:p w14:paraId="6316B34B" w14:textId="5BB0F957" w:rsidR="00102AF6" w:rsidRPr="00186919" w:rsidRDefault="00102AF6" w:rsidP="00102AF6">
            <w:pPr>
              <w:spacing w:before="0" w:after="0"/>
              <w:jc w:val="center"/>
              <w:rPr>
                <w:rFonts w:eastAsia="Times New Roman"/>
                <w:b/>
                <w:bCs/>
                <w:noProof/>
                <w:color w:val="000000"/>
                <w:sz w:val="16"/>
                <w:szCs w:val="16"/>
                <w:lang w:val="en-IE" w:eastAsia="en-IE"/>
              </w:rPr>
            </w:pPr>
            <w:r w:rsidDel="00560E22">
              <w:rPr>
                <w:b/>
                <w:noProof/>
                <w:color w:val="000000"/>
                <w:sz w:val="16"/>
                <w:lang w:val="en-IE"/>
              </w:rPr>
              <w:t>28</w:t>
            </w:r>
          </w:p>
        </w:tc>
        <w:tc>
          <w:tcPr>
            <w:tcW w:w="519" w:type="pct"/>
            <w:tcBorders>
              <w:top w:val="nil"/>
              <w:left w:val="nil"/>
              <w:bottom w:val="single" w:sz="8" w:space="0" w:color="auto"/>
              <w:right w:val="single" w:sz="8" w:space="0" w:color="auto"/>
            </w:tcBorders>
            <w:shd w:val="clear" w:color="000000" w:fill="D9D9D9"/>
            <w:hideMark/>
          </w:tcPr>
          <w:p w14:paraId="78E93C0E" w14:textId="02858C41" w:rsidR="00102AF6" w:rsidRPr="00186919" w:rsidRDefault="00102AF6" w:rsidP="00102AF6">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70</w:t>
            </w:r>
          </w:p>
        </w:tc>
        <w:tc>
          <w:tcPr>
            <w:tcW w:w="519" w:type="pct"/>
            <w:tcBorders>
              <w:top w:val="nil"/>
              <w:left w:val="nil"/>
              <w:bottom w:val="single" w:sz="8" w:space="0" w:color="auto"/>
              <w:right w:val="single" w:sz="8" w:space="0" w:color="auto"/>
            </w:tcBorders>
            <w:shd w:val="clear" w:color="000000" w:fill="D9D9D9"/>
            <w:hideMark/>
          </w:tcPr>
          <w:p w14:paraId="26B1CFF0" w14:textId="58623AF5" w:rsidR="00102AF6" w:rsidRPr="00186919" w:rsidRDefault="00524D56" w:rsidP="00102AF6">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108</w:t>
            </w:r>
          </w:p>
        </w:tc>
        <w:tc>
          <w:tcPr>
            <w:tcW w:w="519" w:type="pct"/>
            <w:tcBorders>
              <w:top w:val="nil"/>
              <w:left w:val="nil"/>
              <w:bottom w:val="single" w:sz="8" w:space="0" w:color="auto"/>
              <w:right w:val="single" w:sz="8" w:space="0" w:color="auto"/>
            </w:tcBorders>
            <w:shd w:val="clear" w:color="000000" w:fill="D9D9D9"/>
            <w:hideMark/>
          </w:tcPr>
          <w:p w14:paraId="0E82DE91" w14:textId="4B7C9C53" w:rsidR="00102AF6" w:rsidRPr="00186919" w:rsidRDefault="00102AF6" w:rsidP="00102AF6">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140</w:t>
            </w:r>
          </w:p>
        </w:tc>
        <w:tc>
          <w:tcPr>
            <w:tcW w:w="519" w:type="pct"/>
            <w:tcBorders>
              <w:top w:val="nil"/>
              <w:left w:val="nil"/>
              <w:bottom w:val="single" w:sz="8" w:space="0" w:color="auto"/>
              <w:right w:val="single" w:sz="8" w:space="0" w:color="auto"/>
            </w:tcBorders>
            <w:shd w:val="clear" w:color="000000" w:fill="D9D9D9"/>
            <w:hideMark/>
          </w:tcPr>
          <w:p w14:paraId="4DA112E1" w14:textId="06860C66" w:rsidR="00102AF6" w:rsidRPr="00186919" w:rsidRDefault="00102AF6" w:rsidP="00102AF6">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142</w:t>
            </w:r>
          </w:p>
        </w:tc>
        <w:tc>
          <w:tcPr>
            <w:tcW w:w="519" w:type="pct"/>
            <w:tcBorders>
              <w:top w:val="nil"/>
              <w:left w:val="nil"/>
              <w:bottom w:val="single" w:sz="8" w:space="0" w:color="auto"/>
              <w:right w:val="single" w:sz="8" w:space="0" w:color="auto"/>
            </w:tcBorders>
            <w:shd w:val="clear" w:color="000000" w:fill="D9D9D9"/>
            <w:hideMark/>
          </w:tcPr>
          <w:p w14:paraId="375E100A" w14:textId="5F965C46" w:rsidR="00102AF6" w:rsidRPr="00186919" w:rsidRDefault="00102AF6" w:rsidP="00102AF6">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142</w:t>
            </w:r>
          </w:p>
        </w:tc>
        <w:tc>
          <w:tcPr>
            <w:tcW w:w="516" w:type="pct"/>
            <w:tcBorders>
              <w:top w:val="nil"/>
              <w:left w:val="nil"/>
              <w:bottom w:val="single" w:sz="8" w:space="0" w:color="auto"/>
              <w:right w:val="single" w:sz="8" w:space="0" w:color="auto"/>
            </w:tcBorders>
            <w:shd w:val="clear" w:color="000000" w:fill="D9D9D9"/>
            <w:hideMark/>
          </w:tcPr>
          <w:p w14:paraId="2E9A225B" w14:textId="265EE49D" w:rsidR="00102AF6" w:rsidRPr="00186919" w:rsidRDefault="00102AF6" w:rsidP="00102AF6">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142</w:t>
            </w:r>
          </w:p>
        </w:tc>
      </w:tr>
    </w:tbl>
    <w:p w14:paraId="1FA32644" w14:textId="77777777" w:rsidR="006052EE" w:rsidRDefault="006052EE" w:rsidP="00445C9D">
      <w:pPr>
        <w:pStyle w:val="ManualHeading3"/>
        <w:rPr>
          <w:noProof/>
        </w:rPr>
      </w:pPr>
      <w:bookmarkStart w:id="182" w:name="_Toc167220297"/>
      <w:bookmarkStart w:id="183" w:name="_Toc177549030"/>
      <w:r w:rsidRPr="003268F2">
        <w:rPr>
          <w:noProof/>
        </w:rPr>
        <w:t>3.2.</w:t>
      </w:r>
      <w:r>
        <w:rPr>
          <w:noProof/>
        </w:rPr>
        <w:t>4</w:t>
      </w:r>
      <w:r w:rsidRPr="003268F2">
        <w:rPr>
          <w:noProof/>
        </w:rPr>
        <w:t>.</w:t>
      </w:r>
      <w:r>
        <w:rPr>
          <w:noProof/>
        </w:rPr>
        <w:t>3.</w:t>
      </w:r>
      <w:r>
        <w:rPr>
          <w:noProof/>
        </w:rPr>
        <w:tab/>
        <w:t>Total requirements of human resources</w:t>
      </w:r>
      <w:bookmarkEnd w:id="182"/>
      <w:bookmarkEnd w:id="183"/>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3E3128" w:rsidRPr="00186919" w14:paraId="19BB7F74" w14:textId="77777777" w:rsidTr="00445C9D">
        <w:trPr>
          <w:trHeight w:val="80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50FFCFB3" w14:textId="77777777" w:rsidR="003E3128" w:rsidRPr="00186919" w:rsidRDefault="003E3128" w:rsidP="00E67DD0">
            <w:pPr>
              <w:spacing w:before="0" w:after="0"/>
              <w:jc w:val="center"/>
              <w:rPr>
                <w:rFonts w:eastAsia="Times New Roman"/>
                <w:b/>
                <w:bCs/>
                <w:noProof/>
                <w:color w:val="000000"/>
                <w:sz w:val="18"/>
                <w:szCs w:val="18"/>
                <w:lang w:val="en-IE" w:eastAsia="en-IE"/>
              </w:rPr>
            </w:pPr>
            <w:r w:rsidRPr="00186919">
              <w:rPr>
                <w:rFonts w:eastAsia="Times New Roman"/>
                <w:b/>
                <w:bCs/>
                <w:noProof/>
                <w:color w:val="000000"/>
                <w:sz w:val="18"/>
                <w:szCs w:val="18"/>
                <w:lang w:val="en-IE" w:eastAsia="en-IE"/>
              </w:rPr>
              <w:t>TOTAL VOTED APPROPRIATIONS</w:t>
            </w:r>
            <w:r w:rsidR="00E67DD0">
              <w:rPr>
                <w:rFonts w:eastAsia="Times New Roman"/>
                <w:b/>
                <w:bCs/>
                <w:noProof/>
                <w:color w:val="000000"/>
                <w:sz w:val="18"/>
                <w:szCs w:val="18"/>
                <w:lang w:val="en-IE" w:eastAsia="en-IE"/>
              </w:rPr>
              <w:t xml:space="preserve"> +</w:t>
            </w:r>
            <w:r w:rsidRPr="00186919">
              <w:rPr>
                <w:rFonts w:eastAsia="Times New Roman"/>
                <w:b/>
                <w:bCs/>
                <w:noProof/>
                <w:color w:val="000000"/>
                <w:sz w:val="18"/>
                <w:szCs w:val="18"/>
                <w:lang w:val="en-IE" w:eastAsia="en-IE"/>
              </w:rPr>
              <w:t xml:space="preserve">                                                      EXTERNAL ASSIGNED REVENUES</w:t>
            </w:r>
          </w:p>
        </w:tc>
        <w:tc>
          <w:tcPr>
            <w:tcW w:w="519" w:type="pct"/>
            <w:tcBorders>
              <w:top w:val="single" w:sz="8" w:space="0" w:color="auto"/>
              <w:left w:val="nil"/>
              <w:bottom w:val="nil"/>
              <w:right w:val="single" w:sz="8" w:space="0" w:color="auto"/>
            </w:tcBorders>
            <w:vAlign w:val="center"/>
            <w:hideMark/>
          </w:tcPr>
          <w:p w14:paraId="00CFED6F"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43D461EA"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45BD1664"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0210CB1B"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594C76F1"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657BD4DE"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c>
          <w:tcPr>
            <w:tcW w:w="516" w:type="pct"/>
            <w:tcBorders>
              <w:top w:val="single" w:sz="8" w:space="0" w:color="auto"/>
              <w:left w:val="nil"/>
              <w:bottom w:val="nil"/>
              <w:right w:val="single" w:sz="8" w:space="0" w:color="auto"/>
            </w:tcBorders>
            <w:vAlign w:val="center"/>
            <w:hideMark/>
          </w:tcPr>
          <w:p w14:paraId="5AA226E8" w14:textId="77777777" w:rsidR="003E3128" w:rsidRPr="00186919" w:rsidRDefault="003E3128" w:rsidP="00445C9D">
            <w:pPr>
              <w:spacing w:before="0" w:after="0"/>
              <w:jc w:val="center"/>
              <w:rPr>
                <w:rFonts w:eastAsia="Times New Roman"/>
                <w:noProof/>
                <w:color w:val="000000"/>
                <w:sz w:val="20"/>
                <w:szCs w:val="20"/>
                <w:lang w:val="en-IE" w:eastAsia="en-IE"/>
              </w:rPr>
            </w:pPr>
            <w:r w:rsidRPr="00186919">
              <w:rPr>
                <w:rFonts w:eastAsia="Times New Roman"/>
                <w:noProof/>
                <w:color w:val="000000"/>
                <w:sz w:val="20"/>
                <w:szCs w:val="20"/>
                <w:lang w:val="en-IE" w:eastAsia="en-IE"/>
              </w:rPr>
              <w:t>Year</w:t>
            </w:r>
          </w:p>
        </w:tc>
      </w:tr>
      <w:tr w:rsidR="003E3128" w:rsidRPr="00186919" w14:paraId="4DED9A8B" w14:textId="77777777" w:rsidTr="00445C9D">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49155191" w14:textId="77777777" w:rsidR="003E3128" w:rsidRPr="00186919" w:rsidRDefault="003E3128" w:rsidP="00445C9D">
            <w:pPr>
              <w:spacing w:before="0" w:after="0"/>
              <w:jc w:val="left"/>
              <w:rPr>
                <w:rFonts w:eastAsia="Times New Roman"/>
                <w:b/>
                <w:bCs/>
                <w:noProof/>
                <w:color w:val="000000"/>
                <w:sz w:val="18"/>
                <w:szCs w:val="18"/>
                <w:lang w:val="en-IE" w:eastAsia="en-IE"/>
              </w:rPr>
            </w:pPr>
          </w:p>
        </w:tc>
        <w:tc>
          <w:tcPr>
            <w:tcW w:w="519" w:type="pct"/>
            <w:tcBorders>
              <w:top w:val="nil"/>
              <w:left w:val="nil"/>
              <w:bottom w:val="single" w:sz="8" w:space="0" w:color="auto"/>
              <w:right w:val="single" w:sz="8" w:space="0" w:color="auto"/>
            </w:tcBorders>
            <w:vAlign w:val="center"/>
            <w:hideMark/>
          </w:tcPr>
          <w:p w14:paraId="51E70C01"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14:paraId="27C46485"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14:paraId="34511A35"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14:paraId="26673F91"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2031</w:t>
            </w:r>
          </w:p>
        </w:tc>
        <w:tc>
          <w:tcPr>
            <w:tcW w:w="519" w:type="pct"/>
            <w:tcBorders>
              <w:top w:val="nil"/>
              <w:left w:val="nil"/>
              <w:bottom w:val="single" w:sz="8" w:space="0" w:color="auto"/>
              <w:right w:val="single" w:sz="8" w:space="0" w:color="auto"/>
            </w:tcBorders>
            <w:vAlign w:val="center"/>
            <w:hideMark/>
          </w:tcPr>
          <w:p w14:paraId="61FE6F1F"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2032</w:t>
            </w:r>
          </w:p>
        </w:tc>
        <w:tc>
          <w:tcPr>
            <w:tcW w:w="519" w:type="pct"/>
            <w:tcBorders>
              <w:top w:val="nil"/>
              <w:left w:val="nil"/>
              <w:bottom w:val="single" w:sz="8" w:space="0" w:color="auto"/>
              <w:right w:val="single" w:sz="8" w:space="0" w:color="auto"/>
            </w:tcBorders>
            <w:vAlign w:val="center"/>
            <w:hideMark/>
          </w:tcPr>
          <w:p w14:paraId="78F9E31B"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2033</w:t>
            </w:r>
          </w:p>
        </w:tc>
        <w:tc>
          <w:tcPr>
            <w:tcW w:w="516" w:type="pct"/>
            <w:tcBorders>
              <w:top w:val="nil"/>
              <w:left w:val="nil"/>
              <w:bottom w:val="single" w:sz="8" w:space="0" w:color="auto"/>
              <w:right w:val="single" w:sz="8" w:space="0" w:color="auto"/>
            </w:tcBorders>
            <w:vAlign w:val="center"/>
            <w:hideMark/>
          </w:tcPr>
          <w:p w14:paraId="258A83C3" w14:textId="77777777" w:rsidR="003E3128" w:rsidRPr="00186919" w:rsidRDefault="003E3128" w:rsidP="00445C9D">
            <w:pPr>
              <w:spacing w:before="0" w:after="0"/>
              <w:jc w:val="center"/>
              <w:rPr>
                <w:rFonts w:eastAsia="Times New Roman"/>
                <w:b/>
                <w:bCs/>
                <w:noProof/>
                <w:color w:val="000000"/>
                <w:sz w:val="20"/>
                <w:szCs w:val="20"/>
                <w:lang w:val="en-IE" w:eastAsia="en-IE"/>
              </w:rPr>
            </w:pPr>
            <w:r w:rsidRPr="00186919">
              <w:rPr>
                <w:rFonts w:eastAsia="Times New Roman"/>
                <w:b/>
                <w:bCs/>
                <w:noProof/>
                <w:color w:val="000000"/>
                <w:sz w:val="20"/>
                <w:szCs w:val="20"/>
                <w:lang w:val="en-IE" w:eastAsia="en-IE"/>
              </w:rPr>
              <w:t>2034</w:t>
            </w:r>
          </w:p>
        </w:tc>
      </w:tr>
      <w:tr w:rsidR="003E3128" w:rsidRPr="00186919" w14:paraId="76F6AE93" w14:textId="77777777" w:rsidTr="00445C9D">
        <w:trPr>
          <w:trHeight w:val="300"/>
        </w:trPr>
        <w:tc>
          <w:tcPr>
            <w:tcW w:w="5000" w:type="pct"/>
            <w:gridSpan w:val="9"/>
            <w:tcBorders>
              <w:top w:val="single" w:sz="8" w:space="0" w:color="auto"/>
              <w:left w:val="single" w:sz="8" w:space="0" w:color="auto"/>
              <w:bottom w:val="nil"/>
              <w:right w:val="nil"/>
            </w:tcBorders>
            <w:vAlign w:val="center"/>
            <w:hideMark/>
          </w:tcPr>
          <w:p w14:paraId="2F4EA402" w14:textId="77777777" w:rsidR="003E3128" w:rsidRPr="00186919" w:rsidRDefault="003E3128" w:rsidP="00445C9D">
            <w:pPr>
              <w:spacing w:before="0" w:after="0"/>
              <w:jc w:val="center"/>
              <w:rPr>
                <w:rFonts w:ascii="Wingdings" w:eastAsia="Times New Roman" w:hAnsi="Wingdings"/>
                <w:b/>
                <w:bCs/>
                <w:noProof/>
                <w:color w:val="000000"/>
                <w:sz w:val="16"/>
                <w:szCs w:val="16"/>
                <w:lang w:val="en-IE" w:eastAsia="en-IE"/>
              </w:rPr>
            </w:pPr>
            <w:r w:rsidRPr="00186919">
              <w:rPr>
                <w:rFonts w:ascii="Wingdings" w:eastAsia="Times New Roman" w:hAnsi="Wingdings"/>
                <w:b/>
                <w:bCs/>
                <w:noProof/>
                <w:color w:val="000000"/>
                <w:sz w:val="16"/>
                <w:szCs w:val="16"/>
                <w:lang w:val="en-IE" w:eastAsia="en-IE"/>
              </w:rPr>
              <w:t></w:t>
            </w:r>
            <w:r w:rsidRPr="00186919">
              <w:rPr>
                <w:rFonts w:eastAsia="Times New Roman"/>
                <w:b/>
                <w:bCs/>
                <w:noProof/>
                <w:color w:val="000000"/>
                <w:sz w:val="16"/>
                <w:szCs w:val="16"/>
                <w:lang w:val="en-IE" w:eastAsia="en-IE"/>
              </w:rPr>
              <w:t xml:space="preserve"> Establishment plan posts (officials and temporary staff)</w:t>
            </w:r>
          </w:p>
        </w:tc>
      </w:tr>
      <w:tr w:rsidR="003E3128" w:rsidRPr="00B35F7D" w14:paraId="253AB271" w14:textId="77777777" w:rsidTr="00445C9D">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094330A"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20 01 02 01</w:t>
            </w: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hideMark/>
          </w:tcPr>
          <w:p w14:paraId="0076E75F" w14:textId="21752631" w:rsidR="003E3128" w:rsidRPr="00B35F7D" w:rsidRDefault="0044599E" w:rsidP="00445C9D">
            <w:pPr>
              <w:spacing w:before="0" w:after="0"/>
              <w:jc w:val="center"/>
              <w:rPr>
                <w:rFonts w:eastAsia="Times New Roman"/>
                <w:noProof/>
                <w:color w:val="000000"/>
                <w:sz w:val="18"/>
                <w:szCs w:val="18"/>
                <w:lang w:val="en-IE" w:eastAsia="en-IE"/>
              </w:rPr>
            </w:pPr>
            <w:r>
              <w:rPr>
                <w:noProof/>
                <w:sz w:val="18"/>
                <w:szCs w:val="18"/>
              </w:rPr>
              <w:t>14</w:t>
            </w:r>
          </w:p>
        </w:tc>
        <w:tc>
          <w:tcPr>
            <w:tcW w:w="519" w:type="pct"/>
            <w:tcBorders>
              <w:top w:val="nil"/>
              <w:left w:val="nil"/>
              <w:bottom w:val="single" w:sz="8" w:space="0" w:color="auto"/>
              <w:right w:val="single" w:sz="8" w:space="0" w:color="auto"/>
            </w:tcBorders>
            <w:shd w:val="clear" w:color="000000" w:fill="D9D9D9"/>
            <w:hideMark/>
          </w:tcPr>
          <w:p w14:paraId="6C96C7CE" w14:textId="2646E066" w:rsidR="003E3128" w:rsidRPr="00B35F7D" w:rsidRDefault="0044599E" w:rsidP="00445C9D">
            <w:pPr>
              <w:spacing w:before="0" w:after="0"/>
              <w:jc w:val="center"/>
              <w:rPr>
                <w:rFonts w:eastAsia="Times New Roman"/>
                <w:noProof/>
                <w:color w:val="000000"/>
                <w:sz w:val="18"/>
                <w:szCs w:val="18"/>
                <w:lang w:val="en-IE" w:eastAsia="en-IE"/>
              </w:rPr>
            </w:pPr>
            <w:r>
              <w:rPr>
                <w:noProof/>
                <w:sz w:val="18"/>
                <w:szCs w:val="18"/>
              </w:rPr>
              <w:t>17</w:t>
            </w:r>
          </w:p>
        </w:tc>
        <w:tc>
          <w:tcPr>
            <w:tcW w:w="519" w:type="pct"/>
            <w:tcBorders>
              <w:top w:val="nil"/>
              <w:left w:val="nil"/>
              <w:bottom w:val="single" w:sz="8" w:space="0" w:color="auto"/>
              <w:right w:val="single" w:sz="8" w:space="0" w:color="auto"/>
            </w:tcBorders>
            <w:shd w:val="clear" w:color="000000" w:fill="D9D9D9"/>
            <w:hideMark/>
          </w:tcPr>
          <w:p w14:paraId="6F7C0EB0" w14:textId="081B5E2F" w:rsidR="003E3128" w:rsidRPr="00B35F7D" w:rsidRDefault="0044599E" w:rsidP="00445C9D">
            <w:pPr>
              <w:spacing w:before="0" w:after="0"/>
              <w:jc w:val="center"/>
              <w:rPr>
                <w:rFonts w:eastAsia="Times New Roman"/>
                <w:noProof/>
                <w:color w:val="000000"/>
                <w:sz w:val="18"/>
                <w:szCs w:val="18"/>
                <w:lang w:val="en-IE" w:eastAsia="en-IE"/>
              </w:rPr>
            </w:pPr>
            <w:r>
              <w:rPr>
                <w:noProof/>
                <w:sz w:val="18"/>
                <w:szCs w:val="18"/>
              </w:rPr>
              <w:t>17</w:t>
            </w:r>
          </w:p>
        </w:tc>
        <w:tc>
          <w:tcPr>
            <w:tcW w:w="519" w:type="pct"/>
            <w:tcBorders>
              <w:top w:val="nil"/>
              <w:left w:val="nil"/>
              <w:bottom w:val="single" w:sz="8" w:space="0" w:color="auto"/>
              <w:right w:val="single" w:sz="8" w:space="0" w:color="auto"/>
            </w:tcBorders>
            <w:shd w:val="clear" w:color="000000" w:fill="D9D9D9"/>
            <w:hideMark/>
          </w:tcPr>
          <w:p w14:paraId="054C6E0D" w14:textId="1CF8DC3C" w:rsidR="003E3128" w:rsidRPr="00B35F7D" w:rsidRDefault="0044599E" w:rsidP="00445C9D">
            <w:pPr>
              <w:spacing w:before="0" w:after="0"/>
              <w:jc w:val="center"/>
              <w:rPr>
                <w:rFonts w:eastAsia="Times New Roman"/>
                <w:noProof/>
                <w:color w:val="000000"/>
                <w:sz w:val="18"/>
                <w:szCs w:val="18"/>
                <w:lang w:val="en-IE" w:eastAsia="en-IE"/>
              </w:rPr>
            </w:pPr>
            <w:r>
              <w:rPr>
                <w:noProof/>
                <w:sz w:val="18"/>
                <w:szCs w:val="18"/>
              </w:rPr>
              <w:t>17</w:t>
            </w:r>
          </w:p>
        </w:tc>
        <w:tc>
          <w:tcPr>
            <w:tcW w:w="519" w:type="pct"/>
            <w:tcBorders>
              <w:top w:val="nil"/>
              <w:left w:val="nil"/>
              <w:bottom w:val="single" w:sz="8" w:space="0" w:color="auto"/>
              <w:right w:val="single" w:sz="8" w:space="0" w:color="auto"/>
            </w:tcBorders>
            <w:shd w:val="clear" w:color="000000" w:fill="D9D9D9"/>
            <w:hideMark/>
          </w:tcPr>
          <w:p w14:paraId="6026A2CA" w14:textId="1225B541" w:rsidR="003E3128" w:rsidRPr="00B35F7D" w:rsidRDefault="0044599E" w:rsidP="00445C9D">
            <w:pPr>
              <w:spacing w:before="0" w:after="0"/>
              <w:jc w:val="center"/>
              <w:rPr>
                <w:rFonts w:eastAsia="Times New Roman"/>
                <w:noProof/>
                <w:color w:val="000000"/>
                <w:sz w:val="18"/>
                <w:szCs w:val="18"/>
                <w:lang w:val="en-IE" w:eastAsia="en-IE"/>
              </w:rPr>
            </w:pPr>
            <w:r>
              <w:rPr>
                <w:noProof/>
                <w:sz w:val="18"/>
                <w:szCs w:val="18"/>
              </w:rPr>
              <w:t>17</w:t>
            </w:r>
          </w:p>
        </w:tc>
        <w:tc>
          <w:tcPr>
            <w:tcW w:w="519" w:type="pct"/>
            <w:tcBorders>
              <w:top w:val="nil"/>
              <w:left w:val="nil"/>
              <w:bottom w:val="single" w:sz="8" w:space="0" w:color="auto"/>
              <w:right w:val="single" w:sz="8" w:space="0" w:color="auto"/>
            </w:tcBorders>
            <w:shd w:val="clear" w:color="000000" w:fill="D9D9D9"/>
            <w:hideMark/>
          </w:tcPr>
          <w:p w14:paraId="454016D2" w14:textId="4BA72EB8" w:rsidR="003E3128" w:rsidRPr="00B35F7D" w:rsidRDefault="0044599E" w:rsidP="00445C9D">
            <w:pPr>
              <w:spacing w:before="0" w:after="0"/>
              <w:jc w:val="center"/>
              <w:rPr>
                <w:rFonts w:eastAsia="Times New Roman"/>
                <w:noProof/>
                <w:color w:val="000000"/>
                <w:sz w:val="18"/>
                <w:szCs w:val="18"/>
                <w:lang w:val="en-IE" w:eastAsia="en-IE"/>
              </w:rPr>
            </w:pPr>
            <w:r>
              <w:rPr>
                <w:noProof/>
                <w:sz w:val="18"/>
                <w:szCs w:val="18"/>
              </w:rPr>
              <w:t>17</w:t>
            </w:r>
          </w:p>
        </w:tc>
        <w:tc>
          <w:tcPr>
            <w:tcW w:w="516" w:type="pct"/>
            <w:tcBorders>
              <w:top w:val="nil"/>
              <w:left w:val="nil"/>
              <w:bottom w:val="single" w:sz="8" w:space="0" w:color="auto"/>
              <w:right w:val="single" w:sz="8" w:space="0" w:color="auto"/>
            </w:tcBorders>
            <w:shd w:val="clear" w:color="000000" w:fill="D9D9D9"/>
            <w:hideMark/>
          </w:tcPr>
          <w:p w14:paraId="46B83E4C" w14:textId="67B813D8" w:rsidR="003E3128" w:rsidRPr="00B35F7D" w:rsidRDefault="0044599E" w:rsidP="00445C9D">
            <w:pPr>
              <w:spacing w:before="0" w:after="0"/>
              <w:jc w:val="center"/>
              <w:rPr>
                <w:rFonts w:eastAsia="Times New Roman"/>
                <w:noProof/>
                <w:color w:val="000000"/>
                <w:sz w:val="18"/>
                <w:szCs w:val="18"/>
                <w:lang w:val="en-IE" w:eastAsia="en-IE"/>
              </w:rPr>
            </w:pPr>
            <w:r>
              <w:rPr>
                <w:noProof/>
                <w:sz w:val="18"/>
                <w:szCs w:val="18"/>
              </w:rPr>
              <w:t>17</w:t>
            </w:r>
          </w:p>
        </w:tc>
      </w:tr>
      <w:tr w:rsidR="003E3128" w:rsidRPr="00186919" w14:paraId="0B26BBEA"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7DC61CE"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14:paraId="3CA103FD"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822C6D2"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9322BD3"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4C806B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8B62B6B"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FAC5D4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3283F3A4"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00D8D478" w14:textId="77777777" w:rsidTr="00445C9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803B19C"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70C190F3"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CE2ADF7"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F38C7F4"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05BB2B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8E3A624"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0698B7E"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C19478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0C282F40"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95BA057"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(Direct research)</w:t>
            </w:r>
          </w:p>
        </w:tc>
        <w:tc>
          <w:tcPr>
            <w:tcW w:w="519" w:type="pct"/>
            <w:tcBorders>
              <w:top w:val="nil"/>
              <w:left w:val="nil"/>
              <w:bottom w:val="single" w:sz="8" w:space="0" w:color="auto"/>
              <w:right w:val="single" w:sz="8" w:space="0" w:color="auto"/>
            </w:tcBorders>
            <w:shd w:val="clear" w:color="000000" w:fill="D9D9D9"/>
            <w:vAlign w:val="center"/>
            <w:hideMark/>
          </w:tcPr>
          <w:p w14:paraId="6B22EB8B"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5B312D8"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1E6B48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AA83A2A"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2CC540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3C019E9"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BAECE2B"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102AF6" w:rsidRPr="009C16B3" w14:paraId="0482C321" w14:textId="77777777" w:rsidTr="00B97C25">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CA965BD" w14:textId="77777777" w:rsidR="00102AF6" w:rsidRPr="00186919" w:rsidRDefault="00102AF6" w:rsidP="00102AF6">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14:paraId="09B10C68" w14:textId="3B04B871" w:rsidR="00102AF6" w:rsidRPr="009C16B3" w:rsidRDefault="00102AF6" w:rsidP="00102AF6">
            <w:pPr>
              <w:spacing w:before="0" w:after="0"/>
              <w:jc w:val="center"/>
              <w:rPr>
                <w:rFonts w:eastAsia="Times New Roman"/>
                <w:noProof/>
                <w:color w:val="000000"/>
                <w:sz w:val="18"/>
                <w:szCs w:val="18"/>
                <w:lang w:val="en-IE" w:eastAsia="en-IE"/>
              </w:rPr>
            </w:pPr>
            <w:r w:rsidDel="00820D04">
              <w:rPr>
                <w:noProof/>
                <w:sz w:val="18"/>
              </w:rPr>
              <w:t>24</w:t>
            </w:r>
          </w:p>
        </w:tc>
        <w:tc>
          <w:tcPr>
            <w:tcW w:w="519" w:type="pct"/>
            <w:tcBorders>
              <w:top w:val="nil"/>
              <w:left w:val="nil"/>
              <w:bottom w:val="single" w:sz="8" w:space="0" w:color="auto"/>
              <w:right w:val="single" w:sz="8" w:space="0" w:color="auto"/>
            </w:tcBorders>
            <w:shd w:val="clear" w:color="000000" w:fill="D9D9D9"/>
            <w:vAlign w:val="center"/>
            <w:hideMark/>
          </w:tcPr>
          <w:p w14:paraId="6835B849" w14:textId="1BDE3EDB" w:rsidR="00102AF6" w:rsidRPr="009C16B3" w:rsidRDefault="00102AF6" w:rsidP="00102AF6">
            <w:pPr>
              <w:spacing w:before="0" w:after="0"/>
              <w:jc w:val="center"/>
              <w:rPr>
                <w:rFonts w:eastAsia="Times New Roman"/>
                <w:noProof/>
                <w:color w:val="000000"/>
                <w:sz w:val="18"/>
                <w:szCs w:val="18"/>
                <w:lang w:val="en-IE" w:eastAsia="en-IE"/>
              </w:rPr>
            </w:pPr>
            <w:r>
              <w:rPr>
                <w:noProof/>
                <w:sz w:val="18"/>
                <w:szCs w:val="18"/>
              </w:rPr>
              <w:t>48</w:t>
            </w:r>
          </w:p>
        </w:tc>
        <w:tc>
          <w:tcPr>
            <w:tcW w:w="519" w:type="pct"/>
            <w:tcBorders>
              <w:top w:val="nil"/>
              <w:left w:val="nil"/>
              <w:bottom w:val="single" w:sz="8" w:space="0" w:color="auto"/>
              <w:right w:val="single" w:sz="8" w:space="0" w:color="auto"/>
            </w:tcBorders>
            <w:shd w:val="clear" w:color="000000" w:fill="D9D9D9"/>
            <w:vAlign w:val="center"/>
            <w:hideMark/>
          </w:tcPr>
          <w:p w14:paraId="6FEBC5CC" w14:textId="381E14ED" w:rsidR="00102AF6" w:rsidRPr="009C16B3" w:rsidRDefault="00102AF6" w:rsidP="00102AF6">
            <w:pPr>
              <w:spacing w:before="0" w:after="0"/>
              <w:jc w:val="center"/>
              <w:rPr>
                <w:rFonts w:eastAsia="Times New Roman"/>
                <w:noProof/>
                <w:color w:val="000000"/>
                <w:sz w:val="18"/>
                <w:szCs w:val="18"/>
                <w:lang w:val="en-IE" w:eastAsia="en-IE"/>
              </w:rPr>
            </w:pPr>
            <w:r>
              <w:rPr>
                <w:noProof/>
                <w:sz w:val="18"/>
                <w:szCs w:val="18"/>
              </w:rPr>
              <w:t>80</w:t>
            </w:r>
          </w:p>
        </w:tc>
        <w:tc>
          <w:tcPr>
            <w:tcW w:w="519" w:type="pct"/>
            <w:tcBorders>
              <w:top w:val="nil"/>
              <w:left w:val="nil"/>
              <w:bottom w:val="single" w:sz="8" w:space="0" w:color="auto"/>
              <w:right w:val="single" w:sz="8" w:space="0" w:color="auto"/>
            </w:tcBorders>
            <w:shd w:val="clear" w:color="000000" w:fill="D9D9D9"/>
            <w:vAlign w:val="center"/>
            <w:hideMark/>
          </w:tcPr>
          <w:p w14:paraId="431017EC" w14:textId="751598DE" w:rsidR="00102AF6" w:rsidRPr="009C16B3" w:rsidRDefault="00102AF6" w:rsidP="00102AF6">
            <w:pPr>
              <w:spacing w:before="0" w:after="0"/>
              <w:jc w:val="center"/>
              <w:rPr>
                <w:rFonts w:eastAsia="Times New Roman"/>
                <w:noProof/>
                <w:color w:val="000000"/>
                <w:sz w:val="18"/>
                <w:szCs w:val="18"/>
                <w:lang w:val="en-IE" w:eastAsia="en-IE"/>
              </w:rPr>
            </w:pPr>
            <w:r>
              <w:rPr>
                <w:noProof/>
                <w:sz w:val="18"/>
                <w:szCs w:val="18"/>
              </w:rPr>
              <w:t>80</w:t>
            </w:r>
          </w:p>
        </w:tc>
        <w:tc>
          <w:tcPr>
            <w:tcW w:w="519" w:type="pct"/>
            <w:tcBorders>
              <w:top w:val="nil"/>
              <w:left w:val="nil"/>
              <w:bottom w:val="single" w:sz="8" w:space="0" w:color="auto"/>
              <w:right w:val="single" w:sz="8" w:space="0" w:color="auto"/>
            </w:tcBorders>
            <w:shd w:val="clear" w:color="000000" w:fill="D9D9D9"/>
            <w:vAlign w:val="center"/>
            <w:hideMark/>
          </w:tcPr>
          <w:p w14:paraId="5B729977" w14:textId="58967582" w:rsidR="00102AF6" w:rsidRPr="009C16B3" w:rsidRDefault="00102AF6" w:rsidP="00102AF6">
            <w:pPr>
              <w:spacing w:before="0" w:after="0"/>
              <w:jc w:val="center"/>
              <w:rPr>
                <w:rFonts w:eastAsia="Times New Roman"/>
                <w:noProof/>
                <w:color w:val="000000"/>
                <w:sz w:val="18"/>
                <w:szCs w:val="18"/>
                <w:lang w:val="en-IE" w:eastAsia="en-IE"/>
              </w:rPr>
            </w:pPr>
            <w:r>
              <w:rPr>
                <w:noProof/>
                <w:sz w:val="18"/>
                <w:szCs w:val="18"/>
              </w:rPr>
              <w:t>80</w:t>
            </w:r>
          </w:p>
        </w:tc>
        <w:tc>
          <w:tcPr>
            <w:tcW w:w="519" w:type="pct"/>
            <w:tcBorders>
              <w:top w:val="nil"/>
              <w:left w:val="nil"/>
              <w:bottom w:val="single" w:sz="8" w:space="0" w:color="auto"/>
              <w:right w:val="single" w:sz="8" w:space="0" w:color="auto"/>
            </w:tcBorders>
            <w:shd w:val="clear" w:color="000000" w:fill="D9D9D9"/>
            <w:vAlign w:val="center"/>
            <w:hideMark/>
          </w:tcPr>
          <w:p w14:paraId="5676572D" w14:textId="1F26D59E" w:rsidR="00102AF6" w:rsidRPr="009C16B3" w:rsidRDefault="00102AF6" w:rsidP="00102AF6">
            <w:pPr>
              <w:spacing w:before="0" w:after="0"/>
              <w:jc w:val="center"/>
              <w:rPr>
                <w:rFonts w:eastAsia="Times New Roman"/>
                <w:noProof/>
                <w:color w:val="000000"/>
                <w:sz w:val="18"/>
                <w:szCs w:val="18"/>
                <w:lang w:val="en-IE" w:eastAsia="en-IE"/>
              </w:rPr>
            </w:pPr>
            <w:r>
              <w:rPr>
                <w:noProof/>
                <w:sz w:val="18"/>
                <w:szCs w:val="18"/>
              </w:rPr>
              <w:t>80</w:t>
            </w:r>
          </w:p>
        </w:tc>
        <w:tc>
          <w:tcPr>
            <w:tcW w:w="516" w:type="pct"/>
            <w:tcBorders>
              <w:top w:val="nil"/>
              <w:left w:val="nil"/>
              <w:bottom w:val="single" w:sz="8" w:space="0" w:color="auto"/>
              <w:right w:val="single" w:sz="8" w:space="0" w:color="auto"/>
            </w:tcBorders>
            <w:shd w:val="clear" w:color="000000" w:fill="D9D9D9"/>
            <w:vAlign w:val="center"/>
            <w:hideMark/>
          </w:tcPr>
          <w:p w14:paraId="14FB373C" w14:textId="2FDDDCA0" w:rsidR="00102AF6" w:rsidRPr="009C16B3" w:rsidRDefault="00102AF6" w:rsidP="00102AF6">
            <w:pPr>
              <w:spacing w:before="0" w:after="0"/>
              <w:jc w:val="center"/>
              <w:rPr>
                <w:rFonts w:eastAsia="Times New Roman"/>
                <w:noProof/>
                <w:color w:val="000000"/>
                <w:sz w:val="18"/>
                <w:szCs w:val="18"/>
                <w:lang w:val="en-IE" w:eastAsia="en-IE"/>
              </w:rPr>
            </w:pPr>
            <w:r>
              <w:rPr>
                <w:noProof/>
                <w:sz w:val="18"/>
                <w:szCs w:val="18"/>
              </w:rPr>
              <w:t>80</w:t>
            </w:r>
          </w:p>
        </w:tc>
      </w:tr>
      <w:tr w:rsidR="003E3128" w:rsidRPr="00186919" w14:paraId="21BBA67D" w14:textId="77777777" w:rsidTr="00445C9D">
        <w:trPr>
          <w:trHeight w:val="300"/>
        </w:trPr>
        <w:tc>
          <w:tcPr>
            <w:tcW w:w="5000" w:type="pct"/>
            <w:gridSpan w:val="9"/>
            <w:tcBorders>
              <w:top w:val="single" w:sz="8" w:space="0" w:color="auto"/>
              <w:left w:val="single" w:sz="8" w:space="0" w:color="auto"/>
              <w:bottom w:val="nil"/>
              <w:right w:val="single" w:sz="8" w:space="0" w:color="000000"/>
            </w:tcBorders>
            <w:vAlign w:val="center"/>
            <w:hideMark/>
          </w:tcPr>
          <w:p w14:paraId="278483A9" w14:textId="77777777" w:rsidR="003E3128" w:rsidRPr="00186919" w:rsidRDefault="003E3128" w:rsidP="00445C9D">
            <w:pPr>
              <w:spacing w:before="0" w:after="0"/>
              <w:jc w:val="center"/>
              <w:rPr>
                <w:rFonts w:ascii="Calibri" w:eastAsia="Times New Roman" w:hAnsi="Calibri" w:cs="Calibri"/>
                <w:b/>
                <w:bCs/>
                <w:noProof/>
                <w:color w:val="000000"/>
                <w:sz w:val="16"/>
                <w:szCs w:val="16"/>
                <w:lang w:val="en-IE" w:eastAsia="en-IE"/>
              </w:rPr>
            </w:pPr>
            <w:r w:rsidRPr="00186919">
              <w:rPr>
                <w:rFonts w:ascii="Calibri" w:eastAsia="Times New Roman" w:hAnsi="Calibri" w:cs="Calibri"/>
                <w:b/>
                <w:bCs/>
                <w:noProof/>
                <w:color w:val="000000"/>
                <w:sz w:val="16"/>
                <w:szCs w:val="16"/>
                <w:lang w:val="en-IE" w:eastAsia="en-IE"/>
              </w:rPr>
              <w:t>•</w:t>
            </w:r>
            <w:r w:rsidRPr="00186919">
              <w:rPr>
                <w:rFonts w:eastAsia="Times New Roman"/>
                <w:b/>
                <w:bCs/>
                <w:noProof/>
                <w:color w:val="000000"/>
                <w:sz w:val="16"/>
                <w:szCs w:val="16"/>
                <w:lang w:val="en-IE" w:eastAsia="en-IE"/>
              </w:rPr>
              <w:t xml:space="preserve"> External staff (in full time equivalent units)</w:t>
            </w:r>
          </w:p>
        </w:tc>
      </w:tr>
      <w:tr w:rsidR="000E3F9D" w:rsidRPr="00186919" w14:paraId="7F08AD3B" w14:textId="77777777" w:rsidTr="000E3F9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6EED6D0" w14:textId="77777777" w:rsidR="00102AF6" w:rsidRPr="00186919" w:rsidRDefault="00102AF6" w:rsidP="00102AF6">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20 02 01</w:t>
            </w:r>
            <w:r w:rsidRPr="00186919">
              <w:rPr>
                <w:rFonts w:ascii="Arial Narrow" w:eastAsia="Times New Roman" w:hAnsi="Arial Narrow"/>
                <w:noProof/>
                <w:color w:val="000000"/>
                <w:sz w:val="20"/>
                <w:szCs w:val="20"/>
                <w:lang w:val="en-IE" w:eastAsia="en-IE"/>
              </w:rPr>
              <w:t xml:space="preserve"> </w:t>
            </w:r>
            <w:r w:rsidRPr="00186919">
              <w:rPr>
                <w:rFonts w:eastAsia="Times New Roman"/>
                <w:noProof/>
                <w:color w:val="000000"/>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000000" w:fill="D9D9D9"/>
            <w:hideMark/>
          </w:tcPr>
          <w:p w14:paraId="03B3B565" w14:textId="0E556EF3" w:rsidR="00102AF6" w:rsidRPr="00186919" w:rsidRDefault="00102AF6" w:rsidP="00102AF6">
            <w:pPr>
              <w:spacing w:before="0" w:after="0"/>
              <w:jc w:val="center"/>
              <w:rPr>
                <w:rFonts w:eastAsia="Times New Roman"/>
                <w:noProof/>
                <w:color w:val="000000"/>
                <w:sz w:val="16"/>
                <w:szCs w:val="16"/>
                <w:lang w:val="en-IE" w:eastAsia="en-IE"/>
              </w:rPr>
            </w:pPr>
            <w:r w:rsidDel="000B75AE">
              <w:rPr>
                <w:noProof/>
                <w:color w:val="000000"/>
                <w:sz w:val="16"/>
                <w:lang w:val="en-IE"/>
              </w:rPr>
              <w:t>7</w:t>
            </w:r>
          </w:p>
        </w:tc>
        <w:tc>
          <w:tcPr>
            <w:tcW w:w="519" w:type="pct"/>
            <w:tcBorders>
              <w:top w:val="nil"/>
              <w:left w:val="nil"/>
              <w:bottom w:val="single" w:sz="8" w:space="0" w:color="auto"/>
              <w:right w:val="single" w:sz="8" w:space="0" w:color="auto"/>
            </w:tcBorders>
            <w:shd w:val="clear" w:color="000000" w:fill="D9D9D9"/>
            <w:hideMark/>
          </w:tcPr>
          <w:p w14:paraId="20429047" w14:textId="003A45AC" w:rsidR="00102AF6" w:rsidRPr="00186919" w:rsidRDefault="00102AF6" w:rsidP="00102AF6">
            <w:pPr>
              <w:spacing w:before="0" w:after="0"/>
              <w:jc w:val="center"/>
              <w:rPr>
                <w:rFonts w:eastAsia="Times New Roman"/>
                <w:noProof/>
                <w:color w:val="000000"/>
                <w:sz w:val="16"/>
                <w:szCs w:val="16"/>
                <w:lang w:val="en-IE" w:eastAsia="en-IE"/>
              </w:rPr>
            </w:pPr>
            <w:r w:rsidDel="000B75AE">
              <w:rPr>
                <w:noProof/>
                <w:color w:val="000000"/>
                <w:sz w:val="16"/>
                <w:lang w:val="en-IE"/>
              </w:rPr>
              <w:t>9</w:t>
            </w:r>
          </w:p>
        </w:tc>
        <w:tc>
          <w:tcPr>
            <w:tcW w:w="519" w:type="pct"/>
            <w:tcBorders>
              <w:top w:val="nil"/>
              <w:left w:val="nil"/>
              <w:bottom w:val="single" w:sz="8" w:space="0" w:color="auto"/>
              <w:right w:val="single" w:sz="8" w:space="0" w:color="auto"/>
            </w:tcBorders>
            <w:shd w:val="clear" w:color="000000" w:fill="D9D9D9"/>
            <w:hideMark/>
          </w:tcPr>
          <w:p w14:paraId="34A5AA31" w14:textId="568F832B" w:rsidR="00102AF6" w:rsidRPr="00186919" w:rsidRDefault="00102AF6" w:rsidP="00102AF6">
            <w:pPr>
              <w:spacing w:before="0" w:after="0"/>
              <w:jc w:val="center"/>
              <w:rPr>
                <w:rFonts w:eastAsia="Times New Roman"/>
                <w:noProof/>
                <w:color w:val="000000"/>
                <w:sz w:val="16"/>
                <w:szCs w:val="16"/>
                <w:lang w:val="en-IE" w:eastAsia="en-IE"/>
              </w:rPr>
            </w:pPr>
            <w:r w:rsidDel="000B75AE">
              <w:rPr>
                <w:noProof/>
                <w:color w:val="000000"/>
                <w:sz w:val="16"/>
                <w:lang w:val="en-IE"/>
              </w:rPr>
              <w:t>9</w:t>
            </w:r>
          </w:p>
        </w:tc>
        <w:tc>
          <w:tcPr>
            <w:tcW w:w="519" w:type="pct"/>
            <w:tcBorders>
              <w:top w:val="nil"/>
              <w:left w:val="nil"/>
              <w:bottom w:val="single" w:sz="8" w:space="0" w:color="auto"/>
              <w:right w:val="single" w:sz="8" w:space="0" w:color="auto"/>
            </w:tcBorders>
            <w:shd w:val="clear" w:color="000000" w:fill="D9D9D9"/>
            <w:hideMark/>
          </w:tcPr>
          <w:p w14:paraId="527EEEB2" w14:textId="6D65B1E0" w:rsidR="00102AF6" w:rsidRPr="00186919" w:rsidRDefault="00102AF6" w:rsidP="00102AF6">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9</w:t>
            </w:r>
          </w:p>
        </w:tc>
        <w:tc>
          <w:tcPr>
            <w:tcW w:w="519" w:type="pct"/>
            <w:tcBorders>
              <w:top w:val="nil"/>
              <w:left w:val="nil"/>
              <w:bottom w:val="single" w:sz="8" w:space="0" w:color="auto"/>
              <w:right w:val="single" w:sz="8" w:space="0" w:color="auto"/>
            </w:tcBorders>
            <w:shd w:val="clear" w:color="000000" w:fill="D9D9D9"/>
            <w:hideMark/>
          </w:tcPr>
          <w:p w14:paraId="6A97F4C8" w14:textId="7165D0B7" w:rsidR="00102AF6" w:rsidRPr="00186919" w:rsidRDefault="00102AF6" w:rsidP="00102AF6">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9</w:t>
            </w:r>
          </w:p>
        </w:tc>
        <w:tc>
          <w:tcPr>
            <w:tcW w:w="519" w:type="pct"/>
            <w:tcBorders>
              <w:top w:val="nil"/>
              <w:left w:val="nil"/>
              <w:bottom w:val="single" w:sz="8" w:space="0" w:color="auto"/>
              <w:right w:val="single" w:sz="8" w:space="0" w:color="auto"/>
            </w:tcBorders>
            <w:shd w:val="clear" w:color="000000" w:fill="D9D9D9"/>
            <w:hideMark/>
          </w:tcPr>
          <w:p w14:paraId="62969FDB" w14:textId="6A04DD83" w:rsidR="00102AF6" w:rsidRPr="00186919" w:rsidRDefault="00102AF6" w:rsidP="00102AF6">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9</w:t>
            </w:r>
          </w:p>
        </w:tc>
        <w:tc>
          <w:tcPr>
            <w:tcW w:w="516" w:type="pct"/>
            <w:tcBorders>
              <w:top w:val="nil"/>
              <w:left w:val="nil"/>
              <w:bottom w:val="single" w:sz="8" w:space="0" w:color="auto"/>
              <w:right w:val="single" w:sz="8" w:space="0" w:color="auto"/>
            </w:tcBorders>
            <w:shd w:val="clear" w:color="000000" w:fill="D9D9D9"/>
            <w:hideMark/>
          </w:tcPr>
          <w:p w14:paraId="477F706C" w14:textId="57B2CD1F" w:rsidR="00102AF6" w:rsidRPr="00186919" w:rsidRDefault="00102AF6" w:rsidP="00102AF6">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9</w:t>
            </w:r>
          </w:p>
        </w:tc>
      </w:tr>
      <w:tr w:rsidR="003E3128" w:rsidRPr="00186919" w14:paraId="3EB28794" w14:textId="77777777" w:rsidTr="00445C9D">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AEAB403"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14:paraId="69088911"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77F30F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5851FE9"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F25F46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E1CF2B1"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7977F1D"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9F45D77"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08C60572" w14:textId="77777777" w:rsidTr="00445C9D">
        <w:trPr>
          <w:trHeight w:val="640"/>
        </w:trPr>
        <w:tc>
          <w:tcPr>
            <w:tcW w:w="751" w:type="pct"/>
            <w:tcBorders>
              <w:top w:val="nil"/>
              <w:left w:val="single" w:sz="8" w:space="0" w:color="auto"/>
              <w:bottom w:val="nil"/>
              <w:right w:val="single" w:sz="8" w:space="0" w:color="auto"/>
            </w:tcBorders>
            <w:vAlign w:val="center"/>
            <w:hideMark/>
          </w:tcPr>
          <w:p w14:paraId="6208217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Admin. Support line</w:t>
            </w:r>
          </w:p>
        </w:tc>
        <w:tc>
          <w:tcPr>
            <w:tcW w:w="619" w:type="pct"/>
            <w:tcBorders>
              <w:top w:val="nil"/>
              <w:left w:val="nil"/>
              <w:bottom w:val="single" w:sz="8" w:space="0" w:color="auto"/>
              <w:right w:val="single" w:sz="8" w:space="0" w:color="auto"/>
            </w:tcBorders>
            <w:vAlign w:val="center"/>
            <w:hideMark/>
          </w:tcPr>
          <w:p w14:paraId="6CF7BC5F" w14:textId="77777777" w:rsidR="003E3128" w:rsidRPr="009A54CB" w:rsidRDefault="003E3128" w:rsidP="004830AF">
            <w:pPr>
              <w:pStyle w:val="ListParagraph"/>
              <w:numPr>
                <w:ilvl w:val="0"/>
                <w:numId w:val="20"/>
              </w:numPr>
              <w:spacing w:before="0" w:after="0"/>
              <w:ind w:left="159" w:hanging="159"/>
              <w:jc w:val="left"/>
              <w:rPr>
                <w:noProof/>
                <w:color w:val="000000"/>
                <w:sz w:val="16"/>
                <w:szCs w:val="16"/>
                <w:lang w:val="en-IE" w:eastAsia="en-IE"/>
              </w:rPr>
            </w:pPr>
            <w:r w:rsidRPr="009A54CB">
              <w:rPr>
                <w:noProof/>
                <w:color w:val="000000"/>
                <w:sz w:val="16"/>
                <w:szCs w:val="16"/>
                <w:lang w:val="en-IE" w:eastAsia="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14:paraId="77027DE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5A5B8DA"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1B14F4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A3A0BB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FE1220F"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AE46F8B"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897F60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30925006" w14:textId="77777777" w:rsidTr="00445C9D">
        <w:trPr>
          <w:trHeight w:val="430"/>
        </w:trPr>
        <w:tc>
          <w:tcPr>
            <w:tcW w:w="751" w:type="pct"/>
            <w:tcBorders>
              <w:top w:val="nil"/>
              <w:left w:val="single" w:sz="8" w:space="0" w:color="auto"/>
              <w:bottom w:val="single" w:sz="8" w:space="0" w:color="auto"/>
              <w:right w:val="single" w:sz="8" w:space="0" w:color="auto"/>
            </w:tcBorders>
            <w:vAlign w:val="center"/>
            <w:hideMark/>
          </w:tcPr>
          <w:p w14:paraId="2FCBA1E9"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14:paraId="320F23AA" w14:textId="77777777" w:rsidR="003E3128" w:rsidRPr="009A54CB" w:rsidRDefault="003E3128" w:rsidP="004830AF">
            <w:pPr>
              <w:pStyle w:val="ListParagraph"/>
              <w:numPr>
                <w:ilvl w:val="0"/>
                <w:numId w:val="20"/>
              </w:numPr>
              <w:spacing w:before="0" w:after="0"/>
              <w:ind w:left="159" w:hanging="159"/>
              <w:jc w:val="left"/>
              <w:rPr>
                <w:noProof/>
                <w:color w:val="000000"/>
                <w:sz w:val="16"/>
                <w:szCs w:val="16"/>
                <w:lang w:val="en-IE" w:eastAsia="en-IE"/>
              </w:rPr>
            </w:pPr>
            <w:r w:rsidRPr="009A54CB">
              <w:rPr>
                <w:noProof/>
                <w:color w:val="000000"/>
                <w:sz w:val="16"/>
                <w:szCs w:val="16"/>
                <w:lang w:val="en-IE" w:eastAsia="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14:paraId="09D7F732"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D32E2C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431B252"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192D412"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8DEA009"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FAE6FE1"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206F93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0BD1511E" w14:textId="77777777" w:rsidTr="00445C9D">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814C8BF"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50664E08"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FCC727A"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150AFE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F78F4E0"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E572BEA"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13C7145"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6D245E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186919" w14:paraId="70ECDACD"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821B254"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(AC, END -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3FC336D4"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F1B35A9"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1E67BA6"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2224E52"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923706A"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F9C5712"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BC508BC" w14:textId="77777777" w:rsidR="003E3128" w:rsidRPr="00186919" w:rsidRDefault="003E3128" w:rsidP="00445C9D">
            <w:pPr>
              <w:spacing w:before="0" w:after="0"/>
              <w:jc w:val="center"/>
              <w:rPr>
                <w:rFonts w:eastAsia="Times New Roman"/>
                <w:noProof/>
                <w:color w:val="000000"/>
                <w:sz w:val="16"/>
                <w:szCs w:val="16"/>
                <w:lang w:val="en-IE" w:eastAsia="en-IE"/>
              </w:rPr>
            </w:pPr>
            <w:r w:rsidRPr="00186919">
              <w:rPr>
                <w:rFonts w:eastAsia="Times New Roman"/>
                <w:noProof/>
                <w:color w:val="000000"/>
                <w:sz w:val="16"/>
                <w:szCs w:val="16"/>
                <w:lang w:val="en-IE" w:eastAsia="en-IE"/>
              </w:rPr>
              <w:t>0</w:t>
            </w:r>
          </w:p>
        </w:tc>
      </w:tr>
      <w:tr w:rsidR="003E3128" w:rsidRPr="00B829DB" w14:paraId="7C70511B" w14:textId="77777777" w:rsidTr="00445C9D">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992E7C1" w14:textId="77777777" w:rsidR="003E3128" w:rsidRPr="00186919" w:rsidRDefault="003E3128" w:rsidP="00445C9D">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Other budget lines (specify) - Heading </w:t>
            </w:r>
            <w:r>
              <w:rPr>
                <w:rFonts w:eastAsia="Times New Roman"/>
                <w:noProof/>
                <w:color w:val="000000"/>
                <w:sz w:val="16"/>
                <w:szCs w:val="16"/>
                <w:lang w:val="en-IE" w:eastAsia="en-IE"/>
              </w:rPr>
              <w:t>4</w:t>
            </w:r>
          </w:p>
        </w:tc>
        <w:tc>
          <w:tcPr>
            <w:tcW w:w="519" w:type="pct"/>
            <w:tcBorders>
              <w:top w:val="nil"/>
              <w:left w:val="nil"/>
              <w:bottom w:val="single" w:sz="8" w:space="0" w:color="auto"/>
              <w:right w:val="single" w:sz="8" w:space="0" w:color="auto"/>
            </w:tcBorders>
            <w:shd w:val="clear" w:color="000000" w:fill="D9D9D9"/>
          </w:tcPr>
          <w:p w14:paraId="23D1A591" w14:textId="77777777" w:rsidR="003E3128" w:rsidRPr="00B829DB" w:rsidRDefault="003E3128" w:rsidP="00445C9D">
            <w:pPr>
              <w:spacing w:before="0" w:after="0"/>
              <w:jc w:val="center"/>
              <w:rPr>
                <w:rFonts w:eastAsia="Times New Roman"/>
                <w:noProof/>
                <w:color w:val="000000"/>
                <w:sz w:val="18"/>
                <w:szCs w:val="18"/>
                <w:lang w:val="en-IE" w:eastAsia="en-IE"/>
              </w:rPr>
            </w:pPr>
            <w:r w:rsidRPr="00B829DB">
              <w:rPr>
                <w:noProof/>
                <w:sz w:val="18"/>
                <w:szCs w:val="18"/>
              </w:rPr>
              <w:t>0</w:t>
            </w:r>
          </w:p>
        </w:tc>
        <w:tc>
          <w:tcPr>
            <w:tcW w:w="519" w:type="pct"/>
            <w:tcBorders>
              <w:top w:val="nil"/>
              <w:left w:val="nil"/>
              <w:bottom w:val="single" w:sz="8" w:space="0" w:color="auto"/>
              <w:right w:val="single" w:sz="8" w:space="0" w:color="auto"/>
            </w:tcBorders>
            <w:shd w:val="clear" w:color="000000" w:fill="D9D9D9"/>
          </w:tcPr>
          <w:p w14:paraId="3CC965F8" w14:textId="77777777" w:rsidR="003E3128" w:rsidRPr="00B829DB" w:rsidRDefault="003E3128" w:rsidP="00445C9D">
            <w:pPr>
              <w:spacing w:before="0" w:after="0"/>
              <w:jc w:val="center"/>
              <w:rPr>
                <w:rFonts w:eastAsia="Times New Roman"/>
                <w:noProof/>
                <w:color w:val="000000"/>
                <w:sz w:val="18"/>
                <w:szCs w:val="18"/>
                <w:lang w:val="en-IE" w:eastAsia="en-IE"/>
              </w:rPr>
            </w:pPr>
            <w:r w:rsidRPr="00B829DB">
              <w:rPr>
                <w:noProof/>
                <w:sz w:val="18"/>
                <w:szCs w:val="18"/>
              </w:rPr>
              <w:t>0</w:t>
            </w:r>
          </w:p>
        </w:tc>
        <w:tc>
          <w:tcPr>
            <w:tcW w:w="519" w:type="pct"/>
            <w:tcBorders>
              <w:top w:val="nil"/>
              <w:left w:val="nil"/>
              <w:bottom w:val="single" w:sz="8" w:space="0" w:color="auto"/>
              <w:right w:val="single" w:sz="8" w:space="0" w:color="auto"/>
            </w:tcBorders>
            <w:shd w:val="clear" w:color="000000" w:fill="D9D9D9"/>
          </w:tcPr>
          <w:p w14:paraId="1559C113" w14:textId="77777777" w:rsidR="003E3128" w:rsidRPr="00B829DB" w:rsidRDefault="003E3128" w:rsidP="00445C9D">
            <w:pPr>
              <w:spacing w:before="0" w:after="0"/>
              <w:jc w:val="center"/>
              <w:rPr>
                <w:rFonts w:eastAsia="Times New Roman"/>
                <w:noProof/>
                <w:color w:val="000000"/>
                <w:sz w:val="18"/>
                <w:szCs w:val="18"/>
                <w:lang w:val="en-IE" w:eastAsia="en-IE"/>
              </w:rPr>
            </w:pPr>
            <w:r w:rsidRPr="00B829DB">
              <w:rPr>
                <w:noProof/>
                <w:sz w:val="18"/>
                <w:szCs w:val="18"/>
              </w:rPr>
              <w:t>0</w:t>
            </w:r>
          </w:p>
        </w:tc>
        <w:tc>
          <w:tcPr>
            <w:tcW w:w="519" w:type="pct"/>
            <w:tcBorders>
              <w:top w:val="nil"/>
              <w:left w:val="nil"/>
              <w:bottom w:val="single" w:sz="8" w:space="0" w:color="auto"/>
              <w:right w:val="single" w:sz="8" w:space="0" w:color="auto"/>
            </w:tcBorders>
            <w:shd w:val="clear" w:color="000000" w:fill="D9D9D9"/>
          </w:tcPr>
          <w:p w14:paraId="2F50B18C" w14:textId="77777777" w:rsidR="003E3128" w:rsidRPr="00B829DB" w:rsidRDefault="003E3128" w:rsidP="00445C9D">
            <w:pPr>
              <w:spacing w:before="0" w:after="0"/>
              <w:jc w:val="center"/>
              <w:rPr>
                <w:rFonts w:eastAsia="Times New Roman"/>
                <w:noProof/>
                <w:color w:val="000000"/>
                <w:sz w:val="18"/>
                <w:szCs w:val="18"/>
                <w:lang w:val="en-IE" w:eastAsia="en-IE"/>
              </w:rPr>
            </w:pPr>
            <w:r w:rsidRPr="00B829DB">
              <w:rPr>
                <w:noProof/>
                <w:sz w:val="18"/>
                <w:szCs w:val="18"/>
              </w:rPr>
              <w:t>0</w:t>
            </w:r>
          </w:p>
        </w:tc>
        <w:tc>
          <w:tcPr>
            <w:tcW w:w="519" w:type="pct"/>
            <w:tcBorders>
              <w:top w:val="nil"/>
              <w:left w:val="nil"/>
              <w:bottom w:val="single" w:sz="8" w:space="0" w:color="auto"/>
              <w:right w:val="single" w:sz="8" w:space="0" w:color="auto"/>
            </w:tcBorders>
            <w:shd w:val="clear" w:color="000000" w:fill="D9D9D9"/>
          </w:tcPr>
          <w:p w14:paraId="45B811D0" w14:textId="77777777" w:rsidR="003E3128" w:rsidRPr="00B829DB" w:rsidRDefault="003E3128" w:rsidP="00445C9D">
            <w:pPr>
              <w:spacing w:before="0" w:after="0"/>
              <w:jc w:val="center"/>
              <w:rPr>
                <w:rFonts w:eastAsia="Times New Roman"/>
                <w:noProof/>
                <w:color w:val="000000"/>
                <w:sz w:val="18"/>
                <w:szCs w:val="18"/>
                <w:lang w:val="en-IE" w:eastAsia="en-IE"/>
              </w:rPr>
            </w:pPr>
            <w:r w:rsidRPr="00B829DB">
              <w:rPr>
                <w:noProof/>
                <w:sz w:val="18"/>
                <w:szCs w:val="18"/>
              </w:rPr>
              <w:t>0</w:t>
            </w:r>
          </w:p>
        </w:tc>
        <w:tc>
          <w:tcPr>
            <w:tcW w:w="519" w:type="pct"/>
            <w:tcBorders>
              <w:top w:val="nil"/>
              <w:left w:val="nil"/>
              <w:bottom w:val="single" w:sz="8" w:space="0" w:color="auto"/>
              <w:right w:val="single" w:sz="8" w:space="0" w:color="auto"/>
            </w:tcBorders>
            <w:shd w:val="clear" w:color="000000" w:fill="D9D9D9"/>
          </w:tcPr>
          <w:p w14:paraId="41903D1E" w14:textId="77777777" w:rsidR="003E3128" w:rsidRPr="00B829DB" w:rsidRDefault="003E3128" w:rsidP="00445C9D">
            <w:pPr>
              <w:spacing w:before="0" w:after="0"/>
              <w:jc w:val="center"/>
              <w:rPr>
                <w:rFonts w:eastAsia="Times New Roman"/>
                <w:noProof/>
                <w:color w:val="000000"/>
                <w:sz w:val="18"/>
                <w:szCs w:val="18"/>
                <w:lang w:val="en-IE" w:eastAsia="en-IE"/>
              </w:rPr>
            </w:pPr>
            <w:r w:rsidRPr="00B829DB">
              <w:rPr>
                <w:noProof/>
                <w:sz w:val="18"/>
                <w:szCs w:val="18"/>
              </w:rPr>
              <w:t>0</w:t>
            </w:r>
          </w:p>
        </w:tc>
        <w:tc>
          <w:tcPr>
            <w:tcW w:w="516" w:type="pct"/>
            <w:tcBorders>
              <w:top w:val="nil"/>
              <w:left w:val="nil"/>
              <w:bottom w:val="single" w:sz="8" w:space="0" w:color="auto"/>
              <w:right w:val="single" w:sz="8" w:space="0" w:color="auto"/>
            </w:tcBorders>
            <w:shd w:val="clear" w:color="000000" w:fill="D9D9D9"/>
          </w:tcPr>
          <w:p w14:paraId="55857898" w14:textId="77777777" w:rsidR="003E3128" w:rsidRPr="00B829DB" w:rsidRDefault="003E3128" w:rsidP="00445C9D">
            <w:pPr>
              <w:spacing w:before="0" w:after="0"/>
              <w:jc w:val="center"/>
              <w:rPr>
                <w:rFonts w:eastAsia="Times New Roman"/>
                <w:noProof/>
                <w:color w:val="000000"/>
                <w:sz w:val="18"/>
                <w:szCs w:val="18"/>
                <w:lang w:val="en-IE" w:eastAsia="en-IE"/>
              </w:rPr>
            </w:pPr>
            <w:r w:rsidRPr="00B829DB">
              <w:rPr>
                <w:noProof/>
                <w:sz w:val="18"/>
                <w:szCs w:val="18"/>
              </w:rPr>
              <w:t>0</w:t>
            </w:r>
          </w:p>
        </w:tc>
      </w:tr>
      <w:tr w:rsidR="000E3F9D" w:rsidRPr="00FA3B7E" w14:paraId="6572CA8E" w14:textId="77777777" w:rsidTr="000E3F9D">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BE47C9B" w14:textId="77777777" w:rsidR="00102AF6" w:rsidRPr="00186919" w:rsidRDefault="00102AF6" w:rsidP="00102AF6">
            <w:pPr>
              <w:spacing w:before="0" w:after="0"/>
              <w:ind w:firstLineChars="100" w:firstLine="160"/>
              <w:jc w:val="left"/>
              <w:rPr>
                <w:rFonts w:eastAsia="Times New Roman"/>
                <w:noProof/>
                <w:color w:val="000000"/>
                <w:sz w:val="16"/>
                <w:szCs w:val="16"/>
                <w:lang w:val="en-IE" w:eastAsia="en-IE"/>
              </w:rPr>
            </w:pPr>
            <w:r w:rsidRPr="00186919">
              <w:rPr>
                <w:rFonts w:eastAsia="Times New Roman"/>
                <w:noProof/>
                <w:color w:val="000000"/>
                <w:sz w:val="16"/>
                <w:szCs w:val="16"/>
                <w:lang w:val="en-IE" w:eastAsia="en-IE"/>
              </w:rPr>
              <w:t xml:space="preserve">Other budget lines (specify) - Outside Heading </w:t>
            </w:r>
            <w:r>
              <w:rPr>
                <w:rFonts w:eastAsia="Times New Roman"/>
                <w:noProof/>
                <w:color w:val="000000"/>
                <w:sz w:val="16"/>
                <w:szCs w:val="16"/>
                <w:lang w:val="en-IE" w:eastAsia="en-IE"/>
              </w:rPr>
              <w:t>4</w:t>
            </w:r>
          </w:p>
        </w:tc>
        <w:tc>
          <w:tcPr>
            <w:tcW w:w="519" w:type="pct"/>
            <w:tcBorders>
              <w:top w:val="nil"/>
              <w:left w:val="nil"/>
              <w:bottom w:val="single" w:sz="8" w:space="0" w:color="auto"/>
              <w:right w:val="single" w:sz="8" w:space="0" w:color="auto"/>
            </w:tcBorders>
            <w:shd w:val="clear" w:color="000000" w:fill="D9D9D9"/>
            <w:hideMark/>
          </w:tcPr>
          <w:p w14:paraId="078D33A2" w14:textId="46C43DA3" w:rsidR="00102AF6" w:rsidRPr="00FA3B7E" w:rsidRDefault="00102AF6" w:rsidP="00102AF6">
            <w:pPr>
              <w:spacing w:before="0" w:after="0"/>
              <w:jc w:val="center"/>
              <w:rPr>
                <w:rFonts w:eastAsia="Times New Roman"/>
                <w:noProof/>
                <w:color w:val="000000"/>
                <w:sz w:val="18"/>
                <w:szCs w:val="18"/>
                <w:lang w:val="en-IE" w:eastAsia="en-IE"/>
              </w:rPr>
            </w:pPr>
            <w:r w:rsidDel="00C7321D">
              <w:rPr>
                <w:noProof/>
                <w:sz w:val="18"/>
              </w:rPr>
              <w:t>4</w:t>
            </w:r>
          </w:p>
        </w:tc>
        <w:tc>
          <w:tcPr>
            <w:tcW w:w="519" w:type="pct"/>
            <w:tcBorders>
              <w:top w:val="nil"/>
              <w:left w:val="nil"/>
              <w:bottom w:val="single" w:sz="8" w:space="0" w:color="auto"/>
              <w:right w:val="single" w:sz="8" w:space="0" w:color="auto"/>
            </w:tcBorders>
            <w:shd w:val="clear" w:color="000000" w:fill="D9D9D9"/>
            <w:hideMark/>
          </w:tcPr>
          <w:p w14:paraId="4F0281ED" w14:textId="0173F2A3" w:rsidR="00102AF6" w:rsidRPr="00FA3B7E" w:rsidRDefault="00102AF6" w:rsidP="00102AF6">
            <w:pPr>
              <w:spacing w:before="0" w:after="0"/>
              <w:jc w:val="center"/>
              <w:rPr>
                <w:rFonts w:eastAsia="Times New Roman"/>
                <w:noProof/>
                <w:color w:val="000000"/>
                <w:sz w:val="18"/>
                <w:szCs w:val="18"/>
                <w:lang w:val="en-IE" w:eastAsia="en-IE"/>
              </w:rPr>
            </w:pPr>
            <w:r>
              <w:rPr>
                <w:noProof/>
                <w:sz w:val="18"/>
                <w:szCs w:val="18"/>
              </w:rPr>
              <w:t>22</w:t>
            </w:r>
          </w:p>
        </w:tc>
        <w:tc>
          <w:tcPr>
            <w:tcW w:w="519" w:type="pct"/>
            <w:tcBorders>
              <w:top w:val="nil"/>
              <w:left w:val="nil"/>
              <w:bottom w:val="single" w:sz="8" w:space="0" w:color="auto"/>
              <w:right w:val="single" w:sz="8" w:space="0" w:color="auto"/>
            </w:tcBorders>
            <w:shd w:val="clear" w:color="000000" w:fill="D9D9D9"/>
            <w:hideMark/>
          </w:tcPr>
          <w:p w14:paraId="2E3F4427" w14:textId="6C732776" w:rsidR="00102AF6" w:rsidRPr="00FA3B7E" w:rsidRDefault="00102AF6" w:rsidP="00102AF6">
            <w:pPr>
              <w:spacing w:before="0" w:after="0"/>
              <w:jc w:val="center"/>
              <w:rPr>
                <w:rFonts w:eastAsia="Times New Roman"/>
                <w:noProof/>
                <w:color w:val="000000"/>
                <w:sz w:val="18"/>
                <w:szCs w:val="18"/>
                <w:lang w:val="en-IE" w:eastAsia="en-IE"/>
              </w:rPr>
            </w:pPr>
            <w:r>
              <w:rPr>
                <w:noProof/>
                <w:sz w:val="18"/>
              </w:rPr>
              <w:t>28</w:t>
            </w:r>
          </w:p>
        </w:tc>
        <w:tc>
          <w:tcPr>
            <w:tcW w:w="519" w:type="pct"/>
            <w:tcBorders>
              <w:top w:val="nil"/>
              <w:left w:val="nil"/>
              <w:bottom w:val="single" w:sz="8" w:space="0" w:color="auto"/>
              <w:right w:val="single" w:sz="8" w:space="0" w:color="auto"/>
            </w:tcBorders>
            <w:shd w:val="clear" w:color="000000" w:fill="D9D9D9"/>
            <w:hideMark/>
          </w:tcPr>
          <w:p w14:paraId="4C266AF4" w14:textId="582FF88F" w:rsidR="00102AF6" w:rsidRPr="00FA3B7E" w:rsidRDefault="00102AF6" w:rsidP="00102AF6">
            <w:pPr>
              <w:spacing w:before="0" w:after="0"/>
              <w:jc w:val="center"/>
              <w:rPr>
                <w:rFonts w:eastAsia="Times New Roman"/>
                <w:noProof/>
                <w:color w:val="000000"/>
                <w:sz w:val="18"/>
                <w:szCs w:val="18"/>
                <w:lang w:val="en-IE" w:eastAsia="en-IE"/>
              </w:rPr>
            </w:pPr>
            <w:r>
              <w:rPr>
                <w:noProof/>
                <w:sz w:val="18"/>
                <w:szCs w:val="18"/>
              </w:rPr>
              <w:t>60</w:t>
            </w:r>
          </w:p>
        </w:tc>
        <w:tc>
          <w:tcPr>
            <w:tcW w:w="519" w:type="pct"/>
            <w:tcBorders>
              <w:top w:val="nil"/>
              <w:left w:val="nil"/>
              <w:bottom w:val="single" w:sz="8" w:space="0" w:color="auto"/>
              <w:right w:val="single" w:sz="8" w:space="0" w:color="auto"/>
            </w:tcBorders>
            <w:shd w:val="clear" w:color="000000" w:fill="D9D9D9"/>
            <w:hideMark/>
          </w:tcPr>
          <w:p w14:paraId="78E1E3DC" w14:textId="435F5945" w:rsidR="00102AF6" w:rsidRPr="00FA3B7E" w:rsidRDefault="00102AF6" w:rsidP="00102AF6">
            <w:pPr>
              <w:spacing w:before="0" w:after="0"/>
              <w:jc w:val="center"/>
              <w:rPr>
                <w:rFonts w:eastAsia="Times New Roman"/>
                <w:noProof/>
                <w:color w:val="000000"/>
                <w:sz w:val="18"/>
                <w:szCs w:val="18"/>
                <w:lang w:val="en-IE" w:eastAsia="en-IE"/>
              </w:rPr>
            </w:pPr>
            <w:r>
              <w:rPr>
                <w:noProof/>
                <w:sz w:val="18"/>
                <w:szCs w:val="18"/>
              </w:rPr>
              <w:t>62</w:t>
            </w:r>
          </w:p>
        </w:tc>
        <w:tc>
          <w:tcPr>
            <w:tcW w:w="519" w:type="pct"/>
            <w:tcBorders>
              <w:top w:val="nil"/>
              <w:left w:val="nil"/>
              <w:bottom w:val="single" w:sz="8" w:space="0" w:color="auto"/>
              <w:right w:val="single" w:sz="8" w:space="0" w:color="auto"/>
            </w:tcBorders>
            <w:shd w:val="clear" w:color="000000" w:fill="D9D9D9"/>
            <w:hideMark/>
          </w:tcPr>
          <w:p w14:paraId="0CEF6B3B" w14:textId="3BF090C5" w:rsidR="00102AF6" w:rsidRPr="00FA3B7E" w:rsidRDefault="00102AF6" w:rsidP="00102AF6">
            <w:pPr>
              <w:spacing w:before="0" w:after="0"/>
              <w:jc w:val="center"/>
              <w:rPr>
                <w:rFonts w:eastAsia="Times New Roman"/>
                <w:noProof/>
                <w:color w:val="000000"/>
                <w:sz w:val="18"/>
                <w:szCs w:val="18"/>
                <w:lang w:val="en-IE" w:eastAsia="en-IE"/>
              </w:rPr>
            </w:pPr>
            <w:r>
              <w:rPr>
                <w:noProof/>
                <w:sz w:val="18"/>
                <w:szCs w:val="18"/>
              </w:rPr>
              <w:t>62</w:t>
            </w:r>
          </w:p>
        </w:tc>
        <w:tc>
          <w:tcPr>
            <w:tcW w:w="516" w:type="pct"/>
            <w:tcBorders>
              <w:top w:val="nil"/>
              <w:left w:val="nil"/>
              <w:bottom w:val="single" w:sz="8" w:space="0" w:color="auto"/>
              <w:right w:val="single" w:sz="8" w:space="0" w:color="auto"/>
            </w:tcBorders>
            <w:shd w:val="clear" w:color="000000" w:fill="D9D9D9"/>
            <w:hideMark/>
          </w:tcPr>
          <w:p w14:paraId="57F17718" w14:textId="16EEB434" w:rsidR="00102AF6" w:rsidRPr="00FA3B7E" w:rsidRDefault="00102AF6" w:rsidP="00102AF6">
            <w:pPr>
              <w:spacing w:before="0" w:after="0"/>
              <w:jc w:val="center"/>
              <w:rPr>
                <w:rFonts w:eastAsia="Times New Roman"/>
                <w:noProof/>
                <w:color w:val="000000"/>
                <w:sz w:val="18"/>
                <w:szCs w:val="18"/>
                <w:lang w:val="en-IE" w:eastAsia="en-IE"/>
              </w:rPr>
            </w:pPr>
            <w:r>
              <w:rPr>
                <w:noProof/>
                <w:sz w:val="18"/>
                <w:szCs w:val="18"/>
              </w:rPr>
              <w:t>62</w:t>
            </w:r>
          </w:p>
        </w:tc>
      </w:tr>
      <w:tr w:rsidR="000E3F9D" w:rsidRPr="00FA3B7E" w14:paraId="7E2167AF" w14:textId="77777777" w:rsidTr="000E3F9D">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FD18692" w14:textId="77777777" w:rsidR="00102AF6" w:rsidRPr="00186919" w:rsidRDefault="00102AF6" w:rsidP="00102AF6">
            <w:pPr>
              <w:spacing w:before="0" w:after="0"/>
              <w:ind w:firstLineChars="100" w:firstLine="161"/>
              <w:jc w:val="left"/>
              <w:rPr>
                <w:rFonts w:eastAsia="Times New Roman"/>
                <w:b/>
                <w:bCs/>
                <w:noProof/>
                <w:color w:val="000000"/>
                <w:sz w:val="16"/>
                <w:szCs w:val="16"/>
                <w:lang w:val="en-IE" w:eastAsia="en-IE"/>
              </w:rPr>
            </w:pPr>
            <w:r w:rsidRPr="00186919">
              <w:rPr>
                <w:rFonts w:eastAsia="Times New Roman"/>
                <w:b/>
                <w:bCs/>
                <w:noProof/>
                <w:color w:val="000000"/>
                <w:sz w:val="16"/>
                <w:szCs w:val="16"/>
                <w:lang w:val="en-IE" w:eastAsia="en-IE"/>
              </w:rPr>
              <w:t>TOTAL</w:t>
            </w:r>
          </w:p>
        </w:tc>
        <w:tc>
          <w:tcPr>
            <w:tcW w:w="519" w:type="pct"/>
            <w:tcBorders>
              <w:top w:val="nil"/>
              <w:left w:val="nil"/>
              <w:bottom w:val="single" w:sz="8" w:space="0" w:color="auto"/>
              <w:right w:val="single" w:sz="8" w:space="0" w:color="auto"/>
            </w:tcBorders>
            <w:shd w:val="clear" w:color="000000" w:fill="D9D9D9"/>
            <w:hideMark/>
          </w:tcPr>
          <w:p w14:paraId="242478D7" w14:textId="5E83F22D" w:rsidR="00102AF6" w:rsidRPr="00FA3B7E" w:rsidRDefault="00102AF6" w:rsidP="00102AF6">
            <w:pPr>
              <w:spacing w:before="0" w:after="0"/>
              <w:jc w:val="center"/>
              <w:rPr>
                <w:rFonts w:eastAsia="Times New Roman"/>
                <w:b/>
                <w:bCs/>
                <w:noProof/>
                <w:color w:val="000000"/>
                <w:sz w:val="18"/>
                <w:szCs w:val="18"/>
                <w:lang w:val="en-IE" w:eastAsia="en-IE"/>
              </w:rPr>
            </w:pPr>
            <w:r>
              <w:rPr>
                <w:b/>
                <w:bCs/>
                <w:noProof/>
                <w:sz w:val="18"/>
                <w:szCs w:val="18"/>
              </w:rPr>
              <w:t>49</w:t>
            </w:r>
          </w:p>
        </w:tc>
        <w:tc>
          <w:tcPr>
            <w:tcW w:w="519" w:type="pct"/>
            <w:tcBorders>
              <w:top w:val="nil"/>
              <w:left w:val="nil"/>
              <w:bottom w:val="single" w:sz="8" w:space="0" w:color="auto"/>
              <w:right w:val="single" w:sz="8" w:space="0" w:color="auto"/>
            </w:tcBorders>
            <w:shd w:val="clear" w:color="000000" w:fill="D9D9D9"/>
            <w:hideMark/>
          </w:tcPr>
          <w:p w14:paraId="263C95DE" w14:textId="06EE8689" w:rsidR="00102AF6" w:rsidRPr="00FA3B7E" w:rsidRDefault="00102AF6" w:rsidP="00102AF6">
            <w:pPr>
              <w:spacing w:before="0" w:after="0"/>
              <w:jc w:val="center"/>
              <w:rPr>
                <w:rFonts w:eastAsia="Times New Roman"/>
                <w:b/>
                <w:bCs/>
                <w:noProof/>
                <w:color w:val="000000"/>
                <w:sz w:val="18"/>
                <w:szCs w:val="18"/>
                <w:lang w:val="en-IE" w:eastAsia="en-IE"/>
              </w:rPr>
            </w:pPr>
            <w:r>
              <w:rPr>
                <w:b/>
                <w:bCs/>
                <w:noProof/>
                <w:color w:val="000000"/>
                <w:sz w:val="16"/>
                <w:szCs w:val="16"/>
              </w:rPr>
              <w:t>96</w:t>
            </w:r>
          </w:p>
        </w:tc>
        <w:tc>
          <w:tcPr>
            <w:tcW w:w="519" w:type="pct"/>
            <w:tcBorders>
              <w:top w:val="nil"/>
              <w:left w:val="nil"/>
              <w:bottom w:val="single" w:sz="8" w:space="0" w:color="auto"/>
              <w:right w:val="single" w:sz="8" w:space="0" w:color="auto"/>
            </w:tcBorders>
            <w:shd w:val="clear" w:color="000000" w:fill="D9D9D9"/>
            <w:hideMark/>
          </w:tcPr>
          <w:p w14:paraId="7D4E1D3E" w14:textId="07ABF59D" w:rsidR="00102AF6" w:rsidRPr="00FA3B7E" w:rsidRDefault="00102AF6" w:rsidP="00102AF6">
            <w:pPr>
              <w:spacing w:before="0" w:after="0"/>
              <w:jc w:val="center"/>
              <w:rPr>
                <w:rFonts w:eastAsia="Times New Roman"/>
                <w:b/>
                <w:bCs/>
                <w:noProof/>
                <w:color w:val="000000"/>
                <w:sz w:val="18"/>
                <w:szCs w:val="18"/>
                <w:lang w:val="en-IE" w:eastAsia="en-IE"/>
              </w:rPr>
            </w:pPr>
            <w:r>
              <w:rPr>
                <w:b/>
                <w:bCs/>
                <w:noProof/>
                <w:color w:val="000000"/>
                <w:sz w:val="16"/>
                <w:szCs w:val="16"/>
              </w:rPr>
              <w:t>134</w:t>
            </w:r>
          </w:p>
        </w:tc>
        <w:tc>
          <w:tcPr>
            <w:tcW w:w="519" w:type="pct"/>
            <w:tcBorders>
              <w:top w:val="nil"/>
              <w:left w:val="nil"/>
              <w:bottom w:val="single" w:sz="8" w:space="0" w:color="auto"/>
              <w:right w:val="single" w:sz="8" w:space="0" w:color="auto"/>
            </w:tcBorders>
            <w:shd w:val="clear" w:color="000000" w:fill="D9D9D9"/>
            <w:hideMark/>
          </w:tcPr>
          <w:p w14:paraId="38C4CB2F" w14:textId="6AFA3238" w:rsidR="00102AF6" w:rsidRPr="00FA3B7E" w:rsidRDefault="00102AF6" w:rsidP="00102AF6">
            <w:pPr>
              <w:spacing w:before="0" w:after="0"/>
              <w:jc w:val="center"/>
              <w:rPr>
                <w:rFonts w:eastAsia="Times New Roman"/>
                <w:b/>
                <w:bCs/>
                <w:noProof/>
                <w:color w:val="000000"/>
                <w:sz w:val="18"/>
                <w:szCs w:val="18"/>
                <w:lang w:val="en-IE" w:eastAsia="en-IE"/>
              </w:rPr>
            </w:pPr>
            <w:r>
              <w:rPr>
                <w:b/>
                <w:bCs/>
                <w:noProof/>
                <w:color w:val="000000"/>
                <w:sz w:val="16"/>
                <w:szCs w:val="16"/>
              </w:rPr>
              <w:t>164</w:t>
            </w:r>
          </w:p>
        </w:tc>
        <w:tc>
          <w:tcPr>
            <w:tcW w:w="519" w:type="pct"/>
            <w:tcBorders>
              <w:top w:val="nil"/>
              <w:left w:val="nil"/>
              <w:bottom w:val="single" w:sz="8" w:space="0" w:color="auto"/>
              <w:right w:val="single" w:sz="8" w:space="0" w:color="auto"/>
            </w:tcBorders>
            <w:shd w:val="clear" w:color="000000" w:fill="D9D9D9"/>
            <w:hideMark/>
          </w:tcPr>
          <w:p w14:paraId="70B3A70F" w14:textId="067AA44F" w:rsidR="00102AF6" w:rsidRPr="00FA3B7E" w:rsidRDefault="00102AF6" w:rsidP="00102AF6">
            <w:pPr>
              <w:spacing w:before="0" w:after="0"/>
              <w:jc w:val="center"/>
              <w:rPr>
                <w:rFonts w:eastAsia="Times New Roman"/>
                <w:b/>
                <w:bCs/>
                <w:noProof/>
                <w:color w:val="000000"/>
                <w:sz w:val="18"/>
                <w:szCs w:val="18"/>
                <w:lang w:val="en-IE" w:eastAsia="en-IE"/>
              </w:rPr>
            </w:pPr>
            <w:r>
              <w:rPr>
                <w:b/>
                <w:bCs/>
                <w:noProof/>
                <w:color w:val="000000"/>
                <w:sz w:val="16"/>
                <w:szCs w:val="16"/>
              </w:rPr>
              <w:t>16</w:t>
            </w:r>
            <w:r w:rsidR="00524D56">
              <w:rPr>
                <w:b/>
                <w:bCs/>
                <w:noProof/>
                <w:color w:val="000000"/>
                <w:sz w:val="16"/>
                <w:szCs w:val="16"/>
              </w:rPr>
              <w:t>6</w:t>
            </w:r>
          </w:p>
        </w:tc>
        <w:tc>
          <w:tcPr>
            <w:tcW w:w="519" w:type="pct"/>
            <w:tcBorders>
              <w:top w:val="nil"/>
              <w:left w:val="nil"/>
              <w:bottom w:val="single" w:sz="8" w:space="0" w:color="auto"/>
              <w:right w:val="single" w:sz="8" w:space="0" w:color="auto"/>
            </w:tcBorders>
            <w:shd w:val="clear" w:color="000000" w:fill="D9D9D9"/>
            <w:hideMark/>
          </w:tcPr>
          <w:p w14:paraId="371CD440" w14:textId="14543BF9" w:rsidR="00102AF6" w:rsidRPr="00FA3B7E" w:rsidRDefault="00102AF6" w:rsidP="00102AF6">
            <w:pPr>
              <w:spacing w:before="0" w:after="0"/>
              <w:jc w:val="center"/>
              <w:rPr>
                <w:rFonts w:eastAsia="Times New Roman"/>
                <w:b/>
                <w:bCs/>
                <w:noProof/>
                <w:color w:val="000000"/>
                <w:sz w:val="18"/>
                <w:szCs w:val="18"/>
                <w:lang w:val="en-IE" w:eastAsia="en-IE"/>
              </w:rPr>
            </w:pPr>
            <w:r>
              <w:rPr>
                <w:b/>
                <w:bCs/>
                <w:noProof/>
                <w:color w:val="000000"/>
                <w:sz w:val="16"/>
                <w:szCs w:val="16"/>
              </w:rPr>
              <w:t>166</w:t>
            </w:r>
          </w:p>
        </w:tc>
        <w:tc>
          <w:tcPr>
            <w:tcW w:w="516" w:type="pct"/>
            <w:tcBorders>
              <w:top w:val="nil"/>
              <w:left w:val="nil"/>
              <w:bottom w:val="single" w:sz="8" w:space="0" w:color="auto"/>
              <w:right w:val="single" w:sz="8" w:space="0" w:color="auto"/>
            </w:tcBorders>
            <w:shd w:val="clear" w:color="000000" w:fill="D9D9D9"/>
            <w:hideMark/>
          </w:tcPr>
          <w:p w14:paraId="68076102" w14:textId="13179128" w:rsidR="00102AF6" w:rsidRPr="00FA3B7E" w:rsidRDefault="00102AF6" w:rsidP="00102AF6">
            <w:pPr>
              <w:spacing w:before="0" w:after="0"/>
              <w:jc w:val="center"/>
              <w:rPr>
                <w:rFonts w:eastAsia="Times New Roman"/>
                <w:b/>
                <w:bCs/>
                <w:noProof/>
                <w:color w:val="000000"/>
                <w:sz w:val="18"/>
                <w:szCs w:val="18"/>
                <w:lang w:val="en-IE" w:eastAsia="en-IE"/>
              </w:rPr>
            </w:pPr>
            <w:r>
              <w:rPr>
                <w:b/>
                <w:bCs/>
                <w:noProof/>
                <w:color w:val="000000"/>
                <w:sz w:val="16"/>
                <w:szCs w:val="16"/>
              </w:rPr>
              <w:t>166</w:t>
            </w:r>
          </w:p>
        </w:tc>
      </w:tr>
    </w:tbl>
    <w:p w14:paraId="62939C3C" w14:textId="77777777" w:rsidR="006052EE" w:rsidRDefault="006052EE" w:rsidP="003E3128">
      <w:pPr>
        <w:pStyle w:val="Text1"/>
        <w:rPr>
          <w:noProof/>
          <w:color w:val="000000" w:themeColor="text1"/>
        </w:rPr>
      </w:pPr>
      <w:bookmarkStart w:id="184" w:name="_Hlk167692843"/>
      <w:bookmarkEnd w:id="179"/>
      <w:r w:rsidRPr="00EB596E">
        <w:rPr>
          <w:noProof/>
          <w:color w:val="000000" w:themeColor="text1"/>
        </w:rPr>
        <w:t>The staff required to implement the proposal</w:t>
      </w:r>
      <w:r>
        <w:rPr>
          <w:noProof/>
          <w:color w:val="000000" w:themeColor="text1"/>
        </w:rPr>
        <w:t xml:space="preserve">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6052EE" w14:paraId="36364E60" w14:textId="77777777" w:rsidTr="00445C9D">
        <w:trPr>
          <w:trHeight w:val="300"/>
        </w:trPr>
        <w:tc>
          <w:tcPr>
            <w:tcW w:w="1845" w:type="dxa"/>
          </w:tcPr>
          <w:p w14:paraId="53DD86C8" w14:textId="77777777" w:rsidR="006052EE" w:rsidRPr="00310A4B" w:rsidRDefault="006052EE" w:rsidP="00445C9D">
            <w:pPr>
              <w:pStyle w:val="Text1"/>
              <w:ind w:left="0"/>
              <w:jc w:val="center"/>
              <w:rPr>
                <w:b/>
                <w:bCs/>
                <w:noProof/>
                <w:sz w:val="22"/>
                <w:szCs w:val="28"/>
              </w:rPr>
            </w:pPr>
          </w:p>
        </w:tc>
        <w:tc>
          <w:tcPr>
            <w:tcW w:w="2031" w:type="dxa"/>
          </w:tcPr>
          <w:p w14:paraId="74889074" w14:textId="77777777" w:rsidR="006052EE" w:rsidRPr="00310A4B" w:rsidRDefault="006052EE" w:rsidP="00445C9D">
            <w:pPr>
              <w:pStyle w:val="Text1"/>
              <w:ind w:left="0"/>
              <w:jc w:val="center"/>
              <w:rPr>
                <w:b/>
                <w:bCs/>
                <w:noProof/>
                <w:sz w:val="22"/>
              </w:rPr>
            </w:pPr>
            <w:r w:rsidRPr="7814D1E9">
              <w:rPr>
                <w:b/>
                <w:bCs/>
                <w:noProof/>
                <w:sz w:val="22"/>
              </w:rPr>
              <w:t xml:space="preserve">To be covered by current staff available in the Commission services </w:t>
            </w:r>
          </w:p>
        </w:tc>
        <w:tc>
          <w:tcPr>
            <w:tcW w:w="5611" w:type="dxa"/>
            <w:gridSpan w:val="3"/>
          </w:tcPr>
          <w:p w14:paraId="361A9E43" w14:textId="77777777" w:rsidR="006052EE" w:rsidRPr="00310A4B" w:rsidRDefault="006052EE" w:rsidP="00445C9D">
            <w:pPr>
              <w:pStyle w:val="Text1"/>
              <w:ind w:left="0"/>
              <w:jc w:val="center"/>
              <w:rPr>
                <w:b/>
                <w:bCs/>
                <w:noProof/>
                <w:sz w:val="22"/>
              </w:rPr>
            </w:pPr>
            <w:r w:rsidRPr="6C5FD46B">
              <w:rPr>
                <w:b/>
                <w:bCs/>
                <w:noProof/>
                <w:sz w:val="22"/>
              </w:rPr>
              <w:t>Exceptional additional staff*</w:t>
            </w:r>
          </w:p>
        </w:tc>
      </w:tr>
      <w:tr w:rsidR="006052EE" w14:paraId="31D5AF63" w14:textId="77777777" w:rsidTr="00445C9D">
        <w:trPr>
          <w:trHeight w:val="300"/>
        </w:trPr>
        <w:tc>
          <w:tcPr>
            <w:tcW w:w="1845" w:type="dxa"/>
          </w:tcPr>
          <w:p w14:paraId="5C699124" w14:textId="77777777" w:rsidR="006052EE" w:rsidRPr="00310A4B" w:rsidRDefault="006052EE" w:rsidP="00445C9D">
            <w:pPr>
              <w:pStyle w:val="Text1"/>
              <w:ind w:left="0"/>
              <w:jc w:val="center"/>
              <w:rPr>
                <w:b/>
                <w:bCs/>
                <w:noProof/>
                <w:sz w:val="22"/>
                <w:szCs w:val="28"/>
              </w:rPr>
            </w:pPr>
          </w:p>
        </w:tc>
        <w:tc>
          <w:tcPr>
            <w:tcW w:w="2031" w:type="dxa"/>
          </w:tcPr>
          <w:p w14:paraId="58F1EADE" w14:textId="77777777" w:rsidR="006052EE" w:rsidRPr="00310A4B" w:rsidRDefault="006052EE" w:rsidP="00445C9D">
            <w:pPr>
              <w:pStyle w:val="Text1"/>
              <w:ind w:left="0"/>
              <w:jc w:val="center"/>
              <w:rPr>
                <w:b/>
                <w:bCs/>
                <w:noProof/>
                <w:sz w:val="22"/>
                <w:szCs w:val="28"/>
              </w:rPr>
            </w:pPr>
          </w:p>
        </w:tc>
        <w:tc>
          <w:tcPr>
            <w:tcW w:w="1925" w:type="dxa"/>
          </w:tcPr>
          <w:p w14:paraId="53CC29DA" w14:textId="0A28599E" w:rsidR="006052EE" w:rsidRPr="00310A4B" w:rsidRDefault="006052EE" w:rsidP="00445C9D">
            <w:pPr>
              <w:pStyle w:val="Text1"/>
              <w:ind w:left="0"/>
              <w:jc w:val="center"/>
              <w:rPr>
                <w:b/>
                <w:bCs/>
                <w:noProof/>
                <w:sz w:val="22"/>
              </w:rPr>
            </w:pPr>
            <w:r w:rsidRPr="73D5EDD6">
              <w:rPr>
                <w:b/>
                <w:bCs/>
                <w:noProof/>
                <w:sz w:val="22"/>
              </w:rPr>
              <w:t xml:space="preserve">To be financed under Heading </w:t>
            </w:r>
            <w:r w:rsidR="003B7452">
              <w:rPr>
                <w:b/>
                <w:bCs/>
                <w:noProof/>
                <w:sz w:val="22"/>
              </w:rPr>
              <w:t>4</w:t>
            </w:r>
            <w:r>
              <w:rPr>
                <w:b/>
                <w:bCs/>
                <w:noProof/>
                <w:sz w:val="22"/>
              </w:rPr>
              <w:t xml:space="preserve"> </w:t>
            </w:r>
            <w:r w:rsidRPr="009913A5">
              <w:rPr>
                <w:b/>
                <w:bCs/>
                <w:noProof/>
                <w:sz w:val="22"/>
              </w:rPr>
              <w:t>or Research</w:t>
            </w:r>
          </w:p>
        </w:tc>
        <w:tc>
          <w:tcPr>
            <w:tcW w:w="1938" w:type="dxa"/>
          </w:tcPr>
          <w:p w14:paraId="5A6E7CEA" w14:textId="77777777" w:rsidR="006052EE" w:rsidRPr="00310A4B" w:rsidRDefault="006052EE" w:rsidP="00445C9D">
            <w:pPr>
              <w:pStyle w:val="Text1"/>
              <w:ind w:left="0"/>
              <w:jc w:val="center"/>
              <w:rPr>
                <w:b/>
                <w:bCs/>
                <w:noProof/>
                <w:sz w:val="22"/>
                <w:szCs w:val="28"/>
              </w:rPr>
            </w:pPr>
            <w:r w:rsidRPr="00310A4B">
              <w:rPr>
                <w:b/>
                <w:bCs/>
                <w:noProof/>
                <w:sz w:val="22"/>
                <w:szCs w:val="28"/>
              </w:rPr>
              <w:t>To be financed from BA line</w:t>
            </w:r>
          </w:p>
        </w:tc>
        <w:tc>
          <w:tcPr>
            <w:tcW w:w="1748" w:type="dxa"/>
          </w:tcPr>
          <w:p w14:paraId="5BBB0C5A" w14:textId="77777777" w:rsidR="006052EE" w:rsidRPr="00310A4B" w:rsidRDefault="006052EE" w:rsidP="00445C9D">
            <w:pPr>
              <w:pStyle w:val="Text1"/>
              <w:ind w:left="0"/>
              <w:jc w:val="center"/>
              <w:rPr>
                <w:b/>
                <w:bCs/>
                <w:noProof/>
                <w:sz w:val="22"/>
                <w:szCs w:val="28"/>
              </w:rPr>
            </w:pPr>
            <w:r w:rsidRPr="00310A4B">
              <w:rPr>
                <w:b/>
                <w:bCs/>
                <w:noProof/>
                <w:sz w:val="22"/>
                <w:szCs w:val="28"/>
              </w:rPr>
              <w:t>To be financed from fees</w:t>
            </w:r>
          </w:p>
        </w:tc>
      </w:tr>
      <w:tr w:rsidR="006052EE" w14:paraId="69D29156" w14:textId="77777777" w:rsidTr="00445C9D">
        <w:trPr>
          <w:trHeight w:val="300"/>
        </w:trPr>
        <w:tc>
          <w:tcPr>
            <w:tcW w:w="1845" w:type="dxa"/>
          </w:tcPr>
          <w:p w14:paraId="6DB648DF" w14:textId="77777777" w:rsidR="006052EE" w:rsidRDefault="006052EE" w:rsidP="00445C9D">
            <w:pPr>
              <w:pStyle w:val="Text1"/>
              <w:ind w:left="0"/>
              <w:rPr>
                <w:noProof/>
                <w:sz w:val="22"/>
                <w:szCs w:val="28"/>
              </w:rPr>
            </w:pPr>
            <w:r>
              <w:rPr>
                <w:noProof/>
                <w:sz w:val="22"/>
                <w:szCs w:val="28"/>
              </w:rPr>
              <w:t>Establishment plan posts</w:t>
            </w:r>
          </w:p>
        </w:tc>
        <w:tc>
          <w:tcPr>
            <w:tcW w:w="2031" w:type="dxa"/>
          </w:tcPr>
          <w:p w14:paraId="05168009" w14:textId="77777777" w:rsidR="006052EE" w:rsidRDefault="006052EE" w:rsidP="00445C9D">
            <w:pPr>
              <w:pStyle w:val="Text1"/>
              <w:ind w:left="0"/>
              <w:rPr>
                <w:noProof/>
                <w:sz w:val="22"/>
                <w:szCs w:val="28"/>
              </w:rPr>
            </w:pPr>
          </w:p>
        </w:tc>
        <w:tc>
          <w:tcPr>
            <w:tcW w:w="1925" w:type="dxa"/>
          </w:tcPr>
          <w:p w14:paraId="4B3A97D6" w14:textId="1B65724D" w:rsidR="006052EE" w:rsidRDefault="003E3128" w:rsidP="003E3128">
            <w:pPr>
              <w:pStyle w:val="Text1"/>
              <w:ind w:left="0"/>
              <w:rPr>
                <w:noProof/>
                <w:sz w:val="22"/>
                <w:szCs w:val="28"/>
              </w:rPr>
            </w:pPr>
            <w:r>
              <w:rPr>
                <w:noProof/>
                <w:sz w:val="22"/>
                <w:szCs w:val="28"/>
              </w:rPr>
              <w:t>17</w:t>
            </w:r>
          </w:p>
        </w:tc>
        <w:tc>
          <w:tcPr>
            <w:tcW w:w="1938" w:type="dxa"/>
          </w:tcPr>
          <w:p w14:paraId="21DFB9EC" w14:textId="77777777" w:rsidR="006052EE" w:rsidRDefault="006052EE" w:rsidP="00445C9D">
            <w:pPr>
              <w:pStyle w:val="Text1"/>
              <w:ind w:left="0"/>
              <w:rPr>
                <w:noProof/>
                <w:sz w:val="22"/>
                <w:szCs w:val="28"/>
              </w:rPr>
            </w:pPr>
            <w:r>
              <w:rPr>
                <w:noProof/>
                <w:sz w:val="22"/>
                <w:szCs w:val="28"/>
              </w:rPr>
              <w:t>N/A</w:t>
            </w:r>
          </w:p>
        </w:tc>
        <w:tc>
          <w:tcPr>
            <w:tcW w:w="1748" w:type="dxa"/>
          </w:tcPr>
          <w:p w14:paraId="1EEC49A9" w14:textId="1DDEB370" w:rsidR="006052EE" w:rsidRDefault="003B7452" w:rsidP="00445C9D">
            <w:pPr>
              <w:pStyle w:val="Text1"/>
              <w:ind w:left="0"/>
              <w:rPr>
                <w:noProof/>
                <w:sz w:val="22"/>
                <w:szCs w:val="28"/>
              </w:rPr>
            </w:pPr>
            <w:r>
              <w:rPr>
                <w:noProof/>
                <w:sz w:val="22"/>
                <w:szCs w:val="28"/>
              </w:rPr>
              <w:t>80</w:t>
            </w:r>
          </w:p>
        </w:tc>
      </w:tr>
      <w:tr w:rsidR="006052EE" w14:paraId="0ACDAC60" w14:textId="77777777" w:rsidTr="00445C9D">
        <w:trPr>
          <w:trHeight w:val="300"/>
        </w:trPr>
        <w:tc>
          <w:tcPr>
            <w:tcW w:w="1845" w:type="dxa"/>
          </w:tcPr>
          <w:p w14:paraId="4E1E923E" w14:textId="77777777" w:rsidR="006052EE" w:rsidRDefault="006052EE" w:rsidP="00445C9D">
            <w:pPr>
              <w:pStyle w:val="Text1"/>
              <w:ind w:left="0"/>
              <w:rPr>
                <w:noProof/>
                <w:sz w:val="22"/>
                <w:szCs w:val="28"/>
              </w:rPr>
            </w:pPr>
            <w:r>
              <w:rPr>
                <w:noProof/>
                <w:sz w:val="22"/>
                <w:szCs w:val="28"/>
              </w:rPr>
              <w:t>External staff (CA, SNEs, INT)</w:t>
            </w:r>
          </w:p>
        </w:tc>
        <w:tc>
          <w:tcPr>
            <w:tcW w:w="2031" w:type="dxa"/>
          </w:tcPr>
          <w:p w14:paraId="05DD33FC" w14:textId="77777777" w:rsidR="006052EE" w:rsidRDefault="006052EE" w:rsidP="00445C9D">
            <w:pPr>
              <w:pStyle w:val="Text1"/>
              <w:ind w:left="0"/>
              <w:rPr>
                <w:noProof/>
                <w:sz w:val="22"/>
                <w:szCs w:val="28"/>
              </w:rPr>
            </w:pPr>
          </w:p>
        </w:tc>
        <w:tc>
          <w:tcPr>
            <w:tcW w:w="1925" w:type="dxa"/>
          </w:tcPr>
          <w:p w14:paraId="12200DC3" w14:textId="77777777" w:rsidR="006052EE" w:rsidRDefault="00DD7C9F" w:rsidP="00445C9D">
            <w:pPr>
              <w:pStyle w:val="Text1"/>
              <w:ind w:left="0"/>
              <w:rPr>
                <w:noProof/>
                <w:sz w:val="22"/>
                <w:szCs w:val="28"/>
              </w:rPr>
            </w:pPr>
            <w:r>
              <w:rPr>
                <w:noProof/>
                <w:sz w:val="22"/>
                <w:szCs w:val="28"/>
              </w:rPr>
              <w:t>9</w:t>
            </w:r>
          </w:p>
        </w:tc>
        <w:tc>
          <w:tcPr>
            <w:tcW w:w="1938" w:type="dxa"/>
          </w:tcPr>
          <w:p w14:paraId="72BCA2B1" w14:textId="77777777" w:rsidR="006052EE" w:rsidRDefault="006052EE" w:rsidP="00445C9D">
            <w:pPr>
              <w:pStyle w:val="Text1"/>
              <w:ind w:left="0"/>
              <w:rPr>
                <w:noProof/>
                <w:sz w:val="22"/>
                <w:szCs w:val="28"/>
              </w:rPr>
            </w:pPr>
          </w:p>
        </w:tc>
        <w:tc>
          <w:tcPr>
            <w:tcW w:w="1748" w:type="dxa"/>
          </w:tcPr>
          <w:p w14:paraId="49BA4AA0" w14:textId="0396A3C3" w:rsidR="006052EE" w:rsidRDefault="003B7452" w:rsidP="00445C9D">
            <w:pPr>
              <w:pStyle w:val="Text1"/>
              <w:ind w:left="0"/>
              <w:rPr>
                <w:noProof/>
                <w:sz w:val="22"/>
                <w:szCs w:val="28"/>
              </w:rPr>
            </w:pPr>
            <w:r>
              <w:rPr>
                <w:noProof/>
                <w:sz w:val="22"/>
                <w:szCs w:val="28"/>
              </w:rPr>
              <w:t>62</w:t>
            </w:r>
          </w:p>
        </w:tc>
      </w:tr>
    </w:tbl>
    <w:p w14:paraId="0F5AA6F6" w14:textId="77777777" w:rsidR="006052EE" w:rsidRDefault="006052EE" w:rsidP="003E3128">
      <w:pPr>
        <w:pStyle w:val="Text1"/>
        <w:rPr>
          <w:noProof/>
          <w:lang w:val="en-IE"/>
        </w:rPr>
      </w:pPr>
      <w:r w:rsidRPr="73D5EDD6">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8B3922" w14:paraId="48708F1E" w14:textId="77777777" w:rsidTr="00445C9D">
        <w:tc>
          <w:tcPr>
            <w:tcW w:w="3240" w:type="dxa"/>
          </w:tcPr>
          <w:p w14:paraId="23C3D4CE" w14:textId="77777777" w:rsidR="006052EE" w:rsidRDefault="006052EE" w:rsidP="00445C9D">
            <w:pPr>
              <w:rPr>
                <w:noProof/>
                <w:sz w:val="20"/>
              </w:rPr>
            </w:pPr>
            <w:r>
              <w:rPr>
                <w:noProof/>
                <w:sz w:val="20"/>
              </w:rPr>
              <w:t>Officials and temporary staff</w:t>
            </w:r>
          </w:p>
        </w:tc>
        <w:tc>
          <w:tcPr>
            <w:tcW w:w="7200" w:type="dxa"/>
          </w:tcPr>
          <w:p w14:paraId="2AC7A779" w14:textId="77777777" w:rsidR="006052EE" w:rsidRDefault="003E3128" w:rsidP="00445C9D">
            <w:pPr>
              <w:rPr>
                <w:noProof/>
                <w:sz w:val="20"/>
              </w:rPr>
            </w:pPr>
            <w:r>
              <w:rPr>
                <w:noProof/>
                <w:sz w:val="20"/>
              </w:rPr>
              <w:t>Staff needs represent additional tasks necessary to implement the amended, expanded emisisons trading system (ETS) presented in this proposal. These include continued management and development of the Union Registry as well as implementation of measures related to maritime transport, management of carbon leakage prevention measures, linking with third country ETSs, expansion of EU ETS to waste and non-permanent carbon capture &amp; utilisation (CCU) and a single market for captured CO</w:t>
            </w:r>
            <w:r w:rsidRPr="007F5BCA">
              <w:rPr>
                <w:noProof/>
                <w:sz w:val="20"/>
                <w:vertAlign w:val="subscript"/>
              </w:rPr>
              <w:t>2</w:t>
            </w:r>
            <w:r>
              <w:rPr>
                <w:noProof/>
                <w:sz w:val="20"/>
              </w:rPr>
              <w:t>.</w:t>
            </w:r>
          </w:p>
        </w:tc>
      </w:tr>
      <w:tr w:rsidR="008B3922" w14:paraId="3AA0DD83" w14:textId="77777777" w:rsidTr="00445C9D">
        <w:tc>
          <w:tcPr>
            <w:tcW w:w="3240" w:type="dxa"/>
          </w:tcPr>
          <w:p w14:paraId="212F5AA7" w14:textId="77777777" w:rsidR="006052EE" w:rsidRDefault="006052EE" w:rsidP="00445C9D">
            <w:pPr>
              <w:spacing w:before="60" w:after="60"/>
              <w:rPr>
                <w:noProof/>
                <w:sz w:val="20"/>
              </w:rPr>
            </w:pPr>
            <w:r>
              <w:rPr>
                <w:noProof/>
                <w:sz w:val="20"/>
              </w:rPr>
              <w:t>External staff</w:t>
            </w:r>
          </w:p>
        </w:tc>
        <w:tc>
          <w:tcPr>
            <w:tcW w:w="7200" w:type="dxa"/>
          </w:tcPr>
          <w:p w14:paraId="30B56999" w14:textId="77777777" w:rsidR="006052EE" w:rsidRDefault="003E3128" w:rsidP="00445C9D">
            <w:pPr>
              <w:rPr>
                <w:noProof/>
                <w:sz w:val="20"/>
              </w:rPr>
            </w:pPr>
            <w:r>
              <w:rPr>
                <w:noProof/>
                <w:sz w:val="20"/>
              </w:rPr>
              <w:t>Staff needs represent the need to continue the activities of the Innovation Fund and set up and implement the Industrial Decarbonisation Bank and purchase of permanent carbon removals, as well as clerical tasks related to the Union Registry.</w:t>
            </w:r>
          </w:p>
        </w:tc>
      </w:tr>
    </w:tbl>
    <w:p w14:paraId="485EB6A4" w14:textId="77777777" w:rsidR="006052EE" w:rsidRDefault="006052EE" w:rsidP="00445C9D">
      <w:pPr>
        <w:pStyle w:val="ManualHeading3"/>
        <w:rPr>
          <w:noProof/>
        </w:rPr>
      </w:pPr>
      <w:bookmarkStart w:id="185" w:name="_Toc177549031"/>
      <w:r>
        <w:rPr>
          <w:noProof/>
        </w:rPr>
        <w:t>3.2.5.</w:t>
      </w:r>
      <w:r>
        <w:rPr>
          <w:noProof/>
        </w:rPr>
        <w:tab/>
      </w:r>
      <w:r w:rsidRPr="000C2E25">
        <w:rPr>
          <w:noProof/>
        </w:rPr>
        <w:t xml:space="preserve">Overview of estimated impact on </w:t>
      </w:r>
      <w:r>
        <w:rPr>
          <w:noProof/>
        </w:rPr>
        <w:t>d</w:t>
      </w:r>
      <w:r w:rsidRPr="000C2E25">
        <w:rPr>
          <w:noProof/>
        </w:rPr>
        <w:t>igital</w:t>
      </w:r>
      <w:r>
        <w:rPr>
          <w:noProof/>
        </w:rPr>
        <w:t xml:space="preserve"> technology-</w:t>
      </w:r>
      <w:r w:rsidRPr="000C2E25">
        <w:rPr>
          <w:noProof/>
        </w:rPr>
        <w:t xml:space="preserve">related </w:t>
      </w:r>
      <w:r>
        <w:rPr>
          <w:noProof/>
        </w:rPr>
        <w:t>investments</w:t>
      </w:r>
      <w:bookmarkEnd w:id="185"/>
    </w:p>
    <w:p w14:paraId="7491996D" w14:textId="77777777" w:rsidR="003E3128" w:rsidRDefault="003E3128" w:rsidP="003E3128">
      <w:pPr>
        <w:pStyle w:val="Text1"/>
        <w:spacing w:line="259" w:lineRule="auto"/>
        <w:rPr>
          <w:noProof/>
        </w:rPr>
      </w:pPr>
      <w:r>
        <w:rPr>
          <w:noProof/>
        </w:rPr>
        <w:t>Resources requested in this proposal include activities that make use of existing IT systems. The need for additional IT investment will be re-visited in future proposals, in particular f</w:t>
      </w:r>
      <w:r w:rsidRPr="00D34636">
        <w:rPr>
          <w:noProof/>
        </w:rPr>
        <w:t xml:space="preserve">uture delegated acts concerning </w:t>
      </w:r>
      <w:r>
        <w:rPr>
          <w:noProof/>
        </w:rPr>
        <w:t>functioning</w:t>
      </w:r>
      <w:r w:rsidRPr="00D34636">
        <w:rPr>
          <w:noProof/>
        </w:rPr>
        <w:t xml:space="preserve"> of </w:t>
      </w:r>
      <w:r>
        <w:rPr>
          <w:noProof/>
        </w:rPr>
        <w:t xml:space="preserve">the </w:t>
      </w:r>
      <w:r w:rsidRPr="00D34636">
        <w:rPr>
          <w:noProof/>
        </w:rPr>
        <w:t>Union Registry</w:t>
      </w:r>
      <w:r>
        <w:rPr>
          <w:noProof/>
        </w:rPr>
        <w:t>, IT link with the UK ETS Registry</w:t>
      </w:r>
      <w:r w:rsidRPr="00D34636">
        <w:rPr>
          <w:noProof/>
        </w:rPr>
        <w:t xml:space="preserve"> </w:t>
      </w:r>
      <w:r>
        <w:rPr>
          <w:noProof/>
        </w:rPr>
        <w:t>and the enhanced Registry operation model</w:t>
      </w:r>
      <w:r w:rsidRPr="00D34636">
        <w:rPr>
          <w:noProof/>
        </w:rPr>
        <w:t>.</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3E3128" w:rsidRPr="00186919" w14:paraId="44A5AEC3" w14:textId="77777777" w:rsidTr="00445C9D">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10B7E15D" w14:textId="77777777" w:rsidR="003E3128" w:rsidRPr="00186919" w:rsidRDefault="003E3128" w:rsidP="00445C9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TOTAL Digital and IT appropriations</w:t>
            </w:r>
          </w:p>
        </w:tc>
        <w:tc>
          <w:tcPr>
            <w:tcW w:w="524" w:type="pct"/>
            <w:tcBorders>
              <w:top w:val="single" w:sz="8" w:space="0" w:color="auto"/>
              <w:left w:val="nil"/>
              <w:bottom w:val="nil"/>
              <w:right w:val="single" w:sz="8" w:space="0" w:color="auto"/>
            </w:tcBorders>
            <w:vAlign w:val="center"/>
            <w:hideMark/>
          </w:tcPr>
          <w:p w14:paraId="794D5C83" w14:textId="77777777" w:rsidR="003E3128" w:rsidRPr="00186919" w:rsidRDefault="003E3128" w:rsidP="00445C9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27E3027B" w14:textId="77777777" w:rsidR="003E3128" w:rsidRPr="00186919" w:rsidRDefault="003E3128" w:rsidP="00445C9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23" w:type="pct"/>
            <w:tcBorders>
              <w:top w:val="single" w:sz="8" w:space="0" w:color="auto"/>
              <w:left w:val="nil"/>
              <w:bottom w:val="nil"/>
              <w:right w:val="single" w:sz="8" w:space="0" w:color="auto"/>
            </w:tcBorders>
            <w:vAlign w:val="center"/>
            <w:hideMark/>
          </w:tcPr>
          <w:p w14:paraId="4AE2E9F2" w14:textId="77777777" w:rsidR="003E3128" w:rsidRPr="00186919" w:rsidRDefault="003E3128" w:rsidP="00445C9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7E35CAC4" w14:textId="77777777" w:rsidR="003E3128" w:rsidRPr="00186919" w:rsidRDefault="003E3128" w:rsidP="00445C9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70B0C9F2" w14:textId="77777777" w:rsidR="003E3128" w:rsidRPr="00186919" w:rsidRDefault="003E3128" w:rsidP="00445C9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494035C9" w14:textId="77777777" w:rsidR="003E3128" w:rsidRPr="00186919" w:rsidRDefault="003E3128" w:rsidP="00445C9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3F5C3703" w14:textId="77777777" w:rsidR="003E3128" w:rsidRPr="00186919" w:rsidRDefault="003E3128" w:rsidP="00445C9D">
            <w:pPr>
              <w:spacing w:before="0" w:after="0"/>
              <w:jc w:val="center"/>
              <w:rPr>
                <w:rFonts w:eastAsia="Times New Roman"/>
                <w:noProof/>
                <w:color w:val="000000"/>
                <w:sz w:val="18"/>
                <w:szCs w:val="18"/>
                <w:lang w:val="en-IE" w:eastAsia="en-IE"/>
              </w:rPr>
            </w:pPr>
            <w:r w:rsidRPr="00186919">
              <w:rPr>
                <w:rFonts w:eastAsia="Times New Roman"/>
                <w:noProof/>
                <w:color w:val="000000" w:themeColor="text1"/>
                <w:sz w:val="18"/>
                <w:szCs w:val="18"/>
                <w:lang w:eastAsia="en-IE"/>
              </w:rPr>
              <w:t>Year</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14:paraId="4FB74382" w14:textId="77777777" w:rsidR="003E3128" w:rsidRPr="00186919" w:rsidRDefault="003E3128" w:rsidP="00445C9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TOTAL MFF 2028 - 2034</w:t>
            </w:r>
          </w:p>
        </w:tc>
      </w:tr>
      <w:tr w:rsidR="003E3128" w:rsidRPr="00186919" w14:paraId="1B3E64E7" w14:textId="77777777" w:rsidTr="00445C9D">
        <w:trPr>
          <w:trHeight w:val="300"/>
        </w:trPr>
        <w:tc>
          <w:tcPr>
            <w:tcW w:w="792" w:type="pct"/>
            <w:vMerge/>
            <w:tcBorders>
              <w:top w:val="single" w:sz="8" w:space="0" w:color="auto"/>
              <w:left w:val="single" w:sz="8" w:space="0" w:color="auto"/>
              <w:bottom w:val="nil"/>
              <w:right w:val="single" w:sz="8" w:space="0" w:color="auto"/>
            </w:tcBorders>
            <w:vAlign w:val="center"/>
            <w:hideMark/>
          </w:tcPr>
          <w:p w14:paraId="232E5532" w14:textId="77777777" w:rsidR="003E3128" w:rsidRPr="00186919" w:rsidRDefault="003E3128" w:rsidP="00445C9D">
            <w:pPr>
              <w:spacing w:before="0" w:after="0"/>
              <w:jc w:val="left"/>
              <w:rPr>
                <w:rFonts w:eastAsia="Times New Roman"/>
                <w:b/>
                <w:bCs/>
                <w:noProof/>
                <w:color w:val="000000"/>
                <w:sz w:val="18"/>
                <w:szCs w:val="18"/>
                <w:lang w:val="en-IE" w:eastAsia="en-IE"/>
              </w:rPr>
            </w:pPr>
          </w:p>
        </w:tc>
        <w:tc>
          <w:tcPr>
            <w:tcW w:w="524" w:type="pct"/>
            <w:tcBorders>
              <w:top w:val="nil"/>
              <w:left w:val="nil"/>
              <w:bottom w:val="single" w:sz="8" w:space="0" w:color="auto"/>
              <w:right w:val="single" w:sz="8" w:space="0" w:color="auto"/>
            </w:tcBorders>
            <w:vAlign w:val="center"/>
            <w:hideMark/>
          </w:tcPr>
          <w:p w14:paraId="43871749" w14:textId="77777777" w:rsidR="003E3128" w:rsidRPr="00186919" w:rsidRDefault="003E3128" w:rsidP="00445C9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2028</w:t>
            </w:r>
          </w:p>
        </w:tc>
        <w:tc>
          <w:tcPr>
            <w:tcW w:w="524" w:type="pct"/>
            <w:tcBorders>
              <w:top w:val="nil"/>
              <w:left w:val="nil"/>
              <w:bottom w:val="single" w:sz="8" w:space="0" w:color="auto"/>
              <w:right w:val="single" w:sz="8" w:space="0" w:color="auto"/>
            </w:tcBorders>
            <w:vAlign w:val="center"/>
            <w:hideMark/>
          </w:tcPr>
          <w:p w14:paraId="3095273C" w14:textId="77777777" w:rsidR="003E3128" w:rsidRPr="00186919" w:rsidRDefault="003E3128" w:rsidP="00445C9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2029</w:t>
            </w:r>
          </w:p>
        </w:tc>
        <w:tc>
          <w:tcPr>
            <w:tcW w:w="523" w:type="pct"/>
            <w:tcBorders>
              <w:top w:val="nil"/>
              <w:left w:val="nil"/>
              <w:bottom w:val="single" w:sz="8" w:space="0" w:color="auto"/>
              <w:right w:val="single" w:sz="8" w:space="0" w:color="auto"/>
            </w:tcBorders>
            <w:vAlign w:val="center"/>
            <w:hideMark/>
          </w:tcPr>
          <w:p w14:paraId="650EE8DC" w14:textId="77777777" w:rsidR="003E3128" w:rsidRPr="00186919" w:rsidRDefault="003E3128" w:rsidP="00445C9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2030</w:t>
            </w:r>
          </w:p>
        </w:tc>
        <w:tc>
          <w:tcPr>
            <w:tcW w:w="524" w:type="pct"/>
            <w:tcBorders>
              <w:top w:val="nil"/>
              <w:left w:val="nil"/>
              <w:bottom w:val="single" w:sz="8" w:space="0" w:color="auto"/>
              <w:right w:val="single" w:sz="8" w:space="0" w:color="auto"/>
            </w:tcBorders>
            <w:vAlign w:val="center"/>
            <w:hideMark/>
          </w:tcPr>
          <w:p w14:paraId="08082561" w14:textId="77777777" w:rsidR="003E3128" w:rsidRPr="00186919" w:rsidRDefault="003E3128" w:rsidP="00445C9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2031</w:t>
            </w:r>
          </w:p>
        </w:tc>
        <w:tc>
          <w:tcPr>
            <w:tcW w:w="524" w:type="pct"/>
            <w:tcBorders>
              <w:top w:val="nil"/>
              <w:left w:val="nil"/>
              <w:bottom w:val="single" w:sz="8" w:space="0" w:color="auto"/>
              <w:right w:val="single" w:sz="8" w:space="0" w:color="auto"/>
            </w:tcBorders>
            <w:vAlign w:val="center"/>
            <w:hideMark/>
          </w:tcPr>
          <w:p w14:paraId="3B8EAB77" w14:textId="77777777" w:rsidR="003E3128" w:rsidRPr="00186919" w:rsidRDefault="003E3128" w:rsidP="00445C9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2032</w:t>
            </w:r>
          </w:p>
        </w:tc>
        <w:tc>
          <w:tcPr>
            <w:tcW w:w="524" w:type="pct"/>
            <w:tcBorders>
              <w:top w:val="nil"/>
              <w:left w:val="nil"/>
              <w:bottom w:val="single" w:sz="8" w:space="0" w:color="auto"/>
              <w:right w:val="single" w:sz="8" w:space="0" w:color="auto"/>
            </w:tcBorders>
            <w:vAlign w:val="center"/>
            <w:hideMark/>
          </w:tcPr>
          <w:p w14:paraId="6B54DB08" w14:textId="77777777" w:rsidR="003E3128" w:rsidRPr="00186919" w:rsidRDefault="003E3128" w:rsidP="00445C9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2033</w:t>
            </w:r>
          </w:p>
        </w:tc>
        <w:tc>
          <w:tcPr>
            <w:tcW w:w="524" w:type="pct"/>
            <w:tcBorders>
              <w:top w:val="nil"/>
              <w:left w:val="nil"/>
              <w:bottom w:val="single" w:sz="8" w:space="0" w:color="auto"/>
              <w:right w:val="single" w:sz="8" w:space="0" w:color="auto"/>
            </w:tcBorders>
            <w:vAlign w:val="center"/>
            <w:hideMark/>
          </w:tcPr>
          <w:p w14:paraId="3163A3D7" w14:textId="77777777" w:rsidR="003E3128" w:rsidRPr="00186919" w:rsidRDefault="003E3128" w:rsidP="00445C9D">
            <w:pPr>
              <w:spacing w:before="0" w:after="0"/>
              <w:jc w:val="center"/>
              <w:rPr>
                <w:rFonts w:eastAsia="Times New Roman"/>
                <w:b/>
                <w:bCs/>
                <w:noProof/>
                <w:color w:val="000000"/>
                <w:sz w:val="18"/>
                <w:szCs w:val="18"/>
                <w:lang w:val="en-IE" w:eastAsia="en-IE"/>
              </w:rPr>
            </w:pPr>
            <w:r w:rsidRPr="00186919">
              <w:rPr>
                <w:rFonts w:eastAsia="Times New Roman"/>
                <w:b/>
                <w:bCs/>
                <w:noProof/>
                <w:color w:val="000000" w:themeColor="text1"/>
                <w:sz w:val="18"/>
                <w:szCs w:val="18"/>
                <w:lang w:eastAsia="en-IE"/>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14:paraId="5691322A" w14:textId="77777777" w:rsidR="003E3128" w:rsidRPr="00186919" w:rsidRDefault="003E3128" w:rsidP="00445C9D">
            <w:pPr>
              <w:spacing w:before="0" w:after="0"/>
              <w:jc w:val="left"/>
              <w:rPr>
                <w:rFonts w:eastAsia="Times New Roman"/>
                <w:b/>
                <w:bCs/>
                <w:noProof/>
                <w:color w:val="000000"/>
                <w:sz w:val="18"/>
                <w:szCs w:val="18"/>
                <w:lang w:val="en-IE" w:eastAsia="en-IE"/>
              </w:rPr>
            </w:pPr>
          </w:p>
        </w:tc>
      </w:tr>
      <w:tr w:rsidR="003E3128" w:rsidRPr="00186919" w14:paraId="14D77AB0" w14:textId="77777777" w:rsidTr="00445C9D">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43B1BE1F" w14:textId="77777777" w:rsidR="003E3128" w:rsidRPr="00186919" w:rsidRDefault="003E3128" w:rsidP="00445C9D">
            <w:pPr>
              <w:spacing w:before="0" w:after="0"/>
              <w:jc w:val="left"/>
              <w:rPr>
                <w:rFonts w:eastAsia="Times New Roman"/>
                <w:b/>
                <w:bCs/>
                <w:noProof/>
                <w:color w:val="000000"/>
                <w:sz w:val="16"/>
                <w:szCs w:val="16"/>
                <w:lang w:val="en-IE" w:eastAsia="en-IE"/>
              </w:rPr>
            </w:pPr>
            <w:r w:rsidRPr="00186919">
              <w:rPr>
                <w:rFonts w:eastAsia="Times New Roman"/>
                <w:b/>
                <w:bCs/>
                <w:noProof/>
                <w:color w:val="000000"/>
                <w:sz w:val="16"/>
                <w:szCs w:val="16"/>
                <w:lang w:eastAsia="en-IE"/>
              </w:rPr>
              <w:t xml:space="preserve">HEADING </w:t>
            </w:r>
            <w:r>
              <w:rPr>
                <w:rFonts w:eastAsia="Times New Roman"/>
                <w:b/>
                <w:bCs/>
                <w:noProof/>
                <w:color w:val="000000"/>
                <w:sz w:val="16"/>
                <w:szCs w:val="16"/>
                <w:lang w:eastAsia="en-IE"/>
              </w:rPr>
              <w:t>4</w:t>
            </w:r>
          </w:p>
        </w:tc>
      </w:tr>
      <w:tr w:rsidR="003E3128" w:rsidRPr="00186919" w14:paraId="50EF3CA5" w14:textId="77777777" w:rsidTr="00445C9D">
        <w:trPr>
          <w:trHeight w:val="790"/>
        </w:trPr>
        <w:tc>
          <w:tcPr>
            <w:tcW w:w="792" w:type="pct"/>
            <w:tcBorders>
              <w:top w:val="nil"/>
              <w:left w:val="single" w:sz="8" w:space="0" w:color="auto"/>
              <w:bottom w:val="single" w:sz="8" w:space="0" w:color="auto"/>
              <w:right w:val="single" w:sz="8" w:space="0" w:color="auto"/>
            </w:tcBorders>
            <w:vAlign w:val="center"/>
            <w:hideMark/>
          </w:tcPr>
          <w:p w14:paraId="298A7A18" w14:textId="77777777" w:rsidR="003E3128" w:rsidRPr="00186919" w:rsidRDefault="003E3128" w:rsidP="00445C9D">
            <w:pPr>
              <w:spacing w:before="0" w:after="0"/>
              <w:jc w:val="left"/>
              <w:rPr>
                <w:rFonts w:ascii="Arial Narrow" w:eastAsia="Times New Roman" w:hAnsi="Arial Narrow"/>
                <w:noProof/>
                <w:color w:val="000000"/>
                <w:sz w:val="20"/>
                <w:szCs w:val="20"/>
                <w:lang w:val="en-IE" w:eastAsia="en-IE"/>
              </w:rPr>
            </w:pPr>
            <w:r w:rsidRPr="00186919">
              <w:rPr>
                <w:rFonts w:ascii="Arial Narrow" w:eastAsia="Times New Roman" w:hAnsi="Arial Narrow"/>
                <w:noProof/>
                <w:color w:val="000000"/>
                <w:sz w:val="20"/>
                <w:szCs w:val="20"/>
                <w:lang w:eastAsia="en-IE"/>
              </w:rPr>
              <w:t>IT expenditure (corporate)</w:t>
            </w:r>
            <w:r w:rsidRPr="00186919">
              <w:rPr>
                <w:rFonts w:eastAsia="Times New Roman"/>
                <w:noProof/>
                <w:color w:val="000000"/>
                <w:sz w:val="16"/>
                <w:szCs w:val="16"/>
                <w:lang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407AC17C"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05D98EC"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61C07EA2"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0C6F215"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B41D250"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72E3A3B"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37CA3E1"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2FA7BC4A"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r>
      <w:tr w:rsidR="003E3128" w:rsidRPr="00186919" w14:paraId="496C8511" w14:textId="77777777" w:rsidTr="00445C9D">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04F67703" w14:textId="77777777" w:rsidR="003E3128" w:rsidRPr="00186919" w:rsidRDefault="003E3128" w:rsidP="00445C9D">
            <w:pPr>
              <w:spacing w:before="0" w:after="0"/>
              <w:jc w:val="center"/>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 xml:space="preserve">Subtotal HEADING </w:t>
            </w:r>
            <w:r>
              <w:rPr>
                <w:rFonts w:eastAsia="Times New Roman"/>
                <w:b/>
                <w:bCs/>
                <w:noProof/>
                <w:color w:val="000000" w:themeColor="text1"/>
                <w:sz w:val="16"/>
                <w:szCs w:val="16"/>
                <w:lang w:eastAsia="en-IE"/>
              </w:rPr>
              <w:t>4</w:t>
            </w:r>
          </w:p>
        </w:tc>
        <w:tc>
          <w:tcPr>
            <w:tcW w:w="524" w:type="pct"/>
            <w:tcBorders>
              <w:top w:val="nil"/>
              <w:left w:val="nil"/>
              <w:bottom w:val="single" w:sz="8" w:space="0" w:color="auto"/>
              <w:right w:val="single" w:sz="8" w:space="0" w:color="auto"/>
            </w:tcBorders>
            <w:shd w:val="clear" w:color="000000" w:fill="D9D9D9"/>
            <w:vAlign w:val="center"/>
            <w:hideMark/>
          </w:tcPr>
          <w:p w14:paraId="7E40653C"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778A304"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3A127971"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1C9A53C"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FD4F00C"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709E2F1"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153DE37"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2980B355"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r>
      <w:tr w:rsidR="003E3128" w:rsidRPr="00186919" w14:paraId="38572451" w14:textId="77777777" w:rsidTr="00445C9D">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339B810" w14:textId="77777777" w:rsidR="003E3128" w:rsidRPr="00186919" w:rsidRDefault="003E3128" w:rsidP="00445C9D">
            <w:pPr>
              <w:spacing w:before="0" w:after="0"/>
              <w:jc w:val="left"/>
              <w:rPr>
                <w:rFonts w:eastAsia="Times New Roman"/>
                <w:b/>
                <w:bCs/>
                <w:noProof/>
                <w:color w:val="000000"/>
                <w:sz w:val="16"/>
                <w:szCs w:val="16"/>
                <w:lang w:val="en-IE" w:eastAsia="en-IE"/>
              </w:rPr>
            </w:pPr>
            <w:r w:rsidRPr="00186919">
              <w:rPr>
                <w:rFonts w:eastAsia="Times New Roman"/>
                <w:b/>
                <w:bCs/>
                <w:noProof/>
                <w:color w:val="000000"/>
                <w:sz w:val="16"/>
                <w:szCs w:val="16"/>
                <w:lang w:eastAsia="en-IE"/>
              </w:rPr>
              <w:t xml:space="preserve">Outside HEADING </w:t>
            </w:r>
            <w:r>
              <w:rPr>
                <w:rFonts w:eastAsia="Times New Roman"/>
                <w:b/>
                <w:bCs/>
                <w:noProof/>
                <w:color w:val="000000"/>
                <w:sz w:val="16"/>
                <w:szCs w:val="16"/>
                <w:lang w:eastAsia="en-IE"/>
              </w:rPr>
              <w:t>4</w:t>
            </w:r>
          </w:p>
        </w:tc>
      </w:tr>
      <w:tr w:rsidR="003E3128" w:rsidRPr="00186919" w14:paraId="59C6CF10" w14:textId="77777777" w:rsidTr="00445C9D">
        <w:trPr>
          <w:trHeight w:val="1570"/>
        </w:trPr>
        <w:tc>
          <w:tcPr>
            <w:tcW w:w="792" w:type="pct"/>
            <w:tcBorders>
              <w:top w:val="nil"/>
              <w:left w:val="single" w:sz="8" w:space="0" w:color="auto"/>
              <w:bottom w:val="single" w:sz="8" w:space="0" w:color="auto"/>
              <w:right w:val="single" w:sz="8" w:space="0" w:color="auto"/>
            </w:tcBorders>
            <w:vAlign w:val="center"/>
            <w:hideMark/>
          </w:tcPr>
          <w:p w14:paraId="0218FD7D" w14:textId="77777777" w:rsidR="003E3128" w:rsidRPr="00186919" w:rsidRDefault="003E3128" w:rsidP="00445C9D">
            <w:pPr>
              <w:spacing w:before="0" w:after="0"/>
              <w:jc w:val="left"/>
              <w:rPr>
                <w:rFonts w:ascii="Arial Narrow" w:eastAsia="Times New Roman" w:hAnsi="Arial Narrow"/>
                <w:noProof/>
                <w:color w:val="000000"/>
                <w:sz w:val="20"/>
                <w:szCs w:val="20"/>
                <w:lang w:val="en-IE" w:eastAsia="en-IE"/>
              </w:rPr>
            </w:pPr>
            <w:r w:rsidRPr="00186919">
              <w:rPr>
                <w:rFonts w:ascii="Arial Narrow" w:eastAsia="Times New Roman" w:hAnsi="Arial Narrow"/>
                <w:noProof/>
                <w:color w:val="000000"/>
                <w:sz w:val="20"/>
                <w:szCs w:val="20"/>
                <w:lang w:eastAsia="en-IE"/>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14:paraId="13C15185"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A611C21"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7A811366"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4D2222C"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C75BE09"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C08471E"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49D40A9" w14:textId="77777777" w:rsidR="003E3128" w:rsidRPr="00186919" w:rsidRDefault="003E3128" w:rsidP="00445C9D">
            <w:pPr>
              <w:spacing w:before="0" w:after="0"/>
              <w:jc w:val="right"/>
              <w:rPr>
                <w:rFonts w:eastAsia="Times New Roman"/>
                <w:noProof/>
                <w:color w:val="000000"/>
                <w:sz w:val="16"/>
                <w:szCs w:val="16"/>
                <w:lang w:val="en-IE" w:eastAsia="en-IE"/>
              </w:rPr>
            </w:pPr>
            <w:r w:rsidRPr="00186919">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5FC66969"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r>
      <w:tr w:rsidR="003E3128" w:rsidRPr="00186919" w14:paraId="06073DB7" w14:textId="77777777" w:rsidTr="00445C9D">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3B02848F" w14:textId="77777777" w:rsidR="003E3128" w:rsidRPr="00186919" w:rsidRDefault="003E3128" w:rsidP="00445C9D">
            <w:pPr>
              <w:spacing w:before="0" w:after="0"/>
              <w:jc w:val="center"/>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 xml:space="preserve">Subtotal outside HEADING </w:t>
            </w:r>
            <w:r>
              <w:rPr>
                <w:rFonts w:eastAsia="Times New Roman"/>
                <w:b/>
                <w:bCs/>
                <w:noProof/>
                <w:color w:val="000000" w:themeColor="text1"/>
                <w:sz w:val="16"/>
                <w:szCs w:val="16"/>
                <w:lang w:eastAsia="en-IE"/>
              </w:rPr>
              <w:t>4</w:t>
            </w:r>
          </w:p>
        </w:tc>
        <w:tc>
          <w:tcPr>
            <w:tcW w:w="524" w:type="pct"/>
            <w:tcBorders>
              <w:top w:val="nil"/>
              <w:left w:val="nil"/>
              <w:bottom w:val="single" w:sz="8" w:space="0" w:color="auto"/>
              <w:right w:val="single" w:sz="8" w:space="0" w:color="auto"/>
            </w:tcBorders>
            <w:shd w:val="clear" w:color="000000" w:fill="D9D9D9"/>
            <w:vAlign w:val="center"/>
            <w:hideMark/>
          </w:tcPr>
          <w:p w14:paraId="6AA4436E"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ABBB8DD"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4EAFD153"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9FE2B3A"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6CD3440"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95A4F77"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8A78EBB"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6F1B5134"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r>
      <w:tr w:rsidR="003E3128" w:rsidRPr="00186919" w14:paraId="06781543" w14:textId="77777777" w:rsidTr="00445C9D">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5ED758D7" w14:textId="77777777" w:rsidR="003E3128" w:rsidRPr="00186919" w:rsidRDefault="003E3128" w:rsidP="00445C9D">
            <w:pPr>
              <w:spacing w:before="0" w:after="0"/>
              <w:jc w:val="center"/>
              <w:rPr>
                <w:rFonts w:eastAsia="Times New Roman"/>
                <w:noProof/>
                <w:color w:val="000000"/>
                <w:sz w:val="16"/>
                <w:szCs w:val="16"/>
                <w:lang w:val="en-IE" w:eastAsia="en-IE"/>
              </w:rPr>
            </w:pPr>
          </w:p>
        </w:tc>
      </w:tr>
      <w:tr w:rsidR="003E3128" w:rsidRPr="00186919" w14:paraId="6892DEC8" w14:textId="77777777" w:rsidTr="00445C9D">
        <w:trPr>
          <w:trHeight w:val="300"/>
        </w:trPr>
        <w:tc>
          <w:tcPr>
            <w:tcW w:w="792" w:type="pct"/>
            <w:tcBorders>
              <w:top w:val="nil"/>
              <w:left w:val="single" w:sz="12" w:space="0" w:color="auto"/>
              <w:bottom w:val="single" w:sz="12" w:space="0" w:color="auto"/>
              <w:right w:val="single" w:sz="8" w:space="0" w:color="auto"/>
            </w:tcBorders>
            <w:vAlign w:val="center"/>
            <w:hideMark/>
          </w:tcPr>
          <w:p w14:paraId="47D4670F" w14:textId="77777777" w:rsidR="003E3128" w:rsidRPr="00186919" w:rsidRDefault="003E3128" w:rsidP="00445C9D">
            <w:pPr>
              <w:spacing w:before="0" w:after="0"/>
              <w:jc w:val="center"/>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TOTAL</w:t>
            </w:r>
          </w:p>
        </w:tc>
        <w:tc>
          <w:tcPr>
            <w:tcW w:w="524" w:type="pct"/>
            <w:tcBorders>
              <w:top w:val="nil"/>
              <w:left w:val="nil"/>
              <w:bottom w:val="single" w:sz="12" w:space="0" w:color="auto"/>
              <w:right w:val="single" w:sz="8" w:space="0" w:color="auto"/>
            </w:tcBorders>
            <w:shd w:val="clear" w:color="000000" w:fill="D9D9D9"/>
            <w:vAlign w:val="center"/>
            <w:hideMark/>
          </w:tcPr>
          <w:p w14:paraId="3A827B5F"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3AC3CBF2"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3" w:type="pct"/>
            <w:tcBorders>
              <w:top w:val="nil"/>
              <w:left w:val="nil"/>
              <w:bottom w:val="single" w:sz="12" w:space="0" w:color="auto"/>
              <w:right w:val="single" w:sz="8" w:space="0" w:color="auto"/>
            </w:tcBorders>
            <w:shd w:val="clear" w:color="000000" w:fill="D9D9D9"/>
            <w:vAlign w:val="center"/>
            <w:hideMark/>
          </w:tcPr>
          <w:p w14:paraId="0473D3FE"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6A9858EA"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7197F833"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6E19ABA5"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69DAC12A"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c>
          <w:tcPr>
            <w:tcW w:w="543" w:type="pct"/>
            <w:tcBorders>
              <w:top w:val="nil"/>
              <w:left w:val="nil"/>
              <w:bottom w:val="single" w:sz="12" w:space="0" w:color="auto"/>
              <w:right w:val="single" w:sz="8" w:space="0" w:color="auto"/>
            </w:tcBorders>
            <w:shd w:val="clear" w:color="000000" w:fill="D9D9D9"/>
            <w:vAlign w:val="center"/>
            <w:hideMark/>
          </w:tcPr>
          <w:p w14:paraId="08315B94" w14:textId="77777777" w:rsidR="003E3128" w:rsidRPr="00186919" w:rsidRDefault="003E3128" w:rsidP="00445C9D">
            <w:pPr>
              <w:spacing w:before="0" w:after="0"/>
              <w:jc w:val="right"/>
              <w:rPr>
                <w:rFonts w:eastAsia="Times New Roman"/>
                <w:b/>
                <w:bCs/>
                <w:noProof/>
                <w:color w:val="000000"/>
                <w:sz w:val="16"/>
                <w:szCs w:val="16"/>
                <w:lang w:val="en-IE" w:eastAsia="en-IE"/>
              </w:rPr>
            </w:pPr>
            <w:r w:rsidRPr="00186919">
              <w:rPr>
                <w:rFonts w:eastAsia="Times New Roman"/>
                <w:b/>
                <w:bCs/>
                <w:noProof/>
                <w:color w:val="000000" w:themeColor="text1"/>
                <w:sz w:val="16"/>
                <w:szCs w:val="16"/>
                <w:lang w:eastAsia="en-IE"/>
              </w:rPr>
              <w:t>0</w:t>
            </w:r>
          </w:p>
        </w:tc>
      </w:tr>
    </w:tbl>
    <w:p w14:paraId="65798A54" w14:textId="77777777" w:rsidR="006052EE" w:rsidRDefault="006052EE" w:rsidP="00445C9D">
      <w:pPr>
        <w:pStyle w:val="ManualHeading3"/>
        <w:rPr>
          <w:noProof/>
        </w:rPr>
      </w:pPr>
      <w:bookmarkStart w:id="186" w:name="_Toc514938056"/>
      <w:bookmarkStart w:id="187" w:name="_Toc520485055"/>
      <w:bookmarkStart w:id="188" w:name="_Toc160804599"/>
      <w:bookmarkStart w:id="189" w:name="_Toc167220298"/>
      <w:bookmarkStart w:id="190" w:name="_Toc177549032"/>
      <w:bookmarkEnd w:id="184"/>
      <w:r w:rsidRPr="0021790A">
        <w:rPr>
          <w:noProof/>
        </w:rPr>
        <w:t>3.2.</w:t>
      </w:r>
      <w:r>
        <w:rPr>
          <w:noProof/>
        </w:rPr>
        <w:t>6</w:t>
      </w:r>
      <w:r w:rsidRPr="0021790A">
        <w:rPr>
          <w:noProof/>
        </w:rPr>
        <w:t>.</w:t>
      </w:r>
      <w:r w:rsidRPr="0021790A">
        <w:rPr>
          <w:noProof/>
        </w:rPr>
        <w:tab/>
      </w:r>
      <w:r>
        <w:rPr>
          <w:noProof/>
        </w:rPr>
        <w:t>Compatibility with the current multiannual financial framework</w:t>
      </w:r>
      <w:bookmarkEnd w:id="186"/>
      <w:bookmarkEnd w:id="187"/>
      <w:bookmarkEnd w:id="188"/>
      <w:bookmarkEnd w:id="189"/>
      <w:bookmarkEnd w:id="190"/>
      <w:r>
        <w:rPr>
          <w:noProof/>
        </w:rPr>
        <w:t xml:space="preserve"> </w:t>
      </w:r>
    </w:p>
    <w:p w14:paraId="02BC9308" w14:textId="77777777" w:rsidR="006052EE" w:rsidRDefault="006052EE" w:rsidP="00445C9D">
      <w:pPr>
        <w:pStyle w:val="Text1"/>
        <w:rPr>
          <w:noProof/>
        </w:rPr>
      </w:pPr>
      <w:r w:rsidRPr="00386FF5">
        <w:rPr>
          <w:noProof/>
        </w:rPr>
        <w:t>The proposal/initiative</w:t>
      </w:r>
      <w:r w:rsidRPr="007974DD">
        <w:rPr>
          <w:noProof/>
        </w:rPr>
        <w:t>:</w:t>
      </w:r>
    </w:p>
    <w:p w14:paraId="17615D92" w14:textId="77777777" w:rsidR="006052EE" w:rsidRDefault="003E3128" w:rsidP="006052EE">
      <w:pPr>
        <w:pStyle w:val="ListDash1"/>
        <w:rPr>
          <w:noProof/>
        </w:rPr>
      </w:pPr>
      <w:r>
        <w:rPr>
          <w:rFonts w:ascii="Wingdings" w:eastAsia="Wingdings" w:hAnsi="Wingdings" w:cs="Wingdings"/>
          <w:noProof/>
        </w:rPr>
        <w:t></w:t>
      </w:r>
      <w:r w:rsidR="006052EE">
        <w:rPr>
          <w:noProof/>
        </w:rPr>
        <w:tab/>
      </w:r>
      <w:r w:rsidR="006052EE" w:rsidRPr="007B1B0C">
        <w:rPr>
          <w:noProof/>
        </w:rPr>
        <w:t>can be fully financed through redeployment within the relevant</w:t>
      </w:r>
      <w:r w:rsidR="006052EE">
        <w:rPr>
          <w:noProof/>
        </w:rPr>
        <w:t xml:space="preserve"> heading of the multiannual financial framework (MFF)</w:t>
      </w:r>
    </w:p>
    <w:p w14:paraId="0D4F5E58"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The expenditure should be covered by a combination of MFF funds from the European Competitiveness Fund (the successor to the LIFE programme) and external assigned revenues.</w:t>
      </w:r>
    </w:p>
    <w:p w14:paraId="38E31835" w14:textId="77777777" w:rsidR="00720B32" w:rsidRDefault="006052EE" w:rsidP="00720B32">
      <w:pPr>
        <w:pStyle w:val="ListDash1"/>
        <w:rPr>
          <w:noProof/>
        </w:rPr>
      </w:pPr>
      <w:r>
        <w:rPr>
          <w:rFonts w:ascii="Wingdings" w:eastAsia="Wingdings" w:hAnsi="Wingdings" w:cs="Wingdings"/>
          <w:noProof/>
        </w:rPr>
        <w:t></w:t>
      </w:r>
      <w:r>
        <w:rPr>
          <w:noProof/>
        </w:rPr>
        <w:tab/>
      </w:r>
      <w:r w:rsidRPr="007B1B0C">
        <w:rPr>
          <w:noProof/>
        </w:rPr>
        <w:t>requires use of the unallocated margin under the relevant heading of the MFF and/or use of the special instruments as defined in the MFF Regulation</w:t>
      </w:r>
    </w:p>
    <w:p w14:paraId="7B24729B" w14:textId="77777777" w:rsidR="00720B32" w:rsidRPr="009C39E5" w:rsidRDefault="006052EE" w:rsidP="00720B32">
      <w:pPr>
        <w:pStyle w:val="ListDash1"/>
        <w:rPr>
          <w:noProof/>
        </w:rPr>
      </w:pPr>
      <w:r w:rsidRPr="009C39E5">
        <w:rPr>
          <w:rFonts w:ascii="Wingdings" w:eastAsia="Wingdings" w:hAnsi="Wingdings" w:cs="Wingdings"/>
          <w:noProof/>
        </w:rPr>
        <w:t></w:t>
      </w:r>
      <w:r w:rsidRPr="009C39E5">
        <w:rPr>
          <w:noProof/>
        </w:rPr>
        <w:tab/>
        <w:t>requires a revision of the MFF</w:t>
      </w:r>
    </w:p>
    <w:p w14:paraId="404D9DD8" w14:textId="77777777" w:rsidR="006052EE" w:rsidRDefault="006052EE" w:rsidP="00445C9D">
      <w:pPr>
        <w:pStyle w:val="ManualHeading3"/>
        <w:rPr>
          <w:noProof/>
        </w:rPr>
      </w:pPr>
      <w:bookmarkStart w:id="191" w:name="_Toc514938058"/>
      <w:bookmarkStart w:id="192" w:name="_Toc520485056"/>
      <w:bookmarkStart w:id="193" w:name="_Toc160804600"/>
      <w:bookmarkStart w:id="194" w:name="_Toc167220299"/>
      <w:bookmarkStart w:id="195" w:name="_Toc177549033"/>
      <w:r w:rsidRPr="0021790A">
        <w:rPr>
          <w:noProof/>
        </w:rPr>
        <w:t>3.2.</w:t>
      </w:r>
      <w:r>
        <w:rPr>
          <w:noProof/>
        </w:rPr>
        <w:t>7</w:t>
      </w:r>
      <w:r w:rsidRPr="0021790A">
        <w:rPr>
          <w:noProof/>
        </w:rPr>
        <w:t>.</w:t>
      </w:r>
      <w:r w:rsidRPr="0021790A">
        <w:rPr>
          <w:noProof/>
        </w:rPr>
        <w:tab/>
      </w:r>
      <w:r>
        <w:rPr>
          <w:noProof/>
        </w:rPr>
        <w:t>Third-party contributions</w:t>
      </w:r>
      <w:bookmarkEnd w:id="191"/>
      <w:bookmarkEnd w:id="192"/>
      <w:bookmarkEnd w:id="193"/>
      <w:bookmarkEnd w:id="194"/>
      <w:bookmarkEnd w:id="195"/>
      <w:r>
        <w:rPr>
          <w:noProof/>
        </w:rPr>
        <w:t xml:space="preserve"> </w:t>
      </w:r>
    </w:p>
    <w:p w14:paraId="7CAD32EB" w14:textId="77777777" w:rsidR="006052EE" w:rsidRPr="00386FF5" w:rsidRDefault="006052EE" w:rsidP="00445C9D">
      <w:pPr>
        <w:pStyle w:val="Text1"/>
        <w:rPr>
          <w:noProof/>
        </w:rPr>
      </w:pPr>
      <w:r w:rsidRPr="007974DD">
        <w:rPr>
          <w:noProof/>
        </w:rPr>
        <w:t>The proposal/initiative:</w:t>
      </w:r>
    </w:p>
    <w:p w14:paraId="1B875E34" w14:textId="77777777" w:rsidR="006052EE" w:rsidRDefault="006052EE" w:rsidP="006052EE">
      <w:pPr>
        <w:pStyle w:val="ListDash1"/>
        <w:rPr>
          <w:noProof/>
        </w:rPr>
      </w:pPr>
      <w:r>
        <w:rPr>
          <w:rFonts w:ascii="Wingdings" w:eastAsia="Wingdings" w:hAnsi="Wingdings" w:cs="Wingdings"/>
          <w:noProof/>
        </w:rPr>
        <w:t></w:t>
      </w:r>
      <w:r>
        <w:rPr>
          <w:noProof/>
        </w:rPr>
        <w:tab/>
        <w:t>does not provide for co-financing by third parties</w:t>
      </w:r>
    </w:p>
    <w:p w14:paraId="3335BC0B" w14:textId="77777777" w:rsidR="006052EE" w:rsidRDefault="003E3128" w:rsidP="006052EE">
      <w:pPr>
        <w:pStyle w:val="ListDash1"/>
        <w:rPr>
          <w:noProof/>
        </w:rPr>
      </w:pPr>
      <w:r>
        <w:rPr>
          <w:rFonts w:ascii="Wingdings" w:eastAsia="Wingdings" w:hAnsi="Wingdings" w:cs="Wingdings"/>
          <w:noProof/>
        </w:rPr>
        <w:t></w:t>
      </w:r>
      <w:r w:rsidR="006052EE">
        <w:rPr>
          <w:noProof/>
        </w:rPr>
        <w:tab/>
        <w:t>provides for the co-financing by third parties estimated below:</w:t>
      </w:r>
    </w:p>
    <w:p w14:paraId="2F7BD2F4" w14:textId="77777777" w:rsidR="003E3128" w:rsidRDefault="003E3128" w:rsidP="003E3128">
      <w:pPr>
        <w:rPr>
          <w:noProof/>
          <w:sz w:val="20"/>
          <w:lang w:val="en-IE"/>
        </w:rPr>
      </w:pPr>
      <w:r w:rsidRPr="005D1D84">
        <w:rPr>
          <w:noProof/>
          <w:szCs w:val="24"/>
          <w:lang w:val="en-IE"/>
        </w:rPr>
        <w:t>T</w:t>
      </w:r>
      <w:r w:rsidRPr="00EC370A">
        <w:rPr>
          <w:noProof/>
        </w:rPr>
        <w:t xml:space="preserve">he agreement </w:t>
      </w:r>
      <w:r>
        <w:rPr>
          <w:noProof/>
        </w:rPr>
        <w:t>l</w:t>
      </w:r>
      <w:r w:rsidRPr="00EC370A">
        <w:rPr>
          <w:noProof/>
        </w:rPr>
        <w:t xml:space="preserve">inking </w:t>
      </w:r>
      <w:r>
        <w:rPr>
          <w:noProof/>
        </w:rPr>
        <w:t>the</w:t>
      </w:r>
      <w:r w:rsidRPr="00EC370A">
        <w:rPr>
          <w:noProof/>
        </w:rPr>
        <w:t xml:space="preserve"> EU and UK emissions trading </w:t>
      </w:r>
      <w:r w:rsidRPr="006905CE">
        <w:rPr>
          <w:noProof/>
        </w:rPr>
        <w:t>systems</w:t>
      </w:r>
      <w:r>
        <w:rPr>
          <w:noProof/>
        </w:rPr>
        <w:t>, foresees a contribution from the UK to the certain aspects of EU ETS functioning.</w:t>
      </w:r>
      <w:r>
        <w:rPr>
          <w:noProof/>
          <w:sz w:val="20"/>
          <w:lang w:val="en-IE"/>
        </w:rPr>
        <w:t xml:space="preserve"> </w:t>
      </w:r>
    </w:p>
    <w:p w14:paraId="3C58B621" w14:textId="77777777" w:rsidR="006052EE" w:rsidRPr="005723F4" w:rsidRDefault="006052EE" w:rsidP="00445C9D">
      <w:pPr>
        <w:outlineLvl w:val="1"/>
        <w:rPr>
          <w:noProof/>
          <w:szCs w:val="24"/>
        </w:rPr>
      </w:pPr>
      <w:r w:rsidRPr="005723F4">
        <w:rPr>
          <w:noProof/>
        </w:rPr>
        <w:br/>
      </w:r>
      <w:bookmarkStart w:id="196" w:name="_Toc514938059"/>
      <w:bookmarkStart w:id="197" w:name="_Toc520485057"/>
      <w:bookmarkStart w:id="198" w:name="_Toc160804602"/>
      <w:bookmarkStart w:id="199" w:name="_Toc167220300"/>
      <w:bookmarkStart w:id="200" w:name="_Toc177549034"/>
      <w:bookmarkStart w:id="201" w:name="_Hlk166860179"/>
      <w:r w:rsidRPr="005723F4">
        <w:rPr>
          <w:noProof/>
        </w:rPr>
        <w:t>3.3.</w:t>
      </w:r>
      <w:r w:rsidRPr="005723F4">
        <w:rPr>
          <w:noProof/>
        </w:rPr>
        <w:tab/>
        <w:t>Estimated impact on revenue</w:t>
      </w:r>
      <w:bookmarkEnd w:id="196"/>
      <w:bookmarkEnd w:id="197"/>
      <w:bookmarkEnd w:id="198"/>
      <w:bookmarkEnd w:id="199"/>
      <w:bookmarkEnd w:id="200"/>
      <w:r w:rsidRPr="005723F4">
        <w:rPr>
          <w:noProof/>
        </w:rPr>
        <w:t xml:space="preserve"> </w:t>
      </w:r>
    </w:p>
    <w:bookmarkEnd w:id="201"/>
    <w:p w14:paraId="324FE183" w14:textId="77777777" w:rsidR="006052EE" w:rsidRDefault="006052EE" w:rsidP="006052EE">
      <w:pPr>
        <w:pStyle w:val="ListDash1"/>
        <w:rPr>
          <w:noProof/>
        </w:rPr>
      </w:pPr>
      <w:r>
        <w:rPr>
          <w:rFonts w:ascii="Wingdings" w:eastAsia="Wingdings" w:hAnsi="Wingdings" w:cs="Wingdings"/>
          <w:noProof/>
        </w:rPr>
        <w:t></w:t>
      </w:r>
      <w:r>
        <w:rPr>
          <w:noProof/>
        </w:rPr>
        <w:tab/>
        <w:t>The proposal/initiative has no financial impact on revenue.</w:t>
      </w:r>
    </w:p>
    <w:p w14:paraId="3D8B2A0B" w14:textId="77777777" w:rsidR="006052EE" w:rsidRDefault="003E3128" w:rsidP="006052EE">
      <w:pPr>
        <w:pStyle w:val="ListDash1"/>
        <w:rPr>
          <w:noProof/>
        </w:rPr>
      </w:pPr>
      <w:r>
        <w:rPr>
          <w:rFonts w:ascii="Wingdings" w:eastAsia="Wingdings" w:hAnsi="Wingdings" w:cs="Wingdings"/>
          <w:noProof/>
        </w:rPr>
        <w:t></w:t>
      </w:r>
      <w:r w:rsidR="006052EE">
        <w:rPr>
          <w:noProof/>
        </w:rPr>
        <w:tab/>
        <w:t>The proposal/initiative has the following financial impact:</w:t>
      </w:r>
    </w:p>
    <w:p w14:paraId="1ED8BE77" w14:textId="77777777" w:rsidR="006052EE" w:rsidRDefault="003E3128" w:rsidP="006052EE">
      <w:pPr>
        <w:pStyle w:val="ListNumberLevel3"/>
        <w:rPr>
          <w:noProof/>
        </w:rPr>
      </w:pPr>
      <w:r>
        <w:rPr>
          <w:rFonts w:ascii="Wingdings" w:eastAsia="Wingdings" w:hAnsi="Wingdings" w:cs="Wingdings"/>
          <w:noProof/>
        </w:rPr>
        <w:t></w:t>
      </w:r>
      <w:r w:rsidR="006052EE">
        <w:rPr>
          <w:noProof/>
        </w:rPr>
        <w:tab/>
        <w:t xml:space="preserve">on own resources </w:t>
      </w:r>
    </w:p>
    <w:p w14:paraId="7C0FA63B" w14:textId="77777777" w:rsidR="006052EE" w:rsidRDefault="003E3128" w:rsidP="006052EE">
      <w:pPr>
        <w:pStyle w:val="ListNumberLevel3"/>
        <w:rPr>
          <w:noProof/>
        </w:rPr>
      </w:pPr>
      <w:r>
        <w:rPr>
          <w:rFonts w:ascii="Wingdings" w:eastAsia="Wingdings" w:hAnsi="Wingdings" w:cs="Wingdings"/>
          <w:noProof/>
        </w:rPr>
        <w:t></w:t>
      </w:r>
      <w:r w:rsidR="006052EE">
        <w:rPr>
          <w:noProof/>
        </w:rPr>
        <w:tab/>
        <w:t>on other revenue</w:t>
      </w:r>
    </w:p>
    <w:p w14:paraId="7F691ED0" w14:textId="77777777" w:rsidR="006052EE" w:rsidRPr="003E2B9D" w:rsidRDefault="006052EE" w:rsidP="006052EE">
      <w:pPr>
        <w:pStyle w:val="ListNumberLevel3"/>
        <w:rPr>
          <w:noProof/>
        </w:rPr>
      </w:pPr>
      <w:r w:rsidRPr="003E2B9D">
        <w:rPr>
          <w:rFonts w:ascii="Wingdings" w:eastAsia="Wingdings" w:hAnsi="Wingdings" w:cs="Wingdings"/>
          <w:noProof/>
        </w:rPr>
        <w:t></w:t>
      </w:r>
      <w:r w:rsidRPr="003E2B9D">
        <w:rPr>
          <w:rFonts w:ascii="Wingdings" w:eastAsia="Wingdings" w:hAnsi="Wingdings" w:cs="Wingdings"/>
          <w:noProof/>
        </w:rPr>
        <w:tab/>
      </w:r>
      <w:r w:rsidRPr="003E2B9D">
        <w:rPr>
          <w:noProof/>
        </w:rPr>
        <w:t>please</w:t>
      </w:r>
      <w:r w:rsidRPr="009B753E">
        <w:rPr>
          <w:noProof/>
        </w:rPr>
        <w:t xml:space="preserve"> indicate, if the revenue is assigned to expenditure lines</w:t>
      </w:r>
    </w:p>
    <w:p w14:paraId="7ED01BA7" w14:textId="77777777" w:rsidR="006052EE" w:rsidRPr="00656209" w:rsidRDefault="006052EE" w:rsidP="00445C9D">
      <w:pPr>
        <w:jc w:val="right"/>
        <w:rPr>
          <w:noProof/>
          <w:sz w:val="20"/>
          <w:lang w:val="en-IE"/>
        </w:rPr>
      </w:pPr>
      <w:r w:rsidRPr="00656209">
        <w:rPr>
          <w:noProof/>
          <w:sz w:val="20"/>
          <w:lang w:val="en-IE"/>
        </w:rPr>
        <w:t>EUR million (to three decimal places)</w:t>
      </w:r>
    </w:p>
    <w:p w14:paraId="10C1CCE2" w14:textId="77777777" w:rsidR="006052EE" w:rsidRPr="00B33C43" w:rsidRDefault="006052EE" w:rsidP="00445C9D">
      <w:pPr>
        <w:pStyle w:val="Text1"/>
        <w:rPr>
          <w:noProof/>
          <w:szCs w:val="24"/>
        </w:rPr>
      </w:pPr>
      <w:r w:rsidRPr="00B33C43">
        <w:rPr>
          <w:noProof/>
          <w:szCs w:val="24"/>
        </w:rPr>
        <w:t>For assigned revenue, specify the budget expenditure line(s) affected.</w:t>
      </w:r>
    </w:p>
    <w:p w14:paraId="75DDAD46"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 xml:space="preserve">3 existing innovation fund budget lines </w:t>
      </w:r>
    </w:p>
    <w:p w14:paraId="544D58F4"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New budget lines for IDB to be created (3)</w:t>
      </w:r>
    </w:p>
    <w:p w14:paraId="365A72AA"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New budget lines for removals facility to be created (3)</w:t>
      </w:r>
    </w:p>
    <w:p w14:paraId="46EDBE6C"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New budget lines for support to pricing of aviation greenhouse gas emissions in third countries</w:t>
      </w:r>
    </w:p>
    <w:p w14:paraId="29AF06D5"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New budget lines for support to pricing of maritime greenhouse gas emissions in third countries</w:t>
      </w:r>
    </w:p>
    <w:p w14:paraId="3AA5EBCD" w14:textId="77777777" w:rsidR="006052EE" w:rsidRPr="00B33C43" w:rsidRDefault="006052EE" w:rsidP="00445C9D">
      <w:pPr>
        <w:pStyle w:val="Text1"/>
        <w:rPr>
          <w:noProof/>
          <w:szCs w:val="24"/>
        </w:rPr>
      </w:pPr>
      <w:r w:rsidRPr="00B33C43">
        <w:rPr>
          <w:noProof/>
          <w:szCs w:val="24"/>
        </w:rPr>
        <w:t>Other remarks (e.g. method/formula used for calculating the impact on revenue or any other information).</w:t>
      </w:r>
    </w:p>
    <w:p w14:paraId="0A53E9D3"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The proposal foresees that that proceeds from auctioning of allowances should be made available for:</w:t>
      </w:r>
    </w:p>
    <w:p w14:paraId="503DE8AB"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 xml:space="preserve">- financing the functioning of the </w:t>
      </w:r>
      <w:r w:rsidRPr="003E3128">
        <w:rPr>
          <w:b/>
          <w:bCs/>
          <w:noProof/>
          <w:lang w:val="en-IE"/>
        </w:rPr>
        <w:t>Union Registry</w:t>
      </w:r>
      <w:r w:rsidR="002B151E">
        <w:rPr>
          <w:b/>
          <w:bCs/>
          <w:noProof/>
          <w:lang w:val="en-IE"/>
        </w:rPr>
        <w:t xml:space="preserve"> </w:t>
      </w:r>
      <w:r w:rsidR="002B151E">
        <w:rPr>
          <w:noProof/>
          <w:lang w:val="en-IE"/>
        </w:rPr>
        <w:t xml:space="preserve">and </w:t>
      </w:r>
      <w:r w:rsidR="00073813">
        <w:rPr>
          <w:noProof/>
          <w:lang w:val="en-IE"/>
        </w:rPr>
        <w:t xml:space="preserve">facility for </w:t>
      </w:r>
      <w:r w:rsidR="002B151E">
        <w:rPr>
          <w:noProof/>
          <w:lang w:val="en-IE"/>
        </w:rPr>
        <w:t>purchase of international credits</w:t>
      </w:r>
      <w:r w:rsidR="00073813">
        <w:rPr>
          <w:noProof/>
          <w:lang w:val="en-IE"/>
        </w:rPr>
        <w:t>.</w:t>
      </w:r>
    </w:p>
    <w:p w14:paraId="7213B79E"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 xml:space="preserve">- the purchase of permanent certified </w:t>
      </w:r>
      <w:r w:rsidRPr="003E3128">
        <w:rPr>
          <w:b/>
          <w:bCs/>
          <w:noProof/>
          <w:lang w:val="en-IE"/>
        </w:rPr>
        <w:t>carbon removals</w:t>
      </w:r>
      <w:r w:rsidRPr="003E3128">
        <w:rPr>
          <w:noProof/>
          <w:lang w:val="en-IE"/>
        </w:rPr>
        <w:t>, in view of the expected cost differential between removals and ETS allowances, and that the proceeds from this auctioning will count as externally assigned revenues.</w:t>
      </w:r>
    </w:p>
    <w:p w14:paraId="79781DE2"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 xml:space="preserve">- the </w:t>
      </w:r>
      <w:r w:rsidRPr="003E3128">
        <w:rPr>
          <w:b/>
          <w:bCs/>
          <w:noProof/>
          <w:lang w:val="en-IE"/>
        </w:rPr>
        <w:t>Modernisation Fund</w:t>
      </w:r>
      <w:r w:rsidRPr="003E3128">
        <w:rPr>
          <w:noProof/>
          <w:lang w:val="en-IE"/>
        </w:rPr>
        <w:t>, a share of the cap will continue to be provided for this, an additional share will be allocated to beneficiary Member States through the Industrial Decarbonisation Bank.</w:t>
      </w:r>
    </w:p>
    <w:p w14:paraId="101F601D"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 xml:space="preserve">- the </w:t>
      </w:r>
      <w:r w:rsidRPr="003E3128">
        <w:rPr>
          <w:b/>
          <w:bCs/>
          <w:noProof/>
          <w:lang w:val="en-IE"/>
        </w:rPr>
        <w:t>Innovation Fund</w:t>
      </w:r>
      <w:r w:rsidRPr="003E3128">
        <w:rPr>
          <w:noProof/>
          <w:lang w:val="en-IE"/>
        </w:rPr>
        <w:t xml:space="preserve"> with proceeds constituting externally assigned revenues.</w:t>
      </w:r>
    </w:p>
    <w:p w14:paraId="1EB6F980"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 xml:space="preserve">- the </w:t>
      </w:r>
      <w:r w:rsidRPr="003E3128">
        <w:rPr>
          <w:b/>
          <w:bCs/>
          <w:noProof/>
          <w:lang w:val="en-IE"/>
        </w:rPr>
        <w:t>Industrial Decarbonisation Bank</w:t>
      </w:r>
      <w:r w:rsidRPr="003E3128">
        <w:rPr>
          <w:noProof/>
          <w:lang w:val="en-IE"/>
        </w:rPr>
        <w:t xml:space="preserve"> with proceeds constituting externally assigned revenues. Any income generated by the activities of the Bank will also constitute externally assigned revenue.</w:t>
      </w:r>
    </w:p>
    <w:p w14:paraId="6C8E697B"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 xml:space="preserve">- to facilitate pricing greenhouse gas emissions from the </w:t>
      </w:r>
      <w:r w:rsidRPr="003E3128">
        <w:rPr>
          <w:b/>
          <w:bCs/>
          <w:noProof/>
          <w:lang w:val="en-IE"/>
        </w:rPr>
        <w:t>aviation</w:t>
      </w:r>
      <w:r w:rsidRPr="003E3128">
        <w:rPr>
          <w:noProof/>
          <w:lang w:val="en-IE"/>
        </w:rPr>
        <w:t xml:space="preserve"> and </w:t>
      </w:r>
      <w:r w:rsidRPr="003E3128">
        <w:rPr>
          <w:b/>
          <w:bCs/>
          <w:noProof/>
          <w:lang w:val="en-IE"/>
        </w:rPr>
        <w:t>maritime</w:t>
      </w:r>
      <w:r w:rsidRPr="003E3128">
        <w:rPr>
          <w:noProof/>
          <w:lang w:val="en-IE"/>
        </w:rPr>
        <w:t xml:space="preserve"> sectors in third countries.</w:t>
      </w:r>
    </w:p>
    <w:p w14:paraId="2E71868D" w14:textId="77777777" w:rsidR="003E3128" w:rsidRPr="003E3128" w:rsidRDefault="003E3128" w:rsidP="003E3128">
      <w:pPr>
        <w:pStyle w:val="Text1"/>
        <w:pBdr>
          <w:top w:val="single" w:sz="4" w:space="1" w:color="auto"/>
          <w:left w:val="single" w:sz="4" w:space="4" w:color="auto"/>
          <w:bottom w:val="single" w:sz="4" w:space="1" w:color="auto"/>
          <w:right w:val="single" w:sz="4" w:space="4" w:color="auto"/>
        </w:pBdr>
        <w:rPr>
          <w:noProof/>
          <w:lang w:val="en-IE"/>
        </w:rPr>
      </w:pPr>
      <w:r w:rsidRPr="003E3128">
        <w:rPr>
          <w:noProof/>
          <w:lang w:val="en-IE"/>
        </w:rPr>
        <w:t xml:space="preserve">In addition, the provisional agreement linking the EU and UK emissions trading systems, foresees a </w:t>
      </w:r>
      <w:r w:rsidRPr="003E3128">
        <w:rPr>
          <w:b/>
          <w:bCs/>
          <w:noProof/>
          <w:lang w:val="en-IE"/>
        </w:rPr>
        <w:t>contribution from the UK</w:t>
      </w:r>
      <w:r w:rsidRPr="003E3128">
        <w:rPr>
          <w:noProof/>
          <w:lang w:val="en-IE"/>
        </w:rPr>
        <w:t xml:space="preserve"> to certain aspects of EU ETS functioning.</w:t>
      </w:r>
    </w:p>
    <w:p w14:paraId="5443943B" w14:textId="77777777" w:rsidR="006052EE" w:rsidRPr="00532763" w:rsidRDefault="006052EE" w:rsidP="00445C9D">
      <w:pPr>
        <w:pStyle w:val="ManualHeading1"/>
        <w:rPr>
          <w:caps/>
          <w:noProof/>
        </w:rPr>
      </w:pPr>
      <w:bookmarkStart w:id="202" w:name="_Toc167220301"/>
      <w:bookmarkStart w:id="203" w:name="_Toc177549035"/>
      <w:r>
        <w:rPr>
          <w:noProof/>
        </w:rPr>
        <w:t>4.</w:t>
      </w:r>
      <w:r>
        <w:rPr>
          <w:noProof/>
        </w:rPr>
        <w:tab/>
      </w:r>
      <w:bookmarkStart w:id="204" w:name="_Hlk167692977"/>
      <w:r w:rsidRPr="7D67B65D">
        <w:rPr>
          <w:caps/>
          <w:noProof/>
        </w:rPr>
        <w:t>Digital dimension</w:t>
      </w:r>
      <w:r>
        <w:rPr>
          <w:caps/>
          <w:noProof/>
        </w:rPr>
        <w:t>s</w:t>
      </w:r>
      <w:bookmarkEnd w:id="202"/>
      <w:bookmarkEnd w:id="203"/>
    </w:p>
    <w:p w14:paraId="3F9A8070" w14:textId="77777777" w:rsidR="006052EE" w:rsidRPr="003E3128" w:rsidRDefault="003E3128" w:rsidP="00445C9D">
      <w:pPr>
        <w:pStyle w:val="Text1"/>
        <w:pBdr>
          <w:top w:val="single" w:sz="4" w:space="1" w:color="000000"/>
          <w:left w:val="single" w:sz="4" w:space="4" w:color="000000"/>
          <w:bottom w:val="single" w:sz="4" w:space="1" w:color="000000"/>
          <w:right w:val="single" w:sz="4" w:space="4" w:color="000000"/>
        </w:pBdr>
        <w:spacing w:line="259" w:lineRule="auto"/>
        <w:rPr>
          <w:noProof/>
          <w:lang w:val="en-IE"/>
        </w:rPr>
      </w:pPr>
      <w:r w:rsidRPr="003E3128">
        <w:rPr>
          <w:noProof/>
          <w:lang w:val="en-IE"/>
        </w:rPr>
        <w:t>N/A</w:t>
      </w:r>
    </w:p>
    <w:p w14:paraId="253E1CD5" w14:textId="77777777" w:rsidR="006052EE" w:rsidRPr="008774EA" w:rsidRDefault="006052EE" w:rsidP="00445C9D">
      <w:pPr>
        <w:pStyle w:val="ManualHeading2"/>
        <w:rPr>
          <w:noProof/>
        </w:rPr>
      </w:pPr>
      <w:bookmarkStart w:id="205" w:name="_Toc167220302"/>
      <w:bookmarkStart w:id="206" w:name="_Toc177549037"/>
      <w:r>
        <w:rPr>
          <w:noProof/>
        </w:rPr>
        <w:t>4.1.</w:t>
      </w:r>
      <w:r>
        <w:rPr>
          <w:noProof/>
        </w:rPr>
        <w:tab/>
        <w:t>Requirements of digital relevance</w:t>
      </w:r>
      <w:bookmarkEnd w:id="205"/>
      <w:bookmarkEnd w:id="206"/>
    </w:p>
    <w:tbl>
      <w:tblPr>
        <w:tblStyle w:val="TableGrid"/>
        <w:tblW w:w="9072" w:type="dxa"/>
        <w:tblInd w:w="-5" w:type="dxa"/>
        <w:tblLayout w:type="fixed"/>
        <w:tblLook w:val="06A0" w:firstRow="1" w:lastRow="0" w:firstColumn="1" w:lastColumn="0" w:noHBand="1" w:noVBand="1"/>
      </w:tblPr>
      <w:tblGrid>
        <w:gridCol w:w="9072"/>
      </w:tblGrid>
      <w:tr w:rsidR="006052EE" w14:paraId="1BECE42F" w14:textId="77777777" w:rsidTr="00445C9D">
        <w:trPr>
          <w:trHeight w:val="300"/>
        </w:trPr>
        <w:tc>
          <w:tcPr>
            <w:tcW w:w="9072" w:type="dxa"/>
          </w:tcPr>
          <w:p w14:paraId="5AE4F08B" w14:textId="77777777" w:rsidR="006052EE" w:rsidRPr="00F3520C" w:rsidRDefault="003E3128" w:rsidP="003E3128">
            <w:pPr>
              <w:rPr>
                <w:noProof/>
                <w:color w:val="0000FF"/>
              </w:rPr>
            </w:pPr>
            <w:r w:rsidRPr="003E3128">
              <w:rPr>
                <w:rFonts w:eastAsiaTheme="minorHAnsi"/>
                <w:noProof/>
                <w:szCs w:val="22"/>
                <w:lang w:val="en-IE" w:eastAsia="en-US"/>
              </w:rPr>
              <w:t>N/A</w:t>
            </w:r>
          </w:p>
        </w:tc>
      </w:tr>
    </w:tbl>
    <w:p w14:paraId="69FA90D3" w14:textId="77777777" w:rsidR="006052EE" w:rsidRPr="00902D52" w:rsidRDefault="006052EE" w:rsidP="00445C9D">
      <w:pPr>
        <w:pStyle w:val="ManualHeading2"/>
        <w:rPr>
          <w:noProof/>
        </w:rPr>
      </w:pPr>
      <w:bookmarkStart w:id="207" w:name="_Toc167220303"/>
      <w:bookmarkStart w:id="208" w:name="_Toc177549038"/>
      <w:r>
        <w:rPr>
          <w:noProof/>
        </w:rPr>
        <w:t>4.2.</w:t>
      </w:r>
      <w:r>
        <w:rPr>
          <w:noProof/>
        </w:rPr>
        <w:tab/>
        <w:t>Data</w:t>
      </w:r>
      <w:bookmarkEnd w:id="207"/>
      <w:bookmarkEnd w:id="208"/>
    </w:p>
    <w:tbl>
      <w:tblPr>
        <w:tblStyle w:val="TableGrid"/>
        <w:tblW w:w="0" w:type="auto"/>
        <w:tblLook w:val="04A0" w:firstRow="1" w:lastRow="0" w:firstColumn="1" w:lastColumn="0" w:noHBand="0" w:noVBand="1"/>
      </w:tblPr>
      <w:tblGrid>
        <w:gridCol w:w="9063"/>
      </w:tblGrid>
      <w:tr w:rsidR="006052EE" w14:paraId="39A33319" w14:textId="77777777" w:rsidTr="00445C9D">
        <w:tc>
          <w:tcPr>
            <w:tcW w:w="9063" w:type="dxa"/>
          </w:tcPr>
          <w:p w14:paraId="4C92DFDE" w14:textId="77777777" w:rsidR="006052EE" w:rsidRPr="003E3128" w:rsidRDefault="003E3128" w:rsidP="003E3128">
            <w:pPr>
              <w:rPr>
                <w:noProof/>
                <w:color w:val="0000FF"/>
              </w:rPr>
            </w:pPr>
            <w:r w:rsidRPr="003E3128">
              <w:rPr>
                <w:rFonts w:eastAsiaTheme="minorHAnsi"/>
                <w:noProof/>
                <w:szCs w:val="22"/>
                <w:lang w:val="en-IE" w:eastAsia="en-US"/>
              </w:rPr>
              <w:t>N/A</w:t>
            </w:r>
          </w:p>
        </w:tc>
      </w:tr>
    </w:tbl>
    <w:p w14:paraId="44EC0BB1" w14:textId="77777777" w:rsidR="006052EE" w:rsidRPr="009347D1" w:rsidRDefault="006052EE" w:rsidP="00445C9D">
      <w:pPr>
        <w:pStyle w:val="ManualHeading2"/>
        <w:rPr>
          <w:noProof/>
        </w:rPr>
      </w:pPr>
      <w:bookmarkStart w:id="209" w:name="_Toc167220305"/>
      <w:bookmarkStart w:id="210" w:name="_Toc177549039"/>
      <w:r>
        <w:rPr>
          <w:noProof/>
        </w:rPr>
        <w:t>4.3.</w:t>
      </w:r>
      <w:r>
        <w:rPr>
          <w:noProof/>
        </w:rPr>
        <w:tab/>
        <w:t>Digital solutions</w:t>
      </w:r>
      <w:bookmarkEnd w:id="209"/>
      <w:bookmarkEnd w:id="210"/>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6052EE" w14:paraId="659B2AB1" w14:textId="77777777" w:rsidTr="00445C9D">
        <w:tc>
          <w:tcPr>
            <w:tcW w:w="9067" w:type="dxa"/>
          </w:tcPr>
          <w:p w14:paraId="2E895553" w14:textId="77777777" w:rsidR="006052EE" w:rsidRPr="001B7467" w:rsidRDefault="003E3128" w:rsidP="00445C9D">
            <w:pPr>
              <w:rPr>
                <w:noProof/>
              </w:rPr>
            </w:pPr>
            <w:r w:rsidRPr="003E3128">
              <w:rPr>
                <w:rFonts w:eastAsiaTheme="minorHAnsi"/>
                <w:noProof/>
                <w:szCs w:val="22"/>
                <w:lang w:val="en-IE" w:eastAsia="en-US"/>
              </w:rPr>
              <w:t>N/A</w:t>
            </w:r>
          </w:p>
        </w:tc>
      </w:tr>
    </w:tbl>
    <w:p w14:paraId="0CC1A477" w14:textId="77777777" w:rsidR="006052EE" w:rsidRPr="00B27729" w:rsidRDefault="006052EE" w:rsidP="00445C9D">
      <w:pPr>
        <w:pStyle w:val="ManualHeading2"/>
        <w:rPr>
          <w:rStyle w:val="Emphasis"/>
          <w:b w:val="0"/>
          <w:bCs/>
          <w:i w:val="0"/>
          <w:iCs w:val="0"/>
          <w:noProof/>
        </w:rPr>
      </w:pPr>
      <w:bookmarkStart w:id="211" w:name="_Toc167220304"/>
      <w:bookmarkStart w:id="212" w:name="_Toc177549040"/>
      <w:r>
        <w:rPr>
          <w:rStyle w:val="Emphasis"/>
          <w:bCs/>
          <w:noProof/>
        </w:rPr>
        <w:t>4.4.</w:t>
      </w:r>
      <w:r>
        <w:rPr>
          <w:noProof/>
        </w:rPr>
        <w:tab/>
      </w:r>
      <w:r w:rsidRPr="00B27729">
        <w:rPr>
          <w:rStyle w:val="Emphasis"/>
          <w:bCs/>
          <w:noProof/>
        </w:rPr>
        <w:t>Interoperability assessment</w:t>
      </w:r>
      <w:bookmarkEnd w:id="211"/>
      <w:bookmarkEnd w:id="212"/>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6052EE" w14:paraId="55F441C0" w14:textId="77777777" w:rsidTr="00445C9D">
        <w:trPr>
          <w:trHeight w:val="300"/>
        </w:trPr>
        <w:tc>
          <w:tcPr>
            <w:tcW w:w="9067" w:type="dxa"/>
          </w:tcPr>
          <w:p w14:paraId="7BCF2CBD" w14:textId="77777777" w:rsidR="006052EE" w:rsidRPr="00EA72C1" w:rsidRDefault="003E3128" w:rsidP="00445C9D">
            <w:pPr>
              <w:rPr>
                <w:i/>
                <w:iCs/>
                <w:noProof/>
                <w:color w:val="215868" w:themeColor="accent5" w:themeShade="80"/>
              </w:rPr>
            </w:pPr>
            <w:r w:rsidRPr="003E3128">
              <w:rPr>
                <w:rFonts w:eastAsiaTheme="minorHAnsi"/>
                <w:noProof/>
                <w:szCs w:val="22"/>
                <w:lang w:val="en-IE" w:eastAsia="en-US"/>
              </w:rPr>
              <w:t>N/A</w:t>
            </w:r>
          </w:p>
        </w:tc>
      </w:tr>
    </w:tbl>
    <w:p w14:paraId="168B3C98" w14:textId="77777777" w:rsidR="006052EE" w:rsidRPr="001B7467" w:rsidRDefault="006052EE" w:rsidP="00445C9D">
      <w:pPr>
        <w:pStyle w:val="ManualHeading2"/>
        <w:rPr>
          <w:noProof/>
        </w:rPr>
      </w:pPr>
      <w:bookmarkStart w:id="213" w:name="_Toc167220306"/>
      <w:bookmarkStart w:id="214" w:name="_Toc177549041"/>
      <w:r>
        <w:rPr>
          <w:noProof/>
        </w:rPr>
        <w:t>4.5.</w:t>
      </w:r>
      <w:r>
        <w:rPr>
          <w:noProof/>
        </w:rPr>
        <w:tab/>
        <w:t>Measures to support digital</w:t>
      </w:r>
      <w:r w:rsidRPr="001B7467">
        <w:rPr>
          <w:noProof/>
        </w:rPr>
        <w:t xml:space="preserve"> </w:t>
      </w:r>
      <w:r>
        <w:rPr>
          <w:noProof/>
        </w:rPr>
        <w:t>i</w:t>
      </w:r>
      <w:r w:rsidRPr="001B7467">
        <w:rPr>
          <w:noProof/>
        </w:rPr>
        <w:t>mplementation</w:t>
      </w:r>
      <w:bookmarkEnd w:id="213"/>
      <w:bookmarkEnd w:id="214"/>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6052EE" w14:paraId="7C8B9A6E" w14:textId="77777777" w:rsidTr="00445C9D">
        <w:tc>
          <w:tcPr>
            <w:tcW w:w="9067" w:type="dxa"/>
          </w:tcPr>
          <w:p w14:paraId="76A03E86" w14:textId="77777777" w:rsidR="006052EE" w:rsidRPr="003E3128" w:rsidRDefault="003E3128" w:rsidP="003E3128">
            <w:pPr>
              <w:rPr>
                <w:noProof/>
                <w:color w:val="0000FF"/>
              </w:rPr>
            </w:pPr>
            <w:r w:rsidRPr="003E3128">
              <w:rPr>
                <w:rFonts w:eastAsiaTheme="minorHAnsi"/>
                <w:noProof/>
                <w:szCs w:val="22"/>
                <w:lang w:val="en-IE" w:eastAsia="en-US"/>
              </w:rPr>
              <w:t>N/A</w:t>
            </w:r>
          </w:p>
        </w:tc>
      </w:tr>
      <w:bookmarkEnd w:id="204"/>
    </w:tbl>
    <w:p w14:paraId="12B062A1" w14:textId="77777777" w:rsidR="006052EE" w:rsidRPr="00334B30" w:rsidRDefault="006052EE" w:rsidP="00445C9D">
      <w:pPr>
        <w:rPr>
          <w:noProof/>
          <w:color w:val="008000"/>
        </w:rPr>
      </w:pPr>
    </w:p>
    <w:sectPr w:rsidR="006052EE" w:rsidRPr="00334B30" w:rsidSect="00F14618">
      <w:headerReference w:type="default" r:id="rId35"/>
      <w:footerReference w:type="default" r:id="rId3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F0E01" w14:textId="77777777" w:rsidR="00F75F78" w:rsidRDefault="00F75F78" w:rsidP="006052EE">
      <w:pPr>
        <w:spacing w:before="0" w:after="0"/>
      </w:pPr>
      <w:r>
        <w:separator/>
      </w:r>
    </w:p>
  </w:endnote>
  <w:endnote w:type="continuationSeparator" w:id="0">
    <w:p w14:paraId="742AB269" w14:textId="77777777" w:rsidR="00F75F78" w:rsidRDefault="00F75F78" w:rsidP="006052E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Calibri"/>
    <w:charset w:val="00"/>
    <w:family w:val="auto"/>
    <w:pitch w:val="variable"/>
    <w:sig w:usb0="800002EF" w:usb1="1000E0FB" w:usb2="00000000" w:usb3="00000000" w:csb0="000000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1CB6" w14:textId="3A98B437" w:rsidR="001F0211" w:rsidRPr="00F14618" w:rsidRDefault="00F14618" w:rsidP="00F14618">
    <w:pPr>
      <w:pStyle w:val="Footer"/>
      <w:rPr>
        <w:rFonts w:ascii="Arial" w:hAnsi="Arial" w:cs="Arial"/>
        <w:b/>
        <w:sz w:val="48"/>
      </w:rPr>
    </w:pPr>
    <w:r w:rsidRPr="00F14618">
      <w:rPr>
        <w:rFonts w:ascii="Arial" w:hAnsi="Arial" w:cs="Arial"/>
        <w:b/>
        <w:sz w:val="48"/>
      </w:rPr>
      <w:t>EN</w:t>
    </w:r>
    <w:r w:rsidRPr="00F14618">
      <w:rPr>
        <w:rFonts w:ascii="Arial" w:hAnsi="Arial" w:cs="Arial"/>
        <w:b/>
        <w:sz w:val="48"/>
      </w:rPr>
      <w:tab/>
    </w:r>
    <w:r w:rsidRPr="00F14618">
      <w:rPr>
        <w:rFonts w:ascii="Arial" w:hAnsi="Arial" w:cs="Arial"/>
        <w:b/>
        <w:sz w:val="48"/>
      </w:rPr>
      <w:tab/>
    </w:r>
    <w:r w:rsidRPr="00F14618">
      <w:tab/>
    </w:r>
    <w:r w:rsidRPr="00F1461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896E" w14:textId="5B1F28FD" w:rsidR="001F0211" w:rsidRPr="00F14618" w:rsidRDefault="00F14618" w:rsidP="00F14618">
    <w:pPr>
      <w:pStyle w:val="Footer"/>
      <w:rPr>
        <w:rFonts w:ascii="Arial" w:hAnsi="Arial" w:cs="Arial"/>
        <w:b/>
        <w:sz w:val="48"/>
      </w:rPr>
    </w:pPr>
    <w:r w:rsidRPr="00F14618">
      <w:rPr>
        <w:rFonts w:ascii="Arial" w:hAnsi="Arial" w:cs="Arial"/>
        <w:b/>
        <w:sz w:val="48"/>
      </w:rPr>
      <w:t>EN</w:t>
    </w:r>
    <w:r w:rsidRPr="00F14618">
      <w:rPr>
        <w:rFonts w:ascii="Arial" w:hAnsi="Arial" w:cs="Arial"/>
        <w:b/>
        <w:sz w:val="48"/>
      </w:rPr>
      <w:tab/>
    </w:r>
    <w:r w:rsidRPr="00F14618">
      <w:rPr>
        <w:rFonts w:ascii="Arial" w:hAnsi="Arial" w:cs="Arial"/>
        <w:b/>
        <w:sz w:val="48"/>
      </w:rPr>
      <w:tab/>
    </w:r>
    <w:r w:rsidRPr="00F14618">
      <w:tab/>
    </w:r>
    <w:r w:rsidRPr="00F1461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3B37D" w14:textId="77777777" w:rsidR="0055385F" w:rsidRPr="00F14618" w:rsidRDefault="0055385F" w:rsidP="00F146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E1820" w14:textId="77777777" w:rsidR="001F0211" w:rsidRDefault="001F021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3C29" w14:textId="6251E9AA" w:rsidR="00F14618" w:rsidRPr="00F14618" w:rsidRDefault="00F14618" w:rsidP="00F14618">
    <w:pPr>
      <w:pStyle w:val="Footer"/>
      <w:rPr>
        <w:rFonts w:ascii="Arial" w:hAnsi="Arial" w:cs="Arial"/>
        <w:b/>
        <w:sz w:val="48"/>
      </w:rPr>
    </w:pPr>
    <w:r w:rsidRPr="00F14618">
      <w:rPr>
        <w:rFonts w:ascii="Arial" w:hAnsi="Arial" w:cs="Arial"/>
        <w:b/>
        <w:sz w:val="48"/>
      </w:rPr>
      <w:t>EN</w:t>
    </w:r>
    <w:r w:rsidRPr="00F1461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14618">
      <w:tab/>
    </w:r>
    <w:r w:rsidRPr="00F1461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DF61" w14:textId="77777777" w:rsidR="001F0211" w:rsidRDefault="001F0211" w:rsidP="00F1461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F709" w14:textId="250E7D4E" w:rsidR="00F14618" w:rsidRPr="00F14618" w:rsidRDefault="00F14618" w:rsidP="00F14618">
    <w:pPr>
      <w:pStyle w:val="FooterLandscape"/>
      <w:rPr>
        <w:rFonts w:ascii="Arial" w:hAnsi="Arial" w:cs="Arial"/>
        <w:b/>
        <w:sz w:val="48"/>
      </w:rPr>
    </w:pPr>
    <w:r w:rsidRPr="00F14618">
      <w:rPr>
        <w:rFonts w:ascii="Arial" w:hAnsi="Arial" w:cs="Arial"/>
        <w:b/>
        <w:sz w:val="48"/>
      </w:rPr>
      <w:t>EN</w:t>
    </w:r>
    <w:r w:rsidRPr="00F14618">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rsidRPr="00F14618">
      <w:tab/>
    </w:r>
    <w:r w:rsidRPr="00F14618">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10A7" w14:textId="3CB04FBA" w:rsidR="00F14618" w:rsidRPr="00F14618" w:rsidRDefault="00F14618" w:rsidP="00F14618">
    <w:pPr>
      <w:pStyle w:val="Footer"/>
      <w:rPr>
        <w:rFonts w:ascii="Arial" w:hAnsi="Arial" w:cs="Arial"/>
        <w:b/>
        <w:sz w:val="48"/>
      </w:rPr>
    </w:pPr>
    <w:r w:rsidRPr="00F14618">
      <w:rPr>
        <w:rFonts w:ascii="Arial" w:hAnsi="Arial" w:cs="Arial"/>
        <w:b/>
        <w:sz w:val="48"/>
      </w:rPr>
      <w:t>EN</w:t>
    </w:r>
    <w:r w:rsidRPr="00F14618">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rsidRPr="00F14618">
      <w:tab/>
    </w:r>
    <w:r w:rsidRPr="00F14618">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FC65F" w14:textId="77777777" w:rsidR="00F75F78" w:rsidRDefault="00F75F78" w:rsidP="006052EE">
      <w:pPr>
        <w:spacing w:before="0" w:after="0"/>
      </w:pPr>
      <w:r>
        <w:separator/>
      </w:r>
    </w:p>
  </w:footnote>
  <w:footnote w:type="continuationSeparator" w:id="0">
    <w:p w14:paraId="6E27FA59" w14:textId="77777777" w:rsidR="00F75F78" w:rsidRDefault="00F75F78" w:rsidP="006052EE">
      <w:pPr>
        <w:spacing w:before="0" w:after="0"/>
      </w:pPr>
      <w:r>
        <w:continuationSeparator/>
      </w:r>
    </w:p>
  </w:footnote>
  <w:footnote w:id="1">
    <w:p w14:paraId="44FEC275" w14:textId="77777777" w:rsidR="00D93F38" w:rsidRPr="00D93F38" w:rsidRDefault="00D93F38" w:rsidP="00C205FD">
      <w:pPr>
        <w:pStyle w:val="FootnoteText"/>
      </w:pPr>
      <w:r>
        <w:rPr>
          <w:rStyle w:val="FootnoteReference"/>
        </w:rPr>
        <w:footnoteRef/>
      </w:r>
      <w:r>
        <w:tab/>
      </w:r>
      <w:r w:rsidR="00C205FD" w:rsidRPr="00C205FD">
        <w:t xml:space="preserve">Decision (EU) 2015/1814 of the European Parliament and of the Council of 6 October 2015 concerning the establishment and operation of a market stability reserve for the Union greenhouse gas emission trading scheme and amending Directive 2003/87/EC </w:t>
      </w:r>
      <w:r w:rsidR="00C205FD">
        <w:t>(</w:t>
      </w:r>
      <w:r w:rsidR="00C205FD" w:rsidRPr="00C205FD">
        <w:t>OJ L 264, 9.10.2015, p</w:t>
      </w:r>
      <w:r w:rsidR="001C2C9A">
        <w:t>p</w:t>
      </w:r>
      <w:r w:rsidR="00C205FD" w:rsidRPr="00C205FD">
        <w:t>. 1</w:t>
      </w:r>
      <w:r w:rsidR="001C2C9A">
        <w:t>-5</w:t>
      </w:r>
      <w:r w:rsidR="00F138C1">
        <w:t xml:space="preserve">, </w:t>
      </w:r>
      <w:r w:rsidR="00F138C1" w:rsidRPr="00F138C1">
        <w:t xml:space="preserve">ELI: </w:t>
      </w:r>
      <w:hyperlink r:id="rId1" w:history="1">
        <w:r w:rsidR="00F138C1" w:rsidRPr="00A95D61">
          <w:rPr>
            <w:rStyle w:val="Hyperlink"/>
          </w:rPr>
          <w:t>http://data.europa.eu/eli/dec/2015/1814/oj</w:t>
        </w:r>
      </w:hyperlink>
      <w:r w:rsidR="00C205FD">
        <w:t>).</w:t>
      </w:r>
    </w:p>
  </w:footnote>
  <w:footnote w:id="2">
    <w:p w14:paraId="7C76D7BB" w14:textId="77777777" w:rsidR="00BF07A9" w:rsidRPr="00620F3F" w:rsidRDefault="00BF07A9" w:rsidP="00BF07A9">
      <w:pPr>
        <w:pStyle w:val="FootnoteText"/>
        <w:rPr>
          <w:lang w:val="en-IE"/>
        </w:rPr>
      </w:pPr>
      <w:r>
        <w:rPr>
          <w:rStyle w:val="FootnoteReference"/>
        </w:rPr>
        <w:footnoteRef/>
      </w:r>
      <w:r w:rsidRPr="00620F3F">
        <w:rPr>
          <w:lang w:val="en-IE"/>
        </w:rPr>
        <w:tab/>
      </w:r>
      <w:r w:rsidR="004C5157" w:rsidRPr="00620F3F">
        <w:rPr>
          <w:lang w:val="en-IE"/>
        </w:rPr>
        <w:t>Regulation (EU) 2015/757 of the European Parliament and of the Council of 29 April 2015 on the monitoring, reporting and verification of carbon dioxide emissions from maritime transport, and amending Directive 2009/16/EC</w:t>
      </w:r>
      <w:r w:rsidR="00C520E2">
        <w:rPr>
          <w:lang w:val="en-IE"/>
        </w:rPr>
        <w:t xml:space="preserve"> </w:t>
      </w:r>
      <w:r w:rsidR="00C520E2">
        <w:t>(</w:t>
      </w:r>
      <w:r w:rsidR="00C520E2" w:rsidRPr="00C520E2">
        <w:t>OJ L 123, 19.5.2015, p. 55</w:t>
      </w:r>
      <w:r w:rsidR="005F685B">
        <w:t>-76</w:t>
      </w:r>
      <w:r w:rsidR="00C520E2">
        <w:t xml:space="preserve">, </w:t>
      </w:r>
      <w:r w:rsidR="005642A3" w:rsidRPr="005642A3">
        <w:t xml:space="preserve">ELI: </w:t>
      </w:r>
      <w:hyperlink r:id="rId2" w:history="1">
        <w:r w:rsidR="005642A3" w:rsidRPr="00A95D61">
          <w:rPr>
            <w:rStyle w:val="Hyperlink"/>
          </w:rPr>
          <w:t>http://data.europa.eu/eli</w:t>
        </w:r>
        <w:bookmarkStart w:id="0" w:name="_Hlt234248504"/>
        <w:bookmarkStart w:id="1" w:name="_Hlt234248505"/>
        <w:r w:rsidR="005642A3" w:rsidRPr="00A95D61">
          <w:rPr>
            <w:rStyle w:val="Hyperlink"/>
          </w:rPr>
          <w:t>/</w:t>
        </w:r>
        <w:bookmarkEnd w:id="0"/>
        <w:bookmarkEnd w:id="1"/>
        <w:r w:rsidR="005642A3" w:rsidRPr="00A95D61">
          <w:rPr>
            <w:rStyle w:val="Hyperlink"/>
          </w:rPr>
          <w:t>reg/2015/757/oj</w:t>
        </w:r>
      </w:hyperlink>
      <w:r w:rsidR="005642A3">
        <w:t xml:space="preserve">). </w:t>
      </w:r>
    </w:p>
  </w:footnote>
  <w:footnote w:id="3">
    <w:p w14:paraId="763F258E" w14:textId="77777777" w:rsidR="00BF07A9" w:rsidRPr="00422349" w:rsidRDefault="00BF07A9" w:rsidP="00BF07A9">
      <w:pPr>
        <w:pStyle w:val="FootnoteText"/>
        <w:rPr>
          <w:lang w:val="fi-FI"/>
        </w:rPr>
      </w:pPr>
      <w:r w:rsidRPr="004B7821">
        <w:rPr>
          <w:rStyle w:val="FootnoteReference"/>
        </w:rPr>
        <w:footnoteRef/>
      </w:r>
      <w:r w:rsidRPr="00422349">
        <w:rPr>
          <w:lang w:val="fi-FI"/>
        </w:rPr>
        <w:tab/>
      </w:r>
      <w:r w:rsidRPr="00422349">
        <w:rPr>
          <w:rStyle w:val="FootnoteReference"/>
          <w:vertAlign w:val="baseline"/>
          <w:lang w:val="fi-FI"/>
        </w:rPr>
        <w:t>Regulation (EU) 2021/1119 of the European Parliament and of the Council of 30 June 2021 establishing the framework for achieving climate neutrality and amending Regulations (EC) No 401/2009 and (EU) 2018/1999 (‘European Climate Law’) (OJ L 243, 9.7.2021, p</w:t>
      </w:r>
      <w:r w:rsidR="005F685B" w:rsidRPr="00422349">
        <w:rPr>
          <w:rStyle w:val="FootnoteReference"/>
          <w:vertAlign w:val="baseline"/>
          <w:lang w:val="fi-FI"/>
        </w:rPr>
        <w:t>p</w:t>
      </w:r>
      <w:r w:rsidRPr="00422349">
        <w:rPr>
          <w:rStyle w:val="FootnoteReference"/>
          <w:vertAlign w:val="baseline"/>
          <w:lang w:val="fi-FI"/>
        </w:rPr>
        <w:t>. 1</w:t>
      </w:r>
      <w:r w:rsidR="005F685B" w:rsidRPr="00422349">
        <w:rPr>
          <w:rStyle w:val="FootnoteReference"/>
          <w:vertAlign w:val="baseline"/>
          <w:lang w:val="fi-FI"/>
        </w:rPr>
        <w:t>-</w:t>
      </w:r>
      <w:r w:rsidR="005F685B" w:rsidRPr="00422349">
        <w:rPr>
          <w:lang w:val="fi-FI"/>
        </w:rPr>
        <w:t>17</w:t>
      </w:r>
      <w:r w:rsidR="00B25732" w:rsidRPr="00422349">
        <w:rPr>
          <w:lang w:val="fi-FI"/>
        </w:rPr>
        <w:t xml:space="preserve">, ELI: </w:t>
      </w:r>
      <w:hyperlink r:id="rId3" w:history="1">
        <w:r w:rsidR="00B25732" w:rsidRPr="00422349">
          <w:rPr>
            <w:rStyle w:val="Hyperlink"/>
            <w:lang w:val="fi-FI"/>
          </w:rPr>
          <w:t>http://data.europa.eu/eli/reg/20</w:t>
        </w:r>
        <w:bookmarkStart w:id="2" w:name="_Hlt234248521"/>
        <w:bookmarkStart w:id="3" w:name="_Hlt234248522"/>
        <w:r w:rsidR="00B25732" w:rsidRPr="00422349">
          <w:rPr>
            <w:rStyle w:val="Hyperlink"/>
            <w:lang w:val="fi-FI"/>
          </w:rPr>
          <w:t>2</w:t>
        </w:r>
        <w:bookmarkEnd w:id="2"/>
        <w:bookmarkEnd w:id="3"/>
        <w:r w:rsidR="00B25732" w:rsidRPr="00422349">
          <w:rPr>
            <w:rStyle w:val="Hyperlink"/>
            <w:lang w:val="fi-FI"/>
          </w:rPr>
          <w:t>1/1119/oj</w:t>
        </w:r>
      </w:hyperlink>
      <w:r w:rsidRPr="00422349">
        <w:rPr>
          <w:rStyle w:val="FootnoteReference"/>
          <w:vertAlign w:val="baseline"/>
          <w:lang w:val="fi-FI"/>
        </w:rPr>
        <w:t>).</w:t>
      </w:r>
    </w:p>
  </w:footnote>
  <w:footnote w:id="4">
    <w:p w14:paraId="6F90A5E7" w14:textId="77777777" w:rsidR="00BF07A9" w:rsidRPr="00422349" w:rsidRDefault="00BF07A9" w:rsidP="00BF07A9">
      <w:pPr>
        <w:pStyle w:val="FootnoteText"/>
        <w:tabs>
          <w:tab w:val="left" w:pos="780"/>
        </w:tabs>
        <w:rPr>
          <w:lang w:val="fi-FI"/>
        </w:rPr>
      </w:pPr>
      <w:r w:rsidRPr="004B7821">
        <w:rPr>
          <w:rStyle w:val="FootnoteReference"/>
        </w:rPr>
        <w:footnoteRef/>
      </w:r>
      <w:r w:rsidRPr="00422349">
        <w:rPr>
          <w:lang w:val="fi-FI"/>
        </w:rPr>
        <w:tab/>
      </w:r>
      <w:r w:rsidRPr="00422349">
        <w:rPr>
          <w:rStyle w:val="FootnoteReference"/>
          <w:vertAlign w:val="baseline"/>
          <w:lang w:val="fi-FI"/>
        </w:rPr>
        <w:t>Directive (EU) 2023/958 of the European Parliament and of the Council of 10 May 2023 amending Directive 2003/87/EC as regards aviation’s contribution to the Union’s economy-wide emission reduction target and the appropriate implementation of a global market-based measure (OJ L 130, 16.5.2023</w:t>
      </w:r>
      <w:r w:rsidR="008E1CFD" w:rsidRPr="00422349">
        <w:rPr>
          <w:lang w:val="fi-FI"/>
        </w:rPr>
        <w:t xml:space="preserve">, </w:t>
      </w:r>
      <w:r w:rsidR="002D3A43" w:rsidRPr="00422349">
        <w:rPr>
          <w:lang w:val="fi-FI"/>
        </w:rPr>
        <w:t xml:space="preserve">pp. 115–133, </w:t>
      </w:r>
      <w:r w:rsidR="008E1CFD" w:rsidRPr="00422349">
        <w:rPr>
          <w:lang w:val="fi-FI"/>
        </w:rPr>
        <w:t xml:space="preserve">ELI: </w:t>
      </w:r>
      <w:hyperlink r:id="rId4" w:history="1">
        <w:r w:rsidR="008E1CFD" w:rsidRPr="00422349">
          <w:rPr>
            <w:rStyle w:val="Hyperlink"/>
            <w:lang w:val="fi-FI"/>
          </w:rPr>
          <w:t>http://data.europa.eu/eli/dir/2023/958/oj</w:t>
        </w:r>
      </w:hyperlink>
      <w:r w:rsidRPr="00422349">
        <w:rPr>
          <w:rStyle w:val="FootnoteReference"/>
          <w:vertAlign w:val="baseline"/>
          <w:lang w:val="fi-FI"/>
        </w:rPr>
        <w:t>) and Directive (EU) 2023/959 of the European Parliament and of the Council of 10 May 2023 amending Directive 2003/87/EC establishing a system for greenhouse gas emission allowance trading within the Union and Decision (EU) 2015/1814 concerning the establishment and operation of a market stability reserve for the Union greenhouse gas emission trading system (OJ L 130, 16.5.2023</w:t>
      </w:r>
      <w:r w:rsidR="00177D43" w:rsidRPr="00422349">
        <w:rPr>
          <w:lang w:val="fi-FI"/>
        </w:rPr>
        <w:t xml:space="preserve">, </w:t>
      </w:r>
      <w:r w:rsidR="002D3A43" w:rsidRPr="00422349">
        <w:rPr>
          <w:lang w:val="fi-FI"/>
        </w:rPr>
        <w:t xml:space="preserve">pp. 134–202, </w:t>
      </w:r>
      <w:r w:rsidR="00177D43" w:rsidRPr="00422349">
        <w:rPr>
          <w:lang w:val="fi-FI"/>
        </w:rPr>
        <w:t xml:space="preserve">ELI: </w:t>
      </w:r>
      <w:hyperlink r:id="rId5" w:history="1">
        <w:r w:rsidR="00177D43" w:rsidRPr="00422349">
          <w:rPr>
            <w:rStyle w:val="Hyperlink"/>
            <w:lang w:val="fi-FI"/>
          </w:rPr>
          <w:t>http://data.europa.eu/eli/dir/2023/959/oj</w:t>
        </w:r>
      </w:hyperlink>
      <w:r w:rsidRPr="00422349">
        <w:rPr>
          <w:rStyle w:val="FootnoteReference"/>
          <w:vertAlign w:val="baseline"/>
          <w:lang w:val="fi-FI"/>
        </w:rPr>
        <w:t>).</w:t>
      </w:r>
    </w:p>
  </w:footnote>
  <w:footnote w:id="5">
    <w:p w14:paraId="1B398FB9" w14:textId="77777777" w:rsidR="00674668" w:rsidRPr="00674668" w:rsidRDefault="00674668">
      <w:pPr>
        <w:pStyle w:val="FootnoteText"/>
      </w:pPr>
      <w:r>
        <w:rPr>
          <w:rStyle w:val="FootnoteReference"/>
        </w:rPr>
        <w:footnoteRef/>
      </w:r>
      <w:r>
        <w:tab/>
        <w:t xml:space="preserve">Communication from the Commission to the European Parliament, the European Council, the Council, </w:t>
      </w:r>
      <w:r w:rsidR="008606D7">
        <w:t>the European Economic and Social</w:t>
      </w:r>
      <w:r w:rsidR="00ED21BE">
        <w:t xml:space="preserve"> Committee and the Committee of the Regions, </w:t>
      </w:r>
      <w:r w:rsidR="00DD0E3E" w:rsidRPr="00DD0E3E">
        <w:t>A Competitiveness Compass for the EU</w:t>
      </w:r>
      <w:r w:rsidR="00DD0E3E">
        <w:t xml:space="preserve">, </w:t>
      </w:r>
      <w:r w:rsidR="00DD0E3E" w:rsidRPr="00DD0E3E">
        <w:t>COM(2025) 30 fina</w:t>
      </w:r>
      <w:r w:rsidR="00DD0E3E">
        <w:t>l.</w:t>
      </w:r>
    </w:p>
  </w:footnote>
  <w:footnote w:id="6">
    <w:p w14:paraId="0A4B68FA" w14:textId="77777777" w:rsidR="00BF58BE" w:rsidRPr="00BF58BE" w:rsidRDefault="00BF58BE" w:rsidP="00175A11">
      <w:pPr>
        <w:pStyle w:val="FootnoteText"/>
      </w:pPr>
      <w:r>
        <w:rPr>
          <w:rStyle w:val="FootnoteReference"/>
        </w:rPr>
        <w:footnoteRef/>
      </w:r>
      <w:r>
        <w:tab/>
        <w:t xml:space="preserve">Communication from the Commission to the European Parliament, </w:t>
      </w:r>
      <w:r w:rsidR="00175A11">
        <w:t xml:space="preserve">the Council, the European Economic and Social Committee and the Committee of the Regions, The Clean </w:t>
      </w:r>
      <w:r w:rsidR="00175A11" w:rsidRPr="00175A11">
        <w:t>Industrial Deal: A joint roadmap for competitiveness and decarbonisation</w:t>
      </w:r>
      <w:r w:rsidR="00175A11">
        <w:t xml:space="preserve">, </w:t>
      </w:r>
      <w:r w:rsidR="00175A11" w:rsidRPr="00175A11">
        <w:t>COM/2025/85 final</w:t>
      </w:r>
      <w:r w:rsidR="00175A11">
        <w:t xml:space="preserve">. </w:t>
      </w:r>
    </w:p>
  </w:footnote>
  <w:footnote w:id="7">
    <w:p w14:paraId="0A06FE37" w14:textId="77777777" w:rsidR="00FF4F52" w:rsidRPr="00FF4F52" w:rsidRDefault="00FF4F52">
      <w:pPr>
        <w:pStyle w:val="FootnoteText"/>
      </w:pPr>
      <w:r>
        <w:rPr>
          <w:rStyle w:val="FootnoteReference"/>
        </w:rPr>
        <w:footnoteRef/>
      </w:r>
      <w:r>
        <w:tab/>
      </w:r>
      <w:r w:rsidRPr="002B143B">
        <w:rPr>
          <w:lang w:val="en-IE"/>
        </w:rPr>
        <w:t>Regulation (EU) 2026/667 of the European Parliament and of the Council of 11 March 2026 amending Regulation (EU) 2021/1119 as regards the setting of a Union intermediate climate target for 2040</w:t>
      </w:r>
      <w:r>
        <w:rPr>
          <w:lang w:val="en-IE"/>
        </w:rPr>
        <w:t xml:space="preserve"> (</w:t>
      </w:r>
      <w:r w:rsidRPr="002B143B">
        <w:rPr>
          <w:lang w:val="en-IE"/>
        </w:rPr>
        <w:t>OJ L, 2026/667</w:t>
      </w:r>
      <w:r>
        <w:rPr>
          <w:lang w:val="en-IE"/>
        </w:rPr>
        <w:t xml:space="preserve">, </w:t>
      </w:r>
      <w:r w:rsidRPr="00950A50">
        <w:rPr>
          <w:lang w:val="en-IE"/>
        </w:rPr>
        <w:t xml:space="preserve">ELI: </w:t>
      </w:r>
      <w:hyperlink r:id="rId6" w:history="1">
        <w:r w:rsidRPr="00A95D61">
          <w:rPr>
            <w:rStyle w:val="Hyperlink"/>
            <w:lang w:val="en-IE"/>
          </w:rPr>
          <w:t>http://data.europa.eu/eli/reg/2026/667/oj</w:t>
        </w:r>
      </w:hyperlink>
      <w:r>
        <w:rPr>
          <w:lang w:val="en-IE"/>
        </w:rPr>
        <w:t>).</w:t>
      </w:r>
    </w:p>
  </w:footnote>
  <w:footnote w:id="8">
    <w:p w14:paraId="49532AB8" w14:textId="77777777" w:rsidR="00BF07A9" w:rsidRPr="003E5224" w:rsidDel="00D91553" w:rsidRDefault="00BF07A9" w:rsidP="00BF07A9">
      <w:pPr>
        <w:pStyle w:val="FootnoteText"/>
      </w:pPr>
      <w:r>
        <w:rPr>
          <w:rStyle w:val="FootnoteReference"/>
        </w:rPr>
        <w:footnoteRef/>
      </w:r>
      <w:r w:rsidRPr="003E5224">
        <w:tab/>
      </w:r>
      <w:r w:rsidRPr="003E5224">
        <w:rPr>
          <w:rStyle w:val="FootnoteReference"/>
          <w:vertAlign w:val="baseline"/>
        </w:rPr>
        <w:t xml:space="preserve">Communication from the Commission to the European Parliament, the European Council, the Council, the European Economic and Social Committee and the Committee of the Regions A Competitiveness Compass for the EU </w:t>
      </w:r>
      <w:r w:rsidR="00385652" w:rsidRPr="003E5224">
        <w:t>(</w:t>
      </w:r>
      <w:r w:rsidRPr="003E5224">
        <w:rPr>
          <w:rStyle w:val="FootnoteReference"/>
          <w:vertAlign w:val="baseline"/>
        </w:rPr>
        <w:t>COM</w:t>
      </w:r>
      <w:r w:rsidR="0095461B" w:rsidRPr="003E5224">
        <w:t>(</w:t>
      </w:r>
      <w:r w:rsidRPr="003E5224">
        <w:rPr>
          <w:rStyle w:val="FootnoteReference"/>
          <w:vertAlign w:val="baseline"/>
        </w:rPr>
        <w:t>2025</w:t>
      </w:r>
      <w:r w:rsidR="0095461B" w:rsidRPr="003E5224">
        <w:t>)</w:t>
      </w:r>
      <w:r w:rsidR="005D193E" w:rsidRPr="003E5224">
        <w:rPr>
          <w:rStyle w:val="FootnoteReference"/>
          <w:vertAlign w:val="baseline"/>
        </w:rPr>
        <w:t xml:space="preserve"> </w:t>
      </w:r>
      <w:r w:rsidRPr="003E5224">
        <w:rPr>
          <w:rStyle w:val="FootnoteReference"/>
          <w:vertAlign w:val="baseline"/>
        </w:rPr>
        <w:t>30 final</w:t>
      </w:r>
      <w:r w:rsidR="00385652" w:rsidRPr="003E5224">
        <w:rPr>
          <w:rStyle w:val="FootnoteReference"/>
          <w:vertAlign w:val="baseline"/>
        </w:rPr>
        <w:t>)</w:t>
      </w:r>
      <w:r w:rsidRPr="003E5224">
        <w:rPr>
          <w:rStyle w:val="FootnoteReference"/>
          <w:vertAlign w:val="baseline"/>
        </w:rPr>
        <w:t>.</w:t>
      </w:r>
    </w:p>
  </w:footnote>
  <w:footnote w:id="9">
    <w:p w14:paraId="169AAB2A" w14:textId="77777777" w:rsidR="00BF07A9" w:rsidRPr="003E5224" w:rsidDel="00D91553" w:rsidRDefault="00BF07A9" w:rsidP="00BF07A9">
      <w:pPr>
        <w:pStyle w:val="FootnoteText"/>
      </w:pPr>
      <w:r>
        <w:rPr>
          <w:rStyle w:val="FootnoteReference"/>
        </w:rPr>
        <w:footnoteRef/>
      </w:r>
      <w:r w:rsidRPr="003E5224">
        <w:tab/>
      </w:r>
      <w:r w:rsidRPr="003E5224">
        <w:rPr>
          <w:rStyle w:val="FootnoteReference"/>
          <w:vertAlign w:val="baseline"/>
        </w:rPr>
        <w:t>Communication from the Commission to the European Parliament, the Council, the European Economic and Social Committee and the Committee of the Regions The Clean Industrial Deal: A joint roadmap for competitiveness and decarbonisation (COM</w:t>
      </w:r>
      <w:r w:rsidR="00964707" w:rsidRPr="003E5224">
        <w:t>(</w:t>
      </w:r>
      <w:r w:rsidRPr="003E5224">
        <w:rPr>
          <w:rStyle w:val="FootnoteReference"/>
          <w:vertAlign w:val="baseline"/>
        </w:rPr>
        <w:t>2025</w:t>
      </w:r>
      <w:r w:rsidR="00964707" w:rsidRPr="003E5224">
        <w:t xml:space="preserve">) </w:t>
      </w:r>
      <w:r w:rsidRPr="003E5224">
        <w:rPr>
          <w:rStyle w:val="FootnoteReference"/>
          <w:vertAlign w:val="baseline"/>
        </w:rPr>
        <w:t>85 final).</w:t>
      </w:r>
    </w:p>
  </w:footnote>
  <w:footnote w:id="10">
    <w:p w14:paraId="46A52753" w14:textId="77777777" w:rsidR="00BF07A9" w:rsidRPr="001E325B" w:rsidRDefault="00BF07A9" w:rsidP="00BF07A9">
      <w:pPr>
        <w:pStyle w:val="FootnoteText"/>
        <w:rPr>
          <w:lang w:val="en-US"/>
        </w:rPr>
      </w:pPr>
      <w:r>
        <w:rPr>
          <w:rStyle w:val="FootnoteReference"/>
        </w:rPr>
        <w:footnoteRef/>
      </w:r>
      <w:r w:rsidRPr="001E325B">
        <w:rPr>
          <w:lang w:val="en-US"/>
        </w:rPr>
        <w:tab/>
      </w:r>
      <w:r w:rsidRPr="00674E53">
        <w:rPr>
          <w:rStyle w:val="FootnoteReference"/>
          <w:vertAlign w:val="baseline"/>
          <w:lang w:val="en-US"/>
        </w:rPr>
        <w:t>Communication from the Commission to the European Parliament, the Council, the European Economic and Social Committee and the Committee of the Regions AccelerateEU - Energy Union (COM(2026) 370 final).</w:t>
      </w:r>
    </w:p>
  </w:footnote>
  <w:footnote w:id="11">
    <w:p w14:paraId="48E2766A" w14:textId="77777777" w:rsidR="00BF07A9" w:rsidRDefault="00BF07A9" w:rsidP="00BF07A9">
      <w:pPr>
        <w:pStyle w:val="FootnoteText"/>
        <w:rPr>
          <w:lang w:val="en-IE"/>
        </w:rPr>
      </w:pPr>
      <w:r w:rsidRPr="1717013D">
        <w:rPr>
          <w:rStyle w:val="FootnoteReference"/>
        </w:rPr>
        <w:footnoteRef/>
      </w:r>
      <w:r>
        <w:rPr>
          <w:lang w:val="en-IE"/>
        </w:rPr>
        <w:tab/>
      </w:r>
      <w:r w:rsidRPr="00674E53">
        <w:rPr>
          <w:rStyle w:val="FootnoteReference"/>
          <w:vertAlign w:val="baseline"/>
          <w:lang w:val="en-US"/>
        </w:rPr>
        <w:t xml:space="preserve">European Council Conclusions </w:t>
      </w:r>
      <w:r w:rsidR="00964707">
        <w:rPr>
          <w:rStyle w:val="FootnoteReference"/>
          <w:vertAlign w:val="baseline"/>
          <w:lang w:val="en-US"/>
        </w:rPr>
        <w:t>o</w:t>
      </w:r>
      <w:r w:rsidR="00964707">
        <w:rPr>
          <w:lang w:val="en-US"/>
        </w:rPr>
        <w:t xml:space="preserve">f </w:t>
      </w:r>
      <w:r w:rsidRPr="00674E53">
        <w:rPr>
          <w:rStyle w:val="FootnoteReference"/>
          <w:vertAlign w:val="baseline"/>
          <w:lang w:val="en-US"/>
        </w:rPr>
        <w:t>19 March 2026 EUCO 1/26 CO EUR 1</w:t>
      </w:r>
      <w:r w:rsidR="00964707">
        <w:rPr>
          <w:rStyle w:val="FootnoteReference"/>
          <w:vertAlign w:val="baseline"/>
          <w:lang w:val="en-US"/>
        </w:rPr>
        <w:t>,</w:t>
      </w:r>
      <w:r w:rsidRPr="00674E53">
        <w:rPr>
          <w:rStyle w:val="FootnoteReference"/>
          <w:vertAlign w:val="baseline"/>
          <w:lang w:val="en-US"/>
        </w:rPr>
        <w:t xml:space="preserve"> CONCL 1.</w:t>
      </w:r>
    </w:p>
  </w:footnote>
  <w:footnote w:id="12">
    <w:p w14:paraId="32E5A37D" w14:textId="77777777" w:rsidR="00BF07A9" w:rsidRPr="007974AE" w:rsidRDefault="00BF07A9" w:rsidP="00BF07A9">
      <w:pPr>
        <w:pStyle w:val="FootnoteText"/>
        <w:tabs>
          <w:tab w:val="left" w:pos="802"/>
        </w:tabs>
        <w:rPr>
          <w:lang w:val="en-IE"/>
        </w:rPr>
      </w:pPr>
      <w:r w:rsidRPr="1717013D">
        <w:rPr>
          <w:rStyle w:val="FootnoteReference"/>
        </w:rPr>
        <w:footnoteRef/>
      </w:r>
      <w:r w:rsidRPr="007974AE">
        <w:rPr>
          <w:lang w:val="en-IE"/>
        </w:rPr>
        <w:tab/>
      </w:r>
      <w:r w:rsidRPr="00674E53">
        <w:rPr>
          <w:rStyle w:val="FootnoteReference"/>
          <w:vertAlign w:val="baseline"/>
          <w:lang w:val="en-IE"/>
        </w:rPr>
        <w:t>One Europe, One Market Roadmap of the European Parliament, the Council of the European Union and the European Commission 23 Apri</w:t>
      </w:r>
      <w:r w:rsidRPr="00674E53">
        <w:rPr>
          <w:rStyle w:val="FootnoteReference"/>
          <w:vertAlign w:val="baseline"/>
        </w:rPr>
        <w:t>l 2026</w:t>
      </w:r>
      <w:r w:rsidR="00964707">
        <w:t>,</w:t>
      </w:r>
      <w:r w:rsidRPr="00674E53">
        <w:rPr>
          <w:rStyle w:val="FootnoteReference"/>
          <w:vertAlign w:val="baseline"/>
        </w:rPr>
        <w:t xml:space="preserve"> 8473/26.</w:t>
      </w:r>
      <w:r>
        <w:rPr>
          <w:lang w:val="en-IE"/>
        </w:rPr>
        <w:t xml:space="preserve"> </w:t>
      </w:r>
    </w:p>
  </w:footnote>
  <w:footnote w:id="13">
    <w:p w14:paraId="2EBDCA3A" w14:textId="77777777" w:rsidR="00BF07A9" w:rsidRPr="00957845" w:rsidRDefault="00BF07A9" w:rsidP="00BF07A9">
      <w:pPr>
        <w:pStyle w:val="FootnoteText"/>
        <w:rPr>
          <w:rStyle w:val="FootnoteReference"/>
          <w:lang w:val="en-US"/>
        </w:rPr>
      </w:pPr>
      <w:r w:rsidRPr="009C1354">
        <w:rPr>
          <w:rStyle w:val="FootnoteReference"/>
        </w:rPr>
        <w:footnoteRef/>
      </w:r>
      <w:r>
        <w:rPr>
          <w:lang w:val="en-US"/>
        </w:rPr>
        <w:tab/>
      </w:r>
      <w:r w:rsidRPr="00674E53">
        <w:rPr>
          <w:rStyle w:val="FootnoteReference"/>
          <w:vertAlign w:val="baseline"/>
          <w:lang w:val="en-US"/>
        </w:rPr>
        <w:t>See Draghi Report, Part B, section ‘The root cause of the EU’s competitiveness gap’.</w:t>
      </w:r>
    </w:p>
  </w:footnote>
  <w:footnote w:id="14">
    <w:p w14:paraId="4203E86A" w14:textId="77777777" w:rsidR="00BF07A9" w:rsidRPr="00823F44" w:rsidRDefault="00BF07A9" w:rsidP="00BF07A9">
      <w:pPr>
        <w:pStyle w:val="FootnoteText"/>
        <w:rPr>
          <w:lang w:val="en-IE"/>
        </w:rPr>
      </w:pPr>
      <w:r>
        <w:rPr>
          <w:rStyle w:val="FootnoteReference"/>
        </w:rPr>
        <w:footnoteRef/>
      </w:r>
      <w:r>
        <w:rPr>
          <w:lang w:val="en-IE"/>
        </w:rPr>
        <w:tab/>
      </w:r>
      <w:r w:rsidRPr="00AD75CD">
        <w:rPr>
          <w:lang w:val="en-IE"/>
        </w:rPr>
        <w:t>Proposal for a</w:t>
      </w:r>
      <w:r>
        <w:rPr>
          <w:lang w:val="en-IE"/>
        </w:rPr>
        <w:t xml:space="preserve"> </w:t>
      </w:r>
      <w:r w:rsidRPr="009E7114">
        <w:rPr>
          <w:lang w:val="en-IE"/>
        </w:rPr>
        <w:t>D</w:t>
      </w:r>
      <w:r w:rsidR="009F0ADF">
        <w:rPr>
          <w:lang w:val="en-IE"/>
        </w:rPr>
        <w:t xml:space="preserve">ecision of the European Parliament and </w:t>
      </w:r>
      <w:r w:rsidR="00827BC6">
        <w:rPr>
          <w:lang w:val="en-IE"/>
        </w:rPr>
        <w:t xml:space="preserve">of the Council </w:t>
      </w:r>
      <w:r w:rsidRPr="009E7114">
        <w:rPr>
          <w:lang w:val="en-IE"/>
        </w:rPr>
        <w:t>amending Decision (EU) 2015/1814 as regards ceasing the invalidation of allowances in the market stability reserve</w:t>
      </w:r>
      <w:r>
        <w:rPr>
          <w:lang w:val="en-IE"/>
        </w:rPr>
        <w:t xml:space="preserve"> (</w:t>
      </w:r>
      <w:r>
        <w:t>COM(2026) 153 final)</w:t>
      </w:r>
      <w:r w:rsidR="003E7FAC">
        <w:t>.</w:t>
      </w:r>
    </w:p>
  </w:footnote>
  <w:footnote w:id="15">
    <w:p w14:paraId="2AF80014" w14:textId="77777777" w:rsidR="00102200" w:rsidRPr="00102200" w:rsidRDefault="00102200">
      <w:pPr>
        <w:pStyle w:val="FootnoteText"/>
      </w:pPr>
      <w:r>
        <w:rPr>
          <w:rStyle w:val="FootnoteReference"/>
        </w:rPr>
        <w:footnoteRef/>
      </w:r>
      <w:r>
        <w:tab/>
      </w:r>
      <w:r w:rsidR="00591CB6" w:rsidRPr="00591CB6">
        <w:t xml:space="preserve">The IDB will be placed within the governance of the future European Competitiveness Fund to ensure that both funding instruments are complementary. </w:t>
      </w:r>
      <w:r w:rsidR="003E7FAC">
        <w:t xml:space="preserve">The </w:t>
      </w:r>
      <w:r w:rsidR="00591CB6" w:rsidRPr="00591CB6">
        <w:t>European Competitiveness Fund will also support decarbonisation of EIIs. Considering the high investment needs of th</w:t>
      </w:r>
      <w:r w:rsidR="003E7FAC">
        <w:t>o</w:t>
      </w:r>
      <w:r w:rsidR="00591CB6" w:rsidRPr="00591CB6">
        <w:t>se sectors both instruments are needed but should be designed as complementary in support</w:t>
      </w:r>
      <w:r w:rsidR="003E7FAC">
        <w:t>ing</w:t>
      </w:r>
      <w:r w:rsidR="00591CB6" w:rsidRPr="00591CB6">
        <w:t xml:space="preserve"> technologi</w:t>
      </w:r>
      <w:r w:rsidR="003E7FAC">
        <w:t>cal</w:t>
      </w:r>
      <w:r w:rsidR="00591CB6" w:rsidRPr="00591CB6">
        <w:t xml:space="preserve"> development, types of instruments offered and role in the project’s investment journey. This will be also facilitated by the common governance framework.</w:t>
      </w:r>
    </w:p>
  </w:footnote>
  <w:footnote w:id="16">
    <w:p w14:paraId="0727C361" w14:textId="77777777" w:rsidR="00BF07A9" w:rsidRPr="00BB4042" w:rsidRDefault="00BF07A9" w:rsidP="00BF07A9">
      <w:pPr>
        <w:pStyle w:val="FootnoteText"/>
      </w:pPr>
      <w:r w:rsidRPr="004B7821">
        <w:rPr>
          <w:rStyle w:val="FootnoteReference"/>
        </w:rPr>
        <w:footnoteRef/>
      </w:r>
      <w:r w:rsidRPr="00BB4042">
        <w:tab/>
      </w:r>
      <w:r w:rsidRPr="00BB4042">
        <w:rPr>
          <w:rStyle w:val="FootnoteReference"/>
          <w:vertAlign w:val="baseline"/>
        </w:rPr>
        <w:t xml:space="preserve">EASA, European Aviation Environmental Report, 2025 </w:t>
      </w:r>
      <w:hyperlink r:id="rId7" w:anchor="download-2025" w:history="1">
        <w:r w:rsidRPr="00BB4042">
          <w:rPr>
            <w:rStyle w:val="Hyperlink"/>
          </w:rPr>
          <w:t>https://www.easa.europa.eu/en/domains/environment/eaer/downloads#download-2025</w:t>
        </w:r>
      </w:hyperlink>
      <w:r w:rsidRPr="00BB4042">
        <w:rPr>
          <w:rStyle w:val="FootnoteReference"/>
          <w:vertAlign w:val="baseline"/>
        </w:rPr>
        <w:t>.</w:t>
      </w:r>
    </w:p>
  </w:footnote>
  <w:footnote w:id="17">
    <w:p w14:paraId="1B7F17FD" w14:textId="77777777" w:rsidR="00BF07A9" w:rsidRPr="009C7F99" w:rsidRDefault="00BF07A9" w:rsidP="00BF07A9">
      <w:pPr>
        <w:pStyle w:val="FootnoteText"/>
        <w:rPr>
          <w:lang w:val="en-US"/>
        </w:rPr>
      </w:pPr>
      <w:r w:rsidRPr="000C653C">
        <w:rPr>
          <w:rStyle w:val="FootnoteReference"/>
        </w:rPr>
        <w:footnoteRef/>
      </w:r>
      <w:r>
        <w:rPr>
          <w:lang w:val="en-US"/>
        </w:rPr>
        <w:tab/>
      </w:r>
      <w:r w:rsidRPr="00674E53">
        <w:rPr>
          <w:rStyle w:val="FootnoteReference"/>
          <w:vertAlign w:val="baseline"/>
          <w:lang w:val="en-US"/>
        </w:rPr>
        <w:t>Source: Figure 76, Direct CO</w:t>
      </w:r>
      <w:r w:rsidRPr="00620F3F">
        <w:rPr>
          <w:rStyle w:val="FootnoteReference"/>
          <w:vertAlign w:val="subscript"/>
          <w:lang w:val="en-US"/>
        </w:rPr>
        <w:t>2</w:t>
      </w:r>
      <w:r w:rsidRPr="00674E53">
        <w:rPr>
          <w:rStyle w:val="FootnoteReference"/>
          <w:vertAlign w:val="baseline"/>
          <w:lang w:val="en-US"/>
        </w:rPr>
        <w:t xml:space="preserve"> emissions from the EU transport sector by mode, Annex 8, Climate </w:t>
      </w:r>
      <w:r w:rsidRPr="00674E53">
        <w:rPr>
          <w:rStyle w:val="FootnoteReference"/>
          <w:vertAlign w:val="baseline"/>
        </w:rPr>
        <w:t>Target Impact Assessment</w:t>
      </w:r>
      <w:r w:rsidR="00285CD8">
        <w:t>,</w:t>
      </w:r>
      <w:r w:rsidRPr="00674E53">
        <w:rPr>
          <w:rStyle w:val="FootnoteReference"/>
          <w:vertAlign w:val="baseline"/>
        </w:rPr>
        <w:t xml:space="preserve"> </w:t>
      </w:r>
      <w:r w:rsidR="00285CD8">
        <w:t>a</w:t>
      </w:r>
      <w:r w:rsidRPr="00674E53">
        <w:rPr>
          <w:rStyle w:val="FootnoteReference"/>
          <w:vertAlign w:val="baseline"/>
        </w:rPr>
        <w:t xml:space="preserve">nd </w:t>
      </w:r>
      <w:r w:rsidR="00285CD8">
        <w:t>S</w:t>
      </w:r>
      <w:r w:rsidRPr="00674E53">
        <w:rPr>
          <w:rStyle w:val="FootnoteReference"/>
          <w:vertAlign w:val="baseline"/>
        </w:rPr>
        <w:t xml:space="preserve">ection 1.5.5, page 97. </w:t>
      </w:r>
      <w:hyperlink r:id="rId8" w:history="1">
        <w:r w:rsidRPr="00674E53">
          <w:rPr>
            <w:rStyle w:val="FootnoteReference"/>
            <w:vertAlign w:val="baseline"/>
          </w:rPr>
          <w:t>https://eur-lex.europa.eu/resource.html?uri=cellar:6c154426-c5a6-11ee-95d9-01aa75ed71a1.0001.02/DOC_3&amp;format=PDF</w:t>
        </w:r>
      </w:hyperlink>
      <w:r w:rsidRPr="00674E53">
        <w:rPr>
          <w:rStyle w:val="FootnoteReference"/>
          <w:vertAlign w:val="baseline"/>
        </w:rPr>
        <w:t>.</w:t>
      </w:r>
    </w:p>
  </w:footnote>
  <w:footnote w:id="18">
    <w:p w14:paraId="75C7FDC7" w14:textId="77777777" w:rsidR="00BF07A9" w:rsidRPr="00E76789" w:rsidRDefault="00BF07A9" w:rsidP="00BF07A9">
      <w:pPr>
        <w:pStyle w:val="FootnoteText"/>
      </w:pPr>
      <w:r>
        <w:rPr>
          <w:rStyle w:val="FootnoteReference"/>
        </w:rPr>
        <w:footnoteRef/>
      </w:r>
      <w:r>
        <w:tab/>
      </w:r>
      <w:r w:rsidR="005A03E8">
        <w:t>‘</w:t>
      </w:r>
      <w:r w:rsidRPr="004742C5">
        <w:rPr>
          <w:rStyle w:val="FootnoteReference"/>
          <w:vertAlign w:val="baseline"/>
        </w:rPr>
        <w:t>By 2050, global aviation will need to serve 12.4 billion passengers annually - nearly triple today’s volume.</w:t>
      </w:r>
      <w:r w:rsidR="000B14A7">
        <w:t>’</w:t>
      </w:r>
      <w:r w:rsidRPr="004742C5">
        <w:rPr>
          <w:rStyle w:val="FootnoteReference"/>
          <w:vertAlign w:val="baseline"/>
        </w:rPr>
        <w:t>, https://www.icao.int/sites/default/files/publications/Aviation%20Budget%20Brochure/ICAO-Budget-Brochure-eVersion-27Mar25.pdf</w:t>
      </w:r>
      <w:r w:rsidR="00150E58">
        <w:t>.</w:t>
      </w:r>
    </w:p>
  </w:footnote>
  <w:footnote w:id="19">
    <w:p w14:paraId="145FB654" w14:textId="77777777" w:rsidR="00BF07A9" w:rsidRPr="009C7F99" w:rsidRDefault="00BF07A9" w:rsidP="00BF07A9">
      <w:pPr>
        <w:pStyle w:val="FootnoteText"/>
        <w:rPr>
          <w:lang w:val="en-US"/>
        </w:rPr>
      </w:pPr>
      <w:r w:rsidRPr="00161831">
        <w:rPr>
          <w:rStyle w:val="FootnoteReference"/>
        </w:rPr>
        <w:footnoteRef/>
      </w:r>
      <w:r>
        <w:rPr>
          <w:lang w:val="en-US"/>
        </w:rPr>
        <w:tab/>
      </w:r>
      <w:r w:rsidRPr="00674E53">
        <w:rPr>
          <w:rStyle w:val="FootnoteReference"/>
          <w:vertAlign w:val="baseline"/>
          <w:lang w:val="en-US"/>
        </w:rPr>
        <w:t xml:space="preserve">ICAO notes that due to partial participation in CORSIA, </w:t>
      </w:r>
      <w:r w:rsidRPr="00674E53">
        <w:rPr>
          <w:rStyle w:val="FootnoteReference"/>
          <w:vertAlign w:val="baseline"/>
        </w:rPr>
        <w:t>international aviation emissions will continue to grow above the CORSIA baseline level (~500 MtCO</w:t>
      </w:r>
      <w:r w:rsidRPr="00620F3F">
        <w:rPr>
          <w:rStyle w:val="FootnoteReference"/>
          <w:vertAlign w:val="subscript"/>
        </w:rPr>
        <w:t>2</w:t>
      </w:r>
      <w:r w:rsidRPr="00674E53">
        <w:rPr>
          <w:rStyle w:val="FootnoteReference"/>
          <w:vertAlign w:val="baseline"/>
        </w:rPr>
        <w:t xml:space="preserve"> per year). Source: ICAO A42-WP/28 Report – Technical Assessments in Support of the 2025 CORSIA Periodic Review, </w:t>
      </w:r>
      <w:hyperlink r:id="rId9" w:history="1">
        <w:r w:rsidRPr="00674E53">
          <w:rPr>
            <w:rStyle w:val="FootnoteReference"/>
            <w:vertAlign w:val="baseline"/>
          </w:rPr>
          <w:t>https://www.icao.int/sites/default/files/Meetings/a42/Documents/WP/wp_028_en.pdf</w:t>
        </w:r>
      </w:hyperlink>
      <w:r w:rsidRPr="00674E53">
        <w:rPr>
          <w:rStyle w:val="FootnoteReference"/>
          <w:vertAlign w:val="baseline"/>
        </w:rPr>
        <w:t>.</w:t>
      </w:r>
    </w:p>
  </w:footnote>
  <w:footnote w:id="20">
    <w:p w14:paraId="36E271E2" w14:textId="77777777" w:rsidR="00BF07A9" w:rsidRPr="00A20B7E" w:rsidRDefault="00BF07A9" w:rsidP="00BF07A9">
      <w:pPr>
        <w:pStyle w:val="FootnoteText"/>
        <w:tabs>
          <w:tab w:val="left" w:pos="856"/>
        </w:tabs>
        <w:rPr>
          <w:rStyle w:val="FootnoteReference"/>
        </w:rPr>
      </w:pPr>
      <w:r w:rsidRPr="000C653C">
        <w:rPr>
          <w:rStyle w:val="FootnoteReference"/>
        </w:rPr>
        <w:footnoteRef/>
      </w:r>
      <w:r>
        <w:rPr>
          <w:lang w:val="en-US"/>
        </w:rPr>
        <w:tab/>
      </w:r>
      <w:r w:rsidRPr="00674E53">
        <w:rPr>
          <w:rStyle w:val="FootnoteReference"/>
          <w:vertAlign w:val="baseline"/>
          <w:lang w:val="en-US"/>
        </w:rPr>
        <w:t xml:space="preserve">For aviation, ReFuelEU </w:t>
      </w:r>
      <w:r w:rsidR="00377981">
        <w:rPr>
          <w:lang w:val="en-US"/>
        </w:rPr>
        <w:t>A</w:t>
      </w:r>
      <w:r w:rsidRPr="00674E53">
        <w:rPr>
          <w:rStyle w:val="FootnoteReference"/>
          <w:vertAlign w:val="baseline"/>
          <w:lang w:val="en-US"/>
        </w:rPr>
        <w:t>viation sets targets for fuel producers to supply an increasing share of sustainable aviation fuels, starting with 2% of certain biofuels in 2025</w:t>
      </w:r>
      <w:r w:rsidR="00377981">
        <w:rPr>
          <w:lang w:val="en-US"/>
        </w:rPr>
        <w:t xml:space="preserve"> and</w:t>
      </w:r>
      <w:r w:rsidRPr="00674E53">
        <w:rPr>
          <w:rStyle w:val="FootnoteReference"/>
          <w:vertAlign w:val="baseline"/>
          <w:lang w:val="en-US"/>
        </w:rPr>
        <w:t xml:space="preserve"> 6% in 2030 (of which 0.7% synthetic fuels), and for airlines to uplift fuel. For the maritime sector, FuelEU Maritime sets maximum limits for the yearly average </w:t>
      </w:r>
      <w:r w:rsidRPr="00674E53">
        <w:rPr>
          <w:rStyle w:val="FootnoteReference"/>
          <w:vertAlign w:val="baseline"/>
        </w:rPr>
        <w:t>GHG intensity of the energy used by ships above 5 000 gross tonnage calling at European ports, regardless of their flag.</w:t>
      </w:r>
    </w:p>
  </w:footnote>
  <w:footnote w:id="21">
    <w:p w14:paraId="2837BBE0" w14:textId="77777777" w:rsidR="00E17A6E" w:rsidRPr="00E17A6E" w:rsidRDefault="00E17A6E" w:rsidP="00FF4F52">
      <w:pPr>
        <w:pStyle w:val="FootnoteText"/>
      </w:pPr>
      <w:r>
        <w:rPr>
          <w:rStyle w:val="FootnoteReference"/>
        </w:rPr>
        <w:footnoteRef/>
      </w:r>
      <w:r>
        <w:tab/>
        <w:t xml:space="preserve">Communication from the Commission to the European Parliament, the Council, the European Economic and Social Committee and the </w:t>
      </w:r>
      <w:r w:rsidR="002F15F8">
        <w:t xml:space="preserve">Committee of the Regions, </w:t>
      </w:r>
      <w:r w:rsidR="009C2597" w:rsidRPr="009C2597">
        <w:t>Towards an ambitious Industrial Carbon Management for the EU</w:t>
      </w:r>
      <w:r w:rsidR="009C2597">
        <w:t xml:space="preserve"> (</w:t>
      </w:r>
      <w:r w:rsidR="009C2597" w:rsidRPr="009C2597">
        <w:t>COM/2024/62 final</w:t>
      </w:r>
      <w:r w:rsidR="009C2597">
        <w:t>).</w:t>
      </w:r>
    </w:p>
  </w:footnote>
  <w:footnote w:id="22">
    <w:p w14:paraId="7D2F52DE" w14:textId="77777777" w:rsidR="005267F1" w:rsidRPr="00620F3F" w:rsidRDefault="005267F1">
      <w:pPr>
        <w:pStyle w:val="FootnoteText"/>
        <w:rPr>
          <w:lang w:val="en-IE"/>
        </w:rPr>
      </w:pPr>
      <w:r>
        <w:rPr>
          <w:rStyle w:val="FootnoteReference"/>
        </w:rPr>
        <w:footnoteRef/>
      </w:r>
      <w:r>
        <w:rPr>
          <w:lang w:val="en-IE"/>
        </w:rPr>
        <w:tab/>
      </w:r>
      <w:r w:rsidRPr="005267F1">
        <w:rPr>
          <w:lang w:val="en-IE"/>
        </w:rPr>
        <w:t>Regulation (EU) […./..] of the European Parliament and of the Council [Circular Economy Act</w:t>
      </w:r>
      <w:r>
        <w:rPr>
          <w:lang w:val="en-IE"/>
        </w:rPr>
        <w:t>] [OJ reference to be added once adopted].</w:t>
      </w:r>
    </w:p>
  </w:footnote>
  <w:footnote w:id="23">
    <w:p w14:paraId="1B8B0E54" w14:textId="77777777" w:rsidR="00BD36DB" w:rsidRPr="00BD36DB" w:rsidRDefault="00BD36DB" w:rsidP="00450BC0">
      <w:pPr>
        <w:pStyle w:val="FootnoteText"/>
      </w:pPr>
      <w:r>
        <w:rPr>
          <w:rStyle w:val="FootnoteReference"/>
        </w:rPr>
        <w:footnoteRef/>
      </w:r>
      <w:r>
        <w:tab/>
      </w:r>
      <w:r w:rsidR="00450BC0" w:rsidRPr="00450BC0">
        <w:t>Proposal for a</w:t>
      </w:r>
      <w:r w:rsidR="00450BC0">
        <w:t xml:space="preserve"> </w:t>
      </w:r>
      <w:r w:rsidR="00450BC0" w:rsidRPr="00450BC0">
        <w:t>R</w:t>
      </w:r>
      <w:r w:rsidR="00450BC0">
        <w:t xml:space="preserve">egulation of the </w:t>
      </w:r>
      <w:r w:rsidR="00450BC0" w:rsidRPr="00450BC0">
        <w:t>E</w:t>
      </w:r>
      <w:r w:rsidR="00450BC0">
        <w:t xml:space="preserve">uropean </w:t>
      </w:r>
      <w:r w:rsidR="00450BC0" w:rsidRPr="00450BC0">
        <w:t>P</w:t>
      </w:r>
      <w:r w:rsidR="00450BC0">
        <w:t xml:space="preserve">arliament and of the </w:t>
      </w:r>
      <w:r w:rsidR="00450BC0" w:rsidRPr="00450BC0">
        <w:t>C</w:t>
      </w:r>
      <w:r w:rsidR="00450BC0">
        <w:t xml:space="preserve">ouncil </w:t>
      </w:r>
      <w:r w:rsidR="00450BC0" w:rsidRPr="00450BC0">
        <w:t>establishing a framework of measures for the acceleration of industrial capacity and</w:t>
      </w:r>
      <w:r w:rsidR="00450BC0">
        <w:t xml:space="preserve"> </w:t>
      </w:r>
      <w:r w:rsidR="00450BC0" w:rsidRPr="00450BC0">
        <w:t>decarbonisation in strategic sectors and amending Regulations (EU) 2018/1724,</w:t>
      </w:r>
      <w:r w:rsidR="00450BC0">
        <w:t xml:space="preserve"> </w:t>
      </w:r>
      <w:r w:rsidR="00450BC0" w:rsidRPr="00450BC0">
        <w:t>(EU) 2024/1735 and (EU) 2024/3110</w:t>
      </w:r>
      <w:r w:rsidR="00450BC0">
        <w:t xml:space="preserve"> (</w:t>
      </w:r>
      <w:r w:rsidR="00450BC0" w:rsidRPr="00450BC0">
        <w:t>COM(2026) 100 final</w:t>
      </w:r>
      <w:r w:rsidR="00450BC0">
        <w:t xml:space="preserve">). </w:t>
      </w:r>
    </w:p>
  </w:footnote>
  <w:footnote w:id="24">
    <w:p w14:paraId="40B173C6" w14:textId="77777777" w:rsidR="00BA1434" w:rsidRPr="00BA1434" w:rsidRDefault="00BA1434">
      <w:pPr>
        <w:pStyle w:val="FootnoteText"/>
      </w:pPr>
      <w:r>
        <w:rPr>
          <w:rStyle w:val="FootnoteReference"/>
        </w:rPr>
        <w:footnoteRef/>
      </w:r>
      <w:r>
        <w:tab/>
        <w:t xml:space="preserve">Communication </w:t>
      </w:r>
      <w:r w:rsidR="007717C1">
        <w:t>from the Commission to the European Parliament, the Council, the European Economic and Social Committee and the Committee of the Regions</w:t>
      </w:r>
      <w:r w:rsidR="00014E33">
        <w:t xml:space="preserve">, </w:t>
      </w:r>
      <w:r w:rsidR="00014E33" w:rsidRPr="00014E33">
        <w:t>Clean Energy Investment Strategy</w:t>
      </w:r>
      <w:r w:rsidR="00014E33">
        <w:t xml:space="preserve"> (</w:t>
      </w:r>
      <w:r w:rsidR="00014E33" w:rsidRPr="00014E33">
        <w:t>COM/2026/116 final</w:t>
      </w:r>
      <w:r w:rsidR="00014E33">
        <w:t>).</w:t>
      </w:r>
    </w:p>
  </w:footnote>
  <w:footnote w:id="25">
    <w:p w14:paraId="72B342CD" w14:textId="77777777" w:rsidR="00474199" w:rsidRPr="00474199" w:rsidRDefault="00474199">
      <w:pPr>
        <w:pStyle w:val="FootnoteText"/>
      </w:pPr>
      <w:r>
        <w:rPr>
          <w:rStyle w:val="FootnoteReference"/>
        </w:rPr>
        <w:footnoteRef/>
      </w:r>
      <w:r>
        <w:tab/>
        <w:t xml:space="preserve">Communication from the Commission to the </w:t>
      </w:r>
      <w:r w:rsidR="00D828F0">
        <w:t xml:space="preserve">European Parliament, the Council, the European Economic and Social Committee and the Committee of the Regions, </w:t>
      </w:r>
      <w:r w:rsidR="00160D88">
        <w:t>‘</w:t>
      </w:r>
      <w:r w:rsidR="00A83CF4" w:rsidRPr="00A83CF4">
        <w:t>European Grids Package</w:t>
      </w:r>
      <w:r w:rsidR="00160D88">
        <w:t>’</w:t>
      </w:r>
      <w:r w:rsidR="00A83CF4">
        <w:t>, (</w:t>
      </w:r>
      <w:r w:rsidR="00A83CF4" w:rsidRPr="00A83CF4">
        <w:t>COM/2025/1005 final</w:t>
      </w:r>
      <w:r w:rsidR="00A83CF4">
        <w:t>).</w:t>
      </w:r>
    </w:p>
  </w:footnote>
  <w:footnote w:id="26">
    <w:p w14:paraId="6216A470" w14:textId="77777777" w:rsidR="00673B1A" w:rsidRPr="00673B1A" w:rsidRDefault="00673B1A" w:rsidP="007E1232">
      <w:pPr>
        <w:pStyle w:val="FootnoteText"/>
      </w:pPr>
      <w:r>
        <w:rPr>
          <w:rStyle w:val="FootnoteReference"/>
        </w:rPr>
        <w:footnoteRef/>
      </w:r>
      <w:r>
        <w:tab/>
      </w:r>
      <w:r w:rsidR="007E1232" w:rsidRPr="007E1232">
        <w:t xml:space="preserve">Regulation (EU) 2024/1735 of the European Parliament and of the Council of 13 June 2024 on establishing a framework of measures for strengthening Europe’s net-zero technology manufacturing ecosystem and amending Regulation (EU) 2018/1724 </w:t>
      </w:r>
      <w:r w:rsidR="007E1232">
        <w:t>(</w:t>
      </w:r>
      <w:r w:rsidR="007E1232" w:rsidRPr="007E1232">
        <w:t xml:space="preserve">OJ L, 2024/1735, 28.6.2024, ELI: </w:t>
      </w:r>
      <w:hyperlink r:id="rId10" w:history="1">
        <w:r w:rsidR="007E1232" w:rsidRPr="00A95D61">
          <w:rPr>
            <w:rStyle w:val="Hyperlink"/>
          </w:rPr>
          <w:t>http://data.europa.eu/eli/reg/2024/1735/oj</w:t>
        </w:r>
      </w:hyperlink>
      <w:r w:rsidR="007E1232">
        <w:t xml:space="preserve">). </w:t>
      </w:r>
    </w:p>
  </w:footnote>
  <w:footnote w:id="27">
    <w:p w14:paraId="19AF412B" w14:textId="77777777" w:rsidR="00504BAB" w:rsidRPr="00504BAB" w:rsidRDefault="00504BAB" w:rsidP="00504BAB">
      <w:pPr>
        <w:pStyle w:val="FootnoteText"/>
      </w:pPr>
      <w:r>
        <w:rPr>
          <w:rStyle w:val="FootnoteReference"/>
        </w:rPr>
        <w:footnoteRef/>
      </w:r>
      <w:r>
        <w:tab/>
      </w:r>
      <w:r w:rsidRPr="00504BAB">
        <w:t>Directive (EU) 2023/2413 of the European Parliament and of the Council of 18 October 2023 amending Directive (EU) 2018/2001, Regulation (EU) 2018/1999 and Directive 98/70/EC as regards the promotion of energy from renewable sources, and repealing Council Directive (EU) 2015/652</w:t>
      </w:r>
      <w:r>
        <w:t xml:space="preserve"> (</w:t>
      </w:r>
      <w:r w:rsidRPr="00504BAB">
        <w:t xml:space="preserve">OJ L, 2023/2413, 31.10.2023, ELI: </w:t>
      </w:r>
      <w:hyperlink r:id="rId11" w:history="1">
        <w:r w:rsidRPr="00A95D61">
          <w:rPr>
            <w:rStyle w:val="Hyperlink"/>
          </w:rPr>
          <w:t>http://data.europa.eu/eli/dir/2023/2413/oj</w:t>
        </w:r>
      </w:hyperlink>
      <w:r>
        <w:t>).</w:t>
      </w:r>
    </w:p>
  </w:footnote>
  <w:footnote w:id="28">
    <w:p w14:paraId="7363D859" w14:textId="77777777" w:rsidR="005C77D8" w:rsidRPr="005C77D8" w:rsidRDefault="005C77D8">
      <w:pPr>
        <w:pStyle w:val="FootnoteText"/>
      </w:pPr>
      <w:r>
        <w:rPr>
          <w:rStyle w:val="FootnoteReference"/>
        </w:rPr>
        <w:footnoteRef/>
      </w:r>
      <w:r>
        <w:tab/>
      </w:r>
      <w:r w:rsidR="006722B4" w:rsidRPr="006722B4">
        <w:t xml:space="preserve">Directive (EU) 2023/1791 of the European Parliament and of the Council of 13 September 2023 on energy efficiency and amending Regulation (EU) 2023/955 (recast) </w:t>
      </w:r>
      <w:r w:rsidR="006722B4">
        <w:t>(</w:t>
      </w:r>
      <w:r w:rsidR="006722B4" w:rsidRPr="006722B4">
        <w:t>OJ L 231, 20.9.2023, pp. 1–111</w:t>
      </w:r>
      <w:r w:rsidR="006722B4">
        <w:t xml:space="preserve">, </w:t>
      </w:r>
      <w:r w:rsidR="00D17EE2" w:rsidRPr="00D17EE2">
        <w:t xml:space="preserve">ELI: </w:t>
      </w:r>
      <w:hyperlink r:id="rId12" w:history="1">
        <w:r w:rsidR="00D17EE2" w:rsidRPr="00A95D61">
          <w:rPr>
            <w:rStyle w:val="Hyperlink"/>
          </w:rPr>
          <w:t>http://data.europa.eu/eli/dir/2023/1791/oj</w:t>
        </w:r>
      </w:hyperlink>
      <w:r w:rsidR="00D17EE2">
        <w:t xml:space="preserve">). </w:t>
      </w:r>
    </w:p>
  </w:footnote>
  <w:footnote w:id="29">
    <w:p w14:paraId="586FC458" w14:textId="77777777" w:rsidR="00BF07A9" w:rsidRPr="00451E3D" w:rsidRDefault="00BF07A9" w:rsidP="00BF07A9">
      <w:pPr>
        <w:pStyle w:val="FootnoteText"/>
        <w:tabs>
          <w:tab w:val="left" w:pos="856"/>
        </w:tabs>
        <w:rPr>
          <w:lang w:val="en-IE"/>
        </w:rPr>
      </w:pPr>
      <w:r>
        <w:rPr>
          <w:rStyle w:val="FootnoteReference"/>
        </w:rPr>
        <w:footnoteRef/>
      </w:r>
      <w:r>
        <w:rPr>
          <w:lang w:val="en-IE"/>
        </w:rPr>
        <w:tab/>
      </w:r>
      <w:r w:rsidRPr="00674E53">
        <w:rPr>
          <w:rStyle w:val="FootnoteReference"/>
          <w:vertAlign w:val="baseline"/>
          <w:lang w:val="en-IE"/>
        </w:rPr>
        <w:t xml:space="preserve">The details of the public consultation can be found at: </w:t>
      </w:r>
      <w:hyperlink r:id="rId13" w:history="1">
        <w:r w:rsidRPr="00674E53">
          <w:rPr>
            <w:rStyle w:val="Hyperlink"/>
            <w:lang w:val="en-IE"/>
          </w:rPr>
          <w:t>EU emissions trading system for maritime, aviation and stationary installations, and market stability reserve – review</w:t>
        </w:r>
      </w:hyperlink>
      <w:r w:rsidRPr="00674E53">
        <w:rPr>
          <w:rStyle w:val="FootnoteReference"/>
          <w:vertAlign w:val="baseline"/>
          <w:lang w:val="en-IE"/>
        </w:rPr>
        <w:t>.</w:t>
      </w:r>
    </w:p>
  </w:footnote>
  <w:footnote w:id="30">
    <w:p w14:paraId="52CC411B" w14:textId="77777777" w:rsidR="00BF07A9" w:rsidRPr="007620AE" w:rsidRDefault="00BF07A9" w:rsidP="00BF07A9">
      <w:pPr>
        <w:pStyle w:val="FootnoteText"/>
        <w:rPr>
          <w:lang w:val="en-US"/>
        </w:rPr>
      </w:pPr>
      <w:r>
        <w:rPr>
          <w:rStyle w:val="FootnoteReference"/>
        </w:rPr>
        <w:footnoteRef/>
      </w:r>
      <w:r>
        <w:rPr>
          <w:lang w:val="en-US"/>
        </w:rPr>
        <w:tab/>
      </w:r>
      <w:r w:rsidRPr="00674E53">
        <w:rPr>
          <w:rStyle w:val="FootnoteReference"/>
          <w:vertAlign w:val="baseline"/>
          <w:lang w:val="en-US"/>
        </w:rPr>
        <w:t>Ricardo Nederland B.V; Viegand Maagøe A/S and SQ Consult.</w:t>
      </w:r>
    </w:p>
  </w:footnote>
  <w:footnote w:id="31">
    <w:p w14:paraId="00EA7A2F" w14:textId="77777777" w:rsidR="00BF07A9" w:rsidRPr="00B26C27" w:rsidRDefault="00BF07A9" w:rsidP="00BF07A9">
      <w:pPr>
        <w:pStyle w:val="FootnoteText"/>
        <w:rPr>
          <w:lang w:val="en-US"/>
        </w:rPr>
      </w:pPr>
      <w:r>
        <w:rPr>
          <w:rStyle w:val="FootnoteReference"/>
        </w:rPr>
        <w:footnoteRef/>
      </w:r>
      <w:r w:rsidRPr="00EC5E24">
        <w:rPr>
          <w:lang w:val="en-US"/>
        </w:rPr>
        <w:tab/>
      </w:r>
      <w:r w:rsidRPr="00674E53">
        <w:rPr>
          <w:rStyle w:val="FootnoteReference"/>
          <w:vertAlign w:val="baseline"/>
          <w:lang w:val="en-US"/>
        </w:rPr>
        <w:t xml:space="preserve">European </w:t>
      </w:r>
      <w:r w:rsidRPr="00674E53">
        <w:rPr>
          <w:rStyle w:val="FootnoteReference"/>
          <w:vertAlign w:val="baseline"/>
        </w:rPr>
        <w:t>Commission: Reality check – Commission takes stock of ETS implementation with stationary installations 2 February 2026.</w:t>
      </w:r>
      <w:r>
        <w:rPr>
          <w:lang w:val="en-US"/>
        </w:rPr>
        <w:t xml:space="preserve"> </w:t>
      </w:r>
    </w:p>
  </w:footnote>
  <w:footnote w:id="32">
    <w:p w14:paraId="3E5E1A97" w14:textId="77777777" w:rsidR="00BF07A9" w:rsidRPr="003E64D9" w:rsidRDefault="00BF07A9" w:rsidP="00BF07A9">
      <w:pPr>
        <w:pStyle w:val="FootnoteText"/>
        <w:rPr>
          <w:rStyle w:val="FootnoteReference"/>
        </w:rPr>
      </w:pPr>
      <w:r w:rsidRPr="00656B1E">
        <w:rPr>
          <w:rStyle w:val="FootnoteReference"/>
        </w:rPr>
        <w:footnoteRef/>
      </w:r>
      <w:r>
        <w:rPr>
          <w:lang w:val="en-US"/>
        </w:rPr>
        <w:tab/>
      </w:r>
      <w:r w:rsidRPr="00674E53">
        <w:rPr>
          <w:rStyle w:val="FootnoteReference"/>
          <w:vertAlign w:val="baseline"/>
        </w:rPr>
        <w:t>SWD(2021) 601.</w:t>
      </w:r>
    </w:p>
  </w:footnote>
  <w:footnote w:id="33">
    <w:p w14:paraId="3B2EF191" w14:textId="77777777" w:rsidR="00BF07A9" w:rsidRPr="00656B1E" w:rsidRDefault="00BF07A9" w:rsidP="00BF07A9">
      <w:pPr>
        <w:pStyle w:val="FootnoteText"/>
      </w:pPr>
      <w:r>
        <w:rPr>
          <w:rStyle w:val="FootnoteReference"/>
        </w:rPr>
        <w:footnoteRef/>
      </w:r>
      <w:r w:rsidRPr="003E64D9">
        <w:rPr>
          <w:rStyle w:val="FootnoteReference"/>
        </w:rPr>
        <w:tab/>
      </w:r>
      <w:r w:rsidRPr="00674E53">
        <w:rPr>
          <w:rStyle w:val="FootnoteReference"/>
          <w:vertAlign w:val="baseline"/>
        </w:rPr>
        <w:t>SWD(2024) 63.</w:t>
      </w:r>
    </w:p>
  </w:footnote>
  <w:footnote w:id="34">
    <w:p w14:paraId="12F61D66" w14:textId="77777777" w:rsidR="00102200" w:rsidRPr="00102200" w:rsidRDefault="00102200">
      <w:pPr>
        <w:pStyle w:val="FootnoteText"/>
      </w:pPr>
      <w:r>
        <w:rPr>
          <w:rStyle w:val="FootnoteReference"/>
        </w:rPr>
        <w:footnoteRef/>
      </w:r>
      <w:r>
        <w:tab/>
      </w:r>
      <w:r w:rsidRPr="00674E53">
        <w:rPr>
          <w:rStyle w:val="FootnoteReference"/>
          <w:vertAlign w:val="baseline"/>
        </w:rPr>
        <w:t>Ricardo</w:t>
      </w:r>
      <w:r w:rsidR="00F93F7A">
        <w:t>,</w:t>
      </w:r>
      <w:r w:rsidRPr="00674E53">
        <w:rPr>
          <w:rStyle w:val="FootnoteReference"/>
          <w:vertAlign w:val="baseline"/>
        </w:rPr>
        <w:t xml:space="preserve"> </w:t>
      </w:r>
      <w:r w:rsidR="00F93F7A">
        <w:rPr>
          <w:rStyle w:val="FootnoteReference"/>
          <w:vertAlign w:val="baseline"/>
        </w:rPr>
        <w:t>‘</w:t>
      </w:r>
      <w:r w:rsidRPr="00674E53">
        <w:rPr>
          <w:rStyle w:val="FootnoteReference"/>
          <w:vertAlign w:val="baseline"/>
        </w:rPr>
        <w:t>Support for the 2026 review of the ETS directive for maritime, report prepared for DG CLIMA, publication upcoming</w:t>
      </w:r>
      <w:r w:rsidR="00B21F97">
        <w:t>’, (2026)</w:t>
      </w:r>
      <w:r w:rsidRPr="00674E53">
        <w:rPr>
          <w:rStyle w:val="FootnoteReference"/>
          <w:vertAlign w:val="baseline"/>
        </w:rPr>
        <w:t xml:space="preserve">; Ricardo et al., </w:t>
      </w:r>
      <w:r w:rsidR="00B21F97">
        <w:t>‘</w:t>
      </w:r>
      <w:r w:rsidRPr="00674E53">
        <w:rPr>
          <w:rStyle w:val="FootnoteReference"/>
          <w:vertAlign w:val="baseline"/>
        </w:rPr>
        <w:t>Supporting study for the implementation of the ETS Directive and MRV requirements for maritime transport</w:t>
      </w:r>
      <w:r w:rsidR="00C102A2">
        <w:t>’</w:t>
      </w:r>
      <w:r w:rsidRPr="00674E53">
        <w:rPr>
          <w:rStyle w:val="FootnoteReference"/>
          <w:vertAlign w:val="baseline"/>
        </w:rPr>
        <w:t xml:space="preserve">, </w:t>
      </w:r>
      <w:r w:rsidR="00B21F97">
        <w:t>(2024)</w:t>
      </w:r>
      <w:r w:rsidR="00C102A2">
        <w:t>;</w:t>
      </w:r>
      <w:r w:rsidRPr="00674E53">
        <w:rPr>
          <w:rStyle w:val="FootnoteReference"/>
          <w:vertAlign w:val="baseline"/>
        </w:rPr>
        <w:t xml:space="preserve"> and more specifically </w:t>
      </w:r>
      <w:r w:rsidR="00C102A2">
        <w:t>‘</w:t>
      </w:r>
      <w:r w:rsidRPr="00674E53">
        <w:rPr>
          <w:rStyle w:val="FootnoteReference"/>
          <w:vertAlign w:val="baseline"/>
        </w:rPr>
        <w:t>MRV maritime evaluation support</w:t>
      </w:r>
      <w:r w:rsidR="00C102A2">
        <w:t>’</w:t>
      </w:r>
      <w:r w:rsidRPr="00674E53">
        <w:rPr>
          <w:rStyle w:val="FootnoteReference"/>
          <w:vertAlign w:val="baseline"/>
        </w:rPr>
        <w:t xml:space="preserve"> part (2026): publication upcoming; Ricardo</w:t>
      </w:r>
      <w:r w:rsidR="00AF0F29">
        <w:t>,</w:t>
      </w:r>
      <w:r w:rsidRPr="00674E53">
        <w:rPr>
          <w:rStyle w:val="FootnoteReference"/>
          <w:vertAlign w:val="baseline"/>
        </w:rPr>
        <w:t xml:space="preserve"> </w:t>
      </w:r>
      <w:r w:rsidR="00C102A2">
        <w:t>‘</w:t>
      </w:r>
      <w:r w:rsidRPr="00674E53">
        <w:rPr>
          <w:rStyle w:val="FootnoteReference"/>
          <w:vertAlign w:val="baseline"/>
        </w:rPr>
        <w:t>Opportunities of the Green Transition for the EU Maritime Industry and Value Chain</w:t>
      </w:r>
      <w:r w:rsidR="00C102A2">
        <w:t>’</w:t>
      </w:r>
      <w:r w:rsidRPr="00674E53">
        <w:rPr>
          <w:rStyle w:val="FootnoteReference"/>
          <w:vertAlign w:val="baseline"/>
        </w:rPr>
        <w:t xml:space="preserve">, </w:t>
      </w:r>
      <w:r w:rsidR="00AF0F29">
        <w:rPr>
          <w:rStyle w:val="FootnoteReference"/>
          <w:vertAlign w:val="baseline"/>
        </w:rPr>
        <w:t>(</w:t>
      </w:r>
      <w:r w:rsidR="00AF0F29">
        <w:t xml:space="preserve">2026) </w:t>
      </w:r>
      <w:r w:rsidRPr="00674E53">
        <w:rPr>
          <w:rStyle w:val="FootnoteReference"/>
          <w:vertAlign w:val="baseline"/>
        </w:rPr>
        <w:t>publication upcoming. Ricardo</w:t>
      </w:r>
      <w:r w:rsidR="00AF0F29">
        <w:t>,</w:t>
      </w:r>
      <w:r w:rsidRPr="00674E53">
        <w:rPr>
          <w:rStyle w:val="FootnoteReference"/>
          <w:vertAlign w:val="baseline"/>
        </w:rPr>
        <w:t xml:space="preserve"> </w:t>
      </w:r>
      <w:r w:rsidR="00C102A2">
        <w:t>‘</w:t>
      </w:r>
      <w:r w:rsidRPr="00674E53">
        <w:rPr>
          <w:rStyle w:val="FootnoteReference"/>
          <w:vertAlign w:val="baseline"/>
        </w:rPr>
        <w:t>Support for the review by the Commission concerning the implementation of ICAO’s CORSIA, and for Commission reports on certain types of flights, social impacts, and air connectivity of islands, remote territories and Iceland</w:t>
      </w:r>
      <w:r w:rsidR="00C102A2">
        <w:t>’</w:t>
      </w:r>
      <w:r w:rsidRPr="00674E53">
        <w:rPr>
          <w:rStyle w:val="FootnoteReference"/>
          <w:vertAlign w:val="baseline"/>
        </w:rPr>
        <w:t xml:space="preserve">, prepared for DG CLIMA, </w:t>
      </w:r>
      <w:r w:rsidR="00C102A2">
        <w:t xml:space="preserve">(2025) </w:t>
      </w:r>
      <w:r w:rsidRPr="00674E53">
        <w:rPr>
          <w:rStyle w:val="FootnoteReference"/>
          <w:vertAlign w:val="baseline"/>
        </w:rPr>
        <w:t>publication forthcoming.</w:t>
      </w:r>
    </w:p>
  </w:footnote>
  <w:footnote w:id="35">
    <w:p w14:paraId="06D27DBE" w14:textId="77777777" w:rsidR="00BB4042" w:rsidRPr="00BB4042" w:rsidRDefault="00BB4042">
      <w:pPr>
        <w:pStyle w:val="FootnoteText"/>
      </w:pPr>
      <w:r>
        <w:rPr>
          <w:rStyle w:val="FootnoteReference"/>
        </w:rPr>
        <w:footnoteRef/>
      </w:r>
      <w:r>
        <w:tab/>
      </w:r>
      <w:r>
        <w:rPr>
          <w:lang w:val="en-IE"/>
        </w:rPr>
        <w:t>ARES(2026)3999719.</w:t>
      </w:r>
    </w:p>
  </w:footnote>
  <w:footnote w:id="36">
    <w:p w14:paraId="542E9187" w14:textId="77777777" w:rsidR="006B2B56" w:rsidRPr="006B2B56" w:rsidRDefault="006B2B56" w:rsidP="006B2B56">
      <w:pPr>
        <w:pStyle w:val="FootnoteText"/>
      </w:pPr>
      <w:r>
        <w:rPr>
          <w:rStyle w:val="FootnoteReference"/>
        </w:rPr>
        <w:footnoteRef/>
      </w:r>
      <w:r>
        <w:tab/>
      </w:r>
      <w:r w:rsidRPr="006B2B56">
        <w:t>Commission Implementing Regulation (EU) 2018/2066 of 19 December 2018 on the monitoring and reporting of greenhouse gas emissions pursuant to Directive 2003/87/EC of the European Parliament and of the Council and amending Commission Regulation (EU) No 601/2012</w:t>
      </w:r>
      <w:r>
        <w:t xml:space="preserve"> (</w:t>
      </w:r>
      <w:r w:rsidRPr="006B2B56">
        <w:t>OJ L 334, 31.12.2018, pp. 1–93</w:t>
      </w:r>
      <w:r>
        <w:t xml:space="preserve">, </w:t>
      </w:r>
      <w:r w:rsidR="00BB108D" w:rsidRPr="00BB108D">
        <w:t xml:space="preserve">ELI: </w:t>
      </w:r>
      <w:hyperlink r:id="rId14" w:history="1">
        <w:r w:rsidR="00BB108D" w:rsidRPr="00A95D61">
          <w:rPr>
            <w:rStyle w:val="Hyperlink"/>
          </w:rPr>
          <w:t>http://data.europa.eu/eli/reg_impl/2018/2066/oj</w:t>
        </w:r>
      </w:hyperlink>
      <w:r w:rsidR="00BB108D">
        <w:t xml:space="preserve">). </w:t>
      </w:r>
    </w:p>
  </w:footnote>
  <w:footnote w:id="37">
    <w:p w14:paraId="1991C807" w14:textId="77777777" w:rsidR="00591CB6" w:rsidRPr="00591CB6" w:rsidRDefault="00591CB6">
      <w:pPr>
        <w:pStyle w:val="FootnoteText"/>
      </w:pPr>
      <w:r>
        <w:rPr>
          <w:rStyle w:val="FootnoteReference"/>
        </w:rPr>
        <w:footnoteRef/>
      </w:r>
      <w:r>
        <w:tab/>
        <w:t>OJ C 326, 26.10.2012, p. 391.</w:t>
      </w:r>
    </w:p>
  </w:footnote>
  <w:footnote w:id="38">
    <w:p w14:paraId="08B3822C" w14:textId="77777777" w:rsidR="008846AE" w:rsidRPr="008846AE" w:rsidRDefault="008846AE" w:rsidP="008846AE">
      <w:pPr>
        <w:pStyle w:val="FootnoteText"/>
      </w:pPr>
      <w:r>
        <w:rPr>
          <w:rStyle w:val="FootnoteReference"/>
        </w:rPr>
        <w:footnoteRef/>
      </w:r>
      <w:r>
        <w:tab/>
      </w:r>
      <w:r w:rsidRPr="008846AE">
        <w:t>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(OJ L 328, 21.12.2018, pp. 1–77</w:t>
      </w:r>
      <w:r>
        <w:t xml:space="preserve">, </w:t>
      </w:r>
      <w:r w:rsidR="002D4C91" w:rsidRPr="002D4C91">
        <w:t xml:space="preserve">ELI: </w:t>
      </w:r>
      <w:hyperlink r:id="rId15" w:history="1">
        <w:r w:rsidR="002D4C91" w:rsidRPr="00A95D61">
          <w:rPr>
            <w:rStyle w:val="Hyperlink"/>
          </w:rPr>
          <w:t>http://data.europa.eu/eli/reg/2018/1999/oj</w:t>
        </w:r>
      </w:hyperlink>
      <w:r w:rsidR="002D4C91">
        <w:t xml:space="preserve">). </w:t>
      </w:r>
    </w:p>
  </w:footnote>
  <w:footnote w:id="39">
    <w:p w14:paraId="69958C5A" w14:textId="77777777" w:rsidR="004C79C1" w:rsidRPr="004C79C1" w:rsidRDefault="004C79C1" w:rsidP="004C79C1">
      <w:pPr>
        <w:pStyle w:val="FootnoteText"/>
      </w:pPr>
      <w:r>
        <w:rPr>
          <w:rStyle w:val="FootnoteReference"/>
        </w:rPr>
        <w:footnoteRef/>
      </w:r>
      <w:r>
        <w:tab/>
      </w:r>
      <w:r w:rsidRPr="004C79C1">
        <w:t>Commission Implementing Regulation (EU) 2018/2067 of 19 December 2018 on the verification of data and on the accreditation of verifiers pursuant to Directive 2003/87/EC of the European Parliament and of the Council (OJ L 334, 31.12.2018, pp. 94–134</w:t>
      </w:r>
      <w:r>
        <w:t xml:space="preserve">, </w:t>
      </w:r>
      <w:r w:rsidRPr="004C79C1">
        <w:t xml:space="preserve">ELI: </w:t>
      </w:r>
      <w:hyperlink r:id="rId16" w:history="1">
        <w:r w:rsidRPr="00A95D61">
          <w:rPr>
            <w:rStyle w:val="Hyperlink"/>
          </w:rPr>
          <w:t>http://data.europa.eu/eli/reg_impl/2018/2067/oj</w:t>
        </w:r>
      </w:hyperlink>
      <w:r>
        <w:t xml:space="preserve">). </w:t>
      </w:r>
    </w:p>
  </w:footnote>
  <w:footnote w:id="40">
    <w:p w14:paraId="293645A5" w14:textId="77777777" w:rsidR="00B45E07" w:rsidRPr="00B45565" w:rsidRDefault="002C157B" w:rsidP="00B45E07">
      <w:pPr>
        <w:pStyle w:val="FootnoteText"/>
      </w:pPr>
      <w:r>
        <w:rPr>
          <w:rStyle w:val="FootnoteReference"/>
        </w:rPr>
        <w:footnoteRef/>
      </w:r>
      <w:r>
        <w:rPr>
          <w:lang w:val="en-IE"/>
        </w:rPr>
        <w:tab/>
      </w:r>
      <w:r w:rsidRPr="002C157B">
        <w:rPr>
          <w:lang w:val="en-IE"/>
        </w:rPr>
        <w:t>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(OJ L 328, 21.12.2018</w:t>
      </w:r>
      <w:r w:rsidR="007F5090" w:rsidRPr="007F5090">
        <w:rPr>
          <w:lang w:val="en-IE"/>
        </w:rPr>
        <w:t xml:space="preserve">, pp. </w:t>
      </w:r>
      <w:r w:rsidR="4F2BFEAD" w:rsidRPr="007F5090">
        <w:rPr>
          <w:lang w:val="en-IE"/>
        </w:rPr>
        <w:t xml:space="preserve">1–77, ELI: </w:t>
      </w:r>
      <w:hyperlink r:id="rId17">
        <w:r w:rsidR="4F2BFEAD" w:rsidRPr="4F2BFEAD">
          <w:rPr>
            <w:rStyle w:val="Hyperlink"/>
            <w:lang w:val="en-IE"/>
          </w:rPr>
          <w:t>http://data.europa.eu/eli/reg/2018/1999/oj</w:t>
        </w:r>
      </w:hyperlink>
      <w:r w:rsidR="4F2BFEAD" w:rsidRPr="007F5090">
        <w:rPr>
          <w:lang w:val="en-IE"/>
        </w:rPr>
        <w:t xml:space="preserve">). </w:t>
      </w:r>
    </w:p>
    <w:p w14:paraId="221A8277" w14:textId="77777777" w:rsidR="002C157B" w:rsidRPr="00B45E07" w:rsidRDefault="002C157B" w:rsidP="002C157B">
      <w:pPr>
        <w:pStyle w:val="FootnoteText"/>
      </w:pPr>
    </w:p>
  </w:footnote>
  <w:footnote w:id="41">
    <w:p w14:paraId="6E0BD98F" w14:textId="77777777" w:rsidR="00A03159" w:rsidRPr="00A03159" w:rsidRDefault="00A03159">
      <w:pPr>
        <w:pStyle w:val="FootnoteText"/>
      </w:pPr>
      <w:r>
        <w:rPr>
          <w:rStyle w:val="FootnoteReference"/>
        </w:rPr>
        <w:footnoteRef/>
      </w:r>
      <w:r>
        <w:tab/>
      </w:r>
      <w:r w:rsidRPr="00D161F0">
        <w:rPr>
          <w:lang w:val="en-IE"/>
        </w:rPr>
        <w:t>Commission Delegated Regulation (EU) 2019/331 of 19 December 2018 determining transitional Union-wide rules for harmonised free allocation of emission allowances pursuant to Article 10a of Directive 2003/87/EC of the European Parliament and of the Council</w:t>
      </w:r>
      <w:r>
        <w:rPr>
          <w:lang w:val="en-IE"/>
        </w:rPr>
        <w:t xml:space="preserve"> (</w:t>
      </w:r>
      <w:r w:rsidRPr="00D161F0">
        <w:rPr>
          <w:lang w:val="en-IE"/>
        </w:rPr>
        <w:t>OJ L 59, 27.2.2019, pp. 8–69</w:t>
      </w:r>
      <w:r w:rsidR="004D783B">
        <w:rPr>
          <w:lang w:val="en-IE"/>
        </w:rPr>
        <w:t>,</w:t>
      </w:r>
      <w:r w:rsidR="004D783B" w:rsidRPr="004D783B">
        <w:t xml:space="preserve"> </w:t>
      </w:r>
      <w:r w:rsidR="004D783B" w:rsidRPr="004D783B">
        <w:rPr>
          <w:lang w:val="en-IE"/>
        </w:rPr>
        <w:t xml:space="preserve">ELI: </w:t>
      </w:r>
      <w:hyperlink r:id="rId18" w:history="1">
        <w:r w:rsidR="004D783B" w:rsidRPr="00A95D61">
          <w:rPr>
            <w:rStyle w:val="Hyperlink"/>
            <w:lang w:val="en-IE"/>
          </w:rPr>
          <w:t>http://data.europa.eu/eli/reg_del/2019/331/oj</w:t>
        </w:r>
      </w:hyperlink>
      <w:r>
        <w:rPr>
          <w:lang w:val="en-IE"/>
        </w:rPr>
        <w:t>).</w:t>
      </w:r>
    </w:p>
  </w:footnote>
  <w:footnote w:id="42">
    <w:p w14:paraId="57A623FB" w14:textId="77777777" w:rsidR="001A044A" w:rsidRPr="00A03159" w:rsidRDefault="001A044A" w:rsidP="001A044A">
      <w:pPr>
        <w:pStyle w:val="FootnoteText"/>
      </w:pPr>
      <w:r>
        <w:rPr>
          <w:rStyle w:val="FootnoteReference"/>
        </w:rPr>
        <w:footnoteRef/>
      </w:r>
      <w:r>
        <w:tab/>
      </w:r>
      <w:r w:rsidRPr="00674E53">
        <w:rPr>
          <w:rStyle w:val="FootnoteReference"/>
          <w:vertAlign w:val="baseline"/>
          <w:lang w:val="en-IE"/>
        </w:rPr>
        <w:t>Procedure 2026/0085/COD, Proposal for a Decision of the European Parliament and the Council amending Decision (EU) 2015/1814 as regards ceasing the invalidation of allowances in the market stability reserve.</w:t>
      </w:r>
    </w:p>
  </w:footnote>
  <w:footnote w:id="43">
    <w:p w14:paraId="1BBF36B8" w14:textId="77777777" w:rsidR="006052EE" w:rsidRPr="00CA5179" w:rsidRDefault="006052EE" w:rsidP="00445C9D">
      <w:pPr>
        <w:pStyle w:val="FootnoteText"/>
        <w:rPr>
          <w:lang w:val="pl-PL"/>
        </w:rPr>
      </w:pPr>
      <w:r>
        <w:rPr>
          <w:rStyle w:val="FootnoteReference"/>
        </w:rPr>
        <w:footnoteRef/>
      </w:r>
      <w:r w:rsidRPr="00CA5179">
        <w:rPr>
          <w:lang w:val="pl-PL"/>
        </w:rPr>
        <w:tab/>
        <w:t>OJ C , , p. .</w:t>
      </w:r>
    </w:p>
  </w:footnote>
  <w:footnote w:id="44">
    <w:p w14:paraId="11A2DEDA" w14:textId="77777777" w:rsidR="006052EE" w:rsidRPr="00CA5179" w:rsidRDefault="006052EE" w:rsidP="00445C9D">
      <w:pPr>
        <w:pStyle w:val="FootnoteText"/>
        <w:rPr>
          <w:lang w:val="pl-PL"/>
        </w:rPr>
      </w:pPr>
      <w:r>
        <w:rPr>
          <w:rStyle w:val="FootnoteReference"/>
        </w:rPr>
        <w:footnoteRef/>
      </w:r>
      <w:r w:rsidRPr="00CA5179">
        <w:rPr>
          <w:lang w:val="pl-PL"/>
        </w:rPr>
        <w:tab/>
        <w:t>OJ C , , p. .</w:t>
      </w:r>
    </w:p>
  </w:footnote>
  <w:footnote w:id="45">
    <w:p w14:paraId="304C18E7" w14:textId="77777777" w:rsidR="00AF61E4" w:rsidRPr="00FC4F40" w:rsidRDefault="00AF61E4" w:rsidP="00AF61E4">
      <w:pPr>
        <w:pStyle w:val="FootnoteText"/>
        <w:rPr>
          <w:lang w:val="es-ES"/>
        </w:rPr>
      </w:pPr>
      <w:r>
        <w:rPr>
          <w:rStyle w:val="FootnoteReference"/>
        </w:rPr>
        <w:footnoteRef/>
      </w:r>
      <w:r w:rsidRPr="00FC4F40">
        <w:rPr>
          <w:lang w:val="es-ES"/>
        </w:rPr>
        <w:tab/>
        <w:t>OJ L 282, 19.10.2016, p. 4.</w:t>
      </w:r>
    </w:p>
  </w:footnote>
  <w:footnote w:id="46">
    <w:p w14:paraId="7264293C" w14:textId="77777777" w:rsidR="008E53A8" w:rsidRPr="00933C9B" w:rsidRDefault="008E53A8" w:rsidP="00B73A68">
      <w:pPr>
        <w:pStyle w:val="FootnoteText"/>
        <w:rPr>
          <w:lang w:val="en-IE"/>
        </w:rPr>
      </w:pPr>
      <w:r>
        <w:rPr>
          <w:rStyle w:val="FootnoteReference"/>
        </w:rPr>
        <w:footnoteRef/>
      </w:r>
      <w:r>
        <w:rPr>
          <w:lang w:val="en-IE"/>
        </w:rPr>
        <w:tab/>
      </w:r>
      <w:r w:rsidR="00B73A68">
        <w:rPr>
          <w:lang w:val="en-IE"/>
        </w:rPr>
        <w:t xml:space="preserve"> </w:t>
      </w:r>
      <w:r w:rsidR="00B73A68" w:rsidRPr="00B73A68">
        <w:rPr>
          <w:lang w:val="en-IE"/>
        </w:rPr>
        <w:t>COM</w:t>
      </w:r>
      <w:r w:rsidR="00F139A4">
        <w:rPr>
          <w:lang w:val="en-IE"/>
        </w:rPr>
        <w:t>(</w:t>
      </w:r>
      <w:r w:rsidR="00B73A68" w:rsidRPr="00B73A68">
        <w:rPr>
          <w:lang w:val="en-IE"/>
        </w:rPr>
        <w:t>2024</w:t>
      </w:r>
      <w:r w:rsidR="00F139A4">
        <w:rPr>
          <w:lang w:val="en-IE"/>
        </w:rPr>
        <w:t xml:space="preserve">) </w:t>
      </w:r>
      <w:r w:rsidR="00B73A68" w:rsidRPr="00B73A68">
        <w:rPr>
          <w:lang w:val="en-IE"/>
        </w:rPr>
        <w:t>63 final</w:t>
      </w:r>
      <w:r w:rsidR="00B73A68">
        <w:rPr>
          <w:lang w:val="en-IE"/>
        </w:rPr>
        <w:t>.</w:t>
      </w:r>
    </w:p>
  </w:footnote>
  <w:footnote w:id="47">
    <w:p w14:paraId="078EE267" w14:textId="77777777" w:rsidR="000B7A16" w:rsidRPr="00726600" w:rsidRDefault="000B7A16" w:rsidP="000B7A16">
      <w:pPr>
        <w:pStyle w:val="FootnoteText"/>
      </w:pPr>
      <w:r>
        <w:rPr>
          <w:rStyle w:val="FootnoteReference"/>
        </w:rPr>
        <w:footnoteRef/>
      </w:r>
      <w:r>
        <w:tab/>
        <w:t xml:space="preserve">Communication from the Commission to the European Parliament, the European Council, the Council, </w:t>
      </w:r>
      <w:r>
        <w:rPr>
          <w:lang w:val="en-IE"/>
        </w:rPr>
        <w:t>the European Economic and Social Committee and the Committee of the Regions,</w:t>
      </w:r>
      <w:r>
        <w:t xml:space="preserve"> A</w:t>
      </w:r>
      <w:r w:rsidRPr="00275BD3">
        <w:t xml:space="preserve"> Competitiveness Compass for the EU</w:t>
      </w:r>
      <w:r>
        <w:t>, 29 January 2025</w:t>
      </w:r>
      <w:r w:rsidR="00F139A4">
        <w:t xml:space="preserve"> (</w:t>
      </w:r>
      <w:r w:rsidRPr="005A6F08">
        <w:t>COM</w:t>
      </w:r>
      <w:r w:rsidR="00F139A4">
        <w:t>(</w:t>
      </w:r>
      <w:r w:rsidRPr="005A6F08">
        <w:t>2025</w:t>
      </w:r>
      <w:r w:rsidR="00F139A4">
        <w:t xml:space="preserve">) </w:t>
      </w:r>
      <w:r w:rsidRPr="005A6F08">
        <w:t>30 final</w:t>
      </w:r>
      <w:r w:rsidR="00F139A4">
        <w:t>)</w:t>
      </w:r>
      <w:r>
        <w:t>.</w:t>
      </w:r>
    </w:p>
  </w:footnote>
  <w:footnote w:id="48">
    <w:p w14:paraId="0F9049C9" w14:textId="77777777" w:rsidR="000B7A16" w:rsidRPr="00E24F6A" w:rsidRDefault="000B7A16" w:rsidP="000B7A16">
      <w:pPr>
        <w:pStyle w:val="FootnoteText"/>
      </w:pPr>
      <w:r>
        <w:rPr>
          <w:rStyle w:val="FootnoteReference"/>
        </w:rPr>
        <w:footnoteRef/>
      </w:r>
      <w:r>
        <w:tab/>
      </w:r>
      <w:r w:rsidRPr="00E24F6A">
        <w:t>Communication from the Commission to the European Parliament, the Council, the European Economic and Social Committee and the Committee of the Regions</w:t>
      </w:r>
      <w:r>
        <w:t xml:space="preserve">, </w:t>
      </w:r>
      <w:r w:rsidRPr="00897A2D">
        <w:t>The Clean Industrial Deal: A joint roadmap for competitiveness and decarbonisation</w:t>
      </w:r>
      <w:r>
        <w:t>, 26 February 2025</w:t>
      </w:r>
      <w:r w:rsidR="00F139A4">
        <w:t xml:space="preserve"> (</w:t>
      </w:r>
      <w:r w:rsidRPr="00897A2D">
        <w:t>COM</w:t>
      </w:r>
      <w:r w:rsidR="00F139A4">
        <w:t>(</w:t>
      </w:r>
      <w:r w:rsidRPr="00897A2D">
        <w:t>2025</w:t>
      </w:r>
      <w:r w:rsidR="00F139A4">
        <w:t xml:space="preserve">) </w:t>
      </w:r>
      <w:r w:rsidRPr="00897A2D">
        <w:t>85 final</w:t>
      </w:r>
      <w:r w:rsidR="00F139A4">
        <w:t>)</w:t>
      </w:r>
      <w:r>
        <w:t>.</w:t>
      </w:r>
    </w:p>
  </w:footnote>
  <w:footnote w:id="49">
    <w:p w14:paraId="2D6B589F" w14:textId="77777777" w:rsidR="008E53A8" w:rsidRPr="008E53A8" w:rsidRDefault="008E53A8" w:rsidP="008E53A8">
      <w:pPr>
        <w:pStyle w:val="FootnoteText"/>
        <w:rPr>
          <w:lang w:val="en-IE"/>
        </w:rPr>
      </w:pPr>
      <w:r>
        <w:rPr>
          <w:rStyle w:val="FootnoteReference"/>
        </w:rPr>
        <w:footnoteRef/>
      </w:r>
      <w:r>
        <w:rPr>
          <w:lang w:val="en-IE"/>
        </w:rPr>
        <w:tab/>
      </w:r>
      <w:r w:rsidR="00B73A68" w:rsidRPr="00B73A68">
        <w:rPr>
          <w:lang w:val="en-IE"/>
        </w:rPr>
        <w:t>European Council Conclusions 19 March 2026 EUCO 1/26 CO EUR 1 CONCL 1.</w:t>
      </w:r>
    </w:p>
  </w:footnote>
  <w:footnote w:id="50">
    <w:p w14:paraId="0A3392DF" w14:textId="77777777" w:rsidR="008E53A8" w:rsidRPr="008E53A8" w:rsidRDefault="008E53A8" w:rsidP="00B73A68">
      <w:pPr>
        <w:pStyle w:val="FootnoteText"/>
      </w:pPr>
      <w:r w:rsidRPr="008E53A8">
        <w:rPr>
          <w:rStyle w:val="FootnoteReference"/>
        </w:rPr>
        <w:footnoteRef/>
      </w:r>
      <w:r w:rsidRPr="008E53A8">
        <w:tab/>
      </w:r>
      <w:r w:rsidR="00B73A68">
        <w:t>One Europe, One Market Roadmap of the European Parliament, the Council of the European Union and the European Commission.</w:t>
      </w:r>
    </w:p>
  </w:footnote>
  <w:footnote w:id="51">
    <w:p w14:paraId="779636F2" w14:textId="77777777" w:rsidR="008E53A8" w:rsidRPr="008E53A8" w:rsidRDefault="008E53A8" w:rsidP="008E53A8">
      <w:pPr>
        <w:pStyle w:val="FootnoteText"/>
        <w:rPr>
          <w:lang w:val="en-IE"/>
        </w:rPr>
      </w:pPr>
      <w:r w:rsidRPr="008E53A8">
        <w:rPr>
          <w:rStyle w:val="FootnoteReference"/>
        </w:rPr>
        <w:footnoteRef/>
      </w:r>
      <w:r w:rsidRPr="008E53A8">
        <w:rPr>
          <w:lang w:val="en-IE"/>
        </w:rPr>
        <w:tab/>
      </w:r>
      <w:r w:rsidR="00B73A68" w:rsidRPr="00B73A68">
        <w:rPr>
          <w:lang w:val="en-IE"/>
        </w:rPr>
        <w:t>Regulation (EU) 2021/1119 of the European Parliament and of the Council of 30 June 2021 establishing the framework for achieving climate neutrality and amending Regulations (EC) No 401/2009 and (EU) 2018/1999 (‘European Climate Law’)</w:t>
      </w:r>
      <w:r w:rsidR="004C15DE">
        <w:rPr>
          <w:lang w:val="en-IE"/>
        </w:rPr>
        <w:t xml:space="preserve"> (</w:t>
      </w:r>
      <w:r w:rsidR="004C15DE" w:rsidRPr="00305322">
        <w:rPr>
          <w:lang w:val="en-IE"/>
        </w:rPr>
        <w:t>OJ L 243, 9.7.2021, p. 1</w:t>
      </w:r>
      <w:r w:rsidR="004C15DE">
        <w:rPr>
          <w:lang w:val="en-IE"/>
        </w:rPr>
        <w:t xml:space="preserve">, </w:t>
      </w:r>
      <w:r w:rsidR="004C15DE" w:rsidRPr="001A69B7">
        <w:rPr>
          <w:lang w:val="en-IE"/>
        </w:rPr>
        <w:t xml:space="preserve">ELI: </w:t>
      </w:r>
      <w:hyperlink r:id="rId19" w:history="1">
        <w:r w:rsidR="00D330AF" w:rsidRPr="00A95D61">
          <w:rPr>
            <w:rStyle w:val="Hyperlink"/>
            <w:lang w:val="en-IE"/>
          </w:rPr>
          <w:t>http://data.europa.eu/eli/reg/2021/1119/oj</w:t>
        </w:r>
      </w:hyperlink>
      <w:r w:rsidR="004C15DE" w:rsidRPr="00B73A68">
        <w:rPr>
          <w:lang w:val="en-IE"/>
        </w:rPr>
        <w:t>)</w:t>
      </w:r>
      <w:r w:rsidR="00B73A68">
        <w:rPr>
          <w:lang w:val="en-IE"/>
        </w:rPr>
        <w:t>.</w:t>
      </w:r>
    </w:p>
  </w:footnote>
  <w:footnote w:id="52">
    <w:p w14:paraId="58C6DC1F" w14:textId="77777777" w:rsidR="008E53A8" w:rsidRPr="00422349" w:rsidRDefault="008E53A8">
      <w:pPr>
        <w:pStyle w:val="FootnoteText"/>
        <w:rPr>
          <w:lang w:val="fi-FI"/>
        </w:rPr>
      </w:pPr>
      <w:r>
        <w:rPr>
          <w:rStyle w:val="FootnoteReference"/>
        </w:rPr>
        <w:footnoteRef/>
      </w:r>
      <w:r w:rsidRPr="00422349">
        <w:rPr>
          <w:lang w:val="fi-FI"/>
        </w:rPr>
        <w:tab/>
      </w:r>
      <w:r w:rsidRPr="00422349">
        <w:rPr>
          <w:rStyle w:val="FootnoteReference"/>
          <w:vertAlign w:val="baseline"/>
          <w:lang w:val="fi-FI"/>
        </w:rPr>
        <w:t>Regulation (EU) 2026/667 of the European Parliament and of the Council of 11 March 2026 amending Regulation (EU) 2021/1119 as regards the setting of a Union intermediate climate target for 2040 (OJ L, 2026/667</w:t>
      </w:r>
      <w:r w:rsidR="003D6880" w:rsidRPr="00422349">
        <w:rPr>
          <w:lang w:val="fi-FI"/>
        </w:rPr>
        <w:t xml:space="preserve">, ELI: </w:t>
      </w:r>
      <w:hyperlink r:id="rId20" w:history="1">
        <w:r w:rsidR="003D6880" w:rsidRPr="00422349">
          <w:rPr>
            <w:rStyle w:val="Hyperlink"/>
            <w:lang w:val="fi-FI"/>
          </w:rPr>
          <w:t>http://data.europa.eu/eli/reg/2026/667/oj</w:t>
        </w:r>
      </w:hyperlink>
      <w:r w:rsidRPr="00422349">
        <w:rPr>
          <w:rStyle w:val="FootnoteReference"/>
          <w:vertAlign w:val="baseline"/>
          <w:lang w:val="fi-FI"/>
        </w:rPr>
        <w:t>).</w:t>
      </w:r>
    </w:p>
  </w:footnote>
  <w:footnote w:id="53">
    <w:p w14:paraId="5FF774FD" w14:textId="77777777" w:rsidR="00CA772A" w:rsidRPr="00CA772A" w:rsidRDefault="00CA772A">
      <w:pPr>
        <w:pStyle w:val="FootnoteText"/>
        <w:rPr>
          <w:lang w:val="en-IE"/>
        </w:rPr>
      </w:pPr>
      <w:r>
        <w:rPr>
          <w:rStyle w:val="FootnoteReference"/>
        </w:rPr>
        <w:footnoteRef/>
      </w:r>
      <w:r w:rsidRPr="00CA772A">
        <w:rPr>
          <w:lang w:val="en-IE"/>
        </w:rPr>
        <w:tab/>
      </w:r>
      <w:r>
        <w:t>Directive 2003/87/EC of the European Parliament and of the Council of 13 October 2003 establishing a scheme for greenhouse gas emission allowance trading within the Community and amending Council Directive 96/61/EC (OJ L 275, 25.10.2003, p. 32, ELI: http://data.europa.eu/eli/dir/2003/87/oj).</w:t>
      </w:r>
    </w:p>
  </w:footnote>
  <w:footnote w:id="54">
    <w:p w14:paraId="3350050C" w14:textId="77777777" w:rsidR="00FF4F52" w:rsidRPr="00FF4F52" w:rsidRDefault="00FF4F52">
      <w:pPr>
        <w:pStyle w:val="FootnoteText"/>
      </w:pPr>
      <w:r>
        <w:rPr>
          <w:rStyle w:val="FootnoteReference"/>
        </w:rPr>
        <w:footnoteRef/>
      </w:r>
      <w:r>
        <w:tab/>
        <w:t xml:space="preserve">Regulation (EU) 2023/2405 of the European Parliament and of the Council of 18 October 2023 on ensuring a level playing field for sustainable air transport (ReFuelEU Aviation) (OJ L, 2023/2405, 31.10.2023, ELI: </w:t>
      </w:r>
      <w:hyperlink r:id="rId21" w:history="1">
        <w:r w:rsidRPr="00A95D61">
          <w:rPr>
            <w:rStyle w:val="Hyperlink"/>
          </w:rPr>
          <w:t>http://data.europa.eu/eli/reg/2023/2405/oj</w:t>
        </w:r>
      </w:hyperlink>
      <w:r>
        <w:t>).</w:t>
      </w:r>
    </w:p>
  </w:footnote>
  <w:footnote w:id="55">
    <w:p w14:paraId="1FDE6FDC" w14:textId="77777777" w:rsidR="005213A7" w:rsidRPr="005213A7" w:rsidRDefault="005213A7">
      <w:pPr>
        <w:pStyle w:val="FootnoteText"/>
      </w:pPr>
      <w:r>
        <w:rPr>
          <w:rStyle w:val="FootnoteReference"/>
        </w:rPr>
        <w:footnoteRef/>
      </w:r>
      <w:r>
        <w:tab/>
      </w:r>
      <w:r w:rsidRPr="005213A7">
        <w:t>Regulation (EU) No 182/2011 of the European Parliament and of the Council of 16 February 2011 laying down the rules and general principles concerning mechanisms for control by Member States of the Commission’s exercise of implementing powers</w:t>
      </w:r>
      <w:r w:rsidR="005479DD">
        <w:t xml:space="preserve"> (</w:t>
      </w:r>
      <w:r w:rsidR="005479DD" w:rsidRPr="005479DD">
        <w:t>OJ L 55, 28.2.2011, pp. 13–18</w:t>
      </w:r>
      <w:r w:rsidR="005479DD">
        <w:t xml:space="preserve">, </w:t>
      </w:r>
      <w:r w:rsidR="005479DD" w:rsidRPr="005479DD">
        <w:t xml:space="preserve">ELI: </w:t>
      </w:r>
      <w:hyperlink r:id="rId22" w:history="1">
        <w:r w:rsidR="005479DD" w:rsidRPr="00A95D61">
          <w:rPr>
            <w:rStyle w:val="Hyperlink"/>
          </w:rPr>
          <w:t>http://data.europa.eu/eli/reg/2011/182/oj</w:t>
        </w:r>
      </w:hyperlink>
      <w:r w:rsidR="005479DD">
        <w:t>)</w:t>
      </w:r>
      <w:r>
        <w:t>.</w:t>
      </w:r>
    </w:p>
  </w:footnote>
  <w:footnote w:id="56">
    <w:p w14:paraId="3375FDE0" w14:textId="77777777" w:rsidR="008E53A8" w:rsidRPr="00422349" w:rsidRDefault="008E53A8" w:rsidP="008E53A8">
      <w:pPr>
        <w:pStyle w:val="FootnoteText"/>
        <w:rPr>
          <w:lang w:val="fi-FI"/>
        </w:rPr>
      </w:pPr>
      <w:r>
        <w:rPr>
          <w:rStyle w:val="FootnoteReference"/>
        </w:rPr>
        <w:footnoteRef/>
      </w:r>
      <w:r w:rsidRPr="00422349">
        <w:rPr>
          <w:lang w:val="fi-FI"/>
        </w:rPr>
        <w:tab/>
      </w:r>
      <w:r w:rsidRPr="00422349">
        <w:rPr>
          <w:rStyle w:val="FootnoteReference"/>
          <w:vertAlign w:val="baseline"/>
          <w:lang w:val="fi-FI"/>
        </w:rPr>
        <w:t xml:space="preserve">Commission Delegated Regulation (EU) 2019/331 of 19 December 2018 determining transitional Union-wide rules for harmonised free allocation of emission allowances pursuant to Article 10a of Directive 2003/87/EC of the European Parliament and of the Council, </w:t>
      </w:r>
      <w:r w:rsidR="007B45EC" w:rsidRPr="00422349">
        <w:rPr>
          <w:lang w:val="fi-FI"/>
        </w:rPr>
        <w:t>(</w:t>
      </w:r>
      <w:r w:rsidRPr="00422349">
        <w:rPr>
          <w:rStyle w:val="FootnoteReference"/>
          <w:vertAlign w:val="baseline"/>
          <w:lang w:val="fi-FI"/>
        </w:rPr>
        <w:t>OJ L 59, 27.2.2019, pp. 8–69</w:t>
      </w:r>
      <w:r w:rsidR="00770393" w:rsidRPr="00422349">
        <w:rPr>
          <w:lang w:val="fi-FI"/>
        </w:rPr>
        <w:t xml:space="preserve">, ELI: </w:t>
      </w:r>
      <w:hyperlink r:id="rId23" w:history="1">
        <w:r w:rsidR="00D330AF" w:rsidRPr="00422349">
          <w:rPr>
            <w:rStyle w:val="Hyperlink"/>
            <w:lang w:val="fi-FI"/>
          </w:rPr>
          <w:t>http://data.europa.eu/eli/reg_del/2019/331/oj</w:t>
        </w:r>
      </w:hyperlink>
      <w:r w:rsidR="007B45EC" w:rsidRPr="00422349">
        <w:rPr>
          <w:rStyle w:val="FootnoteReference"/>
          <w:vertAlign w:val="baseline"/>
          <w:lang w:val="fi-FI"/>
        </w:rPr>
        <w:t>)</w:t>
      </w:r>
      <w:r w:rsidRPr="00422349">
        <w:rPr>
          <w:rStyle w:val="FootnoteReference"/>
          <w:vertAlign w:val="baseline"/>
          <w:lang w:val="fi-FI"/>
        </w:rPr>
        <w:t>.</w:t>
      </w:r>
    </w:p>
  </w:footnote>
  <w:footnote w:id="57">
    <w:p w14:paraId="509941A2" w14:textId="77777777" w:rsidR="00302FAF" w:rsidRPr="000F19CA" w:rsidRDefault="00302FAF" w:rsidP="00302FAF">
      <w:pPr>
        <w:pStyle w:val="FootnoteText"/>
      </w:pPr>
      <w:r>
        <w:rPr>
          <w:rStyle w:val="FootnoteReference"/>
        </w:rPr>
        <w:footnoteRef/>
      </w:r>
      <w:r>
        <w:tab/>
      </w:r>
      <w:r w:rsidR="23E99525" w:rsidRPr="0088145E">
        <w:t>ANNEX 1</w:t>
      </w:r>
      <w:r w:rsidR="23E99525">
        <w:t xml:space="preserve">, </w:t>
      </w:r>
      <w:r w:rsidR="23E99525" w:rsidRPr="0088145E">
        <w:t>RESOLUTION MEPC.377(80)</w:t>
      </w:r>
      <w:r w:rsidR="23E99525">
        <w:t xml:space="preserve">, </w:t>
      </w:r>
      <w:r w:rsidR="23E99525" w:rsidRPr="0088145E">
        <w:t>Adopted on 7 July 2023</w:t>
      </w:r>
      <w:r w:rsidR="23E99525">
        <w:t xml:space="preserve">, </w:t>
      </w:r>
      <w:r w:rsidR="23E99525" w:rsidRPr="0088145E">
        <w:t>2023 IMO S</w:t>
      </w:r>
      <w:r w:rsidR="23E99525">
        <w:t>trategy on reduction of GHG emissions from ships.</w:t>
      </w:r>
    </w:p>
  </w:footnote>
  <w:footnote w:id="58">
    <w:p w14:paraId="327AC171" w14:textId="3088D681" w:rsidR="003603C4" w:rsidRPr="003603C4" w:rsidRDefault="003603C4">
      <w:pPr>
        <w:pStyle w:val="FootnoteText"/>
        <w:rPr>
          <w:lang w:val="en-IE"/>
        </w:rPr>
      </w:pPr>
      <w:r>
        <w:rPr>
          <w:rStyle w:val="FootnoteReference"/>
        </w:rPr>
        <w:footnoteRef/>
      </w:r>
      <w:r w:rsidRPr="003603C4">
        <w:rPr>
          <w:lang w:val="en-IE"/>
        </w:rPr>
        <w:tab/>
      </w:r>
      <w:r w:rsidRPr="00B073C8">
        <w:rPr>
          <w:lang w:val="en-IE"/>
        </w:rPr>
        <w:t xml:space="preserve">European Commission: Directorate-General for Climate Action and Ricardo, </w:t>
      </w:r>
      <w:r w:rsidRPr="2193DBD9">
        <w:rPr>
          <w:i/>
          <w:iCs/>
          <w:lang w:val="en-IE"/>
        </w:rPr>
        <w:t>Electric vessels and wind-assisted propulsion systems- opportunities for the EU maritime industry and value chain – Final report</w:t>
      </w:r>
      <w:r w:rsidRPr="00B073C8">
        <w:rPr>
          <w:lang w:val="en-IE"/>
        </w:rPr>
        <w:t xml:space="preserve">, Publications Office of the European Union, 2026, </w:t>
      </w:r>
      <w:hyperlink r:id="rId24">
        <w:r w:rsidRPr="2193DBD9">
          <w:rPr>
            <w:rStyle w:val="Hyperlink"/>
            <w:lang w:val="en-IE"/>
          </w:rPr>
          <w:t>https://data.europa.eu/doi/10.2834/7505429</w:t>
        </w:r>
      </w:hyperlink>
      <w:r>
        <w:rPr>
          <w:lang w:val="en-IE"/>
        </w:rPr>
        <w:t xml:space="preserve">. </w:t>
      </w:r>
    </w:p>
  </w:footnote>
  <w:footnote w:id="59">
    <w:p w14:paraId="6536B22C" w14:textId="77777777" w:rsidR="00C54F4E" w:rsidRPr="00620F3F" w:rsidRDefault="00C54F4E" w:rsidP="00C54F4E">
      <w:pPr>
        <w:pStyle w:val="FootnoteText"/>
        <w:rPr>
          <w:lang w:val="en-IE"/>
        </w:rPr>
      </w:pPr>
      <w:r>
        <w:rPr>
          <w:rStyle w:val="FootnoteReference"/>
        </w:rPr>
        <w:footnoteRef/>
      </w:r>
      <w:r>
        <w:rPr>
          <w:lang w:val="en-IE"/>
        </w:rPr>
        <w:tab/>
      </w:r>
      <w:r w:rsidRPr="00C54F4E">
        <w:rPr>
          <w:lang w:val="en-IE"/>
        </w:rPr>
        <w:t>Directive (EU) 2023/959 of the European Parliament and of the Council of 10 May 2023 amending Directive 2003/87/EC establishing a system for greenhouse gas emission allowance trading within the Union and Decision (EU) 2015/1814 concerning the establishment and operation of a market stability reserve for the Union greenhouse gas emission trading system</w:t>
      </w:r>
      <w:r w:rsidR="00D77B9F" w:rsidRPr="00D77B9F">
        <w:t xml:space="preserve"> </w:t>
      </w:r>
      <w:r w:rsidR="00D77B9F" w:rsidRPr="00D77B9F">
        <w:rPr>
          <w:lang w:val="en-IE"/>
        </w:rPr>
        <w:t xml:space="preserve">(OJ L 130, 16.5.2023, ELI: </w:t>
      </w:r>
      <w:hyperlink r:id="rId25" w:history="1">
        <w:r w:rsidR="00D77B9F" w:rsidRPr="00A95D61">
          <w:rPr>
            <w:rStyle w:val="Hyperlink"/>
            <w:lang w:val="en-IE"/>
          </w:rPr>
          <w:t>http://data.europa.eu/eli/dir/2023/959/oj</w:t>
        </w:r>
      </w:hyperlink>
      <w:r w:rsidR="00D77B9F" w:rsidRPr="00D77B9F">
        <w:rPr>
          <w:lang w:val="en-IE"/>
        </w:rPr>
        <w:t>).</w:t>
      </w:r>
      <w:r w:rsidR="00D77B9F">
        <w:rPr>
          <w:lang w:val="en-IE"/>
        </w:rPr>
        <w:t xml:space="preserve"> </w:t>
      </w:r>
    </w:p>
  </w:footnote>
  <w:footnote w:id="60">
    <w:p w14:paraId="7E5E2663" w14:textId="77777777" w:rsidR="00E5467D" w:rsidRPr="00620F3F" w:rsidRDefault="00E5467D" w:rsidP="00E5467D">
      <w:pPr>
        <w:pStyle w:val="FootnoteText"/>
        <w:rPr>
          <w:lang w:val="en-IE"/>
        </w:rPr>
      </w:pPr>
      <w:r>
        <w:rPr>
          <w:rStyle w:val="FootnoteReference"/>
        </w:rPr>
        <w:footnoteRef/>
      </w:r>
      <w:r>
        <w:rPr>
          <w:lang w:val="en-IE"/>
        </w:rPr>
        <w:tab/>
      </w:r>
      <w:r w:rsidRPr="00E5467D">
        <w:rPr>
          <w:lang w:val="en-IE"/>
        </w:rPr>
        <w:t>Regulation (EU) 2024/3012 of the European Parliament and of the Council of 27 November 2024 establishing a Union certification framework for permanent carbon removals, carbon farming and carbon storage in products</w:t>
      </w:r>
      <w:r>
        <w:rPr>
          <w:lang w:val="en-IE"/>
        </w:rPr>
        <w:t xml:space="preserve"> (</w:t>
      </w:r>
      <w:r w:rsidRPr="00E5467D">
        <w:rPr>
          <w:lang w:val="en-IE"/>
        </w:rPr>
        <w:t>OJ L, 2024/3012</w:t>
      </w:r>
      <w:r w:rsidR="00B45E07">
        <w:rPr>
          <w:lang w:val="en-IE"/>
        </w:rPr>
        <w:t xml:space="preserve">, </w:t>
      </w:r>
      <w:r w:rsidR="00B45E07" w:rsidRPr="00B45E07">
        <w:rPr>
          <w:lang w:val="en-IE"/>
        </w:rPr>
        <w:t xml:space="preserve">ELI: </w:t>
      </w:r>
      <w:hyperlink r:id="rId26" w:history="1">
        <w:r w:rsidR="009875DF" w:rsidRPr="00A95D61">
          <w:rPr>
            <w:rStyle w:val="Hyperlink"/>
            <w:lang w:val="en-IE"/>
          </w:rPr>
          <w:t>http://data.europa.eu/eli/reg/2024/3012/oj</w:t>
        </w:r>
      </w:hyperlink>
      <w:r>
        <w:rPr>
          <w:lang w:val="en-IE"/>
        </w:rPr>
        <w:t>).</w:t>
      </w:r>
    </w:p>
  </w:footnote>
  <w:footnote w:id="61">
    <w:p w14:paraId="7CF38D16" w14:textId="77777777" w:rsidR="00DD5EDB" w:rsidRPr="00620F3F" w:rsidRDefault="00DD5EDB">
      <w:pPr>
        <w:pStyle w:val="FootnoteText"/>
        <w:rPr>
          <w:lang w:val="en-US"/>
        </w:rPr>
      </w:pPr>
      <w:r>
        <w:rPr>
          <w:rStyle w:val="FootnoteReference"/>
        </w:rPr>
        <w:footnoteRef/>
      </w:r>
      <w:r>
        <w:rPr>
          <w:lang w:val="en-US"/>
        </w:rPr>
        <w:tab/>
      </w:r>
      <w:r w:rsidR="00A22772" w:rsidRPr="00A22772">
        <w:rPr>
          <w:lang w:val="en-US"/>
        </w:rPr>
        <w:t>Regulation (EU) 2024/3012 of the European Parliament and of the Council of 27 November 2024 establishing a Union certification framework for permanent carbon removals, carbon farming and carbon storage in products</w:t>
      </w:r>
      <w:r w:rsidR="00B45E07">
        <w:rPr>
          <w:lang w:val="en-US"/>
        </w:rPr>
        <w:t xml:space="preserve"> (</w:t>
      </w:r>
      <w:r w:rsidR="00B45E07" w:rsidRPr="00B45E07">
        <w:rPr>
          <w:lang w:val="en-US"/>
        </w:rPr>
        <w:t xml:space="preserve">ELI: </w:t>
      </w:r>
      <w:hyperlink r:id="rId27" w:history="1">
        <w:r w:rsidR="009875DF" w:rsidRPr="00A95D61">
          <w:rPr>
            <w:rStyle w:val="Hyperlink"/>
            <w:lang w:val="en-US"/>
          </w:rPr>
          <w:t>http://data.europa.eu/eli/reg/2024/3012/oj</w:t>
        </w:r>
      </w:hyperlink>
      <w:r w:rsidR="00B45E07">
        <w:rPr>
          <w:lang w:val="en-US"/>
        </w:rPr>
        <w:t>)</w:t>
      </w:r>
      <w:r w:rsidR="00A22772">
        <w:rPr>
          <w:lang w:val="en-US"/>
        </w:rPr>
        <w:t>.</w:t>
      </w:r>
    </w:p>
  </w:footnote>
  <w:footnote w:id="62">
    <w:p w14:paraId="7073A25A" w14:textId="2449EF23" w:rsidR="00A448B7" w:rsidRPr="00B97C25" w:rsidRDefault="00A448B7">
      <w:pPr>
        <w:pStyle w:val="FootnoteText"/>
        <w:rPr>
          <w:lang w:val="en-IE"/>
        </w:rPr>
      </w:pPr>
      <w:r>
        <w:rPr>
          <w:rStyle w:val="FootnoteReference"/>
        </w:rPr>
        <w:footnoteRef/>
      </w:r>
      <w:r>
        <w:rPr>
          <w:lang w:val="en-IE"/>
        </w:rPr>
        <w:tab/>
        <w:t>[Full reference to be added] COM(2026)595.</w:t>
      </w:r>
    </w:p>
  </w:footnote>
  <w:footnote w:id="63">
    <w:p w14:paraId="26787F34" w14:textId="77777777" w:rsidR="000D4BF6" w:rsidRPr="00FF4F52" w:rsidRDefault="000D4BF6" w:rsidP="000D4BF6">
      <w:pPr>
        <w:pStyle w:val="FootnoteText"/>
      </w:pPr>
      <w:r>
        <w:rPr>
          <w:rStyle w:val="FootnoteReference"/>
        </w:rPr>
        <w:footnoteRef/>
      </w:r>
      <w:r>
        <w:tab/>
      </w:r>
      <w:r w:rsidR="660AACA0" w:rsidRPr="00CB7D9A">
        <w:t>COM/2026/310 final</w:t>
      </w:r>
      <w:r w:rsidR="660AACA0">
        <w:t>.</w:t>
      </w:r>
    </w:p>
  </w:footnote>
  <w:footnote w:id="64">
    <w:p w14:paraId="77B4AB41" w14:textId="77777777" w:rsidR="00F84892" w:rsidRPr="00620F3F" w:rsidRDefault="00F84892" w:rsidP="00F84892">
      <w:pPr>
        <w:pStyle w:val="FootnoteText"/>
        <w:rPr>
          <w:lang w:val="en-IE"/>
        </w:rPr>
      </w:pPr>
      <w:r>
        <w:rPr>
          <w:rStyle w:val="FootnoteReference"/>
        </w:rPr>
        <w:footnoteRef/>
      </w:r>
      <w:r>
        <w:rPr>
          <w:lang w:val="en-IE"/>
        </w:rPr>
        <w:tab/>
      </w:r>
      <w:r w:rsidRPr="00F84892">
        <w:rPr>
          <w:lang w:val="en-IE"/>
        </w:rPr>
        <w:t xml:space="preserve">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w:t>
      </w:r>
      <w:r w:rsidR="00B45E07" w:rsidRPr="00B45E07">
        <w:rPr>
          <w:lang w:val="en-IE"/>
        </w:rPr>
        <w:t xml:space="preserve">(OJ L 328, 21.12.2018, pp. 1–77, ELI: </w:t>
      </w:r>
      <w:hyperlink r:id="rId28" w:history="1">
        <w:r w:rsidR="009875DF" w:rsidRPr="00A95D61">
          <w:rPr>
            <w:rStyle w:val="Hyperlink"/>
            <w:lang w:val="en-IE"/>
          </w:rPr>
          <w:t>http://data.europa.eu/eli/reg/2018/1999/oj</w:t>
        </w:r>
      </w:hyperlink>
      <w:r w:rsidR="00B45E07" w:rsidRPr="00B45E07">
        <w:rPr>
          <w:lang w:val="en-IE"/>
        </w:rPr>
        <w:t>).</w:t>
      </w:r>
    </w:p>
  </w:footnote>
  <w:footnote w:id="65">
    <w:p w14:paraId="691AD3BF" w14:textId="77777777" w:rsidR="00FF4F52" w:rsidRPr="00FF4F52" w:rsidRDefault="00FF4F52">
      <w:pPr>
        <w:pStyle w:val="FootnoteText"/>
      </w:pPr>
      <w:r>
        <w:rPr>
          <w:rStyle w:val="FootnoteReference"/>
        </w:rPr>
        <w:footnoteRef/>
      </w:r>
      <w:r>
        <w:tab/>
      </w:r>
      <w:r w:rsidRPr="00620F3F">
        <w:rPr>
          <w:lang w:val="en-IE"/>
        </w:rPr>
        <w:t>Commission Implementing Regulation (EU) 2019/1842 of 31 October 2019 laying down rules for the application of Directive 2003/87/EC of the European Parliament and of the Council as regards further arrangements for the adjustments to free allocation of emission allowances due to activity level changes</w:t>
      </w:r>
      <w:r>
        <w:rPr>
          <w:lang w:val="en-IE"/>
        </w:rPr>
        <w:t xml:space="preserve"> (</w:t>
      </w:r>
      <w:r w:rsidRPr="00FF0E21">
        <w:rPr>
          <w:lang w:val="en-IE"/>
        </w:rPr>
        <w:t>OJ L 282, 4.11.2019, pp. 20–24</w:t>
      </w:r>
      <w:r>
        <w:rPr>
          <w:lang w:val="en-IE"/>
        </w:rPr>
        <w:t>).</w:t>
      </w:r>
    </w:p>
  </w:footnote>
  <w:footnote w:id="66">
    <w:p w14:paraId="453A3F65" w14:textId="77777777" w:rsidR="00FF4F52" w:rsidRPr="00FF4F52" w:rsidRDefault="00FF4F52">
      <w:pPr>
        <w:pStyle w:val="FootnoteText"/>
      </w:pPr>
      <w:r>
        <w:rPr>
          <w:rStyle w:val="FootnoteReference"/>
        </w:rPr>
        <w:footnoteRef/>
      </w:r>
      <w:r>
        <w:tab/>
      </w:r>
      <w:r w:rsidRPr="00620F3F">
        <w:rPr>
          <w:lang w:val="en-IE"/>
        </w:rPr>
        <w:t xml:space="preserve">Regulation (EU) 2024/1735 of the European Parliament and of the Council of 13 June 2024 on establishing a framework of measures for strengthening Europe’s net-zero technology manufacturing ecosystem and amending Regulation (EU) 2018/1724 </w:t>
      </w:r>
      <w:r w:rsidRPr="002E115B">
        <w:rPr>
          <w:lang w:val="en-IE"/>
        </w:rPr>
        <w:t>(</w:t>
      </w:r>
      <w:r w:rsidRPr="00620F3F">
        <w:t>OJ L, 2024/1735, 28.6.2024, ELI: </w:t>
      </w:r>
      <w:hyperlink r:id="rId29" w:tgtFrame="_blank" w:tooltip="Gives access to this document through its ELI URI." w:history="1">
        <w:r w:rsidRPr="00620F3F">
          <w:rPr>
            <w:rStyle w:val="Hyperlink"/>
          </w:rPr>
          <w:t>http://data.europa.eu/eli/reg/2024/1735/oj</w:t>
        </w:r>
      </w:hyperlink>
      <w:r w:rsidRPr="00620F3F">
        <w:t>).</w:t>
      </w:r>
    </w:p>
  </w:footnote>
  <w:footnote w:id="67">
    <w:p w14:paraId="669EECF1" w14:textId="77777777" w:rsidR="00CA772A" w:rsidRPr="00CA772A" w:rsidRDefault="00CA772A">
      <w:pPr>
        <w:pStyle w:val="FootnoteText"/>
        <w:rPr>
          <w:lang w:val="en-IE"/>
        </w:rPr>
      </w:pPr>
      <w:r>
        <w:rPr>
          <w:rStyle w:val="FootnoteReference"/>
        </w:rPr>
        <w:footnoteRef/>
      </w:r>
      <w:r w:rsidRPr="00CA772A">
        <w:rPr>
          <w:lang w:val="en-IE"/>
        </w:rPr>
        <w:tab/>
      </w:r>
      <w:r w:rsidRPr="00CA772A">
        <w:t>Regulation (EU, Euratom) 2020/2092 of the European Parliament and of the Council of 16 December 2020 on a general regime of conditionality for the protection of the Union budget (OJ L 433I, 22.12.2020, p. 1)</w:t>
      </w:r>
      <w:r>
        <w:t>.</w:t>
      </w:r>
    </w:p>
  </w:footnote>
  <w:footnote w:id="68">
    <w:p w14:paraId="79F4BEED" w14:textId="77777777" w:rsidR="003675CC" w:rsidRPr="00620F3F" w:rsidRDefault="003675CC">
      <w:pPr>
        <w:pStyle w:val="FootnoteText"/>
        <w:rPr>
          <w:lang w:val="en-IE"/>
        </w:rPr>
      </w:pPr>
      <w:r>
        <w:rPr>
          <w:rStyle w:val="FootnoteReference"/>
        </w:rPr>
        <w:footnoteRef/>
      </w:r>
      <w:r>
        <w:rPr>
          <w:lang w:val="en-IE"/>
        </w:rPr>
        <w:tab/>
        <w:t>[OJ reference to be added once adopted].</w:t>
      </w:r>
    </w:p>
  </w:footnote>
  <w:footnote w:id="69">
    <w:p w14:paraId="3D4D8116" w14:textId="77777777" w:rsidR="003E619E" w:rsidRPr="00643E29" w:rsidRDefault="003E619E" w:rsidP="003E619E">
      <w:pPr>
        <w:pStyle w:val="FootnoteText"/>
      </w:pPr>
      <w:r>
        <w:rPr>
          <w:rStyle w:val="FootnoteReference"/>
        </w:rPr>
        <w:footnoteRef/>
      </w:r>
      <w:r>
        <w:tab/>
      </w:r>
      <w:r w:rsidRPr="00643E29">
        <w:t>Directive 2008/98/EC of the European Parliament and of the Council of 19 November 2008 on waste and repealing certain Directives</w:t>
      </w:r>
      <w:r>
        <w:t xml:space="preserve">. </w:t>
      </w:r>
    </w:p>
  </w:footnote>
  <w:footnote w:id="70">
    <w:p w14:paraId="615DED8D" w14:textId="77777777" w:rsidR="003B2E73" w:rsidRPr="00620F3F" w:rsidRDefault="003B2E73">
      <w:pPr>
        <w:pStyle w:val="FootnoteText"/>
        <w:rPr>
          <w:lang w:val="en-IE"/>
        </w:rPr>
      </w:pPr>
      <w:r>
        <w:rPr>
          <w:rStyle w:val="FootnoteReference"/>
        </w:rPr>
        <w:footnoteRef/>
      </w:r>
      <w:r>
        <w:rPr>
          <w:lang w:val="en-IE"/>
        </w:rPr>
        <w:tab/>
      </w:r>
      <w:r w:rsidR="00702EF6" w:rsidRPr="00702EF6">
        <w:rPr>
          <w:lang w:val="en-IE"/>
        </w:rPr>
        <w:t xml:space="preserve">In line with the interpretation of the Commission </w:t>
      </w:r>
      <w:r w:rsidR="00B03BC5">
        <w:rPr>
          <w:lang w:val="en-IE"/>
        </w:rPr>
        <w:t xml:space="preserve">set out </w:t>
      </w:r>
      <w:r w:rsidR="00702EF6" w:rsidRPr="00702EF6">
        <w:rPr>
          <w:lang w:val="en-IE"/>
        </w:rPr>
        <w:t xml:space="preserve">in </w:t>
      </w:r>
      <w:r w:rsidR="00702EF6" w:rsidRPr="00620F3F">
        <w:rPr>
          <w:i/>
          <w:lang w:val="en-IE"/>
        </w:rPr>
        <w:t xml:space="preserve">Guidance </w:t>
      </w:r>
      <w:r w:rsidR="00B03BC5" w:rsidRPr="00620F3F">
        <w:rPr>
          <w:i/>
          <w:iCs/>
          <w:lang w:val="en-IE"/>
        </w:rPr>
        <w:t>Document No.</w:t>
      </w:r>
      <w:r w:rsidR="00702EF6" w:rsidRPr="00620F3F">
        <w:rPr>
          <w:i/>
          <w:lang w:val="en-IE"/>
        </w:rPr>
        <w:t xml:space="preserve"> 0</w:t>
      </w:r>
      <w:r w:rsidR="00B03BC5" w:rsidRPr="00620F3F">
        <w:rPr>
          <w:i/>
          <w:iCs/>
          <w:lang w:val="en-IE"/>
        </w:rPr>
        <w:t>: Guidance on Interpretation of Annex I of the EU ETS Directive (excl. aviation and maritime activities)</w:t>
      </w:r>
      <w:r w:rsidR="00B03BC5" w:rsidRPr="00B03BC5">
        <w:rPr>
          <w:lang w:val="en-IE"/>
        </w:rPr>
        <w:t xml:space="preserve">: </w:t>
      </w:r>
      <w:hyperlink r:id="rId30" w:history="1">
        <w:r w:rsidR="00B03BC5" w:rsidRPr="00E834E9">
          <w:rPr>
            <w:rStyle w:val="Hyperlink"/>
            <w:lang w:val="en-IE"/>
          </w:rPr>
          <w:t>https://climate.ec.eu</w:t>
        </w:r>
        <w:r w:rsidR="00B03BC5" w:rsidRPr="00620F3F">
          <w:rPr>
            <w:rStyle w:val="Hyperlink"/>
          </w:rPr>
          <w:t>ropa.eu/document/edc93136-82a0-482c-bf47-39ecaf13b318_en</w:t>
        </w:r>
      </w:hyperlink>
      <w:r w:rsidR="00AF61E4">
        <w:t>.</w:t>
      </w:r>
      <w:r w:rsidR="00B03BC5" w:rsidRPr="00620F3F">
        <w:rPr>
          <w:lang w:val="en-IE"/>
        </w:rPr>
        <w:t xml:space="preserve"> </w:t>
      </w:r>
    </w:p>
  </w:footnote>
  <w:footnote w:id="71">
    <w:p w14:paraId="6B6F1BC7" w14:textId="77777777" w:rsidR="00EB2848" w:rsidRPr="00EB2848" w:rsidRDefault="00BA7AEF" w:rsidP="00EB2848">
      <w:pPr>
        <w:pStyle w:val="FootnoteText"/>
        <w:rPr>
          <w:lang w:val="en-IE"/>
        </w:rPr>
      </w:pPr>
      <w:r>
        <w:rPr>
          <w:rStyle w:val="FootnoteReference"/>
        </w:rPr>
        <w:footnoteRef/>
      </w:r>
      <w:r>
        <w:rPr>
          <w:lang w:val="en-IE"/>
        </w:rPr>
        <w:tab/>
      </w:r>
      <w:r w:rsidR="00EB2848" w:rsidRPr="00EB2848">
        <w:rPr>
          <w:lang w:val="en-IE"/>
        </w:rPr>
        <w:t xml:space="preserve">Directive 2008/98/EC of the European Parliament and of the Council of 19 November 2008 on waste and repealing certain Directives (OJ L 312, 22.11.2008, p. 3–30 </w:t>
      </w:r>
      <w:r w:rsidR="00EB2848">
        <w:rPr>
          <w:lang w:val="en-IE"/>
        </w:rPr>
        <w:t>(</w:t>
      </w:r>
      <w:r w:rsidR="00EB2848" w:rsidRPr="00EB2848">
        <w:rPr>
          <w:lang w:val="en-IE"/>
        </w:rPr>
        <w:t>ELI: http://data.europa.eu/eli/dir/2008/98/oj</w:t>
      </w:r>
      <w:r w:rsidR="00EB2848">
        <w:rPr>
          <w:lang w:val="en-IE"/>
        </w:rPr>
        <w:t>)</w:t>
      </w:r>
    </w:p>
    <w:p w14:paraId="20898E2B" w14:textId="77777777" w:rsidR="00BA7AEF" w:rsidRPr="00DE2C42" w:rsidRDefault="00BA7AEF">
      <w:pPr>
        <w:pStyle w:val="FootnoteText"/>
        <w:rPr>
          <w:lang w:val="en-IE"/>
        </w:rPr>
      </w:pPr>
    </w:p>
  </w:footnote>
  <w:footnote w:id="72">
    <w:p w14:paraId="581FB840" w14:textId="77777777" w:rsidR="00FF4F52" w:rsidRPr="00FF4F52" w:rsidRDefault="00FF4F52">
      <w:pPr>
        <w:pStyle w:val="FootnoteText"/>
      </w:pPr>
      <w:r>
        <w:rPr>
          <w:rStyle w:val="FootnoteReference"/>
        </w:rPr>
        <w:footnoteRef/>
      </w:r>
      <w:r>
        <w:tab/>
      </w:r>
      <w:r w:rsidRPr="00A261C5">
        <w:t>Directive (EU) 2018/2001 of the European Parliament and of the Council of 11 December 2018 on the promotion of the use of energy from renewable sources</w:t>
      </w:r>
      <w:r w:rsidR="00675B07">
        <w:t xml:space="preserve"> (</w:t>
      </w:r>
      <w:r w:rsidR="00675B07" w:rsidRPr="00675B07">
        <w:t>OJ L 328, 21.12.2018, pp. 82–209</w:t>
      </w:r>
      <w:r w:rsidR="00675B07">
        <w:t xml:space="preserve">, </w:t>
      </w:r>
      <w:r w:rsidR="00675B07" w:rsidRPr="00675B07">
        <w:t xml:space="preserve">ELI: </w:t>
      </w:r>
      <w:hyperlink r:id="rId31" w:history="1">
        <w:r w:rsidR="00675B07" w:rsidRPr="00E75248">
          <w:rPr>
            <w:rStyle w:val="Hyperlink"/>
          </w:rPr>
          <w:t>http://data.europa.eu/eli/dir/2018/2001/oj</w:t>
        </w:r>
      </w:hyperlink>
      <w:r w:rsidR="00675B07">
        <w:t>)</w:t>
      </w:r>
      <w:r>
        <w:t>.</w:t>
      </w:r>
    </w:p>
  </w:footnote>
  <w:footnote w:id="73">
    <w:p w14:paraId="53EC44AB" w14:textId="77777777" w:rsidR="00FF4F52" w:rsidRPr="00FF4F52" w:rsidRDefault="00FF4F52">
      <w:pPr>
        <w:pStyle w:val="FootnoteText"/>
      </w:pPr>
      <w:r>
        <w:rPr>
          <w:rStyle w:val="FootnoteReference"/>
        </w:rPr>
        <w:footnoteRef/>
      </w:r>
      <w:r>
        <w:tab/>
      </w:r>
      <w:r w:rsidRPr="00A261C5">
        <w:t>Directive (EU) 2018/2001 of the European Parliament and of the Council of 11 December 2018 on the promotion of the use of energy from renewable sources</w:t>
      </w:r>
      <w:r w:rsidR="00675B07">
        <w:t xml:space="preserve"> (</w:t>
      </w:r>
      <w:r w:rsidR="00675B07" w:rsidRPr="00675B07">
        <w:t>OJ L 328, 21.12.2018, pp. 82–209</w:t>
      </w:r>
      <w:r w:rsidR="00675B07">
        <w:t xml:space="preserve">, </w:t>
      </w:r>
      <w:r w:rsidR="00675B07" w:rsidRPr="00675B07">
        <w:t xml:space="preserve">ELI: </w:t>
      </w:r>
      <w:hyperlink r:id="rId32" w:history="1">
        <w:r w:rsidR="00675B07" w:rsidRPr="00E75248">
          <w:rPr>
            <w:rStyle w:val="Hyperlink"/>
          </w:rPr>
          <w:t>http://data.europa.eu/eli/dir/2018/2001/oj</w:t>
        </w:r>
      </w:hyperlink>
      <w:r w:rsidR="00675B07">
        <w:t>).</w:t>
      </w:r>
    </w:p>
  </w:footnote>
  <w:footnote w:id="74">
    <w:p w14:paraId="2A1330A9" w14:textId="77777777" w:rsidR="00522588" w:rsidRPr="00620F3F" w:rsidRDefault="00522588" w:rsidP="00522588">
      <w:pPr>
        <w:pStyle w:val="FootnoteText"/>
        <w:rPr>
          <w:lang w:val="fi-FI"/>
        </w:rPr>
      </w:pPr>
      <w:r>
        <w:rPr>
          <w:rStyle w:val="FootnoteReference"/>
        </w:rPr>
        <w:footnoteRef/>
      </w:r>
      <w:r w:rsidRPr="00620F3F">
        <w:rPr>
          <w:lang w:val="fi-FI"/>
        </w:rPr>
        <w:tab/>
        <w:t>OJ L 123, 12.5.2016, p</w:t>
      </w:r>
      <w:r w:rsidRPr="00977EC9">
        <w:rPr>
          <w:lang w:val="sv-SE"/>
        </w:rPr>
        <w:t xml:space="preserve">. </w:t>
      </w:r>
      <w:r w:rsidR="00F4727D" w:rsidRPr="00977EC9">
        <w:rPr>
          <w:lang w:val="sv-SE"/>
        </w:rPr>
        <w:t>1</w:t>
      </w:r>
      <w:r w:rsidR="00A865F3" w:rsidRPr="00977EC9">
        <w:rPr>
          <w:lang w:val="sv-SE"/>
        </w:rPr>
        <w:t xml:space="preserve">, </w:t>
      </w:r>
      <w:r w:rsidR="009904C8" w:rsidRPr="00620F3F">
        <w:rPr>
          <w:lang w:val="fi-FI"/>
        </w:rPr>
        <w:t xml:space="preserve">ELI: </w:t>
      </w:r>
      <w:hyperlink r:id="rId33" w:history="1">
        <w:r w:rsidR="006933C1" w:rsidRPr="00977EC9">
          <w:rPr>
            <w:rStyle w:val="Hyperlink"/>
            <w:lang w:val="sv-SE"/>
          </w:rPr>
          <w:t>http://data.europa.eu/eli/agree_interinstit/2016/512/oj</w:t>
        </w:r>
      </w:hyperlink>
      <w:r w:rsidR="005213A7" w:rsidRPr="00977EC9">
        <w:rPr>
          <w:lang w:val="sv-SE"/>
        </w:rPr>
        <w:t>.</w:t>
      </w:r>
    </w:p>
  </w:footnote>
  <w:footnote w:id="75">
    <w:p w14:paraId="3D3E8362" w14:textId="77777777" w:rsidR="008E53A8" w:rsidRPr="007706AF" w:rsidRDefault="008E53A8" w:rsidP="005213A7">
      <w:pPr>
        <w:pStyle w:val="FootnoteText"/>
        <w:rPr>
          <w:lang w:val="en-IE"/>
        </w:rPr>
      </w:pPr>
      <w:r>
        <w:rPr>
          <w:rStyle w:val="FootnoteReference"/>
        </w:rPr>
        <w:footnoteRef/>
      </w:r>
      <w:r>
        <w:rPr>
          <w:lang w:val="en-IE"/>
        </w:rPr>
        <w:tab/>
      </w:r>
      <w:r w:rsidR="005213A7" w:rsidRPr="005213A7">
        <w:rPr>
          <w:rStyle w:val="FootnoteReference"/>
          <w:vertAlign w:val="baseline"/>
          <w:lang w:val="en-IE"/>
        </w:rPr>
        <w:t>Joint Political Declaration of 28 September 2011 of Member States and the Commission on explanatory documents</w:t>
      </w:r>
      <w:r w:rsidR="005213A7" w:rsidRPr="005213A7">
        <w:rPr>
          <w:rStyle w:val="FootnoteReference"/>
          <w:vertAlign w:val="baseline"/>
        </w:rPr>
        <w:t xml:space="preserve"> </w:t>
      </w:r>
      <w:r w:rsidR="005213A7" w:rsidRPr="005213A7">
        <w:rPr>
          <w:rStyle w:val="FootnoteReference"/>
          <w:vertAlign w:val="baseline"/>
          <w:lang w:val="en-IE"/>
        </w:rPr>
        <w:t>(2011/C 369/02)</w:t>
      </w:r>
      <w:r w:rsidR="005213A7" w:rsidRPr="005213A7">
        <w:rPr>
          <w:rStyle w:val="FootnoteReference"/>
          <w:vertAlign w:val="baseline"/>
        </w:rPr>
        <w:t>.</w:t>
      </w:r>
    </w:p>
  </w:footnote>
  <w:footnote w:id="76">
    <w:p w14:paraId="22432517" w14:textId="77777777" w:rsidR="00CA772A" w:rsidRDefault="00CA772A" w:rsidP="00CA772A">
      <w:pPr>
        <w:pStyle w:val="FootnoteText"/>
      </w:pPr>
      <w:r>
        <w:rPr>
          <w:rStyle w:val="FootnoteReference"/>
        </w:rPr>
        <w:footnoteRef/>
      </w:r>
      <w:r w:rsidRPr="00CA772A">
        <w:rPr>
          <w:lang w:val="en-IE"/>
        </w:rPr>
        <w:tab/>
      </w:r>
      <w:r>
        <w:t>Decision (EU) 2015/1814 of the European Parliament and of the Council of 6 October 2015 concerning the establishment and operation of a market stability reserve for the Union greenhouse gas emission trading scheme and amending Directive 2003/87/EC (OJ L 264, 9.10.2015, p. 1, ELI: http://data.europa.eu/eli/dec/2015/1814/oj).</w:t>
      </w:r>
    </w:p>
    <w:p w14:paraId="04F298B5" w14:textId="77777777" w:rsidR="00CA772A" w:rsidRPr="00CA772A" w:rsidRDefault="00CA772A">
      <w:pPr>
        <w:pStyle w:val="FootnoteText"/>
      </w:pPr>
    </w:p>
  </w:footnote>
  <w:footnote w:id="77">
    <w:p w14:paraId="69D917D1" w14:textId="77777777" w:rsidR="006052EE" w:rsidRDefault="006052EE" w:rsidP="00445C9D">
      <w:pPr>
        <w:pStyle w:val="FootnoteText"/>
      </w:pPr>
      <w:r w:rsidRPr="00760368">
        <w:rPr>
          <w:rStyle w:val="FootnoteReference"/>
        </w:rPr>
        <w:footnoteRef/>
      </w:r>
      <w:r>
        <w:tab/>
        <w:t>As referred to in Article 58(2), point (a) or (b) of the Financial Regulation.</w:t>
      </w:r>
    </w:p>
  </w:footnote>
  <w:footnote w:id="78">
    <w:p w14:paraId="48739261" w14:textId="77777777" w:rsidR="00D30DDB" w:rsidRPr="00D30DDB" w:rsidRDefault="00D30DDB">
      <w:pPr>
        <w:pStyle w:val="FootnoteText"/>
        <w:rPr>
          <w:lang w:val="en-US"/>
        </w:rPr>
      </w:pPr>
      <w:r>
        <w:rPr>
          <w:rStyle w:val="FootnoteReference"/>
        </w:rPr>
        <w:footnoteRef/>
      </w:r>
      <w:r>
        <w:rPr>
          <w:lang w:val="en-US"/>
        </w:rPr>
        <w:tab/>
      </w:r>
      <w:r w:rsidRPr="00D30DDB">
        <w:rPr>
          <w:lang w:val="en-US"/>
        </w:rPr>
        <w:t>COM(2025)574 final. Proposal for a Council Decision on the system of own resources of the European Union and repealing Decision (EU, Euratom) 2020/2053</w:t>
      </w:r>
      <w:r>
        <w:rPr>
          <w:lang w:val="en-US"/>
        </w:rPr>
        <w:t xml:space="preserve">. </w:t>
      </w:r>
    </w:p>
  </w:footnote>
  <w:footnote w:id="79">
    <w:p w14:paraId="14C36AD5" w14:textId="77777777" w:rsidR="00D30DDB" w:rsidRPr="00D30DDB" w:rsidRDefault="00D30DDB">
      <w:pPr>
        <w:pStyle w:val="FootnoteText"/>
        <w:rPr>
          <w:lang w:val="en-US"/>
        </w:rPr>
      </w:pPr>
      <w:r>
        <w:rPr>
          <w:rStyle w:val="FootnoteReference"/>
        </w:rPr>
        <w:footnoteRef/>
      </w:r>
      <w:r>
        <w:rPr>
          <w:lang w:val="en-US"/>
        </w:rPr>
        <w:tab/>
      </w:r>
      <w:r w:rsidRPr="00D30DDB">
        <w:rPr>
          <w:lang w:val="en-US"/>
        </w:rPr>
        <w:t>It is proposed for the Modernisation Fund to continue as an off-budget programme.</w:t>
      </w:r>
    </w:p>
  </w:footnote>
  <w:footnote w:id="80">
    <w:p w14:paraId="27E62DD2" w14:textId="77777777" w:rsidR="00E67DD0" w:rsidRPr="00E67DD0" w:rsidRDefault="00E67DD0">
      <w:pPr>
        <w:pStyle w:val="FootnoteText"/>
        <w:rPr>
          <w:lang w:val="en-US"/>
        </w:rPr>
      </w:pPr>
      <w:r>
        <w:rPr>
          <w:rStyle w:val="FootnoteReference"/>
        </w:rPr>
        <w:footnoteRef/>
      </w:r>
      <w:r>
        <w:rPr>
          <w:lang w:val="en-US"/>
        </w:rPr>
        <w:tab/>
      </w:r>
      <w:r>
        <w:t>Diff. = Differentiated appropriations / Non-diff. = Non-differentiated appropriations.</w:t>
      </w:r>
    </w:p>
  </w:footnote>
  <w:footnote w:id="81">
    <w:p w14:paraId="44788CDB" w14:textId="77777777" w:rsidR="00E67DD0" w:rsidRPr="00E67DD0" w:rsidRDefault="00E67DD0">
      <w:pPr>
        <w:pStyle w:val="FootnoteText"/>
        <w:rPr>
          <w:lang w:val="en-US"/>
        </w:rPr>
      </w:pPr>
      <w:r>
        <w:rPr>
          <w:rStyle w:val="FootnoteReference"/>
        </w:rPr>
        <w:footnoteRef/>
      </w:r>
      <w:r>
        <w:rPr>
          <w:lang w:val="en-US"/>
        </w:rPr>
        <w:tab/>
      </w:r>
      <w:r>
        <w:t>EFTA: European Free Trade Association.</w:t>
      </w:r>
    </w:p>
  </w:footnote>
  <w:footnote w:id="82">
    <w:p w14:paraId="5FC096E8" w14:textId="77777777" w:rsidR="00E67DD0" w:rsidRPr="00E67DD0" w:rsidRDefault="00E67DD0">
      <w:pPr>
        <w:pStyle w:val="FootnoteText"/>
        <w:rPr>
          <w:lang w:val="en-US"/>
        </w:rPr>
      </w:pPr>
      <w:r>
        <w:rPr>
          <w:rStyle w:val="FootnoteReference"/>
        </w:rPr>
        <w:footnoteRef/>
      </w:r>
      <w:r>
        <w:rPr>
          <w:lang w:val="en-US"/>
        </w:rPr>
        <w:tab/>
      </w:r>
      <w:r>
        <w:t>Candidate countries and, where applicable, potential candidates from the Western Balkans.</w:t>
      </w:r>
    </w:p>
  </w:footnote>
  <w:footnote w:id="83">
    <w:p w14:paraId="7A6A2AF4" w14:textId="77777777" w:rsidR="00E67DD0" w:rsidRPr="00E67DD0" w:rsidRDefault="00E67DD0">
      <w:pPr>
        <w:pStyle w:val="FootnoteText"/>
        <w:rPr>
          <w:lang w:val="en-US"/>
        </w:rPr>
      </w:pPr>
      <w:r>
        <w:rPr>
          <w:rStyle w:val="FootnoteReference"/>
        </w:rPr>
        <w:footnoteRef/>
      </w:r>
      <w:r>
        <w:rPr>
          <w:lang w:val="en-US"/>
        </w:rPr>
        <w:tab/>
      </w:r>
      <w:r>
        <w:t>Diff. = Differentiated appropriations / Non-diff. = Non-differentiated appropriations.</w:t>
      </w:r>
    </w:p>
  </w:footnote>
  <w:footnote w:id="84">
    <w:p w14:paraId="55FEC953" w14:textId="77777777" w:rsidR="00E67DD0" w:rsidRPr="00E67DD0" w:rsidRDefault="00E67DD0">
      <w:pPr>
        <w:pStyle w:val="FootnoteText"/>
        <w:rPr>
          <w:lang w:val="en-US"/>
        </w:rPr>
      </w:pPr>
      <w:r>
        <w:rPr>
          <w:rStyle w:val="FootnoteReference"/>
        </w:rPr>
        <w:footnoteRef/>
      </w:r>
      <w:r>
        <w:rPr>
          <w:lang w:val="en-US"/>
        </w:rPr>
        <w:tab/>
      </w:r>
      <w:r>
        <w:t>EFTA: European Free Trade Association.</w:t>
      </w:r>
    </w:p>
  </w:footnote>
  <w:footnote w:id="85">
    <w:p w14:paraId="2A7E6A91" w14:textId="77777777" w:rsidR="00E67DD0" w:rsidRPr="00E67DD0" w:rsidRDefault="00E67DD0">
      <w:pPr>
        <w:pStyle w:val="FootnoteText"/>
        <w:rPr>
          <w:lang w:val="en-US"/>
        </w:rPr>
      </w:pPr>
      <w:r>
        <w:rPr>
          <w:rStyle w:val="FootnoteReference"/>
        </w:rPr>
        <w:footnoteRef/>
      </w:r>
      <w:r>
        <w:rPr>
          <w:lang w:val="en-US"/>
        </w:rPr>
        <w:tab/>
      </w:r>
      <w:r>
        <w:t>Candidate countries and, where applicable, potential candidates from the Western Balkans.</w:t>
      </w:r>
    </w:p>
  </w:footnote>
  <w:footnote w:id="86">
    <w:p w14:paraId="4ECB085A" w14:textId="77777777" w:rsidR="00E67DD0" w:rsidRPr="00E67DD0" w:rsidRDefault="00E67DD0">
      <w:pPr>
        <w:pStyle w:val="FootnoteText"/>
        <w:rPr>
          <w:lang w:val="en-US"/>
        </w:rPr>
      </w:pPr>
      <w:r>
        <w:rPr>
          <w:rStyle w:val="FootnoteReference"/>
        </w:rPr>
        <w:footnoteRef/>
      </w:r>
      <w:r>
        <w:rPr>
          <w:lang w:val="en-US"/>
        </w:rPr>
        <w:tab/>
      </w:r>
      <w:r w:rsidRPr="001A37C8">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87">
    <w:p w14:paraId="5E0C5011" w14:textId="77777777" w:rsidR="00E67DD0" w:rsidRPr="00E67DD0" w:rsidRDefault="00E67DD0">
      <w:pPr>
        <w:pStyle w:val="FootnoteText"/>
        <w:rPr>
          <w:lang w:val="en-US"/>
        </w:rPr>
      </w:pPr>
      <w:r>
        <w:rPr>
          <w:rStyle w:val="FootnoteReference"/>
        </w:rPr>
        <w:footnoteRef/>
      </w:r>
      <w:r>
        <w:rPr>
          <w:lang w:val="en-US"/>
        </w:rPr>
        <w:tab/>
      </w:r>
      <w:r w:rsidRPr="003F0F80">
        <w:rPr>
          <w:color w:val="374151"/>
          <w:sz w:val="18"/>
          <w:szCs w:val="18"/>
        </w:rPr>
        <w:t>The necessary appropriations should be determined using the annual average cost figures available on the appropriate BUDGpedia webpage</w:t>
      </w:r>
      <w:r>
        <w:rPr>
          <w:rFonts w:ascii="Segoe UI" w:hAnsi="Segoe UI" w:cs="Segoe UI"/>
          <w:color w:val="374151"/>
        </w:rPr>
        <w:t>.</w:t>
      </w:r>
    </w:p>
  </w:footnote>
  <w:footnote w:id="88">
    <w:p w14:paraId="1968812F" w14:textId="77777777" w:rsidR="00E67DD0" w:rsidRPr="00E67DD0" w:rsidRDefault="00E67DD0">
      <w:pPr>
        <w:pStyle w:val="FootnoteText"/>
        <w:rPr>
          <w:lang w:val="en-US"/>
        </w:rPr>
      </w:pPr>
      <w:r>
        <w:rPr>
          <w:rStyle w:val="FootnoteReference"/>
        </w:rPr>
        <w:footnoteRef/>
      </w:r>
      <w:r>
        <w:rPr>
          <w:lang w:val="en-US"/>
        </w:rPr>
        <w:tab/>
      </w:r>
      <w:r w:rsidRPr="007974DD">
        <w:rPr>
          <w:sz w:val="18"/>
          <w:szCs w:val="18"/>
        </w:rPr>
        <w:t>Technical and/or administrative assistance and expenditure in support of the implementation of EU programmes and/or actions (former ‘BA’ lines), indirect research, direct research.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23D8" w14:textId="77777777" w:rsidR="0055385F" w:rsidRPr="00F14618" w:rsidRDefault="0055385F" w:rsidP="00F146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36DEC" w14:textId="77777777" w:rsidR="0055385F" w:rsidRPr="00F14618" w:rsidRDefault="0055385F" w:rsidP="00F146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C353A" w14:textId="77777777" w:rsidR="0055385F" w:rsidRPr="00F14618" w:rsidRDefault="0055385F" w:rsidP="00F146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4794" w14:textId="77777777" w:rsidR="001F0211" w:rsidRDefault="001F02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DF81D" w14:textId="77777777" w:rsidR="001F0211" w:rsidRDefault="001F0211" w:rsidP="00F146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D3B5" w14:textId="77777777" w:rsidR="00F14618" w:rsidRPr="00F14618" w:rsidRDefault="00F14618" w:rsidP="00F14618">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A9F4B" w14:textId="77777777" w:rsidR="00F14618" w:rsidRPr="00F14618" w:rsidRDefault="00F14618" w:rsidP="00F14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EC53522"/>
    <w:multiLevelType w:val="hybridMultilevel"/>
    <w:tmpl w:val="24763204"/>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104E2C"/>
    <w:multiLevelType w:val="hybridMultilevel"/>
    <w:tmpl w:val="C5E20E26"/>
    <w:lvl w:ilvl="0" w:tplc="C22CB030">
      <w:start w:val="1"/>
      <w:numFmt w:val="lowerRoman"/>
      <w:pStyle w:val="Considrant1"/>
      <w:lvlText w:val="(%1)"/>
      <w:lvlJc w:val="left"/>
      <w:pPr>
        <w:ind w:left="1196" w:hanging="720"/>
      </w:pPr>
      <w:rPr>
        <w:rFonts w:hint="default"/>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A019C"/>
    <w:multiLevelType w:val="hybridMultilevel"/>
    <w:tmpl w:val="D47659AC"/>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4" w15:restartNumberingAfterBreak="0">
    <w:nsid w:val="7D0F7A7C"/>
    <w:multiLevelType w:val="hybridMultilevel"/>
    <w:tmpl w:val="65E6C84C"/>
    <w:name w:val="Point2"/>
    <w:lvl w:ilvl="0" w:tplc="C4B02A88">
      <w:start w:val="1"/>
      <w:numFmt w:val="lowerRoman"/>
      <w:pStyle w:val="Point2letter0"/>
      <w:lvlText w:val="(%1)"/>
      <w:lvlJc w:val="left"/>
      <w:pPr>
        <w:ind w:left="2137"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76029054">
    <w:abstractNumId w:val="0"/>
  </w:num>
  <w:num w:numId="2" w16cid:durableId="1711496627">
    <w:abstractNumId w:val="23"/>
  </w:num>
  <w:num w:numId="3" w16cid:durableId="1738742881">
    <w:abstractNumId w:val="9"/>
  </w:num>
  <w:num w:numId="4" w16cid:durableId="1204831205">
    <w:abstractNumId w:val="19"/>
  </w:num>
  <w:num w:numId="5" w16cid:durableId="1437672468">
    <w:abstractNumId w:val="18"/>
  </w:num>
  <w:num w:numId="6" w16cid:durableId="967199177">
    <w:abstractNumId w:val="30"/>
  </w:num>
  <w:num w:numId="7" w16cid:durableId="1176843123">
    <w:abstractNumId w:val="27"/>
  </w:num>
  <w:num w:numId="8" w16cid:durableId="1629585262">
    <w:abstractNumId w:val="31"/>
  </w:num>
  <w:num w:numId="9" w16cid:durableId="818838424">
    <w:abstractNumId w:val="32"/>
  </w:num>
  <w:num w:numId="10" w16cid:durableId="1929341727">
    <w:abstractNumId w:val="11"/>
  </w:num>
  <w:num w:numId="11" w16cid:durableId="325135934">
    <w:abstractNumId w:val="2"/>
  </w:num>
  <w:num w:numId="12" w16cid:durableId="138419469">
    <w:abstractNumId w:val="12"/>
  </w:num>
  <w:num w:numId="13" w16cid:durableId="2056276920">
    <w:abstractNumId w:val="10"/>
  </w:num>
  <w:num w:numId="14" w16cid:durableId="428962762">
    <w:abstractNumId w:val="20"/>
  </w:num>
  <w:num w:numId="15" w16cid:durableId="431896799">
    <w:abstractNumId w:val="8"/>
  </w:num>
  <w:num w:numId="16" w16cid:durableId="1330522199">
    <w:abstractNumId w:val="17"/>
  </w:num>
  <w:num w:numId="17" w16cid:durableId="1637831810">
    <w:abstractNumId w:val="24"/>
    <w:lvlOverride w:ilvl="0">
      <w:startOverride w:val="1"/>
    </w:lvlOverride>
  </w:num>
  <w:num w:numId="18" w16cid:durableId="496458578">
    <w:abstractNumId w:val="1"/>
  </w:num>
  <w:num w:numId="19" w16cid:durableId="1951889561">
    <w:abstractNumId w:val="4"/>
  </w:num>
  <w:num w:numId="20" w16cid:durableId="50077066">
    <w:abstractNumId w:val="21"/>
  </w:num>
  <w:num w:numId="21" w16cid:durableId="167446992">
    <w:abstractNumId w:val="34"/>
  </w:num>
  <w:num w:numId="22" w16cid:durableId="543490855">
    <w:abstractNumId w:val="25"/>
    <w:lvlOverride w:ilvl="0">
      <w:startOverride w:val="1"/>
    </w:lvlOverride>
  </w:num>
  <w:num w:numId="23" w16cid:durableId="5266759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4130973">
    <w:abstractNumId w:val="16"/>
    <w:lvlOverride w:ilvl="0">
      <w:startOverride w:val="1"/>
    </w:lvlOverride>
  </w:num>
  <w:num w:numId="25" w16cid:durableId="6921955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29666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80566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8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16277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91414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23330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506576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176361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563639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40242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8414097">
    <w:abstractNumId w:val="34"/>
    <w:lvlOverride w:ilvl="0">
      <w:startOverride w:val="1"/>
    </w:lvlOverride>
  </w:num>
  <w:num w:numId="37" w16cid:durableId="1366509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77417806">
    <w:abstractNumId w:val="25"/>
    <w:lvlOverride w:ilvl="0">
      <w:startOverride w:val="1"/>
    </w:lvlOverride>
  </w:num>
  <w:num w:numId="39" w16cid:durableId="1954091123">
    <w:abstractNumId w:val="33"/>
    <w:lvlOverride w:ilvl="0">
      <w:startOverride w:val="1"/>
    </w:lvlOverride>
  </w:num>
  <w:num w:numId="40" w16cid:durableId="11555364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52118854">
    <w:abstractNumId w:val="29"/>
    <w:lvlOverride w:ilvl="0">
      <w:startOverride w:val="1"/>
    </w:lvlOverride>
  </w:num>
  <w:num w:numId="42" w16cid:durableId="2089693441">
    <w:abstractNumId w:val="26"/>
  </w:num>
  <w:num w:numId="43" w16cid:durableId="1693998065">
    <w:abstractNumId w:val="13"/>
  </w:num>
  <w:num w:numId="44" w16cid:durableId="788817884">
    <w:abstractNumId w:val="29"/>
  </w:num>
  <w:num w:numId="45" w16cid:durableId="1535464848">
    <w:abstractNumId w:val="7"/>
  </w:num>
  <w:num w:numId="46" w16cid:durableId="639657071">
    <w:abstractNumId w:val="14"/>
  </w:num>
  <w:num w:numId="47" w16cid:durableId="361050661">
    <w:abstractNumId w:val="15"/>
  </w:num>
  <w:num w:numId="48" w16cid:durableId="472790552">
    <w:abstractNumId w:val="5"/>
  </w:num>
  <w:num w:numId="49" w16cid:durableId="384646725">
    <w:abstractNumId w:val="28"/>
  </w:num>
  <w:num w:numId="50" w16cid:durableId="2031682509">
    <w:abstractNumId w:val="3"/>
  </w:num>
  <w:num w:numId="51" w16cid:durableId="150604668">
    <w:abstractNumId w:val="16"/>
  </w:num>
  <w:num w:numId="52" w16cid:durableId="472332852">
    <w:abstractNumId w:val="24"/>
  </w:num>
  <w:num w:numId="53" w16cid:durableId="1298296966">
    <w:abstractNumId w:val="25"/>
  </w:num>
  <w:num w:numId="54" w16cid:durableId="1306230484">
    <w:abstractNumId w:val="6"/>
  </w:num>
  <w:num w:numId="55" w16cid:durableId="24066917">
    <w:abstractNumId w:val="22"/>
  </w:num>
  <w:num w:numId="56" w16cid:durableId="485436588">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removePersonalInformation/>
  <w:removeDateAndTime/>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7-17 12:15: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5E0189A-25A1-4FC7-8908-12FE58E009B0"/>
    <w:docVar w:name="LW_COVERPAGE_TYPE" w:val="1"/>
    <w:docVar w:name="LW_CreatedUtc" w:val="2026-06-18T09:04:26.4778236Z"/>
    <w:docVar w:name="LW_CROSSREFERENCE" w:val="{COM(2026) 619 final} - {COM(2026) 620 final} - {SEC(2026) 616 final} - {SWD(2026) 616 final} - {SWD(2026) 617 final} - {SWD(2026) 618 final}"/>
    <w:docVar w:name="LW_DocType" w:val="COM"/>
    <w:docVar w:name="LW_EMISSION" w:val="17.7.2026"/>
    <w:docVar w:name="LW_EMISSION_ISODATE" w:val="2026-07-17"/>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12"/>
    <w:docVar w:name="LW_REF.II.NEW.CP_YEAR" w:val="2026"/>
    <w:docVar w:name="LW_REF.INST.NEW" w:val="COM"/>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Directive 2003/87/EC and Decision (EU) 2015/1814 as regards driving competitiveness and cost-effective decarbonisation"/>
    <w:docVar w:name="LW_TYPE.DOC.CP" w:val="DIRECTIVE OF THE EUROPEAN PARLIAMENT AND OF THE COUNCIL"/>
    <w:docVar w:name="LwApiVersions" w:val="LW4CoDe 1.24.5.0; LW 9.2, Build 20251112"/>
  </w:docVars>
  <w:rsids>
    <w:rsidRoot w:val="006052EE"/>
    <w:rsid w:val="000002CC"/>
    <w:rsid w:val="000002F1"/>
    <w:rsid w:val="00000339"/>
    <w:rsid w:val="00000843"/>
    <w:rsid w:val="00000F13"/>
    <w:rsid w:val="0000137A"/>
    <w:rsid w:val="000019F6"/>
    <w:rsid w:val="00001B6D"/>
    <w:rsid w:val="00001C3D"/>
    <w:rsid w:val="00002215"/>
    <w:rsid w:val="0000238F"/>
    <w:rsid w:val="00002452"/>
    <w:rsid w:val="0000292E"/>
    <w:rsid w:val="00002DB8"/>
    <w:rsid w:val="00002F0D"/>
    <w:rsid w:val="00003095"/>
    <w:rsid w:val="000030FC"/>
    <w:rsid w:val="000034EE"/>
    <w:rsid w:val="00003AD8"/>
    <w:rsid w:val="000045FF"/>
    <w:rsid w:val="000051D4"/>
    <w:rsid w:val="00005407"/>
    <w:rsid w:val="000056B2"/>
    <w:rsid w:val="00005F13"/>
    <w:rsid w:val="00006111"/>
    <w:rsid w:val="00006256"/>
    <w:rsid w:val="0000687C"/>
    <w:rsid w:val="0000695C"/>
    <w:rsid w:val="00006999"/>
    <w:rsid w:val="000069B7"/>
    <w:rsid w:val="00006C63"/>
    <w:rsid w:val="000070E5"/>
    <w:rsid w:val="00007197"/>
    <w:rsid w:val="000077C1"/>
    <w:rsid w:val="00007A4D"/>
    <w:rsid w:val="00007AD0"/>
    <w:rsid w:val="00010278"/>
    <w:rsid w:val="000105EA"/>
    <w:rsid w:val="00010690"/>
    <w:rsid w:val="000106F1"/>
    <w:rsid w:val="0001088A"/>
    <w:rsid w:val="00010D13"/>
    <w:rsid w:val="00010E8D"/>
    <w:rsid w:val="000110A4"/>
    <w:rsid w:val="00011228"/>
    <w:rsid w:val="0001131C"/>
    <w:rsid w:val="000116A7"/>
    <w:rsid w:val="000118ED"/>
    <w:rsid w:val="00011FD8"/>
    <w:rsid w:val="000120D9"/>
    <w:rsid w:val="000126A8"/>
    <w:rsid w:val="0001299B"/>
    <w:rsid w:val="00012CED"/>
    <w:rsid w:val="00012E30"/>
    <w:rsid w:val="00012EEE"/>
    <w:rsid w:val="0001301D"/>
    <w:rsid w:val="00013456"/>
    <w:rsid w:val="000138A2"/>
    <w:rsid w:val="00013B92"/>
    <w:rsid w:val="00013CAE"/>
    <w:rsid w:val="00013F20"/>
    <w:rsid w:val="00013FD0"/>
    <w:rsid w:val="000141D7"/>
    <w:rsid w:val="0001447D"/>
    <w:rsid w:val="000145BC"/>
    <w:rsid w:val="00014C3B"/>
    <w:rsid w:val="00014D48"/>
    <w:rsid w:val="00014E33"/>
    <w:rsid w:val="000150F0"/>
    <w:rsid w:val="00015175"/>
    <w:rsid w:val="0001521A"/>
    <w:rsid w:val="0001543A"/>
    <w:rsid w:val="00015E1C"/>
    <w:rsid w:val="00015F20"/>
    <w:rsid w:val="0001619F"/>
    <w:rsid w:val="00016949"/>
    <w:rsid w:val="00016BA0"/>
    <w:rsid w:val="000172A2"/>
    <w:rsid w:val="00017590"/>
    <w:rsid w:val="0001781A"/>
    <w:rsid w:val="000178A9"/>
    <w:rsid w:val="00017B1D"/>
    <w:rsid w:val="00017BF1"/>
    <w:rsid w:val="00017C85"/>
    <w:rsid w:val="0002004C"/>
    <w:rsid w:val="000200E0"/>
    <w:rsid w:val="00020271"/>
    <w:rsid w:val="000205B8"/>
    <w:rsid w:val="00020819"/>
    <w:rsid w:val="00020CE2"/>
    <w:rsid w:val="00020D82"/>
    <w:rsid w:val="00020F6C"/>
    <w:rsid w:val="0002100A"/>
    <w:rsid w:val="000212BA"/>
    <w:rsid w:val="00021783"/>
    <w:rsid w:val="00021C6C"/>
    <w:rsid w:val="00021FCD"/>
    <w:rsid w:val="00022056"/>
    <w:rsid w:val="00023172"/>
    <w:rsid w:val="00023BED"/>
    <w:rsid w:val="00023ED6"/>
    <w:rsid w:val="00024200"/>
    <w:rsid w:val="0002467E"/>
    <w:rsid w:val="00024935"/>
    <w:rsid w:val="00024F93"/>
    <w:rsid w:val="00024FA7"/>
    <w:rsid w:val="000253DA"/>
    <w:rsid w:val="0002548D"/>
    <w:rsid w:val="000254E0"/>
    <w:rsid w:val="0002598E"/>
    <w:rsid w:val="000259B2"/>
    <w:rsid w:val="00025FAA"/>
    <w:rsid w:val="000262B3"/>
    <w:rsid w:val="000263B3"/>
    <w:rsid w:val="0002660F"/>
    <w:rsid w:val="00026A82"/>
    <w:rsid w:val="00026BA7"/>
    <w:rsid w:val="00027118"/>
    <w:rsid w:val="00027A33"/>
    <w:rsid w:val="00027D35"/>
    <w:rsid w:val="00027E5C"/>
    <w:rsid w:val="00027EE0"/>
    <w:rsid w:val="00027EEB"/>
    <w:rsid w:val="00027FC8"/>
    <w:rsid w:val="000301AE"/>
    <w:rsid w:val="0003022A"/>
    <w:rsid w:val="0003034B"/>
    <w:rsid w:val="00030D36"/>
    <w:rsid w:val="00030D9A"/>
    <w:rsid w:val="00030EB0"/>
    <w:rsid w:val="00030FE4"/>
    <w:rsid w:val="00031162"/>
    <w:rsid w:val="00031929"/>
    <w:rsid w:val="00031B40"/>
    <w:rsid w:val="00031BA7"/>
    <w:rsid w:val="00031DE8"/>
    <w:rsid w:val="00031E08"/>
    <w:rsid w:val="000330BD"/>
    <w:rsid w:val="000331CA"/>
    <w:rsid w:val="00033BC9"/>
    <w:rsid w:val="00033D2B"/>
    <w:rsid w:val="000343EF"/>
    <w:rsid w:val="0003468D"/>
    <w:rsid w:val="00034AE8"/>
    <w:rsid w:val="00034FA9"/>
    <w:rsid w:val="000354C6"/>
    <w:rsid w:val="00035524"/>
    <w:rsid w:val="000356A3"/>
    <w:rsid w:val="000357EF"/>
    <w:rsid w:val="00035F27"/>
    <w:rsid w:val="00035F61"/>
    <w:rsid w:val="00035F6A"/>
    <w:rsid w:val="000360D4"/>
    <w:rsid w:val="0003623B"/>
    <w:rsid w:val="0003627D"/>
    <w:rsid w:val="00036338"/>
    <w:rsid w:val="00036454"/>
    <w:rsid w:val="00036548"/>
    <w:rsid w:val="00036E62"/>
    <w:rsid w:val="00036FAA"/>
    <w:rsid w:val="00037256"/>
    <w:rsid w:val="000373F4"/>
    <w:rsid w:val="000379EC"/>
    <w:rsid w:val="00037CB5"/>
    <w:rsid w:val="00037D1A"/>
    <w:rsid w:val="00037DE6"/>
    <w:rsid w:val="00037F09"/>
    <w:rsid w:val="00037FEE"/>
    <w:rsid w:val="000403CA"/>
    <w:rsid w:val="00040741"/>
    <w:rsid w:val="00041066"/>
    <w:rsid w:val="00041693"/>
    <w:rsid w:val="00041C79"/>
    <w:rsid w:val="00041D0C"/>
    <w:rsid w:val="00041D27"/>
    <w:rsid w:val="00041EE1"/>
    <w:rsid w:val="0004243F"/>
    <w:rsid w:val="0004282C"/>
    <w:rsid w:val="00042970"/>
    <w:rsid w:val="00042EFD"/>
    <w:rsid w:val="00042FD0"/>
    <w:rsid w:val="000430D8"/>
    <w:rsid w:val="00043264"/>
    <w:rsid w:val="00043300"/>
    <w:rsid w:val="00043988"/>
    <w:rsid w:val="00043B41"/>
    <w:rsid w:val="00043C1E"/>
    <w:rsid w:val="0004461D"/>
    <w:rsid w:val="000446B2"/>
    <w:rsid w:val="00044A8F"/>
    <w:rsid w:val="00044B0A"/>
    <w:rsid w:val="00044C4C"/>
    <w:rsid w:val="00044E2D"/>
    <w:rsid w:val="00045298"/>
    <w:rsid w:val="00045F1B"/>
    <w:rsid w:val="000463FF"/>
    <w:rsid w:val="0004661E"/>
    <w:rsid w:val="0004665D"/>
    <w:rsid w:val="00046CFC"/>
    <w:rsid w:val="00046DFE"/>
    <w:rsid w:val="00046E19"/>
    <w:rsid w:val="00047082"/>
    <w:rsid w:val="00047734"/>
    <w:rsid w:val="000477F2"/>
    <w:rsid w:val="00047BB0"/>
    <w:rsid w:val="00047BEF"/>
    <w:rsid w:val="00047E7F"/>
    <w:rsid w:val="000505E0"/>
    <w:rsid w:val="0005068F"/>
    <w:rsid w:val="0005091E"/>
    <w:rsid w:val="00050A91"/>
    <w:rsid w:val="00050CB4"/>
    <w:rsid w:val="00050FC1"/>
    <w:rsid w:val="000515ED"/>
    <w:rsid w:val="00051D94"/>
    <w:rsid w:val="00051DCF"/>
    <w:rsid w:val="00051E5A"/>
    <w:rsid w:val="00052076"/>
    <w:rsid w:val="000521C9"/>
    <w:rsid w:val="000525D1"/>
    <w:rsid w:val="000527D8"/>
    <w:rsid w:val="0005284F"/>
    <w:rsid w:val="0005287A"/>
    <w:rsid w:val="000529F1"/>
    <w:rsid w:val="00052BA4"/>
    <w:rsid w:val="00052C75"/>
    <w:rsid w:val="00052EA7"/>
    <w:rsid w:val="00053143"/>
    <w:rsid w:val="00053331"/>
    <w:rsid w:val="00053341"/>
    <w:rsid w:val="000536C0"/>
    <w:rsid w:val="00053707"/>
    <w:rsid w:val="00053B33"/>
    <w:rsid w:val="00053CF4"/>
    <w:rsid w:val="00053DCB"/>
    <w:rsid w:val="000541BD"/>
    <w:rsid w:val="000543F0"/>
    <w:rsid w:val="0005475B"/>
    <w:rsid w:val="00054790"/>
    <w:rsid w:val="0005479F"/>
    <w:rsid w:val="00054858"/>
    <w:rsid w:val="000548AD"/>
    <w:rsid w:val="00054B79"/>
    <w:rsid w:val="00054FB3"/>
    <w:rsid w:val="00055130"/>
    <w:rsid w:val="0005547E"/>
    <w:rsid w:val="00055BD0"/>
    <w:rsid w:val="00056369"/>
    <w:rsid w:val="0005642A"/>
    <w:rsid w:val="00056438"/>
    <w:rsid w:val="0005645E"/>
    <w:rsid w:val="000564F3"/>
    <w:rsid w:val="000569A5"/>
    <w:rsid w:val="00056CDF"/>
    <w:rsid w:val="00056FA0"/>
    <w:rsid w:val="000578A1"/>
    <w:rsid w:val="000578F3"/>
    <w:rsid w:val="00057C43"/>
    <w:rsid w:val="00057D97"/>
    <w:rsid w:val="00057FC8"/>
    <w:rsid w:val="000606EA"/>
    <w:rsid w:val="00060C1D"/>
    <w:rsid w:val="00060DE7"/>
    <w:rsid w:val="00060E5E"/>
    <w:rsid w:val="00060F48"/>
    <w:rsid w:val="00061359"/>
    <w:rsid w:val="00061AB0"/>
    <w:rsid w:val="00061D7B"/>
    <w:rsid w:val="00062244"/>
    <w:rsid w:val="000625BF"/>
    <w:rsid w:val="0006282A"/>
    <w:rsid w:val="000632A7"/>
    <w:rsid w:val="00063380"/>
    <w:rsid w:val="00063405"/>
    <w:rsid w:val="00063446"/>
    <w:rsid w:val="00063A82"/>
    <w:rsid w:val="00063AE8"/>
    <w:rsid w:val="000641E0"/>
    <w:rsid w:val="00064764"/>
    <w:rsid w:val="00064844"/>
    <w:rsid w:val="00064E56"/>
    <w:rsid w:val="00064F9C"/>
    <w:rsid w:val="0006513F"/>
    <w:rsid w:val="00065221"/>
    <w:rsid w:val="00065787"/>
    <w:rsid w:val="00066240"/>
    <w:rsid w:val="0006625F"/>
    <w:rsid w:val="0006641D"/>
    <w:rsid w:val="00066454"/>
    <w:rsid w:val="000668B0"/>
    <w:rsid w:val="0006695C"/>
    <w:rsid w:val="00066970"/>
    <w:rsid w:val="000669D5"/>
    <w:rsid w:val="00066A56"/>
    <w:rsid w:val="00066B21"/>
    <w:rsid w:val="00066C70"/>
    <w:rsid w:val="00067471"/>
    <w:rsid w:val="00067477"/>
    <w:rsid w:val="0006758F"/>
    <w:rsid w:val="0006761B"/>
    <w:rsid w:val="00067802"/>
    <w:rsid w:val="00067D20"/>
    <w:rsid w:val="00067ECC"/>
    <w:rsid w:val="00070131"/>
    <w:rsid w:val="0007033D"/>
    <w:rsid w:val="0007039B"/>
    <w:rsid w:val="000706AB"/>
    <w:rsid w:val="00070AA0"/>
    <w:rsid w:val="00070F0B"/>
    <w:rsid w:val="000711F8"/>
    <w:rsid w:val="00071A8D"/>
    <w:rsid w:val="00071BDE"/>
    <w:rsid w:val="00071C57"/>
    <w:rsid w:val="00071D21"/>
    <w:rsid w:val="00071F61"/>
    <w:rsid w:val="00071FB5"/>
    <w:rsid w:val="0007208C"/>
    <w:rsid w:val="0007251D"/>
    <w:rsid w:val="00073180"/>
    <w:rsid w:val="00073813"/>
    <w:rsid w:val="00073AC4"/>
    <w:rsid w:val="00074287"/>
    <w:rsid w:val="00074A73"/>
    <w:rsid w:val="00074B6E"/>
    <w:rsid w:val="00074BDD"/>
    <w:rsid w:val="00074DD5"/>
    <w:rsid w:val="00074ECD"/>
    <w:rsid w:val="0007520D"/>
    <w:rsid w:val="00075288"/>
    <w:rsid w:val="000753A2"/>
    <w:rsid w:val="00075426"/>
    <w:rsid w:val="00075853"/>
    <w:rsid w:val="00075870"/>
    <w:rsid w:val="00076574"/>
    <w:rsid w:val="00076680"/>
    <w:rsid w:val="000769E6"/>
    <w:rsid w:val="00076C9F"/>
    <w:rsid w:val="00076F0B"/>
    <w:rsid w:val="00077BC8"/>
    <w:rsid w:val="00077DAE"/>
    <w:rsid w:val="00077F40"/>
    <w:rsid w:val="0008032B"/>
    <w:rsid w:val="00080537"/>
    <w:rsid w:val="00080559"/>
    <w:rsid w:val="00080658"/>
    <w:rsid w:val="00080904"/>
    <w:rsid w:val="00080BD7"/>
    <w:rsid w:val="00080CD3"/>
    <w:rsid w:val="000810EA"/>
    <w:rsid w:val="00081334"/>
    <w:rsid w:val="0008138F"/>
    <w:rsid w:val="000816A4"/>
    <w:rsid w:val="0008205B"/>
    <w:rsid w:val="000820B0"/>
    <w:rsid w:val="0008223D"/>
    <w:rsid w:val="000822F0"/>
    <w:rsid w:val="00082423"/>
    <w:rsid w:val="00082862"/>
    <w:rsid w:val="000828A0"/>
    <w:rsid w:val="00083307"/>
    <w:rsid w:val="0008335B"/>
    <w:rsid w:val="00083575"/>
    <w:rsid w:val="0008397D"/>
    <w:rsid w:val="00083C6B"/>
    <w:rsid w:val="00083CE7"/>
    <w:rsid w:val="00083E55"/>
    <w:rsid w:val="0008417E"/>
    <w:rsid w:val="000845B8"/>
    <w:rsid w:val="00084961"/>
    <w:rsid w:val="00084BBD"/>
    <w:rsid w:val="00084DAE"/>
    <w:rsid w:val="00084EBE"/>
    <w:rsid w:val="00084EF6"/>
    <w:rsid w:val="00085006"/>
    <w:rsid w:val="000853A0"/>
    <w:rsid w:val="0008570B"/>
    <w:rsid w:val="0008597E"/>
    <w:rsid w:val="00085FF8"/>
    <w:rsid w:val="0008613D"/>
    <w:rsid w:val="000862DC"/>
    <w:rsid w:val="00086783"/>
    <w:rsid w:val="00086A25"/>
    <w:rsid w:val="00086F6C"/>
    <w:rsid w:val="0008762A"/>
    <w:rsid w:val="00087771"/>
    <w:rsid w:val="00087880"/>
    <w:rsid w:val="000878F1"/>
    <w:rsid w:val="00087A94"/>
    <w:rsid w:val="00087D82"/>
    <w:rsid w:val="0009058B"/>
    <w:rsid w:val="000905CE"/>
    <w:rsid w:val="000905E1"/>
    <w:rsid w:val="000906C9"/>
    <w:rsid w:val="000908AC"/>
    <w:rsid w:val="000908DD"/>
    <w:rsid w:val="000909FB"/>
    <w:rsid w:val="00090A52"/>
    <w:rsid w:val="00090B24"/>
    <w:rsid w:val="00091166"/>
    <w:rsid w:val="000914A2"/>
    <w:rsid w:val="000916A8"/>
    <w:rsid w:val="00091920"/>
    <w:rsid w:val="000919CF"/>
    <w:rsid w:val="000920F5"/>
    <w:rsid w:val="00092741"/>
    <w:rsid w:val="00093297"/>
    <w:rsid w:val="000936B7"/>
    <w:rsid w:val="00093712"/>
    <w:rsid w:val="00093B62"/>
    <w:rsid w:val="00094005"/>
    <w:rsid w:val="0009471D"/>
    <w:rsid w:val="00094975"/>
    <w:rsid w:val="00095180"/>
    <w:rsid w:val="0009519B"/>
    <w:rsid w:val="00095280"/>
    <w:rsid w:val="000956B1"/>
    <w:rsid w:val="000956EE"/>
    <w:rsid w:val="000965CD"/>
    <w:rsid w:val="00096704"/>
    <w:rsid w:val="000969C3"/>
    <w:rsid w:val="00096B5A"/>
    <w:rsid w:val="00096B94"/>
    <w:rsid w:val="00096CED"/>
    <w:rsid w:val="00096D73"/>
    <w:rsid w:val="00096DF6"/>
    <w:rsid w:val="00097050"/>
    <w:rsid w:val="00097083"/>
    <w:rsid w:val="00097230"/>
    <w:rsid w:val="0009730B"/>
    <w:rsid w:val="000974BB"/>
    <w:rsid w:val="00097FA1"/>
    <w:rsid w:val="000A011C"/>
    <w:rsid w:val="000A03A6"/>
    <w:rsid w:val="000A0899"/>
    <w:rsid w:val="000A0CF5"/>
    <w:rsid w:val="000A11B2"/>
    <w:rsid w:val="000A14DB"/>
    <w:rsid w:val="000A158B"/>
    <w:rsid w:val="000A194B"/>
    <w:rsid w:val="000A1B1F"/>
    <w:rsid w:val="000A1B89"/>
    <w:rsid w:val="000A1DA7"/>
    <w:rsid w:val="000A1FB9"/>
    <w:rsid w:val="000A20FE"/>
    <w:rsid w:val="000A2161"/>
    <w:rsid w:val="000A2501"/>
    <w:rsid w:val="000A2BF5"/>
    <w:rsid w:val="000A2EF0"/>
    <w:rsid w:val="000A31C8"/>
    <w:rsid w:val="000A33D3"/>
    <w:rsid w:val="000A3CD7"/>
    <w:rsid w:val="000A3D4B"/>
    <w:rsid w:val="000A3FD6"/>
    <w:rsid w:val="000A47AC"/>
    <w:rsid w:val="000A4C23"/>
    <w:rsid w:val="000A512B"/>
    <w:rsid w:val="000A5557"/>
    <w:rsid w:val="000A569D"/>
    <w:rsid w:val="000A56B0"/>
    <w:rsid w:val="000A5DC1"/>
    <w:rsid w:val="000A5F6D"/>
    <w:rsid w:val="000A625B"/>
    <w:rsid w:val="000A6368"/>
    <w:rsid w:val="000A63ED"/>
    <w:rsid w:val="000A651D"/>
    <w:rsid w:val="000A6520"/>
    <w:rsid w:val="000A69FF"/>
    <w:rsid w:val="000A6A1B"/>
    <w:rsid w:val="000A6A40"/>
    <w:rsid w:val="000A6CC9"/>
    <w:rsid w:val="000A6DF2"/>
    <w:rsid w:val="000A6E20"/>
    <w:rsid w:val="000A6E62"/>
    <w:rsid w:val="000A70EF"/>
    <w:rsid w:val="000A75AA"/>
    <w:rsid w:val="000A7643"/>
    <w:rsid w:val="000A7888"/>
    <w:rsid w:val="000A7BEC"/>
    <w:rsid w:val="000B0100"/>
    <w:rsid w:val="000B0883"/>
    <w:rsid w:val="000B0AA1"/>
    <w:rsid w:val="000B0E04"/>
    <w:rsid w:val="000B0E9E"/>
    <w:rsid w:val="000B0EF6"/>
    <w:rsid w:val="000B1314"/>
    <w:rsid w:val="000B14A7"/>
    <w:rsid w:val="000B14CC"/>
    <w:rsid w:val="000B1568"/>
    <w:rsid w:val="000B15C0"/>
    <w:rsid w:val="000B179C"/>
    <w:rsid w:val="000B1C22"/>
    <w:rsid w:val="000B1E95"/>
    <w:rsid w:val="000B2028"/>
    <w:rsid w:val="000B21D3"/>
    <w:rsid w:val="000B2269"/>
    <w:rsid w:val="000B26A5"/>
    <w:rsid w:val="000B2703"/>
    <w:rsid w:val="000B27EE"/>
    <w:rsid w:val="000B29E6"/>
    <w:rsid w:val="000B2A2D"/>
    <w:rsid w:val="000B2CED"/>
    <w:rsid w:val="000B2CF4"/>
    <w:rsid w:val="000B2E73"/>
    <w:rsid w:val="000B3095"/>
    <w:rsid w:val="000B31BB"/>
    <w:rsid w:val="000B33EE"/>
    <w:rsid w:val="000B36DF"/>
    <w:rsid w:val="000B383E"/>
    <w:rsid w:val="000B3903"/>
    <w:rsid w:val="000B3D4A"/>
    <w:rsid w:val="000B4082"/>
    <w:rsid w:val="000B4163"/>
    <w:rsid w:val="000B43B1"/>
    <w:rsid w:val="000B476A"/>
    <w:rsid w:val="000B4886"/>
    <w:rsid w:val="000B4BAB"/>
    <w:rsid w:val="000B4D64"/>
    <w:rsid w:val="000B5561"/>
    <w:rsid w:val="000B5D55"/>
    <w:rsid w:val="000B5E97"/>
    <w:rsid w:val="000B62C4"/>
    <w:rsid w:val="000B62EC"/>
    <w:rsid w:val="000B6A26"/>
    <w:rsid w:val="000B704D"/>
    <w:rsid w:val="000B709E"/>
    <w:rsid w:val="000B7362"/>
    <w:rsid w:val="000B7550"/>
    <w:rsid w:val="000B7842"/>
    <w:rsid w:val="000B78F9"/>
    <w:rsid w:val="000B7A0B"/>
    <w:rsid w:val="000B7A16"/>
    <w:rsid w:val="000B7AE7"/>
    <w:rsid w:val="000B7E01"/>
    <w:rsid w:val="000B7FAD"/>
    <w:rsid w:val="000C016A"/>
    <w:rsid w:val="000C0436"/>
    <w:rsid w:val="000C05CC"/>
    <w:rsid w:val="000C0829"/>
    <w:rsid w:val="000C09B3"/>
    <w:rsid w:val="000C0B5D"/>
    <w:rsid w:val="000C0D01"/>
    <w:rsid w:val="000C0D07"/>
    <w:rsid w:val="000C10C6"/>
    <w:rsid w:val="000C1161"/>
    <w:rsid w:val="000C13D4"/>
    <w:rsid w:val="000C1454"/>
    <w:rsid w:val="000C1604"/>
    <w:rsid w:val="000C1FFA"/>
    <w:rsid w:val="000C20EE"/>
    <w:rsid w:val="000C225F"/>
    <w:rsid w:val="000C23F3"/>
    <w:rsid w:val="000C29CA"/>
    <w:rsid w:val="000C2E2A"/>
    <w:rsid w:val="000C2F43"/>
    <w:rsid w:val="000C2FC3"/>
    <w:rsid w:val="000C3587"/>
    <w:rsid w:val="000C374A"/>
    <w:rsid w:val="000C41EF"/>
    <w:rsid w:val="000C424C"/>
    <w:rsid w:val="000C479E"/>
    <w:rsid w:val="000C4914"/>
    <w:rsid w:val="000C4916"/>
    <w:rsid w:val="000C49C8"/>
    <w:rsid w:val="000C4A29"/>
    <w:rsid w:val="000C4ADA"/>
    <w:rsid w:val="000C4BF7"/>
    <w:rsid w:val="000C5015"/>
    <w:rsid w:val="000C517E"/>
    <w:rsid w:val="000C56B9"/>
    <w:rsid w:val="000C59C8"/>
    <w:rsid w:val="000C59DB"/>
    <w:rsid w:val="000C5A83"/>
    <w:rsid w:val="000C5BD8"/>
    <w:rsid w:val="000C5C4C"/>
    <w:rsid w:val="000C62A8"/>
    <w:rsid w:val="000C6706"/>
    <w:rsid w:val="000C6A28"/>
    <w:rsid w:val="000C6A7F"/>
    <w:rsid w:val="000C6B6F"/>
    <w:rsid w:val="000C6BA3"/>
    <w:rsid w:val="000C6CF5"/>
    <w:rsid w:val="000C71D0"/>
    <w:rsid w:val="000C74F4"/>
    <w:rsid w:val="000C76F7"/>
    <w:rsid w:val="000C7749"/>
    <w:rsid w:val="000C7811"/>
    <w:rsid w:val="000C7A89"/>
    <w:rsid w:val="000C7E9B"/>
    <w:rsid w:val="000D017E"/>
    <w:rsid w:val="000D0309"/>
    <w:rsid w:val="000D0573"/>
    <w:rsid w:val="000D0C70"/>
    <w:rsid w:val="000D0E43"/>
    <w:rsid w:val="000D1008"/>
    <w:rsid w:val="000D163D"/>
    <w:rsid w:val="000D173A"/>
    <w:rsid w:val="000D194D"/>
    <w:rsid w:val="000D1BD3"/>
    <w:rsid w:val="000D1E4B"/>
    <w:rsid w:val="000D1F1B"/>
    <w:rsid w:val="000D22D1"/>
    <w:rsid w:val="000D2BEF"/>
    <w:rsid w:val="000D2D00"/>
    <w:rsid w:val="000D3193"/>
    <w:rsid w:val="000D3304"/>
    <w:rsid w:val="000D343F"/>
    <w:rsid w:val="000D39AA"/>
    <w:rsid w:val="000D3ECD"/>
    <w:rsid w:val="000D3EE9"/>
    <w:rsid w:val="000D43C8"/>
    <w:rsid w:val="000D448F"/>
    <w:rsid w:val="000D4496"/>
    <w:rsid w:val="000D4722"/>
    <w:rsid w:val="000D4727"/>
    <w:rsid w:val="000D492C"/>
    <w:rsid w:val="000D4BF6"/>
    <w:rsid w:val="000D556B"/>
    <w:rsid w:val="000D5CAF"/>
    <w:rsid w:val="000D5ECF"/>
    <w:rsid w:val="000D62B3"/>
    <w:rsid w:val="000D646A"/>
    <w:rsid w:val="000D6717"/>
    <w:rsid w:val="000D6B39"/>
    <w:rsid w:val="000D6B57"/>
    <w:rsid w:val="000D6BC6"/>
    <w:rsid w:val="000D6ED0"/>
    <w:rsid w:val="000D718F"/>
    <w:rsid w:val="000D766A"/>
    <w:rsid w:val="000E0372"/>
    <w:rsid w:val="000E047A"/>
    <w:rsid w:val="000E064E"/>
    <w:rsid w:val="000E068B"/>
    <w:rsid w:val="000E06CF"/>
    <w:rsid w:val="000E088D"/>
    <w:rsid w:val="000E0F32"/>
    <w:rsid w:val="000E1465"/>
    <w:rsid w:val="000E1664"/>
    <w:rsid w:val="000E16D8"/>
    <w:rsid w:val="000E1786"/>
    <w:rsid w:val="000E17EF"/>
    <w:rsid w:val="000E1826"/>
    <w:rsid w:val="000E185E"/>
    <w:rsid w:val="000E1905"/>
    <w:rsid w:val="000E1914"/>
    <w:rsid w:val="000E1B80"/>
    <w:rsid w:val="000E1CA0"/>
    <w:rsid w:val="000E2B28"/>
    <w:rsid w:val="000E2D43"/>
    <w:rsid w:val="000E2F73"/>
    <w:rsid w:val="000E308F"/>
    <w:rsid w:val="000E3339"/>
    <w:rsid w:val="000E34D7"/>
    <w:rsid w:val="000E3A39"/>
    <w:rsid w:val="000E3F9D"/>
    <w:rsid w:val="000E42A5"/>
    <w:rsid w:val="000E4465"/>
    <w:rsid w:val="000E47DF"/>
    <w:rsid w:val="000E4974"/>
    <w:rsid w:val="000E4C5F"/>
    <w:rsid w:val="000E4C8A"/>
    <w:rsid w:val="000E4CB9"/>
    <w:rsid w:val="000E557C"/>
    <w:rsid w:val="000E55D4"/>
    <w:rsid w:val="000E5748"/>
    <w:rsid w:val="000E5AEF"/>
    <w:rsid w:val="000E5B45"/>
    <w:rsid w:val="000E5EE9"/>
    <w:rsid w:val="000E60A0"/>
    <w:rsid w:val="000E610F"/>
    <w:rsid w:val="000E623A"/>
    <w:rsid w:val="000E6771"/>
    <w:rsid w:val="000E697A"/>
    <w:rsid w:val="000E757E"/>
    <w:rsid w:val="000E761B"/>
    <w:rsid w:val="000F01CE"/>
    <w:rsid w:val="000F024B"/>
    <w:rsid w:val="000F13D2"/>
    <w:rsid w:val="000F1595"/>
    <w:rsid w:val="000F15F0"/>
    <w:rsid w:val="000F1725"/>
    <w:rsid w:val="000F179B"/>
    <w:rsid w:val="000F1846"/>
    <w:rsid w:val="000F18B4"/>
    <w:rsid w:val="000F18F2"/>
    <w:rsid w:val="000F1A1F"/>
    <w:rsid w:val="000F1AD9"/>
    <w:rsid w:val="000F1BE7"/>
    <w:rsid w:val="000F2017"/>
    <w:rsid w:val="000F22F1"/>
    <w:rsid w:val="000F2799"/>
    <w:rsid w:val="000F27D3"/>
    <w:rsid w:val="000F29A1"/>
    <w:rsid w:val="000F29D9"/>
    <w:rsid w:val="000F2DEE"/>
    <w:rsid w:val="000F34A2"/>
    <w:rsid w:val="000F35DF"/>
    <w:rsid w:val="000F364C"/>
    <w:rsid w:val="000F3DBB"/>
    <w:rsid w:val="000F3ED1"/>
    <w:rsid w:val="000F4128"/>
    <w:rsid w:val="000F41CC"/>
    <w:rsid w:val="000F4845"/>
    <w:rsid w:val="000F4D48"/>
    <w:rsid w:val="000F4E5A"/>
    <w:rsid w:val="000F5495"/>
    <w:rsid w:val="000F549A"/>
    <w:rsid w:val="000F568D"/>
    <w:rsid w:val="000F5BDE"/>
    <w:rsid w:val="000F5C02"/>
    <w:rsid w:val="000F5CED"/>
    <w:rsid w:val="000F5E91"/>
    <w:rsid w:val="000F5F08"/>
    <w:rsid w:val="000F6083"/>
    <w:rsid w:val="000F6487"/>
    <w:rsid w:val="000F64AE"/>
    <w:rsid w:val="000F6926"/>
    <w:rsid w:val="000F696A"/>
    <w:rsid w:val="000F6CBE"/>
    <w:rsid w:val="000F6ECE"/>
    <w:rsid w:val="000F70F7"/>
    <w:rsid w:val="000F7284"/>
    <w:rsid w:val="000F74AC"/>
    <w:rsid w:val="000F7515"/>
    <w:rsid w:val="000F760A"/>
    <w:rsid w:val="000F77B7"/>
    <w:rsid w:val="000F7886"/>
    <w:rsid w:val="000F7AE2"/>
    <w:rsid w:val="00100815"/>
    <w:rsid w:val="001009E7"/>
    <w:rsid w:val="00100A2A"/>
    <w:rsid w:val="00100EB8"/>
    <w:rsid w:val="00100FD5"/>
    <w:rsid w:val="00101155"/>
    <w:rsid w:val="0010142D"/>
    <w:rsid w:val="00101877"/>
    <w:rsid w:val="00101E84"/>
    <w:rsid w:val="00102200"/>
    <w:rsid w:val="00102550"/>
    <w:rsid w:val="0010257F"/>
    <w:rsid w:val="001026A8"/>
    <w:rsid w:val="001027D1"/>
    <w:rsid w:val="00102A76"/>
    <w:rsid w:val="00102A96"/>
    <w:rsid w:val="00102ABA"/>
    <w:rsid w:val="00102AF6"/>
    <w:rsid w:val="00102F20"/>
    <w:rsid w:val="001036D4"/>
    <w:rsid w:val="00103953"/>
    <w:rsid w:val="00103F16"/>
    <w:rsid w:val="00103FDC"/>
    <w:rsid w:val="00104038"/>
    <w:rsid w:val="00104349"/>
    <w:rsid w:val="00104401"/>
    <w:rsid w:val="0010499F"/>
    <w:rsid w:val="00104A25"/>
    <w:rsid w:val="00104E0C"/>
    <w:rsid w:val="0010501D"/>
    <w:rsid w:val="00105054"/>
    <w:rsid w:val="001053F8"/>
    <w:rsid w:val="0010546E"/>
    <w:rsid w:val="0010569D"/>
    <w:rsid w:val="0010594F"/>
    <w:rsid w:val="00105BBE"/>
    <w:rsid w:val="00105BE5"/>
    <w:rsid w:val="00105D6B"/>
    <w:rsid w:val="001065F5"/>
    <w:rsid w:val="00106760"/>
    <w:rsid w:val="00106788"/>
    <w:rsid w:val="00106789"/>
    <w:rsid w:val="00107076"/>
    <w:rsid w:val="00107826"/>
    <w:rsid w:val="00107AC1"/>
    <w:rsid w:val="00107B71"/>
    <w:rsid w:val="00107E00"/>
    <w:rsid w:val="0011010E"/>
    <w:rsid w:val="0011031F"/>
    <w:rsid w:val="00110453"/>
    <w:rsid w:val="00110F05"/>
    <w:rsid w:val="00110F6B"/>
    <w:rsid w:val="001113D3"/>
    <w:rsid w:val="0011141E"/>
    <w:rsid w:val="001114FF"/>
    <w:rsid w:val="001118B8"/>
    <w:rsid w:val="00111A74"/>
    <w:rsid w:val="0011245B"/>
    <w:rsid w:val="001126E3"/>
    <w:rsid w:val="0011296C"/>
    <w:rsid w:val="00112B15"/>
    <w:rsid w:val="00112EA5"/>
    <w:rsid w:val="001132DD"/>
    <w:rsid w:val="0011335E"/>
    <w:rsid w:val="001135B4"/>
    <w:rsid w:val="00113608"/>
    <w:rsid w:val="001136D2"/>
    <w:rsid w:val="00113F57"/>
    <w:rsid w:val="00114019"/>
    <w:rsid w:val="001145AF"/>
    <w:rsid w:val="001149A5"/>
    <w:rsid w:val="00114AA0"/>
    <w:rsid w:val="00114AFA"/>
    <w:rsid w:val="00114D44"/>
    <w:rsid w:val="001153CC"/>
    <w:rsid w:val="00115529"/>
    <w:rsid w:val="00115654"/>
    <w:rsid w:val="00115AC7"/>
    <w:rsid w:val="00116002"/>
    <w:rsid w:val="001160E4"/>
    <w:rsid w:val="001162C2"/>
    <w:rsid w:val="00116372"/>
    <w:rsid w:val="00116A0C"/>
    <w:rsid w:val="00116A87"/>
    <w:rsid w:val="00116AFF"/>
    <w:rsid w:val="00116C16"/>
    <w:rsid w:val="00116F10"/>
    <w:rsid w:val="0011729C"/>
    <w:rsid w:val="0011734A"/>
    <w:rsid w:val="00117350"/>
    <w:rsid w:val="00117484"/>
    <w:rsid w:val="001174B0"/>
    <w:rsid w:val="00117521"/>
    <w:rsid w:val="00117639"/>
    <w:rsid w:val="001176E2"/>
    <w:rsid w:val="001200A3"/>
    <w:rsid w:val="00120458"/>
    <w:rsid w:val="00120601"/>
    <w:rsid w:val="001206BC"/>
    <w:rsid w:val="00120F57"/>
    <w:rsid w:val="00121171"/>
    <w:rsid w:val="0012153E"/>
    <w:rsid w:val="0012154A"/>
    <w:rsid w:val="001216C1"/>
    <w:rsid w:val="00121EF7"/>
    <w:rsid w:val="00122059"/>
    <w:rsid w:val="00122561"/>
    <w:rsid w:val="0012261C"/>
    <w:rsid w:val="0012280F"/>
    <w:rsid w:val="001229A2"/>
    <w:rsid w:val="00123817"/>
    <w:rsid w:val="001238EF"/>
    <w:rsid w:val="00123A4D"/>
    <w:rsid w:val="00123CC8"/>
    <w:rsid w:val="00124059"/>
    <w:rsid w:val="001241CC"/>
    <w:rsid w:val="00124247"/>
    <w:rsid w:val="00124401"/>
    <w:rsid w:val="0012488F"/>
    <w:rsid w:val="00124961"/>
    <w:rsid w:val="00124D22"/>
    <w:rsid w:val="001251AD"/>
    <w:rsid w:val="001252DE"/>
    <w:rsid w:val="00125366"/>
    <w:rsid w:val="0012541F"/>
    <w:rsid w:val="00125532"/>
    <w:rsid w:val="0012554B"/>
    <w:rsid w:val="0012589C"/>
    <w:rsid w:val="00125A45"/>
    <w:rsid w:val="00125C26"/>
    <w:rsid w:val="00126364"/>
    <w:rsid w:val="001265B6"/>
    <w:rsid w:val="00126B52"/>
    <w:rsid w:val="00126B98"/>
    <w:rsid w:val="00126BAC"/>
    <w:rsid w:val="00127241"/>
    <w:rsid w:val="001274F1"/>
    <w:rsid w:val="00127569"/>
    <w:rsid w:val="00127606"/>
    <w:rsid w:val="001278A7"/>
    <w:rsid w:val="001278D4"/>
    <w:rsid w:val="00127D2B"/>
    <w:rsid w:val="00127DD6"/>
    <w:rsid w:val="001304C9"/>
    <w:rsid w:val="0013062D"/>
    <w:rsid w:val="00130655"/>
    <w:rsid w:val="00130944"/>
    <w:rsid w:val="00130ED9"/>
    <w:rsid w:val="001310A2"/>
    <w:rsid w:val="001311B1"/>
    <w:rsid w:val="00131498"/>
    <w:rsid w:val="00131918"/>
    <w:rsid w:val="00131AEB"/>
    <w:rsid w:val="00131E03"/>
    <w:rsid w:val="0013215C"/>
    <w:rsid w:val="001323CC"/>
    <w:rsid w:val="00132632"/>
    <w:rsid w:val="00132972"/>
    <w:rsid w:val="00132B43"/>
    <w:rsid w:val="001331AD"/>
    <w:rsid w:val="00133366"/>
    <w:rsid w:val="001334CC"/>
    <w:rsid w:val="00133A5C"/>
    <w:rsid w:val="001342AF"/>
    <w:rsid w:val="001342EC"/>
    <w:rsid w:val="00134604"/>
    <w:rsid w:val="0013462B"/>
    <w:rsid w:val="0013466B"/>
    <w:rsid w:val="00134A25"/>
    <w:rsid w:val="00134B32"/>
    <w:rsid w:val="00134BF0"/>
    <w:rsid w:val="001354AF"/>
    <w:rsid w:val="001356AF"/>
    <w:rsid w:val="001356FB"/>
    <w:rsid w:val="00135A34"/>
    <w:rsid w:val="00136120"/>
    <w:rsid w:val="001362AF"/>
    <w:rsid w:val="001364E1"/>
    <w:rsid w:val="001365DE"/>
    <w:rsid w:val="001366E8"/>
    <w:rsid w:val="00136807"/>
    <w:rsid w:val="00136A30"/>
    <w:rsid w:val="0013707E"/>
    <w:rsid w:val="001370BE"/>
    <w:rsid w:val="0013714D"/>
    <w:rsid w:val="001371C3"/>
    <w:rsid w:val="00137362"/>
    <w:rsid w:val="001374C1"/>
    <w:rsid w:val="001374C6"/>
    <w:rsid w:val="001378C3"/>
    <w:rsid w:val="00137B21"/>
    <w:rsid w:val="00140436"/>
    <w:rsid w:val="00141099"/>
    <w:rsid w:val="0014115D"/>
    <w:rsid w:val="001413F0"/>
    <w:rsid w:val="00141412"/>
    <w:rsid w:val="0014154D"/>
    <w:rsid w:val="0014182B"/>
    <w:rsid w:val="0014184C"/>
    <w:rsid w:val="0014195F"/>
    <w:rsid w:val="00141CAA"/>
    <w:rsid w:val="00141E1B"/>
    <w:rsid w:val="001420EF"/>
    <w:rsid w:val="001420FB"/>
    <w:rsid w:val="00142168"/>
    <w:rsid w:val="001423D1"/>
    <w:rsid w:val="00142425"/>
    <w:rsid w:val="0014246C"/>
    <w:rsid w:val="001426E5"/>
    <w:rsid w:val="001427E5"/>
    <w:rsid w:val="00142838"/>
    <w:rsid w:val="001428D3"/>
    <w:rsid w:val="00142C67"/>
    <w:rsid w:val="00142D02"/>
    <w:rsid w:val="00142F39"/>
    <w:rsid w:val="00143125"/>
    <w:rsid w:val="0014319D"/>
    <w:rsid w:val="001431A0"/>
    <w:rsid w:val="001431A9"/>
    <w:rsid w:val="001431D0"/>
    <w:rsid w:val="001432AC"/>
    <w:rsid w:val="001436C1"/>
    <w:rsid w:val="001438AF"/>
    <w:rsid w:val="00144685"/>
    <w:rsid w:val="00144C65"/>
    <w:rsid w:val="00144EB8"/>
    <w:rsid w:val="00145156"/>
    <w:rsid w:val="00145585"/>
    <w:rsid w:val="001455EB"/>
    <w:rsid w:val="0014571C"/>
    <w:rsid w:val="0014580A"/>
    <w:rsid w:val="00145835"/>
    <w:rsid w:val="0014584B"/>
    <w:rsid w:val="00145934"/>
    <w:rsid w:val="0014597A"/>
    <w:rsid w:val="001463F1"/>
    <w:rsid w:val="001464B8"/>
    <w:rsid w:val="00146681"/>
    <w:rsid w:val="001466A2"/>
    <w:rsid w:val="001467D7"/>
    <w:rsid w:val="00146B67"/>
    <w:rsid w:val="00146B78"/>
    <w:rsid w:val="00146C2E"/>
    <w:rsid w:val="00146CC3"/>
    <w:rsid w:val="00146FF7"/>
    <w:rsid w:val="00147571"/>
    <w:rsid w:val="00147DDA"/>
    <w:rsid w:val="0015015D"/>
    <w:rsid w:val="001501A3"/>
    <w:rsid w:val="00150455"/>
    <w:rsid w:val="001505CB"/>
    <w:rsid w:val="00150A54"/>
    <w:rsid w:val="00150B01"/>
    <w:rsid w:val="00150E58"/>
    <w:rsid w:val="0015102B"/>
    <w:rsid w:val="001510EF"/>
    <w:rsid w:val="001511C6"/>
    <w:rsid w:val="001511E6"/>
    <w:rsid w:val="00151426"/>
    <w:rsid w:val="001514A0"/>
    <w:rsid w:val="0015156F"/>
    <w:rsid w:val="00151607"/>
    <w:rsid w:val="001517D1"/>
    <w:rsid w:val="00151909"/>
    <w:rsid w:val="00151AA2"/>
    <w:rsid w:val="00151C94"/>
    <w:rsid w:val="0015204C"/>
    <w:rsid w:val="001520D0"/>
    <w:rsid w:val="0015219B"/>
    <w:rsid w:val="001523FE"/>
    <w:rsid w:val="00152412"/>
    <w:rsid w:val="001526CF"/>
    <w:rsid w:val="00152BF2"/>
    <w:rsid w:val="00152D51"/>
    <w:rsid w:val="00152DFC"/>
    <w:rsid w:val="00153150"/>
    <w:rsid w:val="00153171"/>
    <w:rsid w:val="0015373E"/>
    <w:rsid w:val="00153A00"/>
    <w:rsid w:val="00153B0D"/>
    <w:rsid w:val="00153DB3"/>
    <w:rsid w:val="00154192"/>
    <w:rsid w:val="001544AF"/>
    <w:rsid w:val="0015465D"/>
    <w:rsid w:val="00154CD8"/>
    <w:rsid w:val="00154D61"/>
    <w:rsid w:val="0015562B"/>
    <w:rsid w:val="001559D9"/>
    <w:rsid w:val="00155BEE"/>
    <w:rsid w:val="00155D87"/>
    <w:rsid w:val="0015607C"/>
    <w:rsid w:val="001565F8"/>
    <w:rsid w:val="001567AC"/>
    <w:rsid w:val="001569B5"/>
    <w:rsid w:val="00156AD6"/>
    <w:rsid w:val="00156B35"/>
    <w:rsid w:val="00156D2A"/>
    <w:rsid w:val="00156F9F"/>
    <w:rsid w:val="001570C1"/>
    <w:rsid w:val="0015716B"/>
    <w:rsid w:val="00157359"/>
    <w:rsid w:val="001573AC"/>
    <w:rsid w:val="0015773B"/>
    <w:rsid w:val="001578B6"/>
    <w:rsid w:val="00157A93"/>
    <w:rsid w:val="00157EC7"/>
    <w:rsid w:val="00160114"/>
    <w:rsid w:val="0016014F"/>
    <w:rsid w:val="00160528"/>
    <w:rsid w:val="00160BFB"/>
    <w:rsid w:val="00160CAF"/>
    <w:rsid w:val="00160D1A"/>
    <w:rsid w:val="00160D88"/>
    <w:rsid w:val="00160DC6"/>
    <w:rsid w:val="00160E20"/>
    <w:rsid w:val="00161459"/>
    <w:rsid w:val="0016178D"/>
    <w:rsid w:val="0016197F"/>
    <w:rsid w:val="00161D77"/>
    <w:rsid w:val="00162067"/>
    <w:rsid w:val="0016207C"/>
    <w:rsid w:val="00162251"/>
    <w:rsid w:val="001622B6"/>
    <w:rsid w:val="0016243A"/>
    <w:rsid w:val="00162474"/>
    <w:rsid w:val="00162743"/>
    <w:rsid w:val="00163028"/>
    <w:rsid w:val="0016316E"/>
    <w:rsid w:val="001631DF"/>
    <w:rsid w:val="0016330C"/>
    <w:rsid w:val="00163432"/>
    <w:rsid w:val="0016372B"/>
    <w:rsid w:val="00163955"/>
    <w:rsid w:val="00163B1A"/>
    <w:rsid w:val="00163B20"/>
    <w:rsid w:val="0016460B"/>
    <w:rsid w:val="0016482B"/>
    <w:rsid w:val="0016488E"/>
    <w:rsid w:val="001648E9"/>
    <w:rsid w:val="00164A8D"/>
    <w:rsid w:val="00164CDA"/>
    <w:rsid w:val="00164D57"/>
    <w:rsid w:val="00164DA6"/>
    <w:rsid w:val="00164F6E"/>
    <w:rsid w:val="00164FA4"/>
    <w:rsid w:val="0016521C"/>
    <w:rsid w:val="00165475"/>
    <w:rsid w:val="0016558E"/>
    <w:rsid w:val="001656BE"/>
    <w:rsid w:val="001657DA"/>
    <w:rsid w:val="00165AD7"/>
    <w:rsid w:val="0016609C"/>
    <w:rsid w:val="001660DF"/>
    <w:rsid w:val="00166277"/>
    <w:rsid w:val="00166485"/>
    <w:rsid w:val="001665A8"/>
    <w:rsid w:val="001665EF"/>
    <w:rsid w:val="00166661"/>
    <w:rsid w:val="00166797"/>
    <w:rsid w:val="001669C8"/>
    <w:rsid w:val="00166C01"/>
    <w:rsid w:val="00166C42"/>
    <w:rsid w:val="00166D49"/>
    <w:rsid w:val="00167192"/>
    <w:rsid w:val="0016773D"/>
    <w:rsid w:val="001677A4"/>
    <w:rsid w:val="00167A26"/>
    <w:rsid w:val="00167D71"/>
    <w:rsid w:val="00167EB2"/>
    <w:rsid w:val="0017009E"/>
    <w:rsid w:val="001703C2"/>
    <w:rsid w:val="00170504"/>
    <w:rsid w:val="00170581"/>
    <w:rsid w:val="0017077D"/>
    <w:rsid w:val="00170794"/>
    <w:rsid w:val="00170E02"/>
    <w:rsid w:val="00170E77"/>
    <w:rsid w:val="0017122D"/>
    <w:rsid w:val="00171632"/>
    <w:rsid w:val="001718FA"/>
    <w:rsid w:val="00171DDE"/>
    <w:rsid w:val="001721A6"/>
    <w:rsid w:val="00172430"/>
    <w:rsid w:val="00172915"/>
    <w:rsid w:val="00172B85"/>
    <w:rsid w:val="00172DE3"/>
    <w:rsid w:val="00172DEE"/>
    <w:rsid w:val="00172F7A"/>
    <w:rsid w:val="00173546"/>
    <w:rsid w:val="0017367B"/>
    <w:rsid w:val="00173D4D"/>
    <w:rsid w:val="00173F08"/>
    <w:rsid w:val="00173F8B"/>
    <w:rsid w:val="00174498"/>
    <w:rsid w:val="001744BE"/>
    <w:rsid w:val="00174BF9"/>
    <w:rsid w:val="00174C00"/>
    <w:rsid w:val="00174C55"/>
    <w:rsid w:val="00175106"/>
    <w:rsid w:val="00175138"/>
    <w:rsid w:val="00175143"/>
    <w:rsid w:val="001751BB"/>
    <w:rsid w:val="001751DA"/>
    <w:rsid w:val="00175360"/>
    <w:rsid w:val="001753BD"/>
    <w:rsid w:val="00175609"/>
    <w:rsid w:val="001758FF"/>
    <w:rsid w:val="00175A11"/>
    <w:rsid w:val="00175C25"/>
    <w:rsid w:val="00175EC9"/>
    <w:rsid w:val="0017603F"/>
    <w:rsid w:val="001760E3"/>
    <w:rsid w:val="0017644C"/>
    <w:rsid w:val="0017697B"/>
    <w:rsid w:val="00176C44"/>
    <w:rsid w:val="00176CBA"/>
    <w:rsid w:val="0017721E"/>
    <w:rsid w:val="00177548"/>
    <w:rsid w:val="001775B0"/>
    <w:rsid w:val="00177822"/>
    <w:rsid w:val="00177857"/>
    <w:rsid w:val="00177A7B"/>
    <w:rsid w:val="00177D43"/>
    <w:rsid w:val="00177E6A"/>
    <w:rsid w:val="00177ED1"/>
    <w:rsid w:val="00179F1E"/>
    <w:rsid w:val="001802A7"/>
    <w:rsid w:val="00180334"/>
    <w:rsid w:val="0018035B"/>
    <w:rsid w:val="00180669"/>
    <w:rsid w:val="00180779"/>
    <w:rsid w:val="00180816"/>
    <w:rsid w:val="00180A80"/>
    <w:rsid w:val="00180BAE"/>
    <w:rsid w:val="00180C7D"/>
    <w:rsid w:val="00180D65"/>
    <w:rsid w:val="0018120B"/>
    <w:rsid w:val="001812EF"/>
    <w:rsid w:val="0018147E"/>
    <w:rsid w:val="001816A7"/>
    <w:rsid w:val="00181A9B"/>
    <w:rsid w:val="00181DD3"/>
    <w:rsid w:val="00181E1A"/>
    <w:rsid w:val="00181FBE"/>
    <w:rsid w:val="001823E6"/>
    <w:rsid w:val="00182745"/>
    <w:rsid w:val="001829BE"/>
    <w:rsid w:val="00182C7E"/>
    <w:rsid w:val="00182DF9"/>
    <w:rsid w:val="00182F51"/>
    <w:rsid w:val="001830F5"/>
    <w:rsid w:val="0018311E"/>
    <w:rsid w:val="001832C4"/>
    <w:rsid w:val="0018330A"/>
    <w:rsid w:val="00183425"/>
    <w:rsid w:val="00183C05"/>
    <w:rsid w:val="001844C9"/>
    <w:rsid w:val="00184AAC"/>
    <w:rsid w:val="001850B3"/>
    <w:rsid w:val="0018532E"/>
    <w:rsid w:val="00185C17"/>
    <w:rsid w:val="00185DAC"/>
    <w:rsid w:val="001861F3"/>
    <w:rsid w:val="00186285"/>
    <w:rsid w:val="001864FD"/>
    <w:rsid w:val="0018686A"/>
    <w:rsid w:val="0018699D"/>
    <w:rsid w:val="00186A4C"/>
    <w:rsid w:val="00186B9A"/>
    <w:rsid w:val="00186C70"/>
    <w:rsid w:val="00186DAA"/>
    <w:rsid w:val="00187126"/>
    <w:rsid w:val="00187151"/>
    <w:rsid w:val="001873EA"/>
    <w:rsid w:val="00187425"/>
    <w:rsid w:val="00187887"/>
    <w:rsid w:val="00187DAD"/>
    <w:rsid w:val="00187F03"/>
    <w:rsid w:val="00190103"/>
    <w:rsid w:val="001903A5"/>
    <w:rsid w:val="001908C2"/>
    <w:rsid w:val="00190935"/>
    <w:rsid w:val="00190B65"/>
    <w:rsid w:val="001911F2"/>
    <w:rsid w:val="00191332"/>
    <w:rsid w:val="0019190A"/>
    <w:rsid w:val="00191D05"/>
    <w:rsid w:val="00192090"/>
    <w:rsid w:val="001920BE"/>
    <w:rsid w:val="0019215C"/>
    <w:rsid w:val="00192500"/>
    <w:rsid w:val="00192677"/>
    <w:rsid w:val="00192A06"/>
    <w:rsid w:val="00192B63"/>
    <w:rsid w:val="00192B6A"/>
    <w:rsid w:val="00192C3B"/>
    <w:rsid w:val="00192D0A"/>
    <w:rsid w:val="00192E7B"/>
    <w:rsid w:val="00193047"/>
    <w:rsid w:val="0019305B"/>
    <w:rsid w:val="001932EA"/>
    <w:rsid w:val="00193C01"/>
    <w:rsid w:val="00193EBE"/>
    <w:rsid w:val="0019473D"/>
    <w:rsid w:val="001947FD"/>
    <w:rsid w:val="0019493B"/>
    <w:rsid w:val="00194A49"/>
    <w:rsid w:val="00194C10"/>
    <w:rsid w:val="001957DF"/>
    <w:rsid w:val="00195A6B"/>
    <w:rsid w:val="00195BCC"/>
    <w:rsid w:val="0019614E"/>
    <w:rsid w:val="001961FC"/>
    <w:rsid w:val="0019665F"/>
    <w:rsid w:val="001966BD"/>
    <w:rsid w:val="00196D85"/>
    <w:rsid w:val="00196E1A"/>
    <w:rsid w:val="00196FE3"/>
    <w:rsid w:val="001974AB"/>
    <w:rsid w:val="0019759E"/>
    <w:rsid w:val="00197613"/>
    <w:rsid w:val="00197BEA"/>
    <w:rsid w:val="00197E17"/>
    <w:rsid w:val="00197FCE"/>
    <w:rsid w:val="001A0443"/>
    <w:rsid w:val="001A044A"/>
    <w:rsid w:val="001A0835"/>
    <w:rsid w:val="001A0DF4"/>
    <w:rsid w:val="001A0FCD"/>
    <w:rsid w:val="001A133C"/>
    <w:rsid w:val="001A179A"/>
    <w:rsid w:val="001A1D1C"/>
    <w:rsid w:val="001A1E3D"/>
    <w:rsid w:val="001A24FA"/>
    <w:rsid w:val="001A25D4"/>
    <w:rsid w:val="001A28E2"/>
    <w:rsid w:val="001A2924"/>
    <w:rsid w:val="001A2932"/>
    <w:rsid w:val="001A2BA9"/>
    <w:rsid w:val="001A2FFB"/>
    <w:rsid w:val="001A335D"/>
    <w:rsid w:val="001A392F"/>
    <w:rsid w:val="001A3E99"/>
    <w:rsid w:val="001A3FD9"/>
    <w:rsid w:val="001A4616"/>
    <w:rsid w:val="001A470F"/>
    <w:rsid w:val="001A4772"/>
    <w:rsid w:val="001A4A80"/>
    <w:rsid w:val="001A4ACC"/>
    <w:rsid w:val="001A4B64"/>
    <w:rsid w:val="001A4C3F"/>
    <w:rsid w:val="001A4CD4"/>
    <w:rsid w:val="001A4DE4"/>
    <w:rsid w:val="001A50C5"/>
    <w:rsid w:val="001A50E8"/>
    <w:rsid w:val="001A518F"/>
    <w:rsid w:val="001A549E"/>
    <w:rsid w:val="001A59F5"/>
    <w:rsid w:val="001A59FF"/>
    <w:rsid w:val="001A6096"/>
    <w:rsid w:val="001A6295"/>
    <w:rsid w:val="001A6298"/>
    <w:rsid w:val="001A68C3"/>
    <w:rsid w:val="001A6AFF"/>
    <w:rsid w:val="001A6C0B"/>
    <w:rsid w:val="001A6C22"/>
    <w:rsid w:val="001A6C79"/>
    <w:rsid w:val="001A7831"/>
    <w:rsid w:val="001B0393"/>
    <w:rsid w:val="001B04B7"/>
    <w:rsid w:val="001B063C"/>
    <w:rsid w:val="001B0D59"/>
    <w:rsid w:val="001B0DEC"/>
    <w:rsid w:val="001B0FF1"/>
    <w:rsid w:val="001B1084"/>
    <w:rsid w:val="001B160E"/>
    <w:rsid w:val="001B17CF"/>
    <w:rsid w:val="001B185C"/>
    <w:rsid w:val="001B18E8"/>
    <w:rsid w:val="001B1A53"/>
    <w:rsid w:val="001B1A9C"/>
    <w:rsid w:val="001B1BF1"/>
    <w:rsid w:val="001B1CAD"/>
    <w:rsid w:val="001B1DAF"/>
    <w:rsid w:val="001B2106"/>
    <w:rsid w:val="001B22C9"/>
    <w:rsid w:val="001B2653"/>
    <w:rsid w:val="001B2C1D"/>
    <w:rsid w:val="001B2FA4"/>
    <w:rsid w:val="001B303B"/>
    <w:rsid w:val="001B327E"/>
    <w:rsid w:val="001B333C"/>
    <w:rsid w:val="001B3ABD"/>
    <w:rsid w:val="001B4208"/>
    <w:rsid w:val="001B48EB"/>
    <w:rsid w:val="001B4920"/>
    <w:rsid w:val="001B4C8D"/>
    <w:rsid w:val="001B4CE3"/>
    <w:rsid w:val="001B51E8"/>
    <w:rsid w:val="001B542B"/>
    <w:rsid w:val="001B59D9"/>
    <w:rsid w:val="001B6005"/>
    <w:rsid w:val="001B623F"/>
    <w:rsid w:val="001B645B"/>
    <w:rsid w:val="001B6671"/>
    <w:rsid w:val="001B67BE"/>
    <w:rsid w:val="001B6A36"/>
    <w:rsid w:val="001B6C3D"/>
    <w:rsid w:val="001B6C59"/>
    <w:rsid w:val="001B6C62"/>
    <w:rsid w:val="001B6EAA"/>
    <w:rsid w:val="001B71F5"/>
    <w:rsid w:val="001B7B51"/>
    <w:rsid w:val="001B7CDD"/>
    <w:rsid w:val="001B7ED4"/>
    <w:rsid w:val="001C006A"/>
    <w:rsid w:val="001C01FC"/>
    <w:rsid w:val="001C0C01"/>
    <w:rsid w:val="001C158C"/>
    <w:rsid w:val="001C1717"/>
    <w:rsid w:val="001C17D2"/>
    <w:rsid w:val="001C1813"/>
    <w:rsid w:val="001C1AAC"/>
    <w:rsid w:val="001C1C5B"/>
    <w:rsid w:val="001C1CD6"/>
    <w:rsid w:val="001C207E"/>
    <w:rsid w:val="001C2770"/>
    <w:rsid w:val="001C291C"/>
    <w:rsid w:val="001C2C9A"/>
    <w:rsid w:val="001C2ECB"/>
    <w:rsid w:val="001C3313"/>
    <w:rsid w:val="001C34D7"/>
    <w:rsid w:val="001C3758"/>
    <w:rsid w:val="001C3CBB"/>
    <w:rsid w:val="001C3D48"/>
    <w:rsid w:val="001C3DFF"/>
    <w:rsid w:val="001C43B3"/>
    <w:rsid w:val="001C4927"/>
    <w:rsid w:val="001C4EB1"/>
    <w:rsid w:val="001C4FA7"/>
    <w:rsid w:val="001C4FBA"/>
    <w:rsid w:val="001C52CA"/>
    <w:rsid w:val="001C57F5"/>
    <w:rsid w:val="001C5821"/>
    <w:rsid w:val="001C5CA1"/>
    <w:rsid w:val="001C62EA"/>
    <w:rsid w:val="001C62F8"/>
    <w:rsid w:val="001C64E7"/>
    <w:rsid w:val="001C653B"/>
    <w:rsid w:val="001C654D"/>
    <w:rsid w:val="001C6D71"/>
    <w:rsid w:val="001C6E1A"/>
    <w:rsid w:val="001C7046"/>
    <w:rsid w:val="001C7175"/>
    <w:rsid w:val="001C7239"/>
    <w:rsid w:val="001C737C"/>
    <w:rsid w:val="001C756A"/>
    <w:rsid w:val="001C7868"/>
    <w:rsid w:val="001C7CA4"/>
    <w:rsid w:val="001C7D33"/>
    <w:rsid w:val="001D04E3"/>
    <w:rsid w:val="001D0975"/>
    <w:rsid w:val="001D0A2C"/>
    <w:rsid w:val="001D1160"/>
    <w:rsid w:val="001D1305"/>
    <w:rsid w:val="001D13B5"/>
    <w:rsid w:val="001D17FD"/>
    <w:rsid w:val="001D1937"/>
    <w:rsid w:val="001D1A24"/>
    <w:rsid w:val="001D1B88"/>
    <w:rsid w:val="001D20FE"/>
    <w:rsid w:val="001D2785"/>
    <w:rsid w:val="001D2803"/>
    <w:rsid w:val="001D282F"/>
    <w:rsid w:val="001D2857"/>
    <w:rsid w:val="001D2BBA"/>
    <w:rsid w:val="001D2F9D"/>
    <w:rsid w:val="001D2FF3"/>
    <w:rsid w:val="001D328E"/>
    <w:rsid w:val="001D32B2"/>
    <w:rsid w:val="001D373A"/>
    <w:rsid w:val="001D38CF"/>
    <w:rsid w:val="001D3984"/>
    <w:rsid w:val="001D4729"/>
    <w:rsid w:val="001D4755"/>
    <w:rsid w:val="001D4872"/>
    <w:rsid w:val="001D4C7D"/>
    <w:rsid w:val="001D4E38"/>
    <w:rsid w:val="001D54BF"/>
    <w:rsid w:val="001D557F"/>
    <w:rsid w:val="001D58D9"/>
    <w:rsid w:val="001D58E3"/>
    <w:rsid w:val="001D5B6B"/>
    <w:rsid w:val="001D5D97"/>
    <w:rsid w:val="001D5F6A"/>
    <w:rsid w:val="001D607B"/>
    <w:rsid w:val="001D607F"/>
    <w:rsid w:val="001D64A0"/>
    <w:rsid w:val="001D66E9"/>
    <w:rsid w:val="001D694C"/>
    <w:rsid w:val="001D69CE"/>
    <w:rsid w:val="001D6B62"/>
    <w:rsid w:val="001D6E60"/>
    <w:rsid w:val="001D6E82"/>
    <w:rsid w:val="001D729D"/>
    <w:rsid w:val="001D76C9"/>
    <w:rsid w:val="001D780A"/>
    <w:rsid w:val="001D79E9"/>
    <w:rsid w:val="001D7D4F"/>
    <w:rsid w:val="001DD86C"/>
    <w:rsid w:val="001E063D"/>
    <w:rsid w:val="001E075C"/>
    <w:rsid w:val="001E08B5"/>
    <w:rsid w:val="001E170F"/>
    <w:rsid w:val="001E1719"/>
    <w:rsid w:val="001E1BFD"/>
    <w:rsid w:val="001E1D1D"/>
    <w:rsid w:val="001E1E28"/>
    <w:rsid w:val="001E2377"/>
    <w:rsid w:val="001E28DB"/>
    <w:rsid w:val="001E2A3B"/>
    <w:rsid w:val="001E2EC2"/>
    <w:rsid w:val="001E3484"/>
    <w:rsid w:val="001E34B5"/>
    <w:rsid w:val="001E3987"/>
    <w:rsid w:val="001E3A50"/>
    <w:rsid w:val="001E3A6B"/>
    <w:rsid w:val="001E3B6A"/>
    <w:rsid w:val="001E3DBF"/>
    <w:rsid w:val="001E4611"/>
    <w:rsid w:val="001E4658"/>
    <w:rsid w:val="001E48E1"/>
    <w:rsid w:val="001E4A51"/>
    <w:rsid w:val="001E4EC1"/>
    <w:rsid w:val="001E5694"/>
    <w:rsid w:val="001E611C"/>
    <w:rsid w:val="001E62CE"/>
    <w:rsid w:val="001E6452"/>
    <w:rsid w:val="001E64D0"/>
    <w:rsid w:val="001E68F0"/>
    <w:rsid w:val="001E6D2C"/>
    <w:rsid w:val="001E6D5D"/>
    <w:rsid w:val="001E749C"/>
    <w:rsid w:val="001E7519"/>
    <w:rsid w:val="001E762B"/>
    <w:rsid w:val="001E7709"/>
    <w:rsid w:val="001E7D71"/>
    <w:rsid w:val="001E7DAD"/>
    <w:rsid w:val="001F018B"/>
    <w:rsid w:val="001F0211"/>
    <w:rsid w:val="001F047E"/>
    <w:rsid w:val="001F0913"/>
    <w:rsid w:val="001F0E1E"/>
    <w:rsid w:val="001F0F80"/>
    <w:rsid w:val="001F1071"/>
    <w:rsid w:val="001F1440"/>
    <w:rsid w:val="001F147F"/>
    <w:rsid w:val="001F18EE"/>
    <w:rsid w:val="001F1DEF"/>
    <w:rsid w:val="001F27EA"/>
    <w:rsid w:val="001F2876"/>
    <w:rsid w:val="001F2905"/>
    <w:rsid w:val="001F29D9"/>
    <w:rsid w:val="001F2FC6"/>
    <w:rsid w:val="001F3132"/>
    <w:rsid w:val="001F321F"/>
    <w:rsid w:val="001F35F9"/>
    <w:rsid w:val="001F3794"/>
    <w:rsid w:val="001F3807"/>
    <w:rsid w:val="001F5001"/>
    <w:rsid w:val="001F518E"/>
    <w:rsid w:val="001F523D"/>
    <w:rsid w:val="001F5539"/>
    <w:rsid w:val="001F5941"/>
    <w:rsid w:val="001F5E76"/>
    <w:rsid w:val="001F6872"/>
    <w:rsid w:val="001F6D35"/>
    <w:rsid w:val="001F6F7B"/>
    <w:rsid w:val="001F70EA"/>
    <w:rsid w:val="001F7DC5"/>
    <w:rsid w:val="00200082"/>
    <w:rsid w:val="002003A8"/>
    <w:rsid w:val="00200974"/>
    <w:rsid w:val="0020099C"/>
    <w:rsid w:val="00201674"/>
    <w:rsid w:val="002017A2"/>
    <w:rsid w:val="00201AFB"/>
    <w:rsid w:val="00201B3F"/>
    <w:rsid w:val="00201FBC"/>
    <w:rsid w:val="002025F7"/>
    <w:rsid w:val="002027B7"/>
    <w:rsid w:val="00202D68"/>
    <w:rsid w:val="00202DAB"/>
    <w:rsid w:val="00202EE4"/>
    <w:rsid w:val="00203508"/>
    <w:rsid w:val="00203751"/>
    <w:rsid w:val="00203905"/>
    <w:rsid w:val="00203941"/>
    <w:rsid w:val="00203B85"/>
    <w:rsid w:val="00203E15"/>
    <w:rsid w:val="00203EEF"/>
    <w:rsid w:val="002040FA"/>
    <w:rsid w:val="00204251"/>
    <w:rsid w:val="00204514"/>
    <w:rsid w:val="002045A2"/>
    <w:rsid w:val="002049B5"/>
    <w:rsid w:val="00204CF5"/>
    <w:rsid w:val="00204D8D"/>
    <w:rsid w:val="00205A1B"/>
    <w:rsid w:val="00205B33"/>
    <w:rsid w:val="00205B41"/>
    <w:rsid w:val="00205D08"/>
    <w:rsid w:val="002064E8"/>
    <w:rsid w:val="0020664D"/>
    <w:rsid w:val="002067F8"/>
    <w:rsid w:val="0020693F"/>
    <w:rsid w:val="00206A43"/>
    <w:rsid w:val="00206A7C"/>
    <w:rsid w:val="00206C1B"/>
    <w:rsid w:val="00206C5B"/>
    <w:rsid w:val="00206E26"/>
    <w:rsid w:val="00206F61"/>
    <w:rsid w:val="002071F8"/>
    <w:rsid w:val="0020723D"/>
    <w:rsid w:val="002076C5"/>
    <w:rsid w:val="00207E85"/>
    <w:rsid w:val="002102A1"/>
    <w:rsid w:val="00210998"/>
    <w:rsid w:val="00210D97"/>
    <w:rsid w:val="00210F8E"/>
    <w:rsid w:val="002110D8"/>
    <w:rsid w:val="002115BD"/>
    <w:rsid w:val="00211621"/>
    <w:rsid w:val="002116AD"/>
    <w:rsid w:val="002118B9"/>
    <w:rsid w:val="00211991"/>
    <w:rsid w:val="00211F13"/>
    <w:rsid w:val="0021284A"/>
    <w:rsid w:val="002128EB"/>
    <w:rsid w:val="00212919"/>
    <w:rsid w:val="00212938"/>
    <w:rsid w:val="00212EE7"/>
    <w:rsid w:val="0021322B"/>
    <w:rsid w:val="00213258"/>
    <w:rsid w:val="0021347E"/>
    <w:rsid w:val="002135AA"/>
    <w:rsid w:val="002136DD"/>
    <w:rsid w:val="0021373B"/>
    <w:rsid w:val="0021393E"/>
    <w:rsid w:val="00213BCB"/>
    <w:rsid w:val="00213EBD"/>
    <w:rsid w:val="0021403F"/>
    <w:rsid w:val="00214047"/>
    <w:rsid w:val="0021436A"/>
    <w:rsid w:val="00214416"/>
    <w:rsid w:val="002146B1"/>
    <w:rsid w:val="00214702"/>
    <w:rsid w:val="00214A4A"/>
    <w:rsid w:val="00214BED"/>
    <w:rsid w:val="002152C9"/>
    <w:rsid w:val="00215CE8"/>
    <w:rsid w:val="00215F59"/>
    <w:rsid w:val="00216158"/>
    <w:rsid w:val="002161CF"/>
    <w:rsid w:val="00216803"/>
    <w:rsid w:val="00216EEE"/>
    <w:rsid w:val="00216F51"/>
    <w:rsid w:val="002170D2"/>
    <w:rsid w:val="002176AA"/>
    <w:rsid w:val="002176B1"/>
    <w:rsid w:val="00217945"/>
    <w:rsid w:val="0021796A"/>
    <w:rsid w:val="00217B87"/>
    <w:rsid w:val="002201D3"/>
    <w:rsid w:val="002202DC"/>
    <w:rsid w:val="00220B2B"/>
    <w:rsid w:val="00220BCA"/>
    <w:rsid w:val="00220C72"/>
    <w:rsid w:val="00220FA9"/>
    <w:rsid w:val="00220FF3"/>
    <w:rsid w:val="0022102A"/>
    <w:rsid w:val="002211EB"/>
    <w:rsid w:val="002213AE"/>
    <w:rsid w:val="002213EB"/>
    <w:rsid w:val="00221757"/>
    <w:rsid w:val="002220DD"/>
    <w:rsid w:val="002221B8"/>
    <w:rsid w:val="002221BF"/>
    <w:rsid w:val="002224B2"/>
    <w:rsid w:val="002224B9"/>
    <w:rsid w:val="00222E8E"/>
    <w:rsid w:val="00222F29"/>
    <w:rsid w:val="00222F82"/>
    <w:rsid w:val="00223320"/>
    <w:rsid w:val="002233AE"/>
    <w:rsid w:val="002236F5"/>
    <w:rsid w:val="00223BA2"/>
    <w:rsid w:val="00223D5E"/>
    <w:rsid w:val="00223E55"/>
    <w:rsid w:val="00223F47"/>
    <w:rsid w:val="002240A1"/>
    <w:rsid w:val="002242B8"/>
    <w:rsid w:val="002245E3"/>
    <w:rsid w:val="00224A87"/>
    <w:rsid w:val="00224CD0"/>
    <w:rsid w:val="00224E4E"/>
    <w:rsid w:val="00224FDC"/>
    <w:rsid w:val="0022599E"/>
    <w:rsid w:val="002260D7"/>
    <w:rsid w:val="0022656D"/>
    <w:rsid w:val="00226E65"/>
    <w:rsid w:val="00226F31"/>
    <w:rsid w:val="002272AD"/>
    <w:rsid w:val="002272C1"/>
    <w:rsid w:val="002274A3"/>
    <w:rsid w:val="00227C2E"/>
    <w:rsid w:val="00227D9D"/>
    <w:rsid w:val="0023008D"/>
    <w:rsid w:val="0023034C"/>
    <w:rsid w:val="0023043A"/>
    <w:rsid w:val="00230581"/>
    <w:rsid w:val="0023059E"/>
    <w:rsid w:val="00230C24"/>
    <w:rsid w:val="0023102B"/>
    <w:rsid w:val="002317BE"/>
    <w:rsid w:val="00231B1F"/>
    <w:rsid w:val="00231E6E"/>
    <w:rsid w:val="00231ECD"/>
    <w:rsid w:val="0023248A"/>
    <w:rsid w:val="002328DC"/>
    <w:rsid w:val="002329C3"/>
    <w:rsid w:val="00232C59"/>
    <w:rsid w:val="00232DBA"/>
    <w:rsid w:val="00232E01"/>
    <w:rsid w:val="002333A0"/>
    <w:rsid w:val="00233415"/>
    <w:rsid w:val="0023389E"/>
    <w:rsid w:val="00233DB3"/>
    <w:rsid w:val="00233DC7"/>
    <w:rsid w:val="002341E3"/>
    <w:rsid w:val="0023449A"/>
    <w:rsid w:val="002344EC"/>
    <w:rsid w:val="00234508"/>
    <w:rsid w:val="00234636"/>
    <w:rsid w:val="00234759"/>
    <w:rsid w:val="00234A0A"/>
    <w:rsid w:val="00234CAA"/>
    <w:rsid w:val="00234E4C"/>
    <w:rsid w:val="002350C4"/>
    <w:rsid w:val="0023516A"/>
    <w:rsid w:val="002353B3"/>
    <w:rsid w:val="00236250"/>
    <w:rsid w:val="002362DB"/>
    <w:rsid w:val="0023670D"/>
    <w:rsid w:val="00236C44"/>
    <w:rsid w:val="00236D0D"/>
    <w:rsid w:val="00237641"/>
    <w:rsid w:val="00237C24"/>
    <w:rsid w:val="00237D6C"/>
    <w:rsid w:val="0023EE0E"/>
    <w:rsid w:val="00240041"/>
    <w:rsid w:val="00240045"/>
    <w:rsid w:val="00240275"/>
    <w:rsid w:val="002403C4"/>
    <w:rsid w:val="002404BE"/>
    <w:rsid w:val="002405CE"/>
    <w:rsid w:val="00240644"/>
    <w:rsid w:val="00240B84"/>
    <w:rsid w:val="00240D55"/>
    <w:rsid w:val="00240F2D"/>
    <w:rsid w:val="00240FAC"/>
    <w:rsid w:val="002411EF"/>
    <w:rsid w:val="0024160D"/>
    <w:rsid w:val="00241983"/>
    <w:rsid w:val="00241F85"/>
    <w:rsid w:val="0024290E"/>
    <w:rsid w:val="002436F0"/>
    <w:rsid w:val="00243711"/>
    <w:rsid w:val="0024396C"/>
    <w:rsid w:val="00243CDD"/>
    <w:rsid w:val="00243E2E"/>
    <w:rsid w:val="00243F03"/>
    <w:rsid w:val="00244161"/>
    <w:rsid w:val="002442E0"/>
    <w:rsid w:val="0024432F"/>
    <w:rsid w:val="00244384"/>
    <w:rsid w:val="002448FF"/>
    <w:rsid w:val="00244B5A"/>
    <w:rsid w:val="00244ECC"/>
    <w:rsid w:val="0024522C"/>
    <w:rsid w:val="002452A9"/>
    <w:rsid w:val="002454AE"/>
    <w:rsid w:val="002455C6"/>
    <w:rsid w:val="002458B1"/>
    <w:rsid w:val="002458E9"/>
    <w:rsid w:val="00245907"/>
    <w:rsid w:val="00245C15"/>
    <w:rsid w:val="00245D52"/>
    <w:rsid w:val="00245EAA"/>
    <w:rsid w:val="00246054"/>
    <w:rsid w:val="00246147"/>
    <w:rsid w:val="0024618E"/>
    <w:rsid w:val="00246244"/>
    <w:rsid w:val="002468C7"/>
    <w:rsid w:val="00246A89"/>
    <w:rsid w:val="00246AFF"/>
    <w:rsid w:val="00246BF6"/>
    <w:rsid w:val="00246CF8"/>
    <w:rsid w:val="00247371"/>
    <w:rsid w:val="002474CD"/>
    <w:rsid w:val="00247562"/>
    <w:rsid w:val="00247779"/>
    <w:rsid w:val="0024786A"/>
    <w:rsid w:val="00247897"/>
    <w:rsid w:val="002478BD"/>
    <w:rsid w:val="002479C4"/>
    <w:rsid w:val="00247AD0"/>
    <w:rsid w:val="00247CAC"/>
    <w:rsid w:val="0025026E"/>
    <w:rsid w:val="00250360"/>
    <w:rsid w:val="002504A5"/>
    <w:rsid w:val="002508A2"/>
    <w:rsid w:val="00250AB8"/>
    <w:rsid w:val="00250AFB"/>
    <w:rsid w:val="00250F79"/>
    <w:rsid w:val="00251056"/>
    <w:rsid w:val="002515A6"/>
    <w:rsid w:val="00251698"/>
    <w:rsid w:val="00251944"/>
    <w:rsid w:val="00251A1C"/>
    <w:rsid w:val="00251A50"/>
    <w:rsid w:val="00251DD0"/>
    <w:rsid w:val="00251E2E"/>
    <w:rsid w:val="00252777"/>
    <w:rsid w:val="00252B76"/>
    <w:rsid w:val="00252C38"/>
    <w:rsid w:val="00252D6A"/>
    <w:rsid w:val="0025341A"/>
    <w:rsid w:val="002536C0"/>
    <w:rsid w:val="00253757"/>
    <w:rsid w:val="0025375E"/>
    <w:rsid w:val="00253D2C"/>
    <w:rsid w:val="002543E3"/>
    <w:rsid w:val="0025453C"/>
    <w:rsid w:val="002549CD"/>
    <w:rsid w:val="002549E9"/>
    <w:rsid w:val="00254AFE"/>
    <w:rsid w:val="00254B69"/>
    <w:rsid w:val="00254C4D"/>
    <w:rsid w:val="002550EF"/>
    <w:rsid w:val="0025564A"/>
    <w:rsid w:val="00255852"/>
    <w:rsid w:val="00255E2C"/>
    <w:rsid w:val="00255FA3"/>
    <w:rsid w:val="0025611A"/>
    <w:rsid w:val="00256247"/>
    <w:rsid w:val="002562E6"/>
    <w:rsid w:val="00256510"/>
    <w:rsid w:val="002569EA"/>
    <w:rsid w:val="00256AFC"/>
    <w:rsid w:val="00256C3A"/>
    <w:rsid w:val="002574ED"/>
    <w:rsid w:val="00257646"/>
    <w:rsid w:val="00257DDC"/>
    <w:rsid w:val="00257F6A"/>
    <w:rsid w:val="00260151"/>
    <w:rsid w:val="00260548"/>
    <w:rsid w:val="00260D15"/>
    <w:rsid w:val="0026105E"/>
    <w:rsid w:val="00261175"/>
    <w:rsid w:val="002614A0"/>
    <w:rsid w:val="00261816"/>
    <w:rsid w:val="00261903"/>
    <w:rsid w:val="00261911"/>
    <w:rsid w:val="00262245"/>
    <w:rsid w:val="00262404"/>
    <w:rsid w:val="00262696"/>
    <w:rsid w:val="002629F4"/>
    <w:rsid w:val="00262C61"/>
    <w:rsid w:val="00262C8B"/>
    <w:rsid w:val="00262D0A"/>
    <w:rsid w:val="0026317A"/>
    <w:rsid w:val="0026320E"/>
    <w:rsid w:val="00263212"/>
    <w:rsid w:val="002633E3"/>
    <w:rsid w:val="00263AEF"/>
    <w:rsid w:val="00263BFD"/>
    <w:rsid w:val="00264005"/>
    <w:rsid w:val="0026403F"/>
    <w:rsid w:val="00264139"/>
    <w:rsid w:val="002641C2"/>
    <w:rsid w:val="00264353"/>
    <w:rsid w:val="00264372"/>
    <w:rsid w:val="0026457E"/>
    <w:rsid w:val="00265203"/>
    <w:rsid w:val="00265389"/>
    <w:rsid w:val="002658BA"/>
    <w:rsid w:val="002658CE"/>
    <w:rsid w:val="002659F3"/>
    <w:rsid w:val="00265BB0"/>
    <w:rsid w:val="00266083"/>
    <w:rsid w:val="0026613C"/>
    <w:rsid w:val="002663FB"/>
    <w:rsid w:val="0026647D"/>
    <w:rsid w:val="002666CC"/>
    <w:rsid w:val="002668E5"/>
    <w:rsid w:val="0026692E"/>
    <w:rsid w:val="00266A27"/>
    <w:rsid w:val="00266ADC"/>
    <w:rsid w:val="00266AE8"/>
    <w:rsid w:val="00266D13"/>
    <w:rsid w:val="00266D56"/>
    <w:rsid w:val="00267306"/>
    <w:rsid w:val="00267749"/>
    <w:rsid w:val="00267F27"/>
    <w:rsid w:val="00267FE5"/>
    <w:rsid w:val="00270596"/>
    <w:rsid w:val="002709FB"/>
    <w:rsid w:val="00270B73"/>
    <w:rsid w:val="00270C82"/>
    <w:rsid w:val="00271549"/>
    <w:rsid w:val="00271E65"/>
    <w:rsid w:val="0027211B"/>
    <w:rsid w:val="00272408"/>
    <w:rsid w:val="00272886"/>
    <w:rsid w:val="00272CDA"/>
    <w:rsid w:val="00272DAE"/>
    <w:rsid w:val="00273134"/>
    <w:rsid w:val="00273639"/>
    <w:rsid w:val="00273E94"/>
    <w:rsid w:val="00274042"/>
    <w:rsid w:val="0027424F"/>
    <w:rsid w:val="002746D1"/>
    <w:rsid w:val="00274761"/>
    <w:rsid w:val="00274A22"/>
    <w:rsid w:val="00274A87"/>
    <w:rsid w:val="00274E4C"/>
    <w:rsid w:val="00274ECA"/>
    <w:rsid w:val="00275310"/>
    <w:rsid w:val="00275BF9"/>
    <w:rsid w:val="00275C79"/>
    <w:rsid w:val="00275CF8"/>
    <w:rsid w:val="00275D72"/>
    <w:rsid w:val="00275FEE"/>
    <w:rsid w:val="002760BE"/>
    <w:rsid w:val="002766E2"/>
    <w:rsid w:val="0027683D"/>
    <w:rsid w:val="0027738C"/>
    <w:rsid w:val="00277A0F"/>
    <w:rsid w:val="00277A65"/>
    <w:rsid w:val="00277EE7"/>
    <w:rsid w:val="00280107"/>
    <w:rsid w:val="00280692"/>
    <w:rsid w:val="00280707"/>
    <w:rsid w:val="00280832"/>
    <w:rsid w:val="00280866"/>
    <w:rsid w:val="00280A54"/>
    <w:rsid w:val="00280B4B"/>
    <w:rsid w:val="00281107"/>
    <w:rsid w:val="002814F7"/>
    <w:rsid w:val="002826E6"/>
    <w:rsid w:val="00282950"/>
    <w:rsid w:val="0028299D"/>
    <w:rsid w:val="00282A10"/>
    <w:rsid w:val="00282E62"/>
    <w:rsid w:val="00283060"/>
    <w:rsid w:val="00283387"/>
    <w:rsid w:val="00283674"/>
    <w:rsid w:val="002837B2"/>
    <w:rsid w:val="002837EB"/>
    <w:rsid w:val="0028381A"/>
    <w:rsid w:val="00283DCA"/>
    <w:rsid w:val="0028400E"/>
    <w:rsid w:val="002840CA"/>
    <w:rsid w:val="002841A7"/>
    <w:rsid w:val="0028431D"/>
    <w:rsid w:val="0028435A"/>
    <w:rsid w:val="002843B7"/>
    <w:rsid w:val="002844A1"/>
    <w:rsid w:val="0028450C"/>
    <w:rsid w:val="0028454A"/>
    <w:rsid w:val="00284889"/>
    <w:rsid w:val="0028493D"/>
    <w:rsid w:val="00284DC9"/>
    <w:rsid w:val="002851C3"/>
    <w:rsid w:val="00285314"/>
    <w:rsid w:val="002854AB"/>
    <w:rsid w:val="00285790"/>
    <w:rsid w:val="002857D6"/>
    <w:rsid w:val="00285859"/>
    <w:rsid w:val="00285AE4"/>
    <w:rsid w:val="00285BEE"/>
    <w:rsid w:val="00285BF2"/>
    <w:rsid w:val="00285CD8"/>
    <w:rsid w:val="0028669D"/>
    <w:rsid w:val="00286B01"/>
    <w:rsid w:val="00286C20"/>
    <w:rsid w:val="00286DF9"/>
    <w:rsid w:val="002873CD"/>
    <w:rsid w:val="00287536"/>
    <w:rsid w:val="00287950"/>
    <w:rsid w:val="00287ABD"/>
    <w:rsid w:val="00287E99"/>
    <w:rsid w:val="00287F44"/>
    <w:rsid w:val="00290524"/>
    <w:rsid w:val="0029056A"/>
    <w:rsid w:val="00290633"/>
    <w:rsid w:val="00290A2A"/>
    <w:rsid w:val="00291047"/>
    <w:rsid w:val="002912C5"/>
    <w:rsid w:val="002914D6"/>
    <w:rsid w:val="002914EA"/>
    <w:rsid w:val="0029156F"/>
    <w:rsid w:val="00291725"/>
    <w:rsid w:val="00291750"/>
    <w:rsid w:val="00291892"/>
    <w:rsid w:val="00291D71"/>
    <w:rsid w:val="00291D87"/>
    <w:rsid w:val="00291FBB"/>
    <w:rsid w:val="00292431"/>
    <w:rsid w:val="002924FA"/>
    <w:rsid w:val="00292598"/>
    <w:rsid w:val="0029280C"/>
    <w:rsid w:val="00292F53"/>
    <w:rsid w:val="00293069"/>
    <w:rsid w:val="00293598"/>
    <w:rsid w:val="0029388E"/>
    <w:rsid w:val="002938CA"/>
    <w:rsid w:val="00293BF0"/>
    <w:rsid w:val="00293C9B"/>
    <w:rsid w:val="002942BC"/>
    <w:rsid w:val="00294525"/>
    <w:rsid w:val="002946FC"/>
    <w:rsid w:val="002948D2"/>
    <w:rsid w:val="002949BB"/>
    <w:rsid w:val="0029507B"/>
    <w:rsid w:val="00295266"/>
    <w:rsid w:val="0029533F"/>
    <w:rsid w:val="00295550"/>
    <w:rsid w:val="0029562C"/>
    <w:rsid w:val="002956D3"/>
    <w:rsid w:val="0029572F"/>
    <w:rsid w:val="00295EEF"/>
    <w:rsid w:val="002965E5"/>
    <w:rsid w:val="00296BE6"/>
    <w:rsid w:val="00296D96"/>
    <w:rsid w:val="00296F7A"/>
    <w:rsid w:val="0029714B"/>
    <w:rsid w:val="00297348"/>
    <w:rsid w:val="00297452"/>
    <w:rsid w:val="002975AE"/>
    <w:rsid w:val="00297CDD"/>
    <w:rsid w:val="002A0279"/>
    <w:rsid w:val="002A0346"/>
    <w:rsid w:val="002A0717"/>
    <w:rsid w:val="002A0794"/>
    <w:rsid w:val="002A0B4D"/>
    <w:rsid w:val="002A0D06"/>
    <w:rsid w:val="002A0DC6"/>
    <w:rsid w:val="002A127F"/>
    <w:rsid w:val="002A1683"/>
    <w:rsid w:val="002A1694"/>
    <w:rsid w:val="002A17B4"/>
    <w:rsid w:val="002A1DFF"/>
    <w:rsid w:val="002A249E"/>
    <w:rsid w:val="002A24C0"/>
    <w:rsid w:val="002A24C1"/>
    <w:rsid w:val="002A267B"/>
    <w:rsid w:val="002A28C1"/>
    <w:rsid w:val="002A29C4"/>
    <w:rsid w:val="002A2B59"/>
    <w:rsid w:val="002A2CC9"/>
    <w:rsid w:val="002A3739"/>
    <w:rsid w:val="002A3776"/>
    <w:rsid w:val="002A3A14"/>
    <w:rsid w:val="002A3D5F"/>
    <w:rsid w:val="002A4391"/>
    <w:rsid w:val="002A45AD"/>
    <w:rsid w:val="002A4707"/>
    <w:rsid w:val="002A47CF"/>
    <w:rsid w:val="002A4D21"/>
    <w:rsid w:val="002A5604"/>
    <w:rsid w:val="002A5745"/>
    <w:rsid w:val="002A57EF"/>
    <w:rsid w:val="002A599B"/>
    <w:rsid w:val="002A60CB"/>
    <w:rsid w:val="002A63ED"/>
    <w:rsid w:val="002A65AE"/>
    <w:rsid w:val="002A6633"/>
    <w:rsid w:val="002A67C4"/>
    <w:rsid w:val="002A6B13"/>
    <w:rsid w:val="002A727B"/>
    <w:rsid w:val="002A7438"/>
    <w:rsid w:val="002A7727"/>
    <w:rsid w:val="002A79F2"/>
    <w:rsid w:val="002A79F5"/>
    <w:rsid w:val="002A7E93"/>
    <w:rsid w:val="002A7FAC"/>
    <w:rsid w:val="002B006E"/>
    <w:rsid w:val="002B026C"/>
    <w:rsid w:val="002B087F"/>
    <w:rsid w:val="002B0E9F"/>
    <w:rsid w:val="002B0F1F"/>
    <w:rsid w:val="002B10C8"/>
    <w:rsid w:val="002B143B"/>
    <w:rsid w:val="002B14F6"/>
    <w:rsid w:val="002B151E"/>
    <w:rsid w:val="002B1940"/>
    <w:rsid w:val="002B19E2"/>
    <w:rsid w:val="002B1D59"/>
    <w:rsid w:val="002B1E03"/>
    <w:rsid w:val="002B2332"/>
    <w:rsid w:val="002B258F"/>
    <w:rsid w:val="002B25A2"/>
    <w:rsid w:val="002B2808"/>
    <w:rsid w:val="002B2ECC"/>
    <w:rsid w:val="002B30AF"/>
    <w:rsid w:val="002B3208"/>
    <w:rsid w:val="002B3A4E"/>
    <w:rsid w:val="002B3F3A"/>
    <w:rsid w:val="002B43A4"/>
    <w:rsid w:val="002B43B0"/>
    <w:rsid w:val="002B4A24"/>
    <w:rsid w:val="002B4BD9"/>
    <w:rsid w:val="002B55FF"/>
    <w:rsid w:val="002B56A1"/>
    <w:rsid w:val="002B5B40"/>
    <w:rsid w:val="002B5C8A"/>
    <w:rsid w:val="002B5E18"/>
    <w:rsid w:val="002B5F8D"/>
    <w:rsid w:val="002B6434"/>
    <w:rsid w:val="002B6677"/>
    <w:rsid w:val="002B67E2"/>
    <w:rsid w:val="002B6B76"/>
    <w:rsid w:val="002B7693"/>
    <w:rsid w:val="002B77E6"/>
    <w:rsid w:val="002B79CE"/>
    <w:rsid w:val="002B7CAE"/>
    <w:rsid w:val="002C0072"/>
    <w:rsid w:val="002C0182"/>
    <w:rsid w:val="002C01B9"/>
    <w:rsid w:val="002C01CB"/>
    <w:rsid w:val="002C03E5"/>
    <w:rsid w:val="002C045E"/>
    <w:rsid w:val="002C0657"/>
    <w:rsid w:val="002C0A05"/>
    <w:rsid w:val="002C1240"/>
    <w:rsid w:val="002C14CE"/>
    <w:rsid w:val="002C157B"/>
    <w:rsid w:val="002C17C1"/>
    <w:rsid w:val="002C1B74"/>
    <w:rsid w:val="002C1E43"/>
    <w:rsid w:val="002C2166"/>
    <w:rsid w:val="002C2333"/>
    <w:rsid w:val="002C237A"/>
    <w:rsid w:val="002C25E7"/>
    <w:rsid w:val="002C328C"/>
    <w:rsid w:val="002C33FC"/>
    <w:rsid w:val="002C357E"/>
    <w:rsid w:val="002C37B0"/>
    <w:rsid w:val="002C37FE"/>
    <w:rsid w:val="002C39D5"/>
    <w:rsid w:val="002C3C32"/>
    <w:rsid w:val="002C3CFB"/>
    <w:rsid w:val="002C4260"/>
    <w:rsid w:val="002C46AA"/>
    <w:rsid w:val="002C4EB3"/>
    <w:rsid w:val="002C52C6"/>
    <w:rsid w:val="002C5C1C"/>
    <w:rsid w:val="002C5C39"/>
    <w:rsid w:val="002C5DE1"/>
    <w:rsid w:val="002C619D"/>
    <w:rsid w:val="002C6219"/>
    <w:rsid w:val="002C638A"/>
    <w:rsid w:val="002C681C"/>
    <w:rsid w:val="002C6849"/>
    <w:rsid w:val="002C6E87"/>
    <w:rsid w:val="002C72E6"/>
    <w:rsid w:val="002C7903"/>
    <w:rsid w:val="002C7A6D"/>
    <w:rsid w:val="002C7B67"/>
    <w:rsid w:val="002C7C35"/>
    <w:rsid w:val="002C7DFD"/>
    <w:rsid w:val="002D001A"/>
    <w:rsid w:val="002D09BE"/>
    <w:rsid w:val="002D0AD4"/>
    <w:rsid w:val="002D0C7C"/>
    <w:rsid w:val="002D0ED9"/>
    <w:rsid w:val="002D12B0"/>
    <w:rsid w:val="002D1B02"/>
    <w:rsid w:val="002D1C7F"/>
    <w:rsid w:val="002D1CE3"/>
    <w:rsid w:val="002D1EEF"/>
    <w:rsid w:val="002D1F3A"/>
    <w:rsid w:val="002D236F"/>
    <w:rsid w:val="002D254C"/>
    <w:rsid w:val="002D25BA"/>
    <w:rsid w:val="002D27CD"/>
    <w:rsid w:val="002D29C4"/>
    <w:rsid w:val="002D2CBF"/>
    <w:rsid w:val="002D32CA"/>
    <w:rsid w:val="002D3400"/>
    <w:rsid w:val="002D3925"/>
    <w:rsid w:val="002D3A43"/>
    <w:rsid w:val="002D3A72"/>
    <w:rsid w:val="002D3E11"/>
    <w:rsid w:val="002D3FB1"/>
    <w:rsid w:val="002D4230"/>
    <w:rsid w:val="002D4815"/>
    <w:rsid w:val="002D4C91"/>
    <w:rsid w:val="002D4EDA"/>
    <w:rsid w:val="002D5016"/>
    <w:rsid w:val="002D5485"/>
    <w:rsid w:val="002D56D6"/>
    <w:rsid w:val="002D5813"/>
    <w:rsid w:val="002D5915"/>
    <w:rsid w:val="002D5D77"/>
    <w:rsid w:val="002D5E54"/>
    <w:rsid w:val="002D5EA3"/>
    <w:rsid w:val="002D5FE5"/>
    <w:rsid w:val="002D6152"/>
    <w:rsid w:val="002D6232"/>
    <w:rsid w:val="002D6557"/>
    <w:rsid w:val="002D690F"/>
    <w:rsid w:val="002D6930"/>
    <w:rsid w:val="002D6A58"/>
    <w:rsid w:val="002D6D4A"/>
    <w:rsid w:val="002D7023"/>
    <w:rsid w:val="002D70E0"/>
    <w:rsid w:val="002D7157"/>
    <w:rsid w:val="002D716C"/>
    <w:rsid w:val="002D73BF"/>
    <w:rsid w:val="002D7464"/>
    <w:rsid w:val="002D76DE"/>
    <w:rsid w:val="002D781D"/>
    <w:rsid w:val="002D796F"/>
    <w:rsid w:val="002E041E"/>
    <w:rsid w:val="002E08B9"/>
    <w:rsid w:val="002E0BA7"/>
    <w:rsid w:val="002E0DC0"/>
    <w:rsid w:val="002E0F5A"/>
    <w:rsid w:val="002E1142"/>
    <w:rsid w:val="002E115B"/>
    <w:rsid w:val="002E17FA"/>
    <w:rsid w:val="002E1C06"/>
    <w:rsid w:val="002E252F"/>
    <w:rsid w:val="002E2567"/>
    <w:rsid w:val="002E25A1"/>
    <w:rsid w:val="002E27B8"/>
    <w:rsid w:val="002E2A30"/>
    <w:rsid w:val="002E2AC3"/>
    <w:rsid w:val="002E3006"/>
    <w:rsid w:val="002E324B"/>
    <w:rsid w:val="002E3413"/>
    <w:rsid w:val="002E346D"/>
    <w:rsid w:val="002E3646"/>
    <w:rsid w:val="002E3894"/>
    <w:rsid w:val="002E3AD1"/>
    <w:rsid w:val="002E3BA4"/>
    <w:rsid w:val="002E3D0A"/>
    <w:rsid w:val="002E419F"/>
    <w:rsid w:val="002E420A"/>
    <w:rsid w:val="002E4755"/>
    <w:rsid w:val="002E49AC"/>
    <w:rsid w:val="002E4AAB"/>
    <w:rsid w:val="002E504B"/>
    <w:rsid w:val="002E53FA"/>
    <w:rsid w:val="002E540E"/>
    <w:rsid w:val="002E5434"/>
    <w:rsid w:val="002E55AD"/>
    <w:rsid w:val="002E57F8"/>
    <w:rsid w:val="002E5BAD"/>
    <w:rsid w:val="002E5EFC"/>
    <w:rsid w:val="002E5FB5"/>
    <w:rsid w:val="002E6395"/>
    <w:rsid w:val="002E674B"/>
    <w:rsid w:val="002E6910"/>
    <w:rsid w:val="002E69EA"/>
    <w:rsid w:val="002E6BC0"/>
    <w:rsid w:val="002E6DF0"/>
    <w:rsid w:val="002E70EF"/>
    <w:rsid w:val="002E7104"/>
    <w:rsid w:val="002E7706"/>
    <w:rsid w:val="002E7874"/>
    <w:rsid w:val="002E791F"/>
    <w:rsid w:val="002E7A47"/>
    <w:rsid w:val="002E7F07"/>
    <w:rsid w:val="002F00B8"/>
    <w:rsid w:val="002F0168"/>
    <w:rsid w:val="002F06E8"/>
    <w:rsid w:val="002F0713"/>
    <w:rsid w:val="002F1077"/>
    <w:rsid w:val="002F122C"/>
    <w:rsid w:val="002F12CC"/>
    <w:rsid w:val="002F15F8"/>
    <w:rsid w:val="002F17F5"/>
    <w:rsid w:val="002F1ECB"/>
    <w:rsid w:val="002F254E"/>
    <w:rsid w:val="002F2692"/>
    <w:rsid w:val="002F26AC"/>
    <w:rsid w:val="002F2A04"/>
    <w:rsid w:val="002F2B4E"/>
    <w:rsid w:val="002F31C3"/>
    <w:rsid w:val="002F3240"/>
    <w:rsid w:val="002F337F"/>
    <w:rsid w:val="002F3491"/>
    <w:rsid w:val="002F34EB"/>
    <w:rsid w:val="002F35A0"/>
    <w:rsid w:val="002F3621"/>
    <w:rsid w:val="002F3AB4"/>
    <w:rsid w:val="002F3C88"/>
    <w:rsid w:val="002F3E0A"/>
    <w:rsid w:val="002F3FAC"/>
    <w:rsid w:val="002F4683"/>
    <w:rsid w:val="002F484A"/>
    <w:rsid w:val="002F510E"/>
    <w:rsid w:val="002F527E"/>
    <w:rsid w:val="002F54CC"/>
    <w:rsid w:val="002F5869"/>
    <w:rsid w:val="002F5BD7"/>
    <w:rsid w:val="002F5E01"/>
    <w:rsid w:val="002F6171"/>
    <w:rsid w:val="002F6381"/>
    <w:rsid w:val="002F6793"/>
    <w:rsid w:val="002F68B7"/>
    <w:rsid w:val="002F6C81"/>
    <w:rsid w:val="002F7102"/>
    <w:rsid w:val="002F79D7"/>
    <w:rsid w:val="002F7D0B"/>
    <w:rsid w:val="002F7DF9"/>
    <w:rsid w:val="002F7EC9"/>
    <w:rsid w:val="002F7F32"/>
    <w:rsid w:val="00300796"/>
    <w:rsid w:val="00300893"/>
    <w:rsid w:val="0030093F"/>
    <w:rsid w:val="0030098F"/>
    <w:rsid w:val="003009E4"/>
    <w:rsid w:val="00300AFF"/>
    <w:rsid w:val="00300D9D"/>
    <w:rsid w:val="003010A3"/>
    <w:rsid w:val="0030141B"/>
    <w:rsid w:val="003014B6"/>
    <w:rsid w:val="00301549"/>
    <w:rsid w:val="00301815"/>
    <w:rsid w:val="00302369"/>
    <w:rsid w:val="003024C8"/>
    <w:rsid w:val="00302666"/>
    <w:rsid w:val="00302A12"/>
    <w:rsid w:val="00302A1B"/>
    <w:rsid w:val="00302AE8"/>
    <w:rsid w:val="00302FAF"/>
    <w:rsid w:val="00303516"/>
    <w:rsid w:val="00303612"/>
    <w:rsid w:val="00303839"/>
    <w:rsid w:val="00303CF8"/>
    <w:rsid w:val="0030474C"/>
    <w:rsid w:val="00304875"/>
    <w:rsid w:val="003049A5"/>
    <w:rsid w:val="00304A9E"/>
    <w:rsid w:val="0030544A"/>
    <w:rsid w:val="00305B5B"/>
    <w:rsid w:val="00305D96"/>
    <w:rsid w:val="00306113"/>
    <w:rsid w:val="003061F2"/>
    <w:rsid w:val="00306669"/>
    <w:rsid w:val="0030677E"/>
    <w:rsid w:val="003071F9"/>
    <w:rsid w:val="003072E8"/>
    <w:rsid w:val="00307378"/>
    <w:rsid w:val="00307B31"/>
    <w:rsid w:val="00307F23"/>
    <w:rsid w:val="00307F53"/>
    <w:rsid w:val="00307F5A"/>
    <w:rsid w:val="00310119"/>
    <w:rsid w:val="003102E5"/>
    <w:rsid w:val="003103C5"/>
    <w:rsid w:val="00310481"/>
    <w:rsid w:val="00310504"/>
    <w:rsid w:val="00310B52"/>
    <w:rsid w:val="00310D81"/>
    <w:rsid w:val="00310E11"/>
    <w:rsid w:val="00310EB6"/>
    <w:rsid w:val="00310F1E"/>
    <w:rsid w:val="00311871"/>
    <w:rsid w:val="00311A2B"/>
    <w:rsid w:val="00311F19"/>
    <w:rsid w:val="00311FD4"/>
    <w:rsid w:val="00312FBC"/>
    <w:rsid w:val="00313073"/>
    <w:rsid w:val="00313D0B"/>
    <w:rsid w:val="00313E70"/>
    <w:rsid w:val="00313FC9"/>
    <w:rsid w:val="00314127"/>
    <w:rsid w:val="00314A40"/>
    <w:rsid w:val="00314A59"/>
    <w:rsid w:val="00314B72"/>
    <w:rsid w:val="00314DDA"/>
    <w:rsid w:val="00315271"/>
    <w:rsid w:val="0031537C"/>
    <w:rsid w:val="0031541F"/>
    <w:rsid w:val="00315D8E"/>
    <w:rsid w:val="00316C5C"/>
    <w:rsid w:val="00316DB8"/>
    <w:rsid w:val="00316EA0"/>
    <w:rsid w:val="003173B0"/>
    <w:rsid w:val="003179C0"/>
    <w:rsid w:val="0032019C"/>
    <w:rsid w:val="00320DD0"/>
    <w:rsid w:val="003213E0"/>
    <w:rsid w:val="00321410"/>
    <w:rsid w:val="003214F9"/>
    <w:rsid w:val="0032152F"/>
    <w:rsid w:val="00321824"/>
    <w:rsid w:val="00321F06"/>
    <w:rsid w:val="00321F6F"/>
    <w:rsid w:val="00321F8F"/>
    <w:rsid w:val="003221C2"/>
    <w:rsid w:val="00322E92"/>
    <w:rsid w:val="00322FAD"/>
    <w:rsid w:val="0032317D"/>
    <w:rsid w:val="00323233"/>
    <w:rsid w:val="0032327A"/>
    <w:rsid w:val="003232F9"/>
    <w:rsid w:val="00323527"/>
    <w:rsid w:val="0032360D"/>
    <w:rsid w:val="00323F6A"/>
    <w:rsid w:val="003242AE"/>
    <w:rsid w:val="00324393"/>
    <w:rsid w:val="003243EB"/>
    <w:rsid w:val="003243F3"/>
    <w:rsid w:val="003245A5"/>
    <w:rsid w:val="00324604"/>
    <w:rsid w:val="00324823"/>
    <w:rsid w:val="003248CC"/>
    <w:rsid w:val="00324CA7"/>
    <w:rsid w:val="00324E82"/>
    <w:rsid w:val="003250E7"/>
    <w:rsid w:val="00325244"/>
    <w:rsid w:val="003258E7"/>
    <w:rsid w:val="00325F2C"/>
    <w:rsid w:val="00325F6D"/>
    <w:rsid w:val="00326116"/>
    <w:rsid w:val="00326A01"/>
    <w:rsid w:val="003273D9"/>
    <w:rsid w:val="003279EE"/>
    <w:rsid w:val="0033031B"/>
    <w:rsid w:val="003305BC"/>
    <w:rsid w:val="003307D3"/>
    <w:rsid w:val="003307E1"/>
    <w:rsid w:val="00330845"/>
    <w:rsid w:val="003309A5"/>
    <w:rsid w:val="00330A02"/>
    <w:rsid w:val="00330C2A"/>
    <w:rsid w:val="00330CCC"/>
    <w:rsid w:val="00330CF7"/>
    <w:rsid w:val="0033132C"/>
    <w:rsid w:val="003313C1"/>
    <w:rsid w:val="0033144E"/>
    <w:rsid w:val="00331573"/>
    <w:rsid w:val="00331773"/>
    <w:rsid w:val="00331AFF"/>
    <w:rsid w:val="00331B00"/>
    <w:rsid w:val="003323D5"/>
    <w:rsid w:val="00332451"/>
    <w:rsid w:val="0033265A"/>
    <w:rsid w:val="00332B54"/>
    <w:rsid w:val="00332F48"/>
    <w:rsid w:val="00333130"/>
    <w:rsid w:val="0033344A"/>
    <w:rsid w:val="0033377B"/>
    <w:rsid w:val="003339A3"/>
    <w:rsid w:val="00333DC6"/>
    <w:rsid w:val="00333E9A"/>
    <w:rsid w:val="0033412E"/>
    <w:rsid w:val="003341FA"/>
    <w:rsid w:val="00334377"/>
    <w:rsid w:val="003343D1"/>
    <w:rsid w:val="003344B1"/>
    <w:rsid w:val="00334C3E"/>
    <w:rsid w:val="00334EAF"/>
    <w:rsid w:val="00335185"/>
    <w:rsid w:val="00335390"/>
    <w:rsid w:val="003354EC"/>
    <w:rsid w:val="00335AE8"/>
    <w:rsid w:val="00335DB0"/>
    <w:rsid w:val="00335F6A"/>
    <w:rsid w:val="003366AF"/>
    <w:rsid w:val="00336DFB"/>
    <w:rsid w:val="00336F2E"/>
    <w:rsid w:val="0033700B"/>
    <w:rsid w:val="0033753B"/>
    <w:rsid w:val="00337776"/>
    <w:rsid w:val="00337841"/>
    <w:rsid w:val="00337E8B"/>
    <w:rsid w:val="00340215"/>
    <w:rsid w:val="003402E2"/>
    <w:rsid w:val="003405C9"/>
    <w:rsid w:val="00340F5A"/>
    <w:rsid w:val="00341113"/>
    <w:rsid w:val="003411E7"/>
    <w:rsid w:val="003415AC"/>
    <w:rsid w:val="00341786"/>
    <w:rsid w:val="00341885"/>
    <w:rsid w:val="003419C1"/>
    <w:rsid w:val="00341AF8"/>
    <w:rsid w:val="00341B07"/>
    <w:rsid w:val="00342131"/>
    <w:rsid w:val="00342376"/>
    <w:rsid w:val="0034243D"/>
    <w:rsid w:val="00342598"/>
    <w:rsid w:val="003428D1"/>
    <w:rsid w:val="00342A1B"/>
    <w:rsid w:val="00342C2C"/>
    <w:rsid w:val="003432CA"/>
    <w:rsid w:val="00343A00"/>
    <w:rsid w:val="00343F97"/>
    <w:rsid w:val="00344682"/>
    <w:rsid w:val="003447A9"/>
    <w:rsid w:val="00344863"/>
    <w:rsid w:val="00344923"/>
    <w:rsid w:val="00344AFD"/>
    <w:rsid w:val="00344C65"/>
    <w:rsid w:val="00344CEF"/>
    <w:rsid w:val="00345330"/>
    <w:rsid w:val="003454B8"/>
    <w:rsid w:val="003456A7"/>
    <w:rsid w:val="00345BA6"/>
    <w:rsid w:val="00345E3A"/>
    <w:rsid w:val="00345FEE"/>
    <w:rsid w:val="00346701"/>
    <w:rsid w:val="003467DF"/>
    <w:rsid w:val="00346816"/>
    <w:rsid w:val="003469FB"/>
    <w:rsid w:val="00347015"/>
    <w:rsid w:val="0035036F"/>
    <w:rsid w:val="00350936"/>
    <w:rsid w:val="003509F0"/>
    <w:rsid w:val="003510FF"/>
    <w:rsid w:val="0035133C"/>
    <w:rsid w:val="003514B4"/>
    <w:rsid w:val="003514C2"/>
    <w:rsid w:val="00351CCB"/>
    <w:rsid w:val="00351D2D"/>
    <w:rsid w:val="00351D87"/>
    <w:rsid w:val="0035213C"/>
    <w:rsid w:val="0035258E"/>
    <w:rsid w:val="003525DC"/>
    <w:rsid w:val="00352644"/>
    <w:rsid w:val="00352722"/>
    <w:rsid w:val="00352AC1"/>
    <w:rsid w:val="00352BC9"/>
    <w:rsid w:val="00352FCC"/>
    <w:rsid w:val="00353203"/>
    <w:rsid w:val="003532F6"/>
    <w:rsid w:val="00353381"/>
    <w:rsid w:val="003537E0"/>
    <w:rsid w:val="00353C71"/>
    <w:rsid w:val="003547D2"/>
    <w:rsid w:val="0035485C"/>
    <w:rsid w:val="00355063"/>
    <w:rsid w:val="0035520D"/>
    <w:rsid w:val="003556EA"/>
    <w:rsid w:val="00355BA3"/>
    <w:rsid w:val="00355C08"/>
    <w:rsid w:val="00355C95"/>
    <w:rsid w:val="0035603C"/>
    <w:rsid w:val="00356D1F"/>
    <w:rsid w:val="00356E90"/>
    <w:rsid w:val="00357042"/>
    <w:rsid w:val="00357088"/>
    <w:rsid w:val="00357176"/>
    <w:rsid w:val="003572F8"/>
    <w:rsid w:val="00357D05"/>
    <w:rsid w:val="00357D1F"/>
    <w:rsid w:val="00357D94"/>
    <w:rsid w:val="003603C4"/>
    <w:rsid w:val="0036048D"/>
    <w:rsid w:val="0036092F"/>
    <w:rsid w:val="00360E31"/>
    <w:rsid w:val="003619EE"/>
    <w:rsid w:val="00361D0A"/>
    <w:rsid w:val="00361D15"/>
    <w:rsid w:val="00361FCD"/>
    <w:rsid w:val="0036205E"/>
    <w:rsid w:val="003623B5"/>
    <w:rsid w:val="00362445"/>
    <w:rsid w:val="0036299B"/>
    <w:rsid w:val="00362C64"/>
    <w:rsid w:val="00362EB6"/>
    <w:rsid w:val="0036349E"/>
    <w:rsid w:val="00363DF8"/>
    <w:rsid w:val="003641A4"/>
    <w:rsid w:val="00364A8F"/>
    <w:rsid w:val="00364AAC"/>
    <w:rsid w:val="00364D17"/>
    <w:rsid w:val="0036549E"/>
    <w:rsid w:val="00365796"/>
    <w:rsid w:val="00366409"/>
    <w:rsid w:val="00366699"/>
    <w:rsid w:val="003667D6"/>
    <w:rsid w:val="00366F1D"/>
    <w:rsid w:val="00366FCB"/>
    <w:rsid w:val="003671B2"/>
    <w:rsid w:val="00367469"/>
    <w:rsid w:val="00367486"/>
    <w:rsid w:val="003675CC"/>
    <w:rsid w:val="003677DA"/>
    <w:rsid w:val="0036797B"/>
    <w:rsid w:val="003679DC"/>
    <w:rsid w:val="00367B1A"/>
    <w:rsid w:val="00367C53"/>
    <w:rsid w:val="00367DD5"/>
    <w:rsid w:val="00367E70"/>
    <w:rsid w:val="00370199"/>
    <w:rsid w:val="00370345"/>
    <w:rsid w:val="00370831"/>
    <w:rsid w:val="00370B2A"/>
    <w:rsid w:val="00370D76"/>
    <w:rsid w:val="00370EA0"/>
    <w:rsid w:val="0037110B"/>
    <w:rsid w:val="003716D3"/>
    <w:rsid w:val="00371938"/>
    <w:rsid w:val="00371BA8"/>
    <w:rsid w:val="00372031"/>
    <w:rsid w:val="00372329"/>
    <w:rsid w:val="0037232D"/>
    <w:rsid w:val="00372357"/>
    <w:rsid w:val="003725B3"/>
    <w:rsid w:val="003728B9"/>
    <w:rsid w:val="00372B00"/>
    <w:rsid w:val="00372D5B"/>
    <w:rsid w:val="00373172"/>
    <w:rsid w:val="00373A8A"/>
    <w:rsid w:val="00373F3B"/>
    <w:rsid w:val="0037405C"/>
    <w:rsid w:val="00374184"/>
    <w:rsid w:val="003746C0"/>
    <w:rsid w:val="00374822"/>
    <w:rsid w:val="00375639"/>
    <w:rsid w:val="0037581F"/>
    <w:rsid w:val="00375937"/>
    <w:rsid w:val="00375B8D"/>
    <w:rsid w:val="00375C0D"/>
    <w:rsid w:val="00375C7B"/>
    <w:rsid w:val="00375DD3"/>
    <w:rsid w:val="00375EA8"/>
    <w:rsid w:val="00376185"/>
    <w:rsid w:val="003764EF"/>
    <w:rsid w:val="00376523"/>
    <w:rsid w:val="00376530"/>
    <w:rsid w:val="00376B80"/>
    <w:rsid w:val="0037719B"/>
    <w:rsid w:val="003772A9"/>
    <w:rsid w:val="0037739C"/>
    <w:rsid w:val="00377777"/>
    <w:rsid w:val="00377981"/>
    <w:rsid w:val="00377C9D"/>
    <w:rsid w:val="00377FED"/>
    <w:rsid w:val="00380309"/>
    <w:rsid w:val="003806BF"/>
    <w:rsid w:val="003807B9"/>
    <w:rsid w:val="00380907"/>
    <w:rsid w:val="00380B61"/>
    <w:rsid w:val="00380DAC"/>
    <w:rsid w:val="00380EA3"/>
    <w:rsid w:val="00380EC0"/>
    <w:rsid w:val="00381004"/>
    <w:rsid w:val="003811BC"/>
    <w:rsid w:val="0038147F"/>
    <w:rsid w:val="00381499"/>
    <w:rsid w:val="003818F8"/>
    <w:rsid w:val="00381B24"/>
    <w:rsid w:val="00381BA1"/>
    <w:rsid w:val="00381BD4"/>
    <w:rsid w:val="003820F7"/>
    <w:rsid w:val="00382118"/>
    <w:rsid w:val="0038211D"/>
    <w:rsid w:val="00382191"/>
    <w:rsid w:val="00382AAB"/>
    <w:rsid w:val="00382B5E"/>
    <w:rsid w:val="00382E97"/>
    <w:rsid w:val="003834E0"/>
    <w:rsid w:val="00383667"/>
    <w:rsid w:val="00383BEE"/>
    <w:rsid w:val="0038429E"/>
    <w:rsid w:val="0038457C"/>
    <w:rsid w:val="00384DC9"/>
    <w:rsid w:val="00384F9A"/>
    <w:rsid w:val="003854BB"/>
    <w:rsid w:val="00385652"/>
    <w:rsid w:val="00385A65"/>
    <w:rsid w:val="00385B09"/>
    <w:rsid w:val="00385F81"/>
    <w:rsid w:val="0038606C"/>
    <w:rsid w:val="00386186"/>
    <w:rsid w:val="003864A9"/>
    <w:rsid w:val="003868D0"/>
    <w:rsid w:val="00386AAE"/>
    <w:rsid w:val="00386AF4"/>
    <w:rsid w:val="00386B0D"/>
    <w:rsid w:val="00386CC5"/>
    <w:rsid w:val="00386DA2"/>
    <w:rsid w:val="00387134"/>
    <w:rsid w:val="00387305"/>
    <w:rsid w:val="00387946"/>
    <w:rsid w:val="00387ACB"/>
    <w:rsid w:val="00387F9C"/>
    <w:rsid w:val="00387FE3"/>
    <w:rsid w:val="00390132"/>
    <w:rsid w:val="00390ACE"/>
    <w:rsid w:val="00391041"/>
    <w:rsid w:val="0039125F"/>
    <w:rsid w:val="00391466"/>
    <w:rsid w:val="003916C5"/>
    <w:rsid w:val="00391CF3"/>
    <w:rsid w:val="00391DB5"/>
    <w:rsid w:val="0039223F"/>
    <w:rsid w:val="0039281E"/>
    <w:rsid w:val="00392FD0"/>
    <w:rsid w:val="0039302B"/>
    <w:rsid w:val="003932D7"/>
    <w:rsid w:val="003933CF"/>
    <w:rsid w:val="003935BD"/>
    <w:rsid w:val="003936FF"/>
    <w:rsid w:val="0039374E"/>
    <w:rsid w:val="003938B5"/>
    <w:rsid w:val="00393A1A"/>
    <w:rsid w:val="00393BDE"/>
    <w:rsid w:val="00393C69"/>
    <w:rsid w:val="00394778"/>
    <w:rsid w:val="003947D4"/>
    <w:rsid w:val="00394991"/>
    <w:rsid w:val="00394DFE"/>
    <w:rsid w:val="00394EC7"/>
    <w:rsid w:val="003954B0"/>
    <w:rsid w:val="0039573C"/>
    <w:rsid w:val="003957C6"/>
    <w:rsid w:val="003957EB"/>
    <w:rsid w:val="003958B6"/>
    <w:rsid w:val="00395926"/>
    <w:rsid w:val="00395C5E"/>
    <w:rsid w:val="00395E09"/>
    <w:rsid w:val="00395FA3"/>
    <w:rsid w:val="003967DB"/>
    <w:rsid w:val="0039687A"/>
    <w:rsid w:val="00396B90"/>
    <w:rsid w:val="00396C36"/>
    <w:rsid w:val="00396D6D"/>
    <w:rsid w:val="00396DF6"/>
    <w:rsid w:val="00396E55"/>
    <w:rsid w:val="003972E4"/>
    <w:rsid w:val="0039799D"/>
    <w:rsid w:val="00397B54"/>
    <w:rsid w:val="00397C05"/>
    <w:rsid w:val="00397F70"/>
    <w:rsid w:val="003A015D"/>
    <w:rsid w:val="003A01D9"/>
    <w:rsid w:val="003A01FB"/>
    <w:rsid w:val="003A030B"/>
    <w:rsid w:val="003A044D"/>
    <w:rsid w:val="003A063C"/>
    <w:rsid w:val="003A08B7"/>
    <w:rsid w:val="003A0D21"/>
    <w:rsid w:val="003A0D2C"/>
    <w:rsid w:val="003A0FEE"/>
    <w:rsid w:val="003A14E8"/>
    <w:rsid w:val="003A1898"/>
    <w:rsid w:val="003A197D"/>
    <w:rsid w:val="003A1D34"/>
    <w:rsid w:val="003A21BC"/>
    <w:rsid w:val="003A227B"/>
    <w:rsid w:val="003A23CF"/>
    <w:rsid w:val="003A2561"/>
    <w:rsid w:val="003A293B"/>
    <w:rsid w:val="003A2979"/>
    <w:rsid w:val="003A2D85"/>
    <w:rsid w:val="003A32D6"/>
    <w:rsid w:val="003A3CC9"/>
    <w:rsid w:val="003A40F4"/>
    <w:rsid w:val="003A44B1"/>
    <w:rsid w:val="003A4D2C"/>
    <w:rsid w:val="003A4F13"/>
    <w:rsid w:val="003A50D3"/>
    <w:rsid w:val="003A55A0"/>
    <w:rsid w:val="003A55CB"/>
    <w:rsid w:val="003A5A9A"/>
    <w:rsid w:val="003A5D8B"/>
    <w:rsid w:val="003A5E9A"/>
    <w:rsid w:val="003A5EB5"/>
    <w:rsid w:val="003A6965"/>
    <w:rsid w:val="003A6BDD"/>
    <w:rsid w:val="003A6E07"/>
    <w:rsid w:val="003A6E2D"/>
    <w:rsid w:val="003A6E61"/>
    <w:rsid w:val="003A7092"/>
    <w:rsid w:val="003A75D9"/>
    <w:rsid w:val="003A767F"/>
    <w:rsid w:val="003A7C00"/>
    <w:rsid w:val="003A7C4C"/>
    <w:rsid w:val="003A7F08"/>
    <w:rsid w:val="003B0111"/>
    <w:rsid w:val="003B021F"/>
    <w:rsid w:val="003B02B8"/>
    <w:rsid w:val="003B0416"/>
    <w:rsid w:val="003B076D"/>
    <w:rsid w:val="003B0C77"/>
    <w:rsid w:val="003B10CE"/>
    <w:rsid w:val="003B13FF"/>
    <w:rsid w:val="003B17F8"/>
    <w:rsid w:val="003B1879"/>
    <w:rsid w:val="003B1C49"/>
    <w:rsid w:val="003B1DB2"/>
    <w:rsid w:val="003B1E1A"/>
    <w:rsid w:val="003B2251"/>
    <w:rsid w:val="003B2428"/>
    <w:rsid w:val="003B2531"/>
    <w:rsid w:val="003B2598"/>
    <w:rsid w:val="003B28F3"/>
    <w:rsid w:val="003B2CC8"/>
    <w:rsid w:val="003B2E73"/>
    <w:rsid w:val="003B31DF"/>
    <w:rsid w:val="003B3622"/>
    <w:rsid w:val="003B39DE"/>
    <w:rsid w:val="003B3DD7"/>
    <w:rsid w:val="003B3F25"/>
    <w:rsid w:val="003B3F36"/>
    <w:rsid w:val="003B555C"/>
    <w:rsid w:val="003B576F"/>
    <w:rsid w:val="003B5795"/>
    <w:rsid w:val="003B5CF7"/>
    <w:rsid w:val="003B6223"/>
    <w:rsid w:val="003B65D2"/>
    <w:rsid w:val="003B6A63"/>
    <w:rsid w:val="003B6D4E"/>
    <w:rsid w:val="003B6E51"/>
    <w:rsid w:val="003B6F8F"/>
    <w:rsid w:val="003B7092"/>
    <w:rsid w:val="003B7452"/>
    <w:rsid w:val="003B7834"/>
    <w:rsid w:val="003B799E"/>
    <w:rsid w:val="003B79A2"/>
    <w:rsid w:val="003C01E0"/>
    <w:rsid w:val="003C027F"/>
    <w:rsid w:val="003C060C"/>
    <w:rsid w:val="003C083D"/>
    <w:rsid w:val="003C0B4E"/>
    <w:rsid w:val="003C0FCD"/>
    <w:rsid w:val="003C10C5"/>
    <w:rsid w:val="003C111C"/>
    <w:rsid w:val="003C115F"/>
    <w:rsid w:val="003C12ED"/>
    <w:rsid w:val="003C1470"/>
    <w:rsid w:val="003C1669"/>
    <w:rsid w:val="003C19F5"/>
    <w:rsid w:val="003C2BB0"/>
    <w:rsid w:val="003C2BCB"/>
    <w:rsid w:val="003C2DEE"/>
    <w:rsid w:val="003C3700"/>
    <w:rsid w:val="003C37BE"/>
    <w:rsid w:val="003C37E1"/>
    <w:rsid w:val="003C3900"/>
    <w:rsid w:val="003C39D4"/>
    <w:rsid w:val="003C420A"/>
    <w:rsid w:val="003C42F0"/>
    <w:rsid w:val="003C45C2"/>
    <w:rsid w:val="003C4650"/>
    <w:rsid w:val="003C4AF5"/>
    <w:rsid w:val="003C4D7C"/>
    <w:rsid w:val="003C5271"/>
    <w:rsid w:val="003C56B1"/>
    <w:rsid w:val="003C5AAF"/>
    <w:rsid w:val="003C5BDC"/>
    <w:rsid w:val="003C6044"/>
    <w:rsid w:val="003C62ED"/>
    <w:rsid w:val="003C6A4D"/>
    <w:rsid w:val="003C6AD8"/>
    <w:rsid w:val="003C6CC1"/>
    <w:rsid w:val="003C73B2"/>
    <w:rsid w:val="003C779E"/>
    <w:rsid w:val="003C7A10"/>
    <w:rsid w:val="003C7CE9"/>
    <w:rsid w:val="003D042B"/>
    <w:rsid w:val="003D0673"/>
    <w:rsid w:val="003D084F"/>
    <w:rsid w:val="003D09B3"/>
    <w:rsid w:val="003D0EE0"/>
    <w:rsid w:val="003D0F78"/>
    <w:rsid w:val="003D1216"/>
    <w:rsid w:val="003D13FC"/>
    <w:rsid w:val="003D18C4"/>
    <w:rsid w:val="003D195D"/>
    <w:rsid w:val="003D1DFD"/>
    <w:rsid w:val="003D1E7D"/>
    <w:rsid w:val="003D1ECB"/>
    <w:rsid w:val="003D21B8"/>
    <w:rsid w:val="003D246B"/>
    <w:rsid w:val="003D2A33"/>
    <w:rsid w:val="003D2CFA"/>
    <w:rsid w:val="003D3175"/>
    <w:rsid w:val="003D37EE"/>
    <w:rsid w:val="003D37FF"/>
    <w:rsid w:val="003D3C33"/>
    <w:rsid w:val="003D3E4B"/>
    <w:rsid w:val="003D42A1"/>
    <w:rsid w:val="003D4384"/>
    <w:rsid w:val="003D4E14"/>
    <w:rsid w:val="003D51B6"/>
    <w:rsid w:val="003D522B"/>
    <w:rsid w:val="003D52A8"/>
    <w:rsid w:val="003D54D3"/>
    <w:rsid w:val="003D58F7"/>
    <w:rsid w:val="003D5971"/>
    <w:rsid w:val="003D5B9C"/>
    <w:rsid w:val="003D5BCC"/>
    <w:rsid w:val="003D5EA0"/>
    <w:rsid w:val="003D612E"/>
    <w:rsid w:val="003D61AA"/>
    <w:rsid w:val="003D62F4"/>
    <w:rsid w:val="003D644D"/>
    <w:rsid w:val="003D652C"/>
    <w:rsid w:val="003D6880"/>
    <w:rsid w:val="003D6C9A"/>
    <w:rsid w:val="003D783E"/>
    <w:rsid w:val="003D7B82"/>
    <w:rsid w:val="003D7BD3"/>
    <w:rsid w:val="003E000A"/>
    <w:rsid w:val="003E00D2"/>
    <w:rsid w:val="003E012B"/>
    <w:rsid w:val="003E024B"/>
    <w:rsid w:val="003E02F6"/>
    <w:rsid w:val="003E02F7"/>
    <w:rsid w:val="003E0903"/>
    <w:rsid w:val="003E0A79"/>
    <w:rsid w:val="003E0DF9"/>
    <w:rsid w:val="003E10D9"/>
    <w:rsid w:val="003E14DF"/>
    <w:rsid w:val="003E15B1"/>
    <w:rsid w:val="003E1789"/>
    <w:rsid w:val="003E1921"/>
    <w:rsid w:val="003E19F1"/>
    <w:rsid w:val="003E1B2D"/>
    <w:rsid w:val="003E1FC8"/>
    <w:rsid w:val="003E233A"/>
    <w:rsid w:val="003E25F0"/>
    <w:rsid w:val="003E2B8B"/>
    <w:rsid w:val="003E2DA4"/>
    <w:rsid w:val="003E2DC6"/>
    <w:rsid w:val="003E30BC"/>
    <w:rsid w:val="003E3128"/>
    <w:rsid w:val="003E33A1"/>
    <w:rsid w:val="003E346E"/>
    <w:rsid w:val="003E360C"/>
    <w:rsid w:val="003E36DC"/>
    <w:rsid w:val="003E3701"/>
    <w:rsid w:val="003E3DCC"/>
    <w:rsid w:val="003E4108"/>
    <w:rsid w:val="003E43BB"/>
    <w:rsid w:val="003E44A3"/>
    <w:rsid w:val="003E461F"/>
    <w:rsid w:val="003E466B"/>
    <w:rsid w:val="003E4D0C"/>
    <w:rsid w:val="003E4D84"/>
    <w:rsid w:val="003E4FA3"/>
    <w:rsid w:val="003E5224"/>
    <w:rsid w:val="003E55EF"/>
    <w:rsid w:val="003E56F3"/>
    <w:rsid w:val="003E57A9"/>
    <w:rsid w:val="003E5B63"/>
    <w:rsid w:val="003E619E"/>
    <w:rsid w:val="003E6887"/>
    <w:rsid w:val="003E6B36"/>
    <w:rsid w:val="003E6E21"/>
    <w:rsid w:val="003E6FA4"/>
    <w:rsid w:val="003E7308"/>
    <w:rsid w:val="003E7558"/>
    <w:rsid w:val="003E7576"/>
    <w:rsid w:val="003E77AB"/>
    <w:rsid w:val="003E7854"/>
    <w:rsid w:val="003E7D2B"/>
    <w:rsid w:val="003E7DD3"/>
    <w:rsid w:val="003E7FAC"/>
    <w:rsid w:val="003F005B"/>
    <w:rsid w:val="003F01F8"/>
    <w:rsid w:val="003F0734"/>
    <w:rsid w:val="003F093A"/>
    <w:rsid w:val="003F0BFD"/>
    <w:rsid w:val="003F0D42"/>
    <w:rsid w:val="003F118B"/>
    <w:rsid w:val="003F173D"/>
    <w:rsid w:val="003F1B8B"/>
    <w:rsid w:val="003F1D83"/>
    <w:rsid w:val="003F2905"/>
    <w:rsid w:val="003F2BD6"/>
    <w:rsid w:val="003F2DD5"/>
    <w:rsid w:val="003F2F15"/>
    <w:rsid w:val="003F3007"/>
    <w:rsid w:val="003F3541"/>
    <w:rsid w:val="003F3A67"/>
    <w:rsid w:val="003F3F18"/>
    <w:rsid w:val="003F4240"/>
    <w:rsid w:val="003F4255"/>
    <w:rsid w:val="003F4271"/>
    <w:rsid w:val="003F4775"/>
    <w:rsid w:val="003F48FA"/>
    <w:rsid w:val="003F4A60"/>
    <w:rsid w:val="003F4C26"/>
    <w:rsid w:val="003F51EE"/>
    <w:rsid w:val="003F5310"/>
    <w:rsid w:val="003F55F3"/>
    <w:rsid w:val="003F565A"/>
    <w:rsid w:val="003F5C00"/>
    <w:rsid w:val="003F5F60"/>
    <w:rsid w:val="003F638D"/>
    <w:rsid w:val="003F63AC"/>
    <w:rsid w:val="003F6645"/>
    <w:rsid w:val="003F6C65"/>
    <w:rsid w:val="003F6D8D"/>
    <w:rsid w:val="003F6D96"/>
    <w:rsid w:val="003F6EB8"/>
    <w:rsid w:val="003F727E"/>
    <w:rsid w:val="003F7418"/>
    <w:rsid w:val="003F7498"/>
    <w:rsid w:val="003F76CA"/>
    <w:rsid w:val="003F7765"/>
    <w:rsid w:val="003F7AB7"/>
    <w:rsid w:val="0040025D"/>
    <w:rsid w:val="004002C0"/>
    <w:rsid w:val="00400451"/>
    <w:rsid w:val="00400CAA"/>
    <w:rsid w:val="00401071"/>
    <w:rsid w:val="004010BA"/>
    <w:rsid w:val="0040110B"/>
    <w:rsid w:val="00401448"/>
    <w:rsid w:val="0040158B"/>
    <w:rsid w:val="00401B17"/>
    <w:rsid w:val="00401B99"/>
    <w:rsid w:val="00401C73"/>
    <w:rsid w:val="00402174"/>
    <w:rsid w:val="00402366"/>
    <w:rsid w:val="00402620"/>
    <w:rsid w:val="00402769"/>
    <w:rsid w:val="004028A1"/>
    <w:rsid w:val="00402AA6"/>
    <w:rsid w:val="00402CBE"/>
    <w:rsid w:val="00402ECA"/>
    <w:rsid w:val="00402F57"/>
    <w:rsid w:val="00403D81"/>
    <w:rsid w:val="004046F8"/>
    <w:rsid w:val="00404793"/>
    <w:rsid w:val="004048D0"/>
    <w:rsid w:val="00404945"/>
    <w:rsid w:val="00404B82"/>
    <w:rsid w:val="00405112"/>
    <w:rsid w:val="00405331"/>
    <w:rsid w:val="004054BA"/>
    <w:rsid w:val="00405732"/>
    <w:rsid w:val="0040587C"/>
    <w:rsid w:val="00405D60"/>
    <w:rsid w:val="00405D98"/>
    <w:rsid w:val="004060B7"/>
    <w:rsid w:val="0040623F"/>
    <w:rsid w:val="004063D1"/>
    <w:rsid w:val="00406C20"/>
    <w:rsid w:val="00406D85"/>
    <w:rsid w:val="004070AA"/>
    <w:rsid w:val="00407145"/>
    <w:rsid w:val="00407151"/>
    <w:rsid w:val="00407223"/>
    <w:rsid w:val="00407479"/>
    <w:rsid w:val="004076E4"/>
    <w:rsid w:val="004079FD"/>
    <w:rsid w:val="00407C0B"/>
    <w:rsid w:val="00407C44"/>
    <w:rsid w:val="00410173"/>
    <w:rsid w:val="00410B23"/>
    <w:rsid w:val="00410D69"/>
    <w:rsid w:val="00410EDB"/>
    <w:rsid w:val="00410F02"/>
    <w:rsid w:val="0041108F"/>
    <w:rsid w:val="0041163B"/>
    <w:rsid w:val="00411A02"/>
    <w:rsid w:val="00411C90"/>
    <w:rsid w:val="00411EDF"/>
    <w:rsid w:val="00411F66"/>
    <w:rsid w:val="00412072"/>
    <w:rsid w:val="004121BB"/>
    <w:rsid w:val="004121E8"/>
    <w:rsid w:val="00412392"/>
    <w:rsid w:val="00412631"/>
    <w:rsid w:val="004126A0"/>
    <w:rsid w:val="004127AD"/>
    <w:rsid w:val="0041338C"/>
    <w:rsid w:val="004133EC"/>
    <w:rsid w:val="004137A6"/>
    <w:rsid w:val="00413A21"/>
    <w:rsid w:val="00413D16"/>
    <w:rsid w:val="00413E5C"/>
    <w:rsid w:val="00413EB9"/>
    <w:rsid w:val="00413FC1"/>
    <w:rsid w:val="004148C5"/>
    <w:rsid w:val="00414A36"/>
    <w:rsid w:val="00414B07"/>
    <w:rsid w:val="00414B4E"/>
    <w:rsid w:val="00414B84"/>
    <w:rsid w:val="00414C7D"/>
    <w:rsid w:val="00414CE4"/>
    <w:rsid w:val="00414DE5"/>
    <w:rsid w:val="00415096"/>
    <w:rsid w:val="004151E5"/>
    <w:rsid w:val="004152AB"/>
    <w:rsid w:val="00415321"/>
    <w:rsid w:val="00415587"/>
    <w:rsid w:val="004156C2"/>
    <w:rsid w:val="00415940"/>
    <w:rsid w:val="00415BBD"/>
    <w:rsid w:val="00415C8C"/>
    <w:rsid w:val="00415F69"/>
    <w:rsid w:val="00416545"/>
    <w:rsid w:val="00416A86"/>
    <w:rsid w:val="0041711E"/>
    <w:rsid w:val="004172FB"/>
    <w:rsid w:val="00417486"/>
    <w:rsid w:val="00417DA3"/>
    <w:rsid w:val="00417E7C"/>
    <w:rsid w:val="004203B5"/>
    <w:rsid w:val="004204F6"/>
    <w:rsid w:val="00420D5A"/>
    <w:rsid w:val="00420F34"/>
    <w:rsid w:val="0042134E"/>
    <w:rsid w:val="00421383"/>
    <w:rsid w:val="00421640"/>
    <w:rsid w:val="00421651"/>
    <w:rsid w:val="0042186E"/>
    <w:rsid w:val="00421ECB"/>
    <w:rsid w:val="004222FA"/>
    <w:rsid w:val="00422349"/>
    <w:rsid w:val="00422616"/>
    <w:rsid w:val="00422B5D"/>
    <w:rsid w:val="00422E0C"/>
    <w:rsid w:val="004230A4"/>
    <w:rsid w:val="0042352D"/>
    <w:rsid w:val="004235DA"/>
    <w:rsid w:val="00423FB1"/>
    <w:rsid w:val="00424111"/>
    <w:rsid w:val="00424642"/>
    <w:rsid w:val="004246D4"/>
    <w:rsid w:val="004248A4"/>
    <w:rsid w:val="0042492E"/>
    <w:rsid w:val="00424BB1"/>
    <w:rsid w:val="00424EFC"/>
    <w:rsid w:val="0042548A"/>
    <w:rsid w:val="00425659"/>
    <w:rsid w:val="00425838"/>
    <w:rsid w:val="00425BA1"/>
    <w:rsid w:val="004261D2"/>
    <w:rsid w:val="00426447"/>
    <w:rsid w:val="0042648E"/>
    <w:rsid w:val="00426607"/>
    <w:rsid w:val="0042675D"/>
    <w:rsid w:val="00426947"/>
    <w:rsid w:val="00426B25"/>
    <w:rsid w:val="00426BDC"/>
    <w:rsid w:val="00426D15"/>
    <w:rsid w:val="00426D17"/>
    <w:rsid w:val="0042719F"/>
    <w:rsid w:val="0042744F"/>
    <w:rsid w:val="00427716"/>
    <w:rsid w:val="00427958"/>
    <w:rsid w:val="00427A50"/>
    <w:rsid w:val="00427ACA"/>
    <w:rsid w:val="00427AE0"/>
    <w:rsid w:val="00427B49"/>
    <w:rsid w:val="00427EC2"/>
    <w:rsid w:val="0043067C"/>
    <w:rsid w:val="00430707"/>
    <w:rsid w:val="00430A86"/>
    <w:rsid w:val="00430AF2"/>
    <w:rsid w:val="00430CA4"/>
    <w:rsid w:val="00430D2D"/>
    <w:rsid w:val="00430E9E"/>
    <w:rsid w:val="004311AE"/>
    <w:rsid w:val="004317E1"/>
    <w:rsid w:val="00431810"/>
    <w:rsid w:val="0043185E"/>
    <w:rsid w:val="00431B14"/>
    <w:rsid w:val="00432283"/>
    <w:rsid w:val="00432567"/>
    <w:rsid w:val="00432588"/>
    <w:rsid w:val="00432797"/>
    <w:rsid w:val="00432E2A"/>
    <w:rsid w:val="00432E3B"/>
    <w:rsid w:val="0043331F"/>
    <w:rsid w:val="00433E84"/>
    <w:rsid w:val="00434517"/>
    <w:rsid w:val="0043461A"/>
    <w:rsid w:val="00434637"/>
    <w:rsid w:val="004348D6"/>
    <w:rsid w:val="004349E2"/>
    <w:rsid w:val="00434CA9"/>
    <w:rsid w:val="00434EDD"/>
    <w:rsid w:val="00434F2F"/>
    <w:rsid w:val="00434FBF"/>
    <w:rsid w:val="0043511E"/>
    <w:rsid w:val="004355E2"/>
    <w:rsid w:val="0043572B"/>
    <w:rsid w:val="004357AD"/>
    <w:rsid w:val="00435E0F"/>
    <w:rsid w:val="00436455"/>
    <w:rsid w:val="004364D9"/>
    <w:rsid w:val="0043655C"/>
    <w:rsid w:val="00436BF6"/>
    <w:rsid w:val="00436F1A"/>
    <w:rsid w:val="004372B8"/>
    <w:rsid w:val="00437617"/>
    <w:rsid w:val="00437633"/>
    <w:rsid w:val="004378FD"/>
    <w:rsid w:val="0043790B"/>
    <w:rsid w:val="00437AFD"/>
    <w:rsid w:val="00437FA0"/>
    <w:rsid w:val="00440569"/>
    <w:rsid w:val="00440E07"/>
    <w:rsid w:val="00440F99"/>
    <w:rsid w:val="0044142D"/>
    <w:rsid w:val="00441609"/>
    <w:rsid w:val="00441730"/>
    <w:rsid w:val="00441850"/>
    <w:rsid w:val="00441DA8"/>
    <w:rsid w:val="00441FDC"/>
    <w:rsid w:val="0044236E"/>
    <w:rsid w:val="00442487"/>
    <w:rsid w:val="004426D9"/>
    <w:rsid w:val="00442D67"/>
    <w:rsid w:val="00442DE0"/>
    <w:rsid w:val="00442E4B"/>
    <w:rsid w:val="004431A1"/>
    <w:rsid w:val="00443677"/>
    <w:rsid w:val="0044369C"/>
    <w:rsid w:val="00443BBB"/>
    <w:rsid w:val="00443BCE"/>
    <w:rsid w:val="00443BF7"/>
    <w:rsid w:val="00443F6B"/>
    <w:rsid w:val="00444345"/>
    <w:rsid w:val="00444A3C"/>
    <w:rsid w:val="00444BA1"/>
    <w:rsid w:val="00444E12"/>
    <w:rsid w:val="00444EA5"/>
    <w:rsid w:val="004451FD"/>
    <w:rsid w:val="004453A6"/>
    <w:rsid w:val="0044599E"/>
    <w:rsid w:val="00445BF5"/>
    <w:rsid w:val="00445C9D"/>
    <w:rsid w:val="00445CA6"/>
    <w:rsid w:val="00445CA9"/>
    <w:rsid w:val="00446026"/>
    <w:rsid w:val="0044613F"/>
    <w:rsid w:val="00446530"/>
    <w:rsid w:val="004466C1"/>
    <w:rsid w:val="00446937"/>
    <w:rsid w:val="0044726B"/>
    <w:rsid w:val="004476CC"/>
    <w:rsid w:val="004478BF"/>
    <w:rsid w:val="00447D79"/>
    <w:rsid w:val="00447DE8"/>
    <w:rsid w:val="00447E93"/>
    <w:rsid w:val="00447F7B"/>
    <w:rsid w:val="00450053"/>
    <w:rsid w:val="0045062F"/>
    <w:rsid w:val="004509C1"/>
    <w:rsid w:val="00450B2F"/>
    <w:rsid w:val="00450BC0"/>
    <w:rsid w:val="00450E2C"/>
    <w:rsid w:val="004517FB"/>
    <w:rsid w:val="00451962"/>
    <w:rsid w:val="004519E4"/>
    <w:rsid w:val="00451BFC"/>
    <w:rsid w:val="00451E04"/>
    <w:rsid w:val="004525A2"/>
    <w:rsid w:val="00452707"/>
    <w:rsid w:val="0045331E"/>
    <w:rsid w:val="004534E0"/>
    <w:rsid w:val="00453586"/>
    <w:rsid w:val="00453663"/>
    <w:rsid w:val="004538EC"/>
    <w:rsid w:val="00453A71"/>
    <w:rsid w:val="00453BE9"/>
    <w:rsid w:val="00453C28"/>
    <w:rsid w:val="00453D70"/>
    <w:rsid w:val="00454096"/>
    <w:rsid w:val="004549B1"/>
    <w:rsid w:val="00454D66"/>
    <w:rsid w:val="004550CF"/>
    <w:rsid w:val="00455154"/>
    <w:rsid w:val="004552FA"/>
    <w:rsid w:val="004554A8"/>
    <w:rsid w:val="004559F6"/>
    <w:rsid w:val="00455B58"/>
    <w:rsid w:val="00455B8D"/>
    <w:rsid w:val="00455DB6"/>
    <w:rsid w:val="0045646A"/>
    <w:rsid w:val="004564A1"/>
    <w:rsid w:val="00456590"/>
    <w:rsid w:val="00456B09"/>
    <w:rsid w:val="00456B2A"/>
    <w:rsid w:val="00457032"/>
    <w:rsid w:val="00457063"/>
    <w:rsid w:val="00457167"/>
    <w:rsid w:val="004572B2"/>
    <w:rsid w:val="004575EA"/>
    <w:rsid w:val="0045765F"/>
    <w:rsid w:val="00457897"/>
    <w:rsid w:val="00457BE7"/>
    <w:rsid w:val="00457C09"/>
    <w:rsid w:val="00457D61"/>
    <w:rsid w:val="00457F3A"/>
    <w:rsid w:val="00460481"/>
    <w:rsid w:val="0046053E"/>
    <w:rsid w:val="004606E4"/>
    <w:rsid w:val="00460A51"/>
    <w:rsid w:val="00460F53"/>
    <w:rsid w:val="00461013"/>
    <w:rsid w:val="004617D4"/>
    <w:rsid w:val="004617DA"/>
    <w:rsid w:val="0046257D"/>
    <w:rsid w:val="0046260A"/>
    <w:rsid w:val="0046261A"/>
    <w:rsid w:val="00462665"/>
    <w:rsid w:val="004626DC"/>
    <w:rsid w:val="004627B2"/>
    <w:rsid w:val="004628C7"/>
    <w:rsid w:val="00462A72"/>
    <w:rsid w:val="00462BA5"/>
    <w:rsid w:val="00462D8D"/>
    <w:rsid w:val="00463304"/>
    <w:rsid w:val="00463644"/>
    <w:rsid w:val="0046364D"/>
    <w:rsid w:val="00463957"/>
    <w:rsid w:val="00463ED1"/>
    <w:rsid w:val="00464192"/>
    <w:rsid w:val="00464334"/>
    <w:rsid w:val="004646C1"/>
    <w:rsid w:val="00464E6D"/>
    <w:rsid w:val="00464F3B"/>
    <w:rsid w:val="0046504F"/>
    <w:rsid w:val="0046508F"/>
    <w:rsid w:val="00465906"/>
    <w:rsid w:val="00465986"/>
    <w:rsid w:val="00465BF9"/>
    <w:rsid w:val="00465EBA"/>
    <w:rsid w:val="00466485"/>
    <w:rsid w:val="00466508"/>
    <w:rsid w:val="00466EBF"/>
    <w:rsid w:val="004671AD"/>
    <w:rsid w:val="0046764F"/>
    <w:rsid w:val="0046783C"/>
    <w:rsid w:val="00467FB0"/>
    <w:rsid w:val="004700AB"/>
    <w:rsid w:val="00470527"/>
    <w:rsid w:val="0047055F"/>
    <w:rsid w:val="004708F3"/>
    <w:rsid w:val="00470AE9"/>
    <w:rsid w:val="00470C98"/>
    <w:rsid w:val="0047132E"/>
    <w:rsid w:val="00471F83"/>
    <w:rsid w:val="004721A3"/>
    <w:rsid w:val="004722C3"/>
    <w:rsid w:val="004724DB"/>
    <w:rsid w:val="0047252E"/>
    <w:rsid w:val="00472789"/>
    <w:rsid w:val="00472808"/>
    <w:rsid w:val="00472AD3"/>
    <w:rsid w:val="00472B39"/>
    <w:rsid w:val="00473000"/>
    <w:rsid w:val="0047310B"/>
    <w:rsid w:val="0047331A"/>
    <w:rsid w:val="00473339"/>
    <w:rsid w:val="00473540"/>
    <w:rsid w:val="00473595"/>
    <w:rsid w:val="004737FD"/>
    <w:rsid w:val="00473C08"/>
    <w:rsid w:val="00473DF8"/>
    <w:rsid w:val="00473F38"/>
    <w:rsid w:val="00473FE8"/>
    <w:rsid w:val="00474199"/>
    <w:rsid w:val="004742B8"/>
    <w:rsid w:val="00474550"/>
    <w:rsid w:val="0047476B"/>
    <w:rsid w:val="00474777"/>
    <w:rsid w:val="0047491C"/>
    <w:rsid w:val="004749AB"/>
    <w:rsid w:val="004749B3"/>
    <w:rsid w:val="00474A5A"/>
    <w:rsid w:val="00475166"/>
    <w:rsid w:val="004752D2"/>
    <w:rsid w:val="0047561F"/>
    <w:rsid w:val="004759E1"/>
    <w:rsid w:val="00475A20"/>
    <w:rsid w:val="00476173"/>
    <w:rsid w:val="004761F3"/>
    <w:rsid w:val="00476270"/>
    <w:rsid w:val="004764E9"/>
    <w:rsid w:val="00476797"/>
    <w:rsid w:val="00476BC2"/>
    <w:rsid w:val="00476EEA"/>
    <w:rsid w:val="00476F1D"/>
    <w:rsid w:val="00477079"/>
    <w:rsid w:val="004776D6"/>
    <w:rsid w:val="004779A3"/>
    <w:rsid w:val="00477D42"/>
    <w:rsid w:val="00477D84"/>
    <w:rsid w:val="00477DA1"/>
    <w:rsid w:val="004801C8"/>
    <w:rsid w:val="004803EA"/>
    <w:rsid w:val="00480500"/>
    <w:rsid w:val="004805F6"/>
    <w:rsid w:val="0048077A"/>
    <w:rsid w:val="004807DB"/>
    <w:rsid w:val="00480837"/>
    <w:rsid w:val="0048085C"/>
    <w:rsid w:val="00480895"/>
    <w:rsid w:val="004809FE"/>
    <w:rsid w:val="00480B2C"/>
    <w:rsid w:val="00480CA7"/>
    <w:rsid w:val="00480E7D"/>
    <w:rsid w:val="00481107"/>
    <w:rsid w:val="004813C6"/>
    <w:rsid w:val="00481493"/>
    <w:rsid w:val="004814E1"/>
    <w:rsid w:val="0048157D"/>
    <w:rsid w:val="004815E6"/>
    <w:rsid w:val="00481733"/>
    <w:rsid w:val="00481786"/>
    <w:rsid w:val="00481A84"/>
    <w:rsid w:val="00481EAE"/>
    <w:rsid w:val="004820F7"/>
    <w:rsid w:val="00482240"/>
    <w:rsid w:val="00482355"/>
    <w:rsid w:val="004823A1"/>
    <w:rsid w:val="00482528"/>
    <w:rsid w:val="00482A90"/>
    <w:rsid w:val="00482B31"/>
    <w:rsid w:val="00482D1B"/>
    <w:rsid w:val="004830AF"/>
    <w:rsid w:val="00483257"/>
    <w:rsid w:val="00483316"/>
    <w:rsid w:val="0048363C"/>
    <w:rsid w:val="00483FA8"/>
    <w:rsid w:val="004847BE"/>
    <w:rsid w:val="0048495A"/>
    <w:rsid w:val="00484AE0"/>
    <w:rsid w:val="00484D69"/>
    <w:rsid w:val="00484F0F"/>
    <w:rsid w:val="004852E5"/>
    <w:rsid w:val="00485573"/>
    <w:rsid w:val="00486098"/>
    <w:rsid w:val="00486288"/>
    <w:rsid w:val="0048628F"/>
    <w:rsid w:val="00486B71"/>
    <w:rsid w:val="00486E7F"/>
    <w:rsid w:val="00486EE3"/>
    <w:rsid w:val="004871C7"/>
    <w:rsid w:val="00487365"/>
    <w:rsid w:val="004876E1"/>
    <w:rsid w:val="00487726"/>
    <w:rsid w:val="004877C6"/>
    <w:rsid w:val="0048790B"/>
    <w:rsid w:val="00487A0F"/>
    <w:rsid w:val="00487D3A"/>
    <w:rsid w:val="00490091"/>
    <w:rsid w:val="00490190"/>
    <w:rsid w:val="0049039B"/>
    <w:rsid w:val="00490759"/>
    <w:rsid w:val="0049081A"/>
    <w:rsid w:val="00490833"/>
    <w:rsid w:val="00490E7D"/>
    <w:rsid w:val="00490F17"/>
    <w:rsid w:val="0049145E"/>
    <w:rsid w:val="0049179D"/>
    <w:rsid w:val="00491859"/>
    <w:rsid w:val="00491982"/>
    <w:rsid w:val="00491A57"/>
    <w:rsid w:val="00491DAC"/>
    <w:rsid w:val="00491F6B"/>
    <w:rsid w:val="00491F76"/>
    <w:rsid w:val="00492190"/>
    <w:rsid w:val="004924D8"/>
    <w:rsid w:val="00492593"/>
    <w:rsid w:val="0049274C"/>
    <w:rsid w:val="0049278C"/>
    <w:rsid w:val="0049282A"/>
    <w:rsid w:val="00492851"/>
    <w:rsid w:val="00492CF8"/>
    <w:rsid w:val="00492F78"/>
    <w:rsid w:val="00493136"/>
    <w:rsid w:val="004931B1"/>
    <w:rsid w:val="00493200"/>
    <w:rsid w:val="0049326F"/>
    <w:rsid w:val="0049329B"/>
    <w:rsid w:val="00493359"/>
    <w:rsid w:val="00493512"/>
    <w:rsid w:val="0049362B"/>
    <w:rsid w:val="004936D2"/>
    <w:rsid w:val="00493737"/>
    <w:rsid w:val="00493744"/>
    <w:rsid w:val="0049381A"/>
    <w:rsid w:val="00494262"/>
    <w:rsid w:val="00494AE5"/>
    <w:rsid w:val="00494DAE"/>
    <w:rsid w:val="00494EC0"/>
    <w:rsid w:val="00495461"/>
    <w:rsid w:val="004954F9"/>
    <w:rsid w:val="00496257"/>
    <w:rsid w:val="00496A49"/>
    <w:rsid w:val="00496D4E"/>
    <w:rsid w:val="00496D92"/>
    <w:rsid w:val="00496FB5"/>
    <w:rsid w:val="00496FD3"/>
    <w:rsid w:val="00497018"/>
    <w:rsid w:val="0049711B"/>
    <w:rsid w:val="0049750F"/>
    <w:rsid w:val="00497874"/>
    <w:rsid w:val="00497C1D"/>
    <w:rsid w:val="00497ED3"/>
    <w:rsid w:val="004A05FB"/>
    <w:rsid w:val="004A0770"/>
    <w:rsid w:val="004A0A02"/>
    <w:rsid w:val="004A0AD7"/>
    <w:rsid w:val="004A0E02"/>
    <w:rsid w:val="004A10FA"/>
    <w:rsid w:val="004A16F9"/>
    <w:rsid w:val="004A1E6A"/>
    <w:rsid w:val="004A215D"/>
    <w:rsid w:val="004A2257"/>
    <w:rsid w:val="004A2390"/>
    <w:rsid w:val="004A2771"/>
    <w:rsid w:val="004A2790"/>
    <w:rsid w:val="004A3338"/>
    <w:rsid w:val="004A3479"/>
    <w:rsid w:val="004A34E5"/>
    <w:rsid w:val="004A350A"/>
    <w:rsid w:val="004A3AAA"/>
    <w:rsid w:val="004A3D30"/>
    <w:rsid w:val="004A43DF"/>
    <w:rsid w:val="004A44E6"/>
    <w:rsid w:val="004A4535"/>
    <w:rsid w:val="004A46CF"/>
    <w:rsid w:val="004A4807"/>
    <w:rsid w:val="004A4942"/>
    <w:rsid w:val="004A4D59"/>
    <w:rsid w:val="004A4DA4"/>
    <w:rsid w:val="004A4FE9"/>
    <w:rsid w:val="004A5322"/>
    <w:rsid w:val="004A549C"/>
    <w:rsid w:val="004A5615"/>
    <w:rsid w:val="004A569F"/>
    <w:rsid w:val="004A58B4"/>
    <w:rsid w:val="004A5A29"/>
    <w:rsid w:val="004A60EF"/>
    <w:rsid w:val="004A6585"/>
    <w:rsid w:val="004A65E5"/>
    <w:rsid w:val="004A6DEA"/>
    <w:rsid w:val="004A713A"/>
    <w:rsid w:val="004A7154"/>
    <w:rsid w:val="004A7283"/>
    <w:rsid w:val="004A7610"/>
    <w:rsid w:val="004A77DE"/>
    <w:rsid w:val="004B019B"/>
    <w:rsid w:val="004B0542"/>
    <w:rsid w:val="004B0A9F"/>
    <w:rsid w:val="004B0ADA"/>
    <w:rsid w:val="004B0AED"/>
    <w:rsid w:val="004B0E9C"/>
    <w:rsid w:val="004B1293"/>
    <w:rsid w:val="004B1342"/>
    <w:rsid w:val="004B15A6"/>
    <w:rsid w:val="004B15B2"/>
    <w:rsid w:val="004B1606"/>
    <w:rsid w:val="004B16FD"/>
    <w:rsid w:val="004B184B"/>
    <w:rsid w:val="004B1A94"/>
    <w:rsid w:val="004B1C55"/>
    <w:rsid w:val="004B20AF"/>
    <w:rsid w:val="004B20BB"/>
    <w:rsid w:val="004B2173"/>
    <w:rsid w:val="004B2387"/>
    <w:rsid w:val="004B2502"/>
    <w:rsid w:val="004B25E9"/>
    <w:rsid w:val="004B2623"/>
    <w:rsid w:val="004B3239"/>
    <w:rsid w:val="004B33BA"/>
    <w:rsid w:val="004B35DA"/>
    <w:rsid w:val="004B3708"/>
    <w:rsid w:val="004B38EC"/>
    <w:rsid w:val="004B3982"/>
    <w:rsid w:val="004B3B97"/>
    <w:rsid w:val="004B3C46"/>
    <w:rsid w:val="004B3DD4"/>
    <w:rsid w:val="004B3E75"/>
    <w:rsid w:val="004B40AD"/>
    <w:rsid w:val="004B48C4"/>
    <w:rsid w:val="004B49C5"/>
    <w:rsid w:val="004B4B02"/>
    <w:rsid w:val="004B5145"/>
    <w:rsid w:val="004B57E4"/>
    <w:rsid w:val="004B5AAB"/>
    <w:rsid w:val="004B5C8C"/>
    <w:rsid w:val="004B5FC6"/>
    <w:rsid w:val="004B61B5"/>
    <w:rsid w:val="004B6495"/>
    <w:rsid w:val="004B64F0"/>
    <w:rsid w:val="004B6599"/>
    <w:rsid w:val="004B661B"/>
    <w:rsid w:val="004B698D"/>
    <w:rsid w:val="004B69D2"/>
    <w:rsid w:val="004B6D23"/>
    <w:rsid w:val="004B6DE2"/>
    <w:rsid w:val="004B7457"/>
    <w:rsid w:val="004B7483"/>
    <w:rsid w:val="004B74D6"/>
    <w:rsid w:val="004B7A20"/>
    <w:rsid w:val="004B7A85"/>
    <w:rsid w:val="004C0118"/>
    <w:rsid w:val="004C050F"/>
    <w:rsid w:val="004C0830"/>
    <w:rsid w:val="004C0CFE"/>
    <w:rsid w:val="004C0FA1"/>
    <w:rsid w:val="004C10B4"/>
    <w:rsid w:val="004C137B"/>
    <w:rsid w:val="004C1532"/>
    <w:rsid w:val="004C15DE"/>
    <w:rsid w:val="004C1731"/>
    <w:rsid w:val="004C18F9"/>
    <w:rsid w:val="004C1E98"/>
    <w:rsid w:val="004C26A6"/>
    <w:rsid w:val="004C2A31"/>
    <w:rsid w:val="004C2DC7"/>
    <w:rsid w:val="004C2DF8"/>
    <w:rsid w:val="004C2FC6"/>
    <w:rsid w:val="004C31C4"/>
    <w:rsid w:val="004C31E4"/>
    <w:rsid w:val="004C3565"/>
    <w:rsid w:val="004C3577"/>
    <w:rsid w:val="004C3B18"/>
    <w:rsid w:val="004C3D2D"/>
    <w:rsid w:val="004C4320"/>
    <w:rsid w:val="004C479D"/>
    <w:rsid w:val="004C5157"/>
    <w:rsid w:val="004C52FD"/>
    <w:rsid w:val="004C5351"/>
    <w:rsid w:val="004C548B"/>
    <w:rsid w:val="004C55F0"/>
    <w:rsid w:val="004C5687"/>
    <w:rsid w:val="004C5C09"/>
    <w:rsid w:val="004C6181"/>
    <w:rsid w:val="004C6595"/>
    <w:rsid w:val="004C6988"/>
    <w:rsid w:val="004C6C7D"/>
    <w:rsid w:val="004C6DAF"/>
    <w:rsid w:val="004C6F85"/>
    <w:rsid w:val="004C70D1"/>
    <w:rsid w:val="004C7165"/>
    <w:rsid w:val="004C7867"/>
    <w:rsid w:val="004C792D"/>
    <w:rsid w:val="004C79C1"/>
    <w:rsid w:val="004C7A6F"/>
    <w:rsid w:val="004D02A0"/>
    <w:rsid w:val="004D04D3"/>
    <w:rsid w:val="004D058E"/>
    <w:rsid w:val="004D0818"/>
    <w:rsid w:val="004D0922"/>
    <w:rsid w:val="004D12FC"/>
    <w:rsid w:val="004D1993"/>
    <w:rsid w:val="004D1BA1"/>
    <w:rsid w:val="004D1D90"/>
    <w:rsid w:val="004D2718"/>
    <w:rsid w:val="004D2763"/>
    <w:rsid w:val="004D2A31"/>
    <w:rsid w:val="004D2A9F"/>
    <w:rsid w:val="004D2AC9"/>
    <w:rsid w:val="004D2C43"/>
    <w:rsid w:val="004D2DC5"/>
    <w:rsid w:val="004D2EB9"/>
    <w:rsid w:val="004D30F7"/>
    <w:rsid w:val="004D328C"/>
    <w:rsid w:val="004D3F50"/>
    <w:rsid w:val="004D4086"/>
    <w:rsid w:val="004D411C"/>
    <w:rsid w:val="004D4375"/>
    <w:rsid w:val="004D448B"/>
    <w:rsid w:val="004D5429"/>
    <w:rsid w:val="004D5597"/>
    <w:rsid w:val="004D585E"/>
    <w:rsid w:val="004D627C"/>
    <w:rsid w:val="004D6333"/>
    <w:rsid w:val="004D659B"/>
    <w:rsid w:val="004D67E2"/>
    <w:rsid w:val="004D6A5C"/>
    <w:rsid w:val="004D72E3"/>
    <w:rsid w:val="004D7420"/>
    <w:rsid w:val="004D7536"/>
    <w:rsid w:val="004D783B"/>
    <w:rsid w:val="004D7866"/>
    <w:rsid w:val="004D78E6"/>
    <w:rsid w:val="004D791D"/>
    <w:rsid w:val="004E0456"/>
    <w:rsid w:val="004E06E8"/>
    <w:rsid w:val="004E0D71"/>
    <w:rsid w:val="004E0E8A"/>
    <w:rsid w:val="004E10A2"/>
    <w:rsid w:val="004E11F0"/>
    <w:rsid w:val="004E12A1"/>
    <w:rsid w:val="004E14D5"/>
    <w:rsid w:val="004E1AA6"/>
    <w:rsid w:val="004E1E3F"/>
    <w:rsid w:val="004E200C"/>
    <w:rsid w:val="004E2026"/>
    <w:rsid w:val="004E239E"/>
    <w:rsid w:val="004E23C4"/>
    <w:rsid w:val="004E2878"/>
    <w:rsid w:val="004E2ABA"/>
    <w:rsid w:val="004E2DB9"/>
    <w:rsid w:val="004E2E37"/>
    <w:rsid w:val="004E3123"/>
    <w:rsid w:val="004E3277"/>
    <w:rsid w:val="004E3C87"/>
    <w:rsid w:val="004E41F9"/>
    <w:rsid w:val="004E4651"/>
    <w:rsid w:val="004E4A29"/>
    <w:rsid w:val="004E4B30"/>
    <w:rsid w:val="004E4D1C"/>
    <w:rsid w:val="004E4D9A"/>
    <w:rsid w:val="004E51E3"/>
    <w:rsid w:val="004E5264"/>
    <w:rsid w:val="004E5A08"/>
    <w:rsid w:val="004E5D8F"/>
    <w:rsid w:val="004E5F3A"/>
    <w:rsid w:val="004E5FC1"/>
    <w:rsid w:val="004E6392"/>
    <w:rsid w:val="004E6A7D"/>
    <w:rsid w:val="004E6B2A"/>
    <w:rsid w:val="004E7378"/>
    <w:rsid w:val="004E75F3"/>
    <w:rsid w:val="004E798C"/>
    <w:rsid w:val="004E7A44"/>
    <w:rsid w:val="004E7BD9"/>
    <w:rsid w:val="004E7ECA"/>
    <w:rsid w:val="004F0000"/>
    <w:rsid w:val="004F004B"/>
    <w:rsid w:val="004F030D"/>
    <w:rsid w:val="004F066F"/>
    <w:rsid w:val="004F0780"/>
    <w:rsid w:val="004F0A1F"/>
    <w:rsid w:val="004F0AEA"/>
    <w:rsid w:val="004F0AEC"/>
    <w:rsid w:val="004F0EA9"/>
    <w:rsid w:val="004F0F41"/>
    <w:rsid w:val="004F1771"/>
    <w:rsid w:val="004F186A"/>
    <w:rsid w:val="004F1B4A"/>
    <w:rsid w:val="004F1BFA"/>
    <w:rsid w:val="004F1EC4"/>
    <w:rsid w:val="004F2504"/>
    <w:rsid w:val="004F2593"/>
    <w:rsid w:val="004F26BC"/>
    <w:rsid w:val="004F2BC4"/>
    <w:rsid w:val="004F2C3D"/>
    <w:rsid w:val="004F2C96"/>
    <w:rsid w:val="004F2D46"/>
    <w:rsid w:val="004F2FD3"/>
    <w:rsid w:val="004F3523"/>
    <w:rsid w:val="004F388F"/>
    <w:rsid w:val="004F3C1F"/>
    <w:rsid w:val="004F3D69"/>
    <w:rsid w:val="004F3E7A"/>
    <w:rsid w:val="004F4268"/>
    <w:rsid w:val="004F4380"/>
    <w:rsid w:val="004F444A"/>
    <w:rsid w:val="004F46EC"/>
    <w:rsid w:val="004F477C"/>
    <w:rsid w:val="004F49CF"/>
    <w:rsid w:val="004F4A0A"/>
    <w:rsid w:val="004F4CB4"/>
    <w:rsid w:val="004F517D"/>
    <w:rsid w:val="004F5997"/>
    <w:rsid w:val="004F5ED5"/>
    <w:rsid w:val="004F5F42"/>
    <w:rsid w:val="004F61DB"/>
    <w:rsid w:val="004F64CE"/>
    <w:rsid w:val="004F6592"/>
    <w:rsid w:val="004F65DF"/>
    <w:rsid w:val="004F697C"/>
    <w:rsid w:val="004F6A6B"/>
    <w:rsid w:val="004F6AF9"/>
    <w:rsid w:val="004F6D0D"/>
    <w:rsid w:val="004F6D57"/>
    <w:rsid w:val="004F6E36"/>
    <w:rsid w:val="004F70E5"/>
    <w:rsid w:val="004F7181"/>
    <w:rsid w:val="004F7241"/>
    <w:rsid w:val="004F74CF"/>
    <w:rsid w:val="004F74DF"/>
    <w:rsid w:val="004F74EB"/>
    <w:rsid w:val="004F757A"/>
    <w:rsid w:val="004F761F"/>
    <w:rsid w:val="004F778C"/>
    <w:rsid w:val="004F787F"/>
    <w:rsid w:val="004F7A0B"/>
    <w:rsid w:val="004F7D95"/>
    <w:rsid w:val="0050008E"/>
    <w:rsid w:val="0050023E"/>
    <w:rsid w:val="00500371"/>
    <w:rsid w:val="005007DB"/>
    <w:rsid w:val="00500E4F"/>
    <w:rsid w:val="00500F55"/>
    <w:rsid w:val="0050136D"/>
    <w:rsid w:val="00501C46"/>
    <w:rsid w:val="00501E6B"/>
    <w:rsid w:val="005021F9"/>
    <w:rsid w:val="0050225C"/>
    <w:rsid w:val="00502517"/>
    <w:rsid w:val="00502658"/>
    <w:rsid w:val="005026C7"/>
    <w:rsid w:val="005035F1"/>
    <w:rsid w:val="00503758"/>
    <w:rsid w:val="00503B52"/>
    <w:rsid w:val="00503F6C"/>
    <w:rsid w:val="0050408D"/>
    <w:rsid w:val="00504140"/>
    <w:rsid w:val="005043C4"/>
    <w:rsid w:val="00504501"/>
    <w:rsid w:val="00504528"/>
    <w:rsid w:val="00504995"/>
    <w:rsid w:val="00504A6B"/>
    <w:rsid w:val="00504BAB"/>
    <w:rsid w:val="00504C50"/>
    <w:rsid w:val="005053B9"/>
    <w:rsid w:val="005058F8"/>
    <w:rsid w:val="00505E37"/>
    <w:rsid w:val="00505E91"/>
    <w:rsid w:val="00505F3F"/>
    <w:rsid w:val="00505F51"/>
    <w:rsid w:val="0050677F"/>
    <w:rsid w:val="005067C5"/>
    <w:rsid w:val="0050688A"/>
    <w:rsid w:val="0050695D"/>
    <w:rsid w:val="00506A1A"/>
    <w:rsid w:val="00506A83"/>
    <w:rsid w:val="00506FB0"/>
    <w:rsid w:val="00507152"/>
    <w:rsid w:val="005071DB"/>
    <w:rsid w:val="005072F7"/>
    <w:rsid w:val="005074B6"/>
    <w:rsid w:val="00507547"/>
    <w:rsid w:val="005075A3"/>
    <w:rsid w:val="00507E6E"/>
    <w:rsid w:val="00507FA5"/>
    <w:rsid w:val="00507FAD"/>
    <w:rsid w:val="0051042D"/>
    <w:rsid w:val="00510522"/>
    <w:rsid w:val="005105DF"/>
    <w:rsid w:val="0051078B"/>
    <w:rsid w:val="0051120C"/>
    <w:rsid w:val="00511260"/>
    <w:rsid w:val="005113E4"/>
    <w:rsid w:val="00511759"/>
    <w:rsid w:val="005118BC"/>
    <w:rsid w:val="00511A0A"/>
    <w:rsid w:val="00511D1A"/>
    <w:rsid w:val="00511E2B"/>
    <w:rsid w:val="00511E38"/>
    <w:rsid w:val="005120FC"/>
    <w:rsid w:val="0051255F"/>
    <w:rsid w:val="005127D3"/>
    <w:rsid w:val="005127DE"/>
    <w:rsid w:val="00512886"/>
    <w:rsid w:val="0051306B"/>
    <w:rsid w:val="005131E1"/>
    <w:rsid w:val="00513681"/>
    <w:rsid w:val="0051384F"/>
    <w:rsid w:val="00513AB6"/>
    <w:rsid w:val="00513E4F"/>
    <w:rsid w:val="0051412F"/>
    <w:rsid w:val="0051428A"/>
    <w:rsid w:val="005143EF"/>
    <w:rsid w:val="005145E9"/>
    <w:rsid w:val="005146A3"/>
    <w:rsid w:val="00514A04"/>
    <w:rsid w:val="00514E53"/>
    <w:rsid w:val="00515263"/>
    <w:rsid w:val="0051540D"/>
    <w:rsid w:val="0051558B"/>
    <w:rsid w:val="00515891"/>
    <w:rsid w:val="005159FE"/>
    <w:rsid w:val="00515A03"/>
    <w:rsid w:val="0051611D"/>
    <w:rsid w:val="0051628C"/>
    <w:rsid w:val="005163F5"/>
    <w:rsid w:val="0051645F"/>
    <w:rsid w:val="00516855"/>
    <w:rsid w:val="00516D83"/>
    <w:rsid w:val="00516EFF"/>
    <w:rsid w:val="00517079"/>
    <w:rsid w:val="005175A5"/>
    <w:rsid w:val="005201BA"/>
    <w:rsid w:val="00520596"/>
    <w:rsid w:val="005206DF"/>
    <w:rsid w:val="00520854"/>
    <w:rsid w:val="00520CB3"/>
    <w:rsid w:val="00521108"/>
    <w:rsid w:val="00521318"/>
    <w:rsid w:val="005213A7"/>
    <w:rsid w:val="00521E53"/>
    <w:rsid w:val="00522202"/>
    <w:rsid w:val="00522588"/>
    <w:rsid w:val="00522622"/>
    <w:rsid w:val="0052298D"/>
    <w:rsid w:val="00522F43"/>
    <w:rsid w:val="0052314F"/>
    <w:rsid w:val="005232C7"/>
    <w:rsid w:val="0052373F"/>
    <w:rsid w:val="00523873"/>
    <w:rsid w:val="005239A5"/>
    <w:rsid w:val="00523CD2"/>
    <w:rsid w:val="00523E77"/>
    <w:rsid w:val="00524401"/>
    <w:rsid w:val="00524900"/>
    <w:rsid w:val="00524A6C"/>
    <w:rsid w:val="00524B84"/>
    <w:rsid w:val="00524D19"/>
    <w:rsid w:val="00524D56"/>
    <w:rsid w:val="00524D69"/>
    <w:rsid w:val="005255A7"/>
    <w:rsid w:val="005257F9"/>
    <w:rsid w:val="00525A1E"/>
    <w:rsid w:val="005267F1"/>
    <w:rsid w:val="00526AAC"/>
    <w:rsid w:val="00526E5E"/>
    <w:rsid w:val="00527A4E"/>
    <w:rsid w:val="00527CC9"/>
    <w:rsid w:val="00527E18"/>
    <w:rsid w:val="00527EF6"/>
    <w:rsid w:val="00527F44"/>
    <w:rsid w:val="00530238"/>
    <w:rsid w:val="00531148"/>
    <w:rsid w:val="00531172"/>
    <w:rsid w:val="0053136E"/>
    <w:rsid w:val="00531999"/>
    <w:rsid w:val="00531E9A"/>
    <w:rsid w:val="0053264B"/>
    <w:rsid w:val="005329C8"/>
    <w:rsid w:val="00532D16"/>
    <w:rsid w:val="00532D9C"/>
    <w:rsid w:val="00533029"/>
    <w:rsid w:val="005333D1"/>
    <w:rsid w:val="005334FD"/>
    <w:rsid w:val="0053351F"/>
    <w:rsid w:val="0053364B"/>
    <w:rsid w:val="00533901"/>
    <w:rsid w:val="005340A4"/>
    <w:rsid w:val="005343C5"/>
    <w:rsid w:val="005343DC"/>
    <w:rsid w:val="005343F3"/>
    <w:rsid w:val="0053444C"/>
    <w:rsid w:val="00534563"/>
    <w:rsid w:val="00534813"/>
    <w:rsid w:val="00534A7B"/>
    <w:rsid w:val="00534C46"/>
    <w:rsid w:val="00534D09"/>
    <w:rsid w:val="00534E22"/>
    <w:rsid w:val="00535193"/>
    <w:rsid w:val="0053571B"/>
    <w:rsid w:val="005357EF"/>
    <w:rsid w:val="00535946"/>
    <w:rsid w:val="00535B62"/>
    <w:rsid w:val="00535D42"/>
    <w:rsid w:val="00535FBC"/>
    <w:rsid w:val="0053627C"/>
    <w:rsid w:val="0053640C"/>
    <w:rsid w:val="00536958"/>
    <w:rsid w:val="0053727E"/>
    <w:rsid w:val="00537389"/>
    <w:rsid w:val="005373B7"/>
    <w:rsid w:val="00537505"/>
    <w:rsid w:val="0053762A"/>
    <w:rsid w:val="00537741"/>
    <w:rsid w:val="005377AE"/>
    <w:rsid w:val="00537977"/>
    <w:rsid w:val="00537A0D"/>
    <w:rsid w:val="00537EF4"/>
    <w:rsid w:val="00540282"/>
    <w:rsid w:val="00540BC6"/>
    <w:rsid w:val="00540C83"/>
    <w:rsid w:val="00540F34"/>
    <w:rsid w:val="00540FB0"/>
    <w:rsid w:val="00541219"/>
    <w:rsid w:val="00541751"/>
    <w:rsid w:val="00542028"/>
    <w:rsid w:val="00542B43"/>
    <w:rsid w:val="00542BBB"/>
    <w:rsid w:val="00542E92"/>
    <w:rsid w:val="00542FB6"/>
    <w:rsid w:val="005430A0"/>
    <w:rsid w:val="00543178"/>
    <w:rsid w:val="00543280"/>
    <w:rsid w:val="005434DA"/>
    <w:rsid w:val="00543D24"/>
    <w:rsid w:val="00543D51"/>
    <w:rsid w:val="00543DC2"/>
    <w:rsid w:val="00543ECD"/>
    <w:rsid w:val="0054404A"/>
    <w:rsid w:val="00544051"/>
    <w:rsid w:val="0054421A"/>
    <w:rsid w:val="00544352"/>
    <w:rsid w:val="005447D6"/>
    <w:rsid w:val="00544BB9"/>
    <w:rsid w:val="005451FE"/>
    <w:rsid w:val="005453DA"/>
    <w:rsid w:val="0054579F"/>
    <w:rsid w:val="00545C87"/>
    <w:rsid w:val="00546560"/>
    <w:rsid w:val="00546BC7"/>
    <w:rsid w:val="00546CD9"/>
    <w:rsid w:val="00547440"/>
    <w:rsid w:val="005474CB"/>
    <w:rsid w:val="005479DD"/>
    <w:rsid w:val="00547EB9"/>
    <w:rsid w:val="00550447"/>
    <w:rsid w:val="00550EAC"/>
    <w:rsid w:val="00550ED0"/>
    <w:rsid w:val="00551567"/>
    <w:rsid w:val="00551753"/>
    <w:rsid w:val="005521F2"/>
    <w:rsid w:val="005522A6"/>
    <w:rsid w:val="00552A64"/>
    <w:rsid w:val="00552C5B"/>
    <w:rsid w:val="00552CC7"/>
    <w:rsid w:val="00553398"/>
    <w:rsid w:val="00553433"/>
    <w:rsid w:val="0055343D"/>
    <w:rsid w:val="0055356D"/>
    <w:rsid w:val="0055385F"/>
    <w:rsid w:val="00553A3D"/>
    <w:rsid w:val="00553AF4"/>
    <w:rsid w:val="00553B0A"/>
    <w:rsid w:val="00553F73"/>
    <w:rsid w:val="005548F0"/>
    <w:rsid w:val="00554969"/>
    <w:rsid w:val="00554A0A"/>
    <w:rsid w:val="00554C72"/>
    <w:rsid w:val="00554F73"/>
    <w:rsid w:val="00555465"/>
    <w:rsid w:val="005554A2"/>
    <w:rsid w:val="00555778"/>
    <w:rsid w:val="005557B7"/>
    <w:rsid w:val="00555F65"/>
    <w:rsid w:val="005561D6"/>
    <w:rsid w:val="00556499"/>
    <w:rsid w:val="005566A5"/>
    <w:rsid w:val="00556BC7"/>
    <w:rsid w:val="00556C54"/>
    <w:rsid w:val="00556CF8"/>
    <w:rsid w:val="00556E20"/>
    <w:rsid w:val="00556EA7"/>
    <w:rsid w:val="005570D0"/>
    <w:rsid w:val="005577A1"/>
    <w:rsid w:val="005577AF"/>
    <w:rsid w:val="00557C2B"/>
    <w:rsid w:val="00557EB4"/>
    <w:rsid w:val="005601A6"/>
    <w:rsid w:val="0056023A"/>
    <w:rsid w:val="00560745"/>
    <w:rsid w:val="0056097C"/>
    <w:rsid w:val="00560A57"/>
    <w:rsid w:val="00560AC4"/>
    <w:rsid w:val="00560B21"/>
    <w:rsid w:val="00560D78"/>
    <w:rsid w:val="00560F73"/>
    <w:rsid w:val="00560FD0"/>
    <w:rsid w:val="00561062"/>
    <w:rsid w:val="00561126"/>
    <w:rsid w:val="005612ED"/>
    <w:rsid w:val="0056170D"/>
    <w:rsid w:val="00561BC1"/>
    <w:rsid w:val="0056200F"/>
    <w:rsid w:val="00562422"/>
    <w:rsid w:val="00562440"/>
    <w:rsid w:val="005624A9"/>
    <w:rsid w:val="005625BC"/>
    <w:rsid w:val="005627A0"/>
    <w:rsid w:val="00562B02"/>
    <w:rsid w:val="00562C7F"/>
    <w:rsid w:val="00563361"/>
    <w:rsid w:val="005633A1"/>
    <w:rsid w:val="0056347C"/>
    <w:rsid w:val="00563661"/>
    <w:rsid w:val="005636FD"/>
    <w:rsid w:val="00563D4A"/>
    <w:rsid w:val="00564248"/>
    <w:rsid w:val="005642A3"/>
    <w:rsid w:val="005644A6"/>
    <w:rsid w:val="00564523"/>
    <w:rsid w:val="005649B8"/>
    <w:rsid w:val="00564CB9"/>
    <w:rsid w:val="00565443"/>
    <w:rsid w:val="005659F1"/>
    <w:rsid w:val="00565A45"/>
    <w:rsid w:val="005662B5"/>
    <w:rsid w:val="005664A1"/>
    <w:rsid w:val="00566925"/>
    <w:rsid w:val="005671B6"/>
    <w:rsid w:val="00567BA1"/>
    <w:rsid w:val="00567D6C"/>
    <w:rsid w:val="00567E1E"/>
    <w:rsid w:val="0057009F"/>
    <w:rsid w:val="00570161"/>
    <w:rsid w:val="00570625"/>
    <w:rsid w:val="00570ADB"/>
    <w:rsid w:val="00570BF6"/>
    <w:rsid w:val="005713E1"/>
    <w:rsid w:val="00571414"/>
    <w:rsid w:val="005719B2"/>
    <w:rsid w:val="00571A13"/>
    <w:rsid w:val="00571EAF"/>
    <w:rsid w:val="00571FDB"/>
    <w:rsid w:val="0057204F"/>
    <w:rsid w:val="00572D45"/>
    <w:rsid w:val="00572EE2"/>
    <w:rsid w:val="00573313"/>
    <w:rsid w:val="00573436"/>
    <w:rsid w:val="005738CA"/>
    <w:rsid w:val="00573DD4"/>
    <w:rsid w:val="005740A6"/>
    <w:rsid w:val="0057419F"/>
    <w:rsid w:val="0057421F"/>
    <w:rsid w:val="005742BA"/>
    <w:rsid w:val="005745F0"/>
    <w:rsid w:val="0057473F"/>
    <w:rsid w:val="005748FD"/>
    <w:rsid w:val="00574B25"/>
    <w:rsid w:val="00575166"/>
    <w:rsid w:val="005752C7"/>
    <w:rsid w:val="005755A6"/>
    <w:rsid w:val="00575960"/>
    <w:rsid w:val="00576547"/>
    <w:rsid w:val="00576624"/>
    <w:rsid w:val="005769FD"/>
    <w:rsid w:val="00576C57"/>
    <w:rsid w:val="00576DB0"/>
    <w:rsid w:val="00577241"/>
    <w:rsid w:val="005772DF"/>
    <w:rsid w:val="00577650"/>
    <w:rsid w:val="00577EC4"/>
    <w:rsid w:val="00577EE6"/>
    <w:rsid w:val="00577F62"/>
    <w:rsid w:val="00577F82"/>
    <w:rsid w:val="00580767"/>
    <w:rsid w:val="00580933"/>
    <w:rsid w:val="00580E34"/>
    <w:rsid w:val="00580F51"/>
    <w:rsid w:val="00580FC9"/>
    <w:rsid w:val="00580FE0"/>
    <w:rsid w:val="005812A5"/>
    <w:rsid w:val="0058133E"/>
    <w:rsid w:val="00581A97"/>
    <w:rsid w:val="00581C33"/>
    <w:rsid w:val="00581C6B"/>
    <w:rsid w:val="00581DEC"/>
    <w:rsid w:val="0058200F"/>
    <w:rsid w:val="00582127"/>
    <w:rsid w:val="00582357"/>
    <w:rsid w:val="0058242B"/>
    <w:rsid w:val="0058283E"/>
    <w:rsid w:val="005828A4"/>
    <w:rsid w:val="00582A30"/>
    <w:rsid w:val="00582CE0"/>
    <w:rsid w:val="00582D10"/>
    <w:rsid w:val="00582F4E"/>
    <w:rsid w:val="00583CFE"/>
    <w:rsid w:val="00584A5F"/>
    <w:rsid w:val="00584C94"/>
    <w:rsid w:val="0058505D"/>
    <w:rsid w:val="0058529A"/>
    <w:rsid w:val="00585626"/>
    <w:rsid w:val="00585BAB"/>
    <w:rsid w:val="00585E45"/>
    <w:rsid w:val="00585F41"/>
    <w:rsid w:val="005861AB"/>
    <w:rsid w:val="0058673C"/>
    <w:rsid w:val="005868C5"/>
    <w:rsid w:val="0058692D"/>
    <w:rsid w:val="00586B87"/>
    <w:rsid w:val="00586C5E"/>
    <w:rsid w:val="00586D3D"/>
    <w:rsid w:val="00587430"/>
    <w:rsid w:val="005878FA"/>
    <w:rsid w:val="005879AB"/>
    <w:rsid w:val="00587BA2"/>
    <w:rsid w:val="00587EF6"/>
    <w:rsid w:val="005902E6"/>
    <w:rsid w:val="0059045B"/>
    <w:rsid w:val="005907B0"/>
    <w:rsid w:val="00590BF7"/>
    <w:rsid w:val="00590D39"/>
    <w:rsid w:val="00590D9E"/>
    <w:rsid w:val="00590F34"/>
    <w:rsid w:val="0059104C"/>
    <w:rsid w:val="00591303"/>
    <w:rsid w:val="00591420"/>
    <w:rsid w:val="00591843"/>
    <w:rsid w:val="0059184A"/>
    <w:rsid w:val="00591CB6"/>
    <w:rsid w:val="00591CDD"/>
    <w:rsid w:val="00591E06"/>
    <w:rsid w:val="00591EC2"/>
    <w:rsid w:val="0059262A"/>
    <w:rsid w:val="005926E4"/>
    <w:rsid w:val="00593A8C"/>
    <w:rsid w:val="00593B28"/>
    <w:rsid w:val="00593D14"/>
    <w:rsid w:val="00594236"/>
    <w:rsid w:val="00595044"/>
    <w:rsid w:val="00595411"/>
    <w:rsid w:val="005954F4"/>
    <w:rsid w:val="00595A36"/>
    <w:rsid w:val="00595B2E"/>
    <w:rsid w:val="00595B7A"/>
    <w:rsid w:val="00595E63"/>
    <w:rsid w:val="00595F11"/>
    <w:rsid w:val="00595FA8"/>
    <w:rsid w:val="005961C8"/>
    <w:rsid w:val="00596206"/>
    <w:rsid w:val="005963FC"/>
    <w:rsid w:val="00596997"/>
    <w:rsid w:val="00597505"/>
    <w:rsid w:val="00597A1F"/>
    <w:rsid w:val="00597A81"/>
    <w:rsid w:val="005A00F1"/>
    <w:rsid w:val="005A03E8"/>
    <w:rsid w:val="005A0787"/>
    <w:rsid w:val="005A07BF"/>
    <w:rsid w:val="005A0A0E"/>
    <w:rsid w:val="005A0DF3"/>
    <w:rsid w:val="005A10C8"/>
    <w:rsid w:val="005A1280"/>
    <w:rsid w:val="005A128C"/>
    <w:rsid w:val="005A1588"/>
    <w:rsid w:val="005A162E"/>
    <w:rsid w:val="005A16ED"/>
    <w:rsid w:val="005A176C"/>
    <w:rsid w:val="005A1BFC"/>
    <w:rsid w:val="005A1CE1"/>
    <w:rsid w:val="005A2024"/>
    <w:rsid w:val="005A2179"/>
    <w:rsid w:val="005A2291"/>
    <w:rsid w:val="005A232F"/>
    <w:rsid w:val="005A25EC"/>
    <w:rsid w:val="005A265A"/>
    <w:rsid w:val="005A282F"/>
    <w:rsid w:val="005A28C7"/>
    <w:rsid w:val="005A2DC8"/>
    <w:rsid w:val="005A3085"/>
    <w:rsid w:val="005A309D"/>
    <w:rsid w:val="005A30E6"/>
    <w:rsid w:val="005A30FB"/>
    <w:rsid w:val="005A31B9"/>
    <w:rsid w:val="005A350E"/>
    <w:rsid w:val="005A43A3"/>
    <w:rsid w:val="005A469F"/>
    <w:rsid w:val="005A4830"/>
    <w:rsid w:val="005A4CBB"/>
    <w:rsid w:val="005A4E57"/>
    <w:rsid w:val="005A4F94"/>
    <w:rsid w:val="005A4FFD"/>
    <w:rsid w:val="005A5B8D"/>
    <w:rsid w:val="005A67C2"/>
    <w:rsid w:val="005A68C5"/>
    <w:rsid w:val="005A6EDA"/>
    <w:rsid w:val="005A710D"/>
    <w:rsid w:val="005A72EF"/>
    <w:rsid w:val="005A73F2"/>
    <w:rsid w:val="005A7AC5"/>
    <w:rsid w:val="005A7BB3"/>
    <w:rsid w:val="005A7DE7"/>
    <w:rsid w:val="005B007B"/>
    <w:rsid w:val="005B05E2"/>
    <w:rsid w:val="005B0754"/>
    <w:rsid w:val="005B07CB"/>
    <w:rsid w:val="005B0918"/>
    <w:rsid w:val="005B0ADB"/>
    <w:rsid w:val="005B0D14"/>
    <w:rsid w:val="005B0D63"/>
    <w:rsid w:val="005B0EDA"/>
    <w:rsid w:val="005B0F0E"/>
    <w:rsid w:val="005B0FFA"/>
    <w:rsid w:val="005B142B"/>
    <w:rsid w:val="005B1859"/>
    <w:rsid w:val="005B1921"/>
    <w:rsid w:val="005B19BD"/>
    <w:rsid w:val="005B1A86"/>
    <w:rsid w:val="005B1EB6"/>
    <w:rsid w:val="005B2516"/>
    <w:rsid w:val="005B2BE7"/>
    <w:rsid w:val="005B2C67"/>
    <w:rsid w:val="005B3F9C"/>
    <w:rsid w:val="005B4086"/>
    <w:rsid w:val="005B4794"/>
    <w:rsid w:val="005B4B1D"/>
    <w:rsid w:val="005B4CDB"/>
    <w:rsid w:val="005B4D6B"/>
    <w:rsid w:val="005B4DE3"/>
    <w:rsid w:val="005B4F51"/>
    <w:rsid w:val="005B4F66"/>
    <w:rsid w:val="005B50C6"/>
    <w:rsid w:val="005B5118"/>
    <w:rsid w:val="005B5AAE"/>
    <w:rsid w:val="005B5B27"/>
    <w:rsid w:val="005B5B60"/>
    <w:rsid w:val="005B5BC6"/>
    <w:rsid w:val="005B5D39"/>
    <w:rsid w:val="005B5D68"/>
    <w:rsid w:val="005B613E"/>
    <w:rsid w:val="005B64D4"/>
    <w:rsid w:val="005B6A05"/>
    <w:rsid w:val="005B6A45"/>
    <w:rsid w:val="005B6E27"/>
    <w:rsid w:val="005B6ECC"/>
    <w:rsid w:val="005B7184"/>
    <w:rsid w:val="005B73BC"/>
    <w:rsid w:val="005B73BE"/>
    <w:rsid w:val="005B7697"/>
    <w:rsid w:val="005B76A0"/>
    <w:rsid w:val="005B77BD"/>
    <w:rsid w:val="005B799D"/>
    <w:rsid w:val="005B7ABA"/>
    <w:rsid w:val="005B7D95"/>
    <w:rsid w:val="005C028A"/>
    <w:rsid w:val="005C02A6"/>
    <w:rsid w:val="005C0514"/>
    <w:rsid w:val="005C0783"/>
    <w:rsid w:val="005C0907"/>
    <w:rsid w:val="005C09B0"/>
    <w:rsid w:val="005C09EA"/>
    <w:rsid w:val="005C1119"/>
    <w:rsid w:val="005C14F6"/>
    <w:rsid w:val="005C16D6"/>
    <w:rsid w:val="005C1CA8"/>
    <w:rsid w:val="005C1E5D"/>
    <w:rsid w:val="005C1E89"/>
    <w:rsid w:val="005C1FFD"/>
    <w:rsid w:val="005C21A6"/>
    <w:rsid w:val="005C27EC"/>
    <w:rsid w:val="005C285F"/>
    <w:rsid w:val="005C2BAC"/>
    <w:rsid w:val="005C2C90"/>
    <w:rsid w:val="005C2D37"/>
    <w:rsid w:val="005C3D99"/>
    <w:rsid w:val="005C3E0F"/>
    <w:rsid w:val="005C3EE5"/>
    <w:rsid w:val="005C41DA"/>
    <w:rsid w:val="005C426B"/>
    <w:rsid w:val="005C42C4"/>
    <w:rsid w:val="005C434E"/>
    <w:rsid w:val="005C469C"/>
    <w:rsid w:val="005C481F"/>
    <w:rsid w:val="005C4954"/>
    <w:rsid w:val="005C4D9C"/>
    <w:rsid w:val="005C4F4E"/>
    <w:rsid w:val="005C5001"/>
    <w:rsid w:val="005C531A"/>
    <w:rsid w:val="005C5947"/>
    <w:rsid w:val="005C5E42"/>
    <w:rsid w:val="005C5F0D"/>
    <w:rsid w:val="005C6449"/>
    <w:rsid w:val="005C675D"/>
    <w:rsid w:val="005C67E3"/>
    <w:rsid w:val="005C68A1"/>
    <w:rsid w:val="005C6D35"/>
    <w:rsid w:val="005C6DF4"/>
    <w:rsid w:val="005C6FBD"/>
    <w:rsid w:val="005C7195"/>
    <w:rsid w:val="005C762F"/>
    <w:rsid w:val="005C76B4"/>
    <w:rsid w:val="005C77D8"/>
    <w:rsid w:val="005C7A57"/>
    <w:rsid w:val="005C7B26"/>
    <w:rsid w:val="005C7EB8"/>
    <w:rsid w:val="005C7EF5"/>
    <w:rsid w:val="005D0701"/>
    <w:rsid w:val="005D09CA"/>
    <w:rsid w:val="005D0A72"/>
    <w:rsid w:val="005D0B1E"/>
    <w:rsid w:val="005D0DAF"/>
    <w:rsid w:val="005D157E"/>
    <w:rsid w:val="005D15ED"/>
    <w:rsid w:val="005D1741"/>
    <w:rsid w:val="005D176B"/>
    <w:rsid w:val="005D1875"/>
    <w:rsid w:val="005D193E"/>
    <w:rsid w:val="005D1F90"/>
    <w:rsid w:val="005D223E"/>
    <w:rsid w:val="005D2352"/>
    <w:rsid w:val="005D312B"/>
    <w:rsid w:val="005D32D9"/>
    <w:rsid w:val="005D3508"/>
    <w:rsid w:val="005D389E"/>
    <w:rsid w:val="005D4213"/>
    <w:rsid w:val="005D4A1E"/>
    <w:rsid w:val="005D4AB2"/>
    <w:rsid w:val="005D4AD3"/>
    <w:rsid w:val="005D4CFE"/>
    <w:rsid w:val="005D5449"/>
    <w:rsid w:val="005D5757"/>
    <w:rsid w:val="005D5D63"/>
    <w:rsid w:val="005D5F93"/>
    <w:rsid w:val="005D5FDA"/>
    <w:rsid w:val="005D60AE"/>
    <w:rsid w:val="005D6218"/>
    <w:rsid w:val="005D623F"/>
    <w:rsid w:val="005D6278"/>
    <w:rsid w:val="005D6D3B"/>
    <w:rsid w:val="005D6DDD"/>
    <w:rsid w:val="005D70BF"/>
    <w:rsid w:val="005D70DC"/>
    <w:rsid w:val="005D72D8"/>
    <w:rsid w:val="005D733E"/>
    <w:rsid w:val="005D73D6"/>
    <w:rsid w:val="005D759C"/>
    <w:rsid w:val="005D7A1C"/>
    <w:rsid w:val="005D7BB2"/>
    <w:rsid w:val="005D7E91"/>
    <w:rsid w:val="005E0991"/>
    <w:rsid w:val="005E0E3B"/>
    <w:rsid w:val="005E0EA9"/>
    <w:rsid w:val="005E100D"/>
    <w:rsid w:val="005E1096"/>
    <w:rsid w:val="005E13FD"/>
    <w:rsid w:val="005E1844"/>
    <w:rsid w:val="005E19C7"/>
    <w:rsid w:val="005E269D"/>
    <w:rsid w:val="005E2AFC"/>
    <w:rsid w:val="005E2DBC"/>
    <w:rsid w:val="005E31B1"/>
    <w:rsid w:val="005E3968"/>
    <w:rsid w:val="005E3A13"/>
    <w:rsid w:val="005E3B2C"/>
    <w:rsid w:val="005E3DA0"/>
    <w:rsid w:val="005E3F8F"/>
    <w:rsid w:val="005E429A"/>
    <w:rsid w:val="005E4442"/>
    <w:rsid w:val="005E5076"/>
    <w:rsid w:val="005E5238"/>
    <w:rsid w:val="005E52C5"/>
    <w:rsid w:val="005E54AD"/>
    <w:rsid w:val="005E58BB"/>
    <w:rsid w:val="005E5B42"/>
    <w:rsid w:val="005E66B6"/>
    <w:rsid w:val="005E6748"/>
    <w:rsid w:val="005E6D44"/>
    <w:rsid w:val="005E6F1A"/>
    <w:rsid w:val="005E72DB"/>
    <w:rsid w:val="005E77CF"/>
    <w:rsid w:val="005F017C"/>
    <w:rsid w:val="005F044A"/>
    <w:rsid w:val="005F0649"/>
    <w:rsid w:val="005F08A1"/>
    <w:rsid w:val="005F1509"/>
    <w:rsid w:val="005F1BD6"/>
    <w:rsid w:val="005F2287"/>
    <w:rsid w:val="005F236C"/>
    <w:rsid w:val="005F246B"/>
    <w:rsid w:val="005F28EF"/>
    <w:rsid w:val="005F293E"/>
    <w:rsid w:val="005F2A37"/>
    <w:rsid w:val="005F2B3E"/>
    <w:rsid w:val="005F2C59"/>
    <w:rsid w:val="005F2FA5"/>
    <w:rsid w:val="005F38AB"/>
    <w:rsid w:val="005F3A69"/>
    <w:rsid w:val="005F3C33"/>
    <w:rsid w:val="005F41DA"/>
    <w:rsid w:val="005F468E"/>
    <w:rsid w:val="005F4752"/>
    <w:rsid w:val="005F48AB"/>
    <w:rsid w:val="005F4A98"/>
    <w:rsid w:val="005F50FF"/>
    <w:rsid w:val="005F558F"/>
    <w:rsid w:val="005F5B49"/>
    <w:rsid w:val="005F5C87"/>
    <w:rsid w:val="005F632C"/>
    <w:rsid w:val="005F685B"/>
    <w:rsid w:val="005F6ACA"/>
    <w:rsid w:val="005F6CE2"/>
    <w:rsid w:val="005F6D80"/>
    <w:rsid w:val="005F6E2E"/>
    <w:rsid w:val="005F70DE"/>
    <w:rsid w:val="005F72B8"/>
    <w:rsid w:val="005F7372"/>
    <w:rsid w:val="005F74DF"/>
    <w:rsid w:val="005F752A"/>
    <w:rsid w:val="005F7544"/>
    <w:rsid w:val="005F78FF"/>
    <w:rsid w:val="005F7AAD"/>
    <w:rsid w:val="005F7E83"/>
    <w:rsid w:val="005F7E8A"/>
    <w:rsid w:val="005FAEF8"/>
    <w:rsid w:val="006000E9"/>
    <w:rsid w:val="00600147"/>
    <w:rsid w:val="00600508"/>
    <w:rsid w:val="00600A38"/>
    <w:rsid w:val="00600C80"/>
    <w:rsid w:val="0060111B"/>
    <w:rsid w:val="00601775"/>
    <w:rsid w:val="00601A73"/>
    <w:rsid w:val="00601C07"/>
    <w:rsid w:val="00601F8C"/>
    <w:rsid w:val="00602DEA"/>
    <w:rsid w:val="00602E8A"/>
    <w:rsid w:val="00603222"/>
    <w:rsid w:val="0060390B"/>
    <w:rsid w:val="006041DE"/>
    <w:rsid w:val="0060456A"/>
    <w:rsid w:val="00604592"/>
    <w:rsid w:val="00604B82"/>
    <w:rsid w:val="00604CE9"/>
    <w:rsid w:val="00604E54"/>
    <w:rsid w:val="00604EF1"/>
    <w:rsid w:val="00604F99"/>
    <w:rsid w:val="006052EE"/>
    <w:rsid w:val="0060550F"/>
    <w:rsid w:val="00605599"/>
    <w:rsid w:val="00605C3A"/>
    <w:rsid w:val="00605D68"/>
    <w:rsid w:val="00605E4A"/>
    <w:rsid w:val="00605E4F"/>
    <w:rsid w:val="00606191"/>
    <w:rsid w:val="00606A6D"/>
    <w:rsid w:val="00606F32"/>
    <w:rsid w:val="00607174"/>
    <w:rsid w:val="006071AF"/>
    <w:rsid w:val="00607261"/>
    <w:rsid w:val="006079A2"/>
    <w:rsid w:val="00607E3F"/>
    <w:rsid w:val="00607EC0"/>
    <w:rsid w:val="0061010F"/>
    <w:rsid w:val="00610184"/>
    <w:rsid w:val="0061039E"/>
    <w:rsid w:val="006104B8"/>
    <w:rsid w:val="006107CD"/>
    <w:rsid w:val="0061089C"/>
    <w:rsid w:val="0061097B"/>
    <w:rsid w:val="006109D5"/>
    <w:rsid w:val="00610A5E"/>
    <w:rsid w:val="00611173"/>
    <w:rsid w:val="00611439"/>
    <w:rsid w:val="0061185A"/>
    <w:rsid w:val="0061185E"/>
    <w:rsid w:val="006119B4"/>
    <w:rsid w:val="00611CEF"/>
    <w:rsid w:val="00612106"/>
    <w:rsid w:val="0061237F"/>
    <w:rsid w:val="0061265B"/>
    <w:rsid w:val="006127A7"/>
    <w:rsid w:val="00612C40"/>
    <w:rsid w:val="006130DB"/>
    <w:rsid w:val="00613B3D"/>
    <w:rsid w:val="00613C0D"/>
    <w:rsid w:val="00613FB1"/>
    <w:rsid w:val="00614080"/>
    <w:rsid w:val="006141F0"/>
    <w:rsid w:val="00614217"/>
    <w:rsid w:val="0061437B"/>
    <w:rsid w:val="006146AC"/>
    <w:rsid w:val="00614874"/>
    <w:rsid w:val="00614A82"/>
    <w:rsid w:val="00614AE8"/>
    <w:rsid w:val="00614C5E"/>
    <w:rsid w:val="00614F94"/>
    <w:rsid w:val="006150CA"/>
    <w:rsid w:val="0061553C"/>
    <w:rsid w:val="00615856"/>
    <w:rsid w:val="006159C2"/>
    <w:rsid w:val="00615A3F"/>
    <w:rsid w:val="00615BEC"/>
    <w:rsid w:val="00616052"/>
    <w:rsid w:val="00616304"/>
    <w:rsid w:val="006163BB"/>
    <w:rsid w:val="0061644B"/>
    <w:rsid w:val="00616539"/>
    <w:rsid w:val="00616633"/>
    <w:rsid w:val="00616791"/>
    <w:rsid w:val="0061692A"/>
    <w:rsid w:val="00616D94"/>
    <w:rsid w:val="00616E9C"/>
    <w:rsid w:val="00616FB5"/>
    <w:rsid w:val="0061719A"/>
    <w:rsid w:val="0061743B"/>
    <w:rsid w:val="006174A6"/>
    <w:rsid w:val="006174DE"/>
    <w:rsid w:val="006176B6"/>
    <w:rsid w:val="0061770B"/>
    <w:rsid w:val="006178E0"/>
    <w:rsid w:val="00617B90"/>
    <w:rsid w:val="00620293"/>
    <w:rsid w:val="00620478"/>
    <w:rsid w:val="006204E5"/>
    <w:rsid w:val="006205C5"/>
    <w:rsid w:val="006206BD"/>
    <w:rsid w:val="006206D5"/>
    <w:rsid w:val="00620C61"/>
    <w:rsid w:val="00620EB6"/>
    <w:rsid w:val="00620F3F"/>
    <w:rsid w:val="006212FC"/>
    <w:rsid w:val="00621311"/>
    <w:rsid w:val="006213DD"/>
    <w:rsid w:val="00621B23"/>
    <w:rsid w:val="00622301"/>
    <w:rsid w:val="00622346"/>
    <w:rsid w:val="006223AA"/>
    <w:rsid w:val="006228C4"/>
    <w:rsid w:val="00622EF6"/>
    <w:rsid w:val="00623493"/>
    <w:rsid w:val="006238CB"/>
    <w:rsid w:val="00623BD7"/>
    <w:rsid w:val="00624128"/>
    <w:rsid w:val="0062413D"/>
    <w:rsid w:val="0062417E"/>
    <w:rsid w:val="006241A8"/>
    <w:rsid w:val="0062425D"/>
    <w:rsid w:val="0062459D"/>
    <w:rsid w:val="00624C40"/>
    <w:rsid w:val="00624E36"/>
    <w:rsid w:val="00624E72"/>
    <w:rsid w:val="0062520B"/>
    <w:rsid w:val="006252B0"/>
    <w:rsid w:val="00625494"/>
    <w:rsid w:val="0062550B"/>
    <w:rsid w:val="00625703"/>
    <w:rsid w:val="0062580F"/>
    <w:rsid w:val="0062599E"/>
    <w:rsid w:val="00625A16"/>
    <w:rsid w:val="00625CE1"/>
    <w:rsid w:val="00625D33"/>
    <w:rsid w:val="006261CA"/>
    <w:rsid w:val="00626648"/>
    <w:rsid w:val="00626ADE"/>
    <w:rsid w:val="00626E3A"/>
    <w:rsid w:val="00627529"/>
    <w:rsid w:val="00627994"/>
    <w:rsid w:val="006279B9"/>
    <w:rsid w:val="006279E0"/>
    <w:rsid w:val="00627E70"/>
    <w:rsid w:val="00627FD6"/>
    <w:rsid w:val="006302A3"/>
    <w:rsid w:val="006305F8"/>
    <w:rsid w:val="00630715"/>
    <w:rsid w:val="00630A0E"/>
    <w:rsid w:val="00630A54"/>
    <w:rsid w:val="00630EEF"/>
    <w:rsid w:val="006310BF"/>
    <w:rsid w:val="0063144A"/>
    <w:rsid w:val="0063155A"/>
    <w:rsid w:val="006319A6"/>
    <w:rsid w:val="00631AEB"/>
    <w:rsid w:val="00632038"/>
    <w:rsid w:val="0063277D"/>
    <w:rsid w:val="00632ADF"/>
    <w:rsid w:val="00632C30"/>
    <w:rsid w:val="00632CCF"/>
    <w:rsid w:val="0063300A"/>
    <w:rsid w:val="00633169"/>
    <w:rsid w:val="00633345"/>
    <w:rsid w:val="006333EC"/>
    <w:rsid w:val="00633736"/>
    <w:rsid w:val="00633A11"/>
    <w:rsid w:val="00633D2B"/>
    <w:rsid w:val="00633F87"/>
    <w:rsid w:val="00634286"/>
    <w:rsid w:val="006342BC"/>
    <w:rsid w:val="00634370"/>
    <w:rsid w:val="006346F8"/>
    <w:rsid w:val="0063475F"/>
    <w:rsid w:val="006349F0"/>
    <w:rsid w:val="006356D8"/>
    <w:rsid w:val="0063581A"/>
    <w:rsid w:val="00635C3D"/>
    <w:rsid w:val="00636276"/>
    <w:rsid w:val="006365CB"/>
    <w:rsid w:val="00636883"/>
    <w:rsid w:val="00636A86"/>
    <w:rsid w:val="00636B73"/>
    <w:rsid w:val="00637089"/>
    <w:rsid w:val="0063735A"/>
    <w:rsid w:val="00637469"/>
    <w:rsid w:val="0063751A"/>
    <w:rsid w:val="006377E0"/>
    <w:rsid w:val="006379F4"/>
    <w:rsid w:val="00637D77"/>
    <w:rsid w:val="00637E3B"/>
    <w:rsid w:val="00640374"/>
    <w:rsid w:val="006406AF"/>
    <w:rsid w:val="00640DBD"/>
    <w:rsid w:val="00640F4B"/>
    <w:rsid w:val="00641395"/>
    <w:rsid w:val="00641735"/>
    <w:rsid w:val="0064195B"/>
    <w:rsid w:val="00641B6A"/>
    <w:rsid w:val="00641C57"/>
    <w:rsid w:val="00641CBB"/>
    <w:rsid w:val="00641FDD"/>
    <w:rsid w:val="006425D5"/>
    <w:rsid w:val="006429F5"/>
    <w:rsid w:val="00642C38"/>
    <w:rsid w:val="00642E17"/>
    <w:rsid w:val="00643154"/>
    <w:rsid w:val="006435F7"/>
    <w:rsid w:val="006436D0"/>
    <w:rsid w:val="00643A2D"/>
    <w:rsid w:val="00643B47"/>
    <w:rsid w:val="00643B94"/>
    <w:rsid w:val="00643F28"/>
    <w:rsid w:val="006441EF"/>
    <w:rsid w:val="00644257"/>
    <w:rsid w:val="00644C49"/>
    <w:rsid w:val="00644D5C"/>
    <w:rsid w:val="00644EEE"/>
    <w:rsid w:val="00645013"/>
    <w:rsid w:val="00645182"/>
    <w:rsid w:val="0064550B"/>
    <w:rsid w:val="0064590A"/>
    <w:rsid w:val="00645B8E"/>
    <w:rsid w:val="006461D9"/>
    <w:rsid w:val="006462D1"/>
    <w:rsid w:val="00646859"/>
    <w:rsid w:val="00646ABE"/>
    <w:rsid w:val="00646F06"/>
    <w:rsid w:val="00646FA9"/>
    <w:rsid w:val="00646FE2"/>
    <w:rsid w:val="00647534"/>
    <w:rsid w:val="00647867"/>
    <w:rsid w:val="0064790B"/>
    <w:rsid w:val="00647D79"/>
    <w:rsid w:val="00647E77"/>
    <w:rsid w:val="006500D9"/>
    <w:rsid w:val="006501F5"/>
    <w:rsid w:val="006503A7"/>
    <w:rsid w:val="00650662"/>
    <w:rsid w:val="00650A92"/>
    <w:rsid w:val="006510D9"/>
    <w:rsid w:val="0065124D"/>
    <w:rsid w:val="0065187F"/>
    <w:rsid w:val="00651C6D"/>
    <w:rsid w:val="00651F6F"/>
    <w:rsid w:val="006523C8"/>
    <w:rsid w:val="0065252E"/>
    <w:rsid w:val="006529EA"/>
    <w:rsid w:val="00652A1C"/>
    <w:rsid w:val="00652A4A"/>
    <w:rsid w:val="006533D5"/>
    <w:rsid w:val="006534DC"/>
    <w:rsid w:val="006538F6"/>
    <w:rsid w:val="00653B41"/>
    <w:rsid w:val="0065413A"/>
    <w:rsid w:val="006543F6"/>
    <w:rsid w:val="0065486B"/>
    <w:rsid w:val="00654A38"/>
    <w:rsid w:val="00654A57"/>
    <w:rsid w:val="00654FD2"/>
    <w:rsid w:val="00655027"/>
    <w:rsid w:val="0065552D"/>
    <w:rsid w:val="006559DB"/>
    <w:rsid w:val="00656434"/>
    <w:rsid w:val="00656557"/>
    <w:rsid w:val="0065675E"/>
    <w:rsid w:val="0065682C"/>
    <w:rsid w:val="00656BEF"/>
    <w:rsid w:val="00656FAA"/>
    <w:rsid w:val="00656FE7"/>
    <w:rsid w:val="00657076"/>
    <w:rsid w:val="006572DF"/>
    <w:rsid w:val="0065731D"/>
    <w:rsid w:val="00657552"/>
    <w:rsid w:val="00657770"/>
    <w:rsid w:val="00657A4A"/>
    <w:rsid w:val="00657B58"/>
    <w:rsid w:val="00657BDB"/>
    <w:rsid w:val="00657EF4"/>
    <w:rsid w:val="00660064"/>
    <w:rsid w:val="006600D8"/>
    <w:rsid w:val="00660184"/>
    <w:rsid w:val="006605F4"/>
    <w:rsid w:val="006608CD"/>
    <w:rsid w:val="00660E4D"/>
    <w:rsid w:val="00660E4E"/>
    <w:rsid w:val="0066141D"/>
    <w:rsid w:val="0066195E"/>
    <w:rsid w:val="00661BD6"/>
    <w:rsid w:val="00661C15"/>
    <w:rsid w:val="00661CC9"/>
    <w:rsid w:val="00661D9A"/>
    <w:rsid w:val="00661E42"/>
    <w:rsid w:val="0066246F"/>
    <w:rsid w:val="006624B6"/>
    <w:rsid w:val="00662596"/>
    <w:rsid w:val="006628D6"/>
    <w:rsid w:val="00662D98"/>
    <w:rsid w:val="00662FB3"/>
    <w:rsid w:val="0066306F"/>
    <w:rsid w:val="00663989"/>
    <w:rsid w:val="006639E6"/>
    <w:rsid w:val="00663BBD"/>
    <w:rsid w:val="00663CCC"/>
    <w:rsid w:val="00664285"/>
    <w:rsid w:val="006644BB"/>
    <w:rsid w:val="00664F2C"/>
    <w:rsid w:val="00665223"/>
    <w:rsid w:val="0066536E"/>
    <w:rsid w:val="0066541C"/>
    <w:rsid w:val="0066545F"/>
    <w:rsid w:val="00665672"/>
    <w:rsid w:val="0066590B"/>
    <w:rsid w:val="0066599E"/>
    <w:rsid w:val="00665B0D"/>
    <w:rsid w:val="00665E70"/>
    <w:rsid w:val="00665E9D"/>
    <w:rsid w:val="0066613A"/>
    <w:rsid w:val="00666952"/>
    <w:rsid w:val="00666BFF"/>
    <w:rsid w:val="00666F7F"/>
    <w:rsid w:val="00666FF0"/>
    <w:rsid w:val="0066710C"/>
    <w:rsid w:val="0066721A"/>
    <w:rsid w:val="006675B9"/>
    <w:rsid w:val="0066794E"/>
    <w:rsid w:val="00667983"/>
    <w:rsid w:val="00667E5F"/>
    <w:rsid w:val="00670112"/>
    <w:rsid w:val="0067017A"/>
    <w:rsid w:val="00670F8A"/>
    <w:rsid w:val="006711A2"/>
    <w:rsid w:val="00671390"/>
    <w:rsid w:val="00671878"/>
    <w:rsid w:val="00671BE8"/>
    <w:rsid w:val="00671DEE"/>
    <w:rsid w:val="00671EB9"/>
    <w:rsid w:val="0067218B"/>
    <w:rsid w:val="006722B4"/>
    <w:rsid w:val="00672597"/>
    <w:rsid w:val="0067260E"/>
    <w:rsid w:val="006727C4"/>
    <w:rsid w:val="006728F8"/>
    <w:rsid w:val="00672DB8"/>
    <w:rsid w:val="00672F33"/>
    <w:rsid w:val="0067342C"/>
    <w:rsid w:val="006734C0"/>
    <w:rsid w:val="006735DF"/>
    <w:rsid w:val="00673B1A"/>
    <w:rsid w:val="00673BA4"/>
    <w:rsid w:val="00673D9E"/>
    <w:rsid w:val="00674668"/>
    <w:rsid w:val="0067496A"/>
    <w:rsid w:val="0067496E"/>
    <w:rsid w:val="00674AC3"/>
    <w:rsid w:val="00674CF4"/>
    <w:rsid w:val="00674ED1"/>
    <w:rsid w:val="00674F1A"/>
    <w:rsid w:val="0067501A"/>
    <w:rsid w:val="00675444"/>
    <w:rsid w:val="00675833"/>
    <w:rsid w:val="00675B07"/>
    <w:rsid w:val="00676975"/>
    <w:rsid w:val="00676A0F"/>
    <w:rsid w:val="0067704F"/>
    <w:rsid w:val="006770D3"/>
    <w:rsid w:val="006777A2"/>
    <w:rsid w:val="00677CBE"/>
    <w:rsid w:val="00677E9A"/>
    <w:rsid w:val="00680674"/>
    <w:rsid w:val="0068075C"/>
    <w:rsid w:val="00681192"/>
    <w:rsid w:val="0068128E"/>
    <w:rsid w:val="006814CE"/>
    <w:rsid w:val="0068154C"/>
    <w:rsid w:val="0068169B"/>
    <w:rsid w:val="0068171A"/>
    <w:rsid w:val="00681B5E"/>
    <w:rsid w:val="00681C1B"/>
    <w:rsid w:val="00681CC4"/>
    <w:rsid w:val="00681ED1"/>
    <w:rsid w:val="00681F0D"/>
    <w:rsid w:val="00682021"/>
    <w:rsid w:val="00682029"/>
    <w:rsid w:val="00682041"/>
    <w:rsid w:val="0068210E"/>
    <w:rsid w:val="006821EA"/>
    <w:rsid w:val="0068273A"/>
    <w:rsid w:val="0068285A"/>
    <w:rsid w:val="00682C80"/>
    <w:rsid w:val="00683441"/>
    <w:rsid w:val="0068346B"/>
    <w:rsid w:val="00683602"/>
    <w:rsid w:val="00683829"/>
    <w:rsid w:val="00683898"/>
    <w:rsid w:val="00683BC5"/>
    <w:rsid w:val="00684087"/>
    <w:rsid w:val="00684499"/>
    <w:rsid w:val="0068467F"/>
    <w:rsid w:val="00684B0C"/>
    <w:rsid w:val="00685201"/>
    <w:rsid w:val="00685448"/>
    <w:rsid w:val="0068548E"/>
    <w:rsid w:val="006857B2"/>
    <w:rsid w:val="00685C1C"/>
    <w:rsid w:val="00685C1D"/>
    <w:rsid w:val="00685CCD"/>
    <w:rsid w:val="00685DD2"/>
    <w:rsid w:val="0068617D"/>
    <w:rsid w:val="0068636C"/>
    <w:rsid w:val="0068651D"/>
    <w:rsid w:val="00686698"/>
    <w:rsid w:val="00686929"/>
    <w:rsid w:val="00686F56"/>
    <w:rsid w:val="006870BE"/>
    <w:rsid w:val="00690003"/>
    <w:rsid w:val="006900DA"/>
    <w:rsid w:val="0069021F"/>
    <w:rsid w:val="006902E0"/>
    <w:rsid w:val="006907C8"/>
    <w:rsid w:val="006907E5"/>
    <w:rsid w:val="00690A68"/>
    <w:rsid w:val="00690A7E"/>
    <w:rsid w:val="00690AC6"/>
    <w:rsid w:val="00690E4A"/>
    <w:rsid w:val="00690E4B"/>
    <w:rsid w:val="006919A5"/>
    <w:rsid w:val="00691A49"/>
    <w:rsid w:val="00691BDE"/>
    <w:rsid w:val="006923D3"/>
    <w:rsid w:val="00692620"/>
    <w:rsid w:val="00692835"/>
    <w:rsid w:val="00692D0A"/>
    <w:rsid w:val="00692D1E"/>
    <w:rsid w:val="006933AD"/>
    <w:rsid w:val="006933C1"/>
    <w:rsid w:val="006934F3"/>
    <w:rsid w:val="006937CC"/>
    <w:rsid w:val="00693A54"/>
    <w:rsid w:val="00693B66"/>
    <w:rsid w:val="00693F91"/>
    <w:rsid w:val="00694417"/>
    <w:rsid w:val="0069443B"/>
    <w:rsid w:val="00694598"/>
    <w:rsid w:val="0069481A"/>
    <w:rsid w:val="00694C0D"/>
    <w:rsid w:val="00695008"/>
    <w:rsid w:val="006952AB"/>
    <w:rsid w:val="0069550D"/>
    <w:rsid w:val="006955AE"/>
    <w:rsid w:val="0069583B"/>
    <w:rsid w:val="00695AA4"/>
    <w:rsid w:val="00696147"/>
    <w:rsid w:val="00696236"/>
    <w:rsid w:val="00696392"/>
    <w:rsid w:val="0069676F"/>
    <w:rsid w:val="006968FD"/>
    <w:rsid w:val="00696AE9"/>
    <w:rsid w:val="00696CD0"/>
    <w:rsid w:val="00697355"/>
    <w:rsid w:val="00697448"/>
    <w:rsid w:val="006975B6"/>
    <w:rsid w:val="00697A9F"/>
    <w:rsid w:val="00697D55"/>
    <w:rsid w:val="006A02E2"/>
    <w:rsid w:val="006A05DB"/>
    <w:rsid w:val="006A06AF"/>
    <w:rsid w:val="006A0C60"/>
    <w:rsid w:val="006A0C6B"/>
    <w:rsid w:val="006A0F8E"/>
    <w:rsid w:val="006A1318"/>
    <w:rsid w:val="006A14AF"/>
    <w:rsid w:val="006A17F0"/>
    <w:rsid w:val="006A1A7C"/>
    <w:rsid w:val="006A1C68"/>
    <w:rsid w:val="006A1CDF"/>
    <w:rsid w:val="006A2154"/>
    <w:rsid w:val="006A217C"/>
    <w:rsid w:val="006A2579"/>
    <w:rsid w:val="006A26AD"/>
    <w:rsid w:val="006A291C"/>
    <w:rsid w:val="006A2C4B"/>
    <w:rsid w:val="006A2CE3"/>
    <w:rsid w:val="006A3124"/>
    <w:rsid w:val="006A3390"/>
    <w:rsid w:val="006A369F"/>
    <w:rsid w:val="006A3909"/>
    <w:rsid w:val="006A3C4A"/>
    <w:rsid w:val="006A40ED"/>
    <w:rsid w:val="006A46C8"/>
    <w:rsid w:val="006A4943"/>
    <w:rsid w:val="006A4A3B"/>
    <w:rsid w:val="006A4C02"/>
    <w:rsid w:val="006A56D0"/>
    <w:rsid w:val="006A5871"/>
    <w:rsid w:val="006A5875"/>
    <w:rsid w:val="006A5C8D"/>
    <w:rsid w:val="006A5D38"/>
    <w:rsid w:val="006A5E79"/>
    <w:rsid w:val="006A5EC8"/>
    <w:rsid w:val="006A6054"/>
    <w:rsid w:val="006A62FB"/>
    <w:rsid w:val="006A6317"/>
    <w:rsid w:val="006A65F4"/>
    <w:rsid w:val="006A68C3"/>
    <w:rsid w:val="006A6920"/>
    <w:rsid w:val="006A6928"/>
    <w:rsid w:val="006A6C9F"/>
    <w:rsid w:val="006A6F47"/>
    <w:rsid w:val="006A7299"/>
    <w:rsid w:val="006A74DD"/>
    <w:rsid w:val="006A770B"/>
    <w:rsid w:val="006A779A"/>
    <w:rsid w:val="006A7EBC"/>
    <w:rsid w:val="006B0065"/>
    <w:rsid w:val="006B00A9"/>
    <w:rsid w:val="006B02F9"/>
    <w:rsid w:val="006B0541"/>
    <w:rsid w:val="006B0D2F"/>
    <w:rsid w:val="006B0E7D"/>
    <w:rsid w:val="006B144A"/>
    <w:rsid w:val="006B1AEC"/>
    <w:rsid w:val="006B1B1E"/>
    <w:rsid w:val="006B1BA1"/>
    <w:rsid w:val="006B1E61"/>
    <w:rsid w:val="006B20A8"/>
    <w:rsid w:val="006B23EE"/>
    <w:rsid w:val="006B246B"/>
    <w:rsid w:val="006B2B56"/>
    <w:rsid w:val="006B2FBD"/>
    <w:rsid w:val="006B3167"/>
    <w:rsid w:val="006B3219"/>
    <w:rsid w:val="006B3302"/>
    <w:rsid w:val="006B33EB"/>
    <w:rsid w:val="006B33FA"/>
    <w:rsid w:val="006B3D1C"/>
    <w:rsid w:val="006B3D42"/>
    <w:rsid w:val="006B4465"/>
    <w:rsid w:val="006B46F9"/>
    <w:rsid w:val="006B486B"/>
    <w:rsid w:val="006B49E3"/>
    <w:rsid w:val="006B4F3A"/>
    <w:rsid w:val="006B545B"/>
    <w:rsid w:val="006B56A5"/>
    <w:rsid w:val="006B5781"/>
    <w:rsid w:val="006B5A6C"/>
    <w:rsid w:val="006B60D2"/>
    <w:rsid w:val="006B6CBB"/>
    <w:rsid w:val="006B6E52"/>
    <w:rsid w:val="006B6EE7"/>
    <w:rsid w:val="006B72DA"/>
    <w:rsid w:val="006B75D6"/>
    <w:rsid w:val="006B79B8"/>
    <w:rsid w:val="006B7A83"/>
    <w:rsid w:val="006C0391"/>
    <w:rsid w:val="006C0519"/>
    <w:rsid w:val="006C0734"/>
    <w:rsid w:val="006C0C6B"/>
    <w:rsid w:val="006C1146"/>
    <w:rsid w:val="006C11A6"/>
    <w:rsid w:val="006C1476"/>
    <w:rsid w:val="006C1675"/>
    <w:rsid w:val="006C18F3"/>
    <w:rsid w:val="006C1C2B"/>
    <w:rsid w:val="006C1E0D"/>
    <w:rsid w:val="006C22A1"/>
    <w:rsid w:val="006C2A5A"/>
    <w:rsid w:val="006C2C4B"/>
    <w:rsid w:val="006C2C94"/>
    <w:rsid w:val="006C2ED8"/>
    <w:rsid w:val="006C2FAF"/>
    <w:rsid w:val="006C30D3"/>
    <w:rsid w:val="006C389F"/>
    <w:rsid w:val="006C3EA0"/>
    <w:rsid w:val="006C4341"/>
    <w:rsid w:val="006C4751"/>
    <w:rsid w:val="006C47E8"/>
    <w:rsid w:val="006C486C"/>
    <w:rsid w:val="006C4BDE"/>
    <w:rsid w:val="006C4C4B"/>
    <w:rsid w:val="006C4DB4"/>
    <w:rsid w:val="006C4E0A"/>
    <w:rsid w:val="006C57BC"/>
    <w:rsid w:val="006C5916"/>
    <w:rsid w:val="006C5BFE"/>
    <w:rsid w:val="006C5EFB"/>
    <w:rsid w:val="006C5F61"/>
    <w:rsid w:val="006C6051"/>
    <w:rsid w:val="006C61EF"/>
    <w:rsid w:val="006C6333"/>
    <w:rsid w:val="006C64D8"/>
    <w:rsid w:val="006C673E"/>
    <w:rsid w:val="006C6895"/>
    <w:rsid w:val="006C6997"/>
    <w:rsid w:val="006C69DE"/>
    <w:rsid w:val="006C6BF2"/>
    <w:rsid w:val="006C7126"/>
    <w:rsid w:val="006C732B"/>
    <w:rsid w:val="006C7393"/>
    <w:rsid w:val="006C761A"/>
    <w:rsid w:val="006C7687"/>
    <w:rsid w:val="006C79C2"/>
    <w:rsid w:val="006D01F2"/>
    <w:rsid w:val="006D0406"/>
    <w:rsid w:val="006D0AE9"/>
    <w:rsid w:val="006D0B14"/>
    <w:rsid w:val="006D0CFE"/>
    <w:rsid w:val="006D0F41"/>
    <w:rsid w:val="006D13E1"/>
    <w:rsid w:val="006D16FA"/>
    <w:rsid w:val="006D1C5C"/>
    <w:rsid w:val="006D214A"/>
    <w:rsid w:val="006D22CE"/>
    <w:rsid w:val="006D22D9"/>
    <w:rsid w:val="006D233A"/>
    <w:rsid w:val="006D2457"/>
    <w:rsid w:val="006D280B"/>
    <w:rsid w:val="006D2BFD"/>
    <w:rsid w:val="006D2D7F"/>
    <w:rsid w:val="006D327B"/>
    <w:rsid w:val="006D3772"/>
    <w:rsid w:val="006D38D5"/>
    <w:rsid w:val="006D3BD5"/>
    <w:rsid w:val="006D3C83"/>
    <w:rsid w:val="006D45F7"/>
    <w:rsid w:val="006D4809"/>
    <w:rsid w:val="006D4903"/>
    <w:rsid w:val="006D4D66"/>
    <w:rsid w:val="006D4E9A"/>
    <w:rsid w:val="006D4F03"/>
    <w:rsid w:val="006D4F3F"/>
    <w:rsid w:val="006D5161"/>
    <w:rsid w:val="006D548A"/>
    <w:rsid w:val="006D5686"/>
    <w:rsid w:val="006D569D"/>
    <w:rsid w:val="006D6163"/>
    <w:rsid w:val="006D68F1"/>
    <w:rsid w:val="006D6B3F"/>
    <w:rsid w:val="006D6EB2"/>
    <w:rsid w:val="006D7180"/>
    <w:rsid w:val="006D76A7"/>
    <w:rsid w:val="006D7C79"/>
    <w:rsid w:val="006E001B"/>
    <w:rsid w:val="006E021D"/>
    <w:rsid w:val="006E0638"/>
    <w:rsid w:val="006E06E0"/>
    <w:rsid w:val="006E09BC"/>
    <w:rsid w:val="006E0C5B"/>
    <w:rsid w:val="006E1628"/>
    <w:rsid w:val="006E1943"/>
    <w:rsid w:val="006E1D1C"/>
    <w:rsid w:val="006E216C"/>
    <w:rsid w:val="006E21AE"/>
    <w:rsid w:val="006E2263"/>
    <w:rsid w:val="006E24ED"/>
    <w:rsid w:val="006E25ED"/>
    <w:rsid w:val="006E279C"/>
    <w:rsid w:val="006E29C9"/>
    <w:rsid w:val="006E2CC3"/>
    <w:rsid w:val="006E2DDD"/>
    <w:rsid w:val="006E2E1D"/>
    <w:rsid w:val="006E2EA0"/>
    <w:rsid w:val="006E35D9"/>
    <w:rsid w:val="006E367A"/>
    <w:rsid w:val="006E3A94"/>
    <w:rsid w:val="006E3E1C"/>
    <w:rsid w:val="006E43BE"/>
    <w:rsid w:val="006E44FD"/>
    <w:rsid w:val="006E4707"/>
    <w:rsid w:val="006E4A59"/>
    <w:rsid w:val="006E4ACA"/>
    <w:rsid w:val="006E4FE7"/>
    <w:rsid w:val="006E537D"/>
    <w:rsid w:val="006E580B"/>
    <w:rsid w:val="006E592A"/>
    <w:rsid w:val="006E5D26"/>
    <w:rsid w:val="006E5FA4"/>
    <w:rsid w:val="006E6241"/>
    <w:rsid w:val="006E65C8"/>
    <w:rsid w:val="006E6613"/>
    <w:rsid w:val="006E6869"/>
    <w:rsid w:val="006E6C56"/>
    <w:rsid w:val="006E6C6C"/>
    <w:rsid w:val="006E6CBB"/>
    <w:rsid w:val="006E7168"/>
    <w:rsid w:val="006E72E3"/>
    <w:rsid w:val="006E72E4"/>
    <w:rsid w:val="006E768E"/>
    <w:rsid w:val="006E7948"/>
    <w:rsid w:val="006E7BDB"/>
    <w:rsid w:val="006F0294"/>
    <w:rsid w:val="006F0420"/>
    <w:rsid w:val="006F04AE"/>
    <w:rsid w:val="006F053D"/>
    <w:rsid w:val="006F0653"/>
    <w:rsid w:val="006F0697"/>
    <w:rsid w:val="006F072D"/>
    <w:rsid w:val="006F09E0"/>
    <w:rsid w:val="006F0A12"/>
    <w:rsid w:val="006F1686"/>
    <w:rsid w:val="006F1DE2"/>
    <w:rsid w:val="006F1F43"/>
    <w:rsid w:val="006F1FC3"/>
    <w:rsid w:val="006F217F"/>
    <w:rsid w:val="006F21ED"/>
    <w:rsid w:val="006F2635"/>
    <w:rsid w:val="006F2698"/>
    <w:rsid w:val="006F2FDA"/>
    <w:rsid w:val="006F33C1"/>
    <w:rsid w:val="006F33D6"/>
    <w:rsid w:val="006F3807"/>
    <w:rsid w:val="006F3907"/>
    <w:rsid w:val="006F3A51"/>
    <w:rsid w:val="006F3ACC"/>
    <w:rsid w:val="006F3B45"/>
    <w:rsid w:val="006F3DF1"/>
    <w:rsid w:val="006F4465"/>
    <w:rsid w:val="006F51A9"/>
    <w:rsid w:val="006F51B1"/>
    <w:rsid w:val="006F585F"/>
    <w:rsid w:val="006F588A"/>
    <w:rsid w:val="006F5C3B"/>
    <w:rsid w:val="006F5DC7"/>
    <w:rsid w:val="006F5F58"/>
    <w:rsid w:val="006F5F71"/>
    <w:rsid w:val="006F625B"/>
    <w:rsid w:val="006F6480"/>
    <w:rsid w:val="006F6BBD"/>
    <w:rsid w:val="006F7770"/>
    <w:rsid w:val="00700303"/>
    <w:rsid w:val="007007F1"/>
    <w:rsid w:val="00700817"/>
    <w:rsid w:val="0070081D"/>
    <w:rsid w:val="00700B03"/>
    <w:rsid w:val="00700BCA"/>
    <w:rsid w:val="00700D45"/>
    <w:rsid w:val="00700DF7"/>
    <w:rsid w:val="00700DFF"/>
    <w:rsid w:val="00701257"/>
    <w:rsid w:val="00701393"/>
    <w:rsid w:val="007013D2"/>
    <w:rsid w:val="007013FA"/>
    <w:rsid w:val="0070177D"/>
    <w:rsid w:val="007017EF"/>
    <w:rsid w:val="00701817"/>
    <w:rsid w:val="00701CA4"/>
    <w:rsid w:val="00701E8C"/>
    <w:rsid w:val="00701F5C"/>
    <w:rsid w:val="007020E8"/>
    <w:rsid w:val="0070261E"/>
    <w:rsid w:val="0070299F"/>
    <w:rsid w:val="00702A64"/>
    <w:rsid w:val="00702C01"/>
    <w:rsid w:val="00702D4E"/>
    <w:rsid w:val="00702EF6"/>
    <w:rsid w:val="00703334"/>
    <w:rsid w:val="007039E6"/>
    <w:rsid w:val="00703F10"/>
    <w:rsid w:val="007040F5"/>
    <w:rsid w:val="007043C2"/>
    <w:rsid w:val="007043D0"/>
    <w:rsid w:val="007043F0"/>
    <w:rsid w:val="007046C3"/>
    <w:rsid w:val="00704CD7"/>
    <w:rsid w:val="007050CC"/>
    <w:rsid w:val="007050D0"/>
    <w:rsid w:val="007051AB"/>
    <w:rsid w:val="0070523F"/>
    <w:rsid w:val="007053E7"/>
    <w:rsid w:val="00705760"/>
    <w:rsid w:val="007057F8"/>
    <w:rsid w:val="00706650"/>
    <w:rsid w:val="0070686C"/>
    <w:rsid w:val="00706A4C"/>
    <w:rsid w:val="00706DB6"/>
    <w:rsid w:val="0070716B"/>
    <w:rsid w:val="00707273"/>
    <w:rsid w:val="007072E0"/>
    <w:rsid w:val="00707407"/>
    <w:rsid w:val="00707DB9"/>
    <w:rsid w:val="007100D7"/>
    <w:rsid w:val="0071023E"/>
    <w:rsid w:val="007102C6"/>
    <w:rsid w:val="00710774"/>
    <w:rsid w:val="0071093E"/>
    <w:rsid w:val="00710A13"/>
    <w:rsid w:val="00710AAF"/>
    <w:rsid w:val="00710DC8"/>
    <w:rsid w:val="00711117"/>
    <w:rsid w:val="00711942"/>
    <w:rsid w:val="00711F1D"/>
    <w:rsid w:val="00711F91"/>
    <w:rsid w:val="007120E9"/>
    <w:rsid w:val="00712401"/>
    <w:rsid w:val="00712864"/>
    <w:rsid w:val="00712A09"/>
    <w:rsid w:val="00712FDB"/>
    <w:rsid w:val="00713025"/>
    <w:rsid w:val="007130B9"/>
    <w:rsid w:val="007132E8"/>
    <w:rsid w:val="007136E1"/>
    <w:rsid w:val="007137E5"/>
    <w:rsid w:val="00713B75"/>
    <w:rsid w:val="00713D20"/>
    <w:rsid w:val="0071413E"/>
    <w:rsid w:val="0071429A"/>
    <w:rsid w:val="0071431E"/>
    <w:rsid w:val="007143AF"/>
    <w:rsid w:val="007147A9"/>
    <w:rsid w:val="00714967"/>
    <w:rsid w:val="00714BF8"/>
    <w:rsid w:val="00714EF7"/>
    <w:rsid w:val="007151B3"/>
    <w:rsid w:val="00715393"/>
    <w:rsid w:val="00715538"/>
    <w:rsid w:val="00715B98"/>
    <w:rsid w:val="007166F5"/>
    <w:rsid w:val="0071674A"/>
    <w:rsid w:val="007169D8"/>
    <w:rsid w:val="00716A08"/>
    <w:rsid w:val="00716BC6"/>
    <w:rsid w:val="00717032"/>
    <w:rsid w:val="00717052"/>
    <w:rsid w:val="00717170"/>
    <w:rsid w:val="00717201"/>
    <w:rsid w:val="0071722A"/>
    <w:rsid w:val="007172C0"/>
    <w:rsid w:val="00717646"/>
    <w:rsid w:val="00717892"/>
    <w:rsid w:val="00717E45"/>
    <w:rsid w:val="00717E4F"/>
    <w:rsid w:val="00717EB2"/>
    <w:rsid w:val="0072009A"/>
    <w:rsid w:val="00720270"/>
    <w:rsid w:val="007203B8"/>
    <w:rsid w:val="007206DE"/>
    <w:rsid w:val="007209A3"/>
    <w:rsid w:val="00720B18"/>
    <w:rsid w:val="00720B32"/>
    <w:rsid w:val="00720F6F"/>
    <w:rsid w:val="007210F1"/>
    <w:rsid w:val="00721330"/>
    <w:rsid w:val="007217B8"/>
    <w:rsid w:val="00721ED8"/>
    <w:rsid w:val="007223CC"/>
    <w:rsid w:val="00722658"/>
    <w:rsid w:val="00722BDA"/>
    <w:rsid w:val="00723207"/>
    <w:rsid w:val="007232BF"/>
    <w:rsid w:val="007241EF"/>
    <w:rsid w:val="0072430B"/>
    <w:rsid w:val="00724834"/>
    <w:rsid w:val="00724860"/>
    <w:rsid w:val="00724A21"/>
    <w:rsid w:val="00724B15"/>
    <w:rsid w:val="00724BCD"/>
    <w:rsid w:val="0072535B"/>
    <w:rsid w:val="007255B4"/>
    <w:rsid w:val="00725BF2"/>
    <w:rsid w:val="0072652D"/>
    <w:rsid w:val="00726880"/>
    <w:rsid w:val="007269C1"/>
    <w:rsid w:val="00726AC3"/>
    <w:rsid w:val="00726CDC"/>
    <w:rsid w:val="00726E90"/>
    <w:rsid w:val="00726FF3"/>
    <w:rsid w:val="00727330"/>
    <w:rsid w:val="0072735A"/>
    <w:rsid w:val="007273B7"/>
    <w:rsid w:val="007275FF"/>
    <w:rsid w:val="00727679"/>
    <w:rsid w:val="00727DC7"/>
    <w:rsid w:val="00730045"/>
    <w:rsid w:val="0073004E"/>
    <w:rsid w:val="007306CC"/>
    <w:rsid w:val="0073076B"/>
    <w:rsid w:val="007307CF"/>
    <w:rsid w:val="00730927"/>
    <w:rsid w:val="00730D58"/>
    <w:rsid w:val="00730D76"/>
    <w:rsid w:val="007313AC"/>
    <w:rsid w:val="00731E69"/>
    <w:rsid w:val="00732258"/>
    <w:rsid w:val="007322D8"/>
    <w:rsid w:val="00732300"/>
    <w:rsid w:val="00732A09"/>
    <w:rsid w:val="007330AA"/>
    <w:rsid w:val="00733CEB"/>
    <w:rsid w:val="00733DDC"/>
    <w:rsid w:val="0073431B"/>
    <w:rsid w:val="007348DA"/>
    <w:rsid w:val="00734901"/>
    <w:rsid w:val="00734960"/>
    <w:rsid w:val="00734D1F"/>
    <w:rsid w:val="0073517B"/>
    <w:rsid w:val="00735208"/>
    <w:rsid w:val="007352F0"/>
    <w:rsid w:val="007354EB"/>
    <w:rsid w:val="0073592D"/>
    <w:rsid w:val="00736345"/>
    <w:rsid w:val="00736424"/>
    <w:rsid w:val="00736571"/>
    <w:rsid w:val="007366D8"/>
    <w:rsid w:val="0073671A"/>
    <w:rsid w:val="00736831"/>
    <w:rsid w:val="0073765F"/>
    <w:rsid w:val="007376CC"/>
    <w:rsid w:val="00737776"/>
    <w:rsid w:val="00737834"/>
    <w:rsid w:val="00737B94"/>
    <w:rsid w:val="0074003E"/>
    <w:rsid w:val="00740142"/>
    <w:rsid w:val="007401DC"/>
    <w:rsid w:val="0074072C"/>
    <w:rsid w:val="007408C4"/>
    <w:rsid w:val="00740D6F"/>
    <w:rsid w:val="00740D79"/>
    <w:rsid w:val="00741215"/>
    <w:rsid w:val="0074135B"/>
    <w:rsid w:val="00741369"/>
    <w:rsid w:val="0074180F"/>
    <w:rsid w:val="007418E5"/>
    <w:rsid w:val="00741ED8"/>
    <w:rsid w:val="007420DC"/>
    <w:rsid w:val="007423DC"/>
    <w:rsid w:val="007426E5"/>
    <w:rsid w:val="00742A11"/>
    <w:rsid w:val="007431A2"/>
    <w:rsid w:val="007431B2"/>
    <w:rsid w:val="007431EF"/>
    <w:rsid w:val="007438D4"/>
    <w:rsid w:val="00743A20"/>
    <w:rsid w:val="00743A2F"/>
    <w:rsid w:val="00743A9F"/>
    <w:rsid w:val="00743B72"/>
    <w:rsid w:val="00743BB1"/>
    <w:rsid w:val="00743D74"/>
    <w:rsid w:val="00743DE6"/>
    <w:rsid w:val="007441BB"/>
    <w:rsid w:val="007445EC"/>
    <w:rsid w:val="007447D8"/>
    <w:rsid w:val="00744F6D"/>
    <w:rsid w:val="0074577E"/>
    <w:rsid w:val="00745811"/>
    <w:rsid w:val="0074581B"/>
    <w:rsid w:val="007458B5"/>
    <w:rsid w:val="00745A26"/>
    <w:rsid w:val="00745E62"/>
    <w:rsid w:val="00745EE8"/>
    <w:rsid w:val="00746683"/>
    <w:rsid w:val="00746A0D"/>
    <w:rsid w:val="00747150"/>
    <w:rsid w:val="00747577"/>
    <w:rsid w:val="007479B1"/>
    <w:rsid w:val="007479C3"/>
    <w:rsid w:val="00747A72"/>
    <w:rsid w:val="00747C93"/>
    <w:rsid w:val="00747EB5"/>
    <w:rsid w:val="00750001"/>
    <w:rsid w:val="007502D1"/>
    <w:rsid w:val="0075179F"/>
    <w:rsid w:val="007517CF"/>
    <w:rsid w:val="00751B9C"/>
    <w:rsid w:val="00752585"/>
    <w:rsid w:val="00752F34"/>
    <w:rsid w:val="00753312"/>
    <w:rsid w:val="007534B1"/>
    <w:rsid w:val="00753570"/>
    <w:rsid w:val="00753583"/>
    <w:rsid w:val="0075383F"/>
    <w:rsid w:val="00753BCE"/>
    <w:rsid w:val="00753EED"/>
    <w:rsid w:val="00754211"/>
    <w:rsid w:val="007542C3"/>
    <w:rsid w:val="00754460"/>
    <w:rsid w:val="00754C7B"/>
    <w:rsid w:val="00754F14"/>
    <w:rsid w:val="00754FEB"/>
    <w:rsid w:val="007554F7"/>
    <w:rsid w:val="007557EE"/>
    <w:rsid w:val="00755865"/>
    <w:rsid w:val="007559F2"/>
    <w:rsid w:val="00755FC4"/>
    <w:rsid w:val="0075601F"/>
    <w:rsid w:val="007568A9"/>
    <w:rsid w:val="00756DDB"/>
    <w:rsid w:val="00757201"/>
    <w:rsid w:val="0075720F"/>
    <w:rsid w:val="00757267"/>
    <w:rsid w:val="00757603"/>
    <w:rsid w:val="00757891"/>
    <w:rsid w:val="007579DB"/>
    <w:rsid w:val="00757BFD"/>
    <w:rsid w:val="00757E34"/>
    <w:rsid w:val="00760134"/>
    <w:rsid w:val="00760486"/>
    <w:rsid w:val="0076078E"/>
    <w:rsid w:val="007607E6"/>
    <w:rsid w:val="00760D43"/>
    <w:rsid w:val="0076110B"/>
    <w:rsid w:val="007612CC"/>
    <w:rsid w:val="0076176D"/>
    <w:rsid w:val="007617FE"/>
    <w:rsid w:val="00761894"/>
    <w:rsid w:val="007619E5"/>
    <w:rsid w:val="00761B09"/>
    <w:rsid w:val="00761DB7"/>
    <w:rsid w:val="00762367"/>
    <w:rsid w:val="007625A8"/>
    <w:rsid w:val="00762717"/>
    <w:rsid w:val="0076281E"/>
    <w:rsid w:val="007629AE"/>
    <w:rsid w:val="007629C4"/>
    <w:rsid w:val="00762D1E"/>
    <w:rsid w:val="00763046"/>
    <w:rsid w:val="00763729"/>
    <w:rsid w:val="00763A10"/>
    <w:rsid w:val="00763BB7"/>
    <w:rsid w:val="00763E84"/>
    <w:rsid w:val="00763F9C"/>
    <w:rsid w:val="007640A0"/>
    <w:rsid w:val="00764330"/>
    <w:rsid w:val="0076451C"/>
    <w:rsid w:val="007645B6"/>
    <w:rsid w:val="007650BB"/>
    <w:rsid w:val="0076541E"/>
    <w:rsid w:val="007656D0"/>
    <w:rsid w:val="0076593F"/>
    <w:rsid w:val="00765A4F"/>
    <w:rsid w:val="00765C5E"/>
    <w:rsid w:val="007664EF"/>
    <w:rsid w:val="00766925"/>
    <w:rsid w:val="0076697A"/>
    <w:rsid w:val="00766D32"/>
    <w:rsid w:val="00766DA6"/>
    <w:rsid w:val="00767061"/>
    <w:rsid w:val="00767396"/>
    <w:rsid w:val="0076750D"/>
    <w:rsid w:val="0077013D"/>
    <w:rsid w:val="0077017A"/>
    <w:rsid w:val="00770393"/>
    <w:rsid w:val="0077046D"/>
    <w:rsid w:val="00770531"/>
    <w:rsid w:val="00770A0A"/>
    <w:rsid w:val="00770AE4"/>
    <w:rsid w:val="00770B2E"/>
    <w:rsid w:val="00770B98"/>
    <w:rsid w:val="00770DE6"/>
    <w:rsid w:val="00770EC5"/>
    <w:rsid w:val="0077119A"/>
    <w:rsid w:val="00771295"/>
    <w:rsid w:val="0077140D"/>
    <w:rsid w:val="00771588"/>
    <w:rsid w:val="007715C6"/>
    <w:rsid w:val="007715D8"/>
    <w:rsid w:val="007717C1"/>
    <w:rsid w:val="00772357"/>
    <w:rsid w:val="00772893"/>
    <w:rsid w:val="007729DA"/>
    <w:rsid w:val="00772C86"/>
    <w:rsid w:val="00772E0E"/>
    <w:rsid w:val="00772E86"/>
    <w:rsid w:val="00773331"/>
    <w:rsid w:val="007733A3"/>
    <w:rsid w:val="007735CA"/>
    <w:rsid w:val="00773742"/>
    <w:rsid w:val="00773844"/>
    <w:rsid w:val="0077400E"/>
    <w:rsid w:val="007743E8"/>
    <w:rsid w:val="00774540"/>
    <w:rsid w:val="00774A7E"/>
    <w:rsid w:val="00774B13"/>
    <w:rsid w:val="00774BAC"/>
    <w:rsid w:val="00774D9E"/>
    <w:rsid w:val="0077504B"/>
    <w:rsid w:val="00775175"/>
    <w:rsid w:val="00775555"/>
    <w:rsid w:val="007756DE"/>
    <w:rsid w:val="007756F2"/>
    <w:rsid w:val="00775C5E"/>
    <w:rsid w:val="00775D5B"/>
    <w:rsid w:val="00775DE8"/>
    <w:rsid w:val="00775E09"/>
    <w:rsid w:val="00775FA0"/>
    <w:rsid w:val="00776330"/>
    <w:rsid w:val="007764DE"/>
    <w:rsid w:val="00776750"/>
    <w:rsid w:val="00776E0D"/>
    <w:rsid w:val="00777132"/>
    <w:rsid w:val="0077734E"/>
    <w:rsid w:val="00777498"/>
    <w:rsid w:val="007774B5"/>
    <w:rsid w:val="007775C4"/>
    <w:rsid w:val="00777D4E"/>
    <w:rsid w:val="0078011D"/>
    <w:rsid w:val="0078016F"/>
    <w:rsid w:val="007803D8"/>
    <w:rsid w:val="00780C4B"/>
    <w:rsid w:val="00780EDF"/>
    <w:rsid w:val="007810F2"/>
    <w:rsid w:val="007811FE"/>
    <w:rsid w:val="0078127B"/>
    <w:rsid w:val="0078148C"/>
    <w:rsid w:val="0078174A"/>
    <w:rsid w:val="007820AB"/>
    <w:rsid w:val="0078211A"/>
    <w:rsid w:val="007824A1"/>
    <w:rsid w:val="007827B9"/>
    <w:rsid w:val="00782B75"/>
    <w:rsid w:val="00782D04"/>
    <w:rsid w:val="0078314B"/>
    <w:rsid w:val="00783214"/>
    <w:rsid w:val="00783236"/>
    <w:rsid w:val="00783363"/>
    <w:rsid w:val="007834B2"/>
    <w:rsid w:val="00783594"/>
    <w:rsid w:val="00784635"/>
    <w:rsid w:val="00784889"/>
    <w:rsid w:val="00784901"/>
    <w:rsid w:val="00784AD7"/>
    <w:rsid w:val="00784E21"/>
    <w:rsid w:val="007852FC"/>
    <w:rsid w:val="00785325"/>
    <w:rsid w:val="0078589D"/>
    <w:rsid w:val="00786009"/>
    <w:rsid w:val="0078616F"/>
    <w:rsid w:val="007864E1"/>
    <w:rsid w:val="00786972"/>
    <w:rsid w:val="00786A13"/>
    <w:rsid w:val="007871D5"/>
    <w:rsid w:val="00787278"/>
    <w:rsid w:val="007872B3"/>
    <w:rsid w:val="007873E8"/>
    <w:rsid w:val="0078789A"/>
    <w:rsid w:val="00787DE2"/>
    <w:rsid w:val="00790165"/>
    <w:rsid w:val="007902D7"/>
    <w:rsid w:val="00790396"/>
    <w:rsid w:val="0079075D"/>
    <w:rsid w:val="00790903"/>
    <w:rsid w:val="007912EE"/>
    <w:rsid w:val="007915B7"/>
    <w:rsid w:val="0079194A"/>
    <w:rsid w:val="00791E34"/>
    <w:rsid w:val="00792012"/>
    <w:rsid w:val="00792049"/>
    <w:rsid w:val="00792587"/>
    <w:rsid w:val="007926E6"/>
    <w:rsid w:val="00792926"/>
    <w:rsid w:val="00792C7B"/>
    <w:rsid w:val="00793063"/>
    <w:rsid w:val="007932EF"/>
    <w:rsid w:val="00793499"/>
    <w:rsid w:val="007934C7"/>
    <w:rsid w:val="00793C18"/>
    <w:rsid w:val="00793EC0"/>
    <w:rsid w:val="00794238"/>
    <w:rsid w:val="00794345"/>
    <w:rsid w:val="007944C3"/>
    <w:rsid w:val="00794B8C"/>
    <w:rsid w:val="00794EC3"/>
    <w:rsid w:val="00795284"/>
    <w:rsid w:val="00795D0B"/>
    <w:rsid w:val="00795E58"/>
    <w:rsid w:val="00795FB9"/>
    <w:rsid w:val="007968A7"/>
    <w:rsid w:val="00796AC8"/>
    <w:rsid w:val="00796B55"/>
    <w:rsid w:val="00796BD6"/>
    <w:rsid w:val="00796D60"/>
    <w:rsid w:val="00796DF1"/>
    <w:rsid w:val="0079701E"/>
    <w:rsid w:val="007970D5"/>
    <w:rsid w:val="0079747E"/>
    <w:rsid w:val="0079754F"/>
    <w:rsid w:val="00797616"/>
    <w:rsid w:val="00797654"/>
    <w:rsid w:val="007976B5"/>
    <w:rsid w:val="00797853"/>
    <w:rsid w:val="00797A26"/>
    <w:rsid w:val="00797A59"/>
    <w:rsid w:val="00797CD3"/>
    <w:rsid w:val="007A01A7"/>
    <w:rsid w:val="007A0399"/>
    <w:rsid w:val="007A03E6"/>
    <w:rsid w:val="007A0478"/>
    <w:rsid w:val="007A075E"/>
    <w:rsid w:val="007A0949"/>
    <w:rsid w:val="007A0B41"/>
    <w:rsid w:val="007A0C48"/>
    <w:rsid w:val="007A0DD3"/>
    <w:rsid w:val="007A130E"/>
    <w:rsid w:val="007A155B"/>
    <w:rsid w:val="007A158A"/>
    <w:rsid w:val="007A172B"/>
    <w:rsid w:val="007A1959"/>
    <w:rsid w:val="007A21B2"/>
    <w:rsid w:val="007A22D2"/>
    <w:rsid w:val="007A2643"/>
    <w:rsid w:val="007A2967"/>
    <w:rsid w:val="007A2C05"/>
    <w:rsid w:val="007A2C1B"/>
    <w:rsid w:val="007A3393"/>
    <w:rsid w:val="007A3C75"/>
    <w:rsid w:val="007A4085"/>
    <w:rsid w:val="007A42CA"/>
    <w:rsid w:val="007A4425"/>
    <w:rsid w:val="007A451D"/>
    <w:rsid w:val="007A48B5"/>
    <w:rsid w:val="007A495C"/>
    <w:rsid w:val="007A49BD"/>
    <w:rsid w:val="007A4AAF"/>
    <w:rsid w:val="007A4BD1"/>
    <w:rsid w:val="007A4E26"/>
    <w:rsid w:val="007A5122"/>
    <w:rsid w:val="007A7193"/>
    <w:rsid w:val="007A7439"/>
    <w:rsid w:val="007A78C9"/>
    <w:rsid w:val="007A7A19"/>
    <w:rsid w:val="007A7B78"/>
    <w:rsid w:val="007A7BE4"/>
    <w:rsid w:val="007A7D41"/>
    <w:rsid w:val="007A7ED1"/>
    <w:rsid w:val="007B0234"/>
    <w:rsid w:val="007B032F"/>
    <w:rsid w:val="007B086F"/>
    <w:rsid w:val="007B0B28"/>
    <w:rsid w:val="007B16E2"/>
    <w:rsid w:val="007B18A8"/>
    <w:rsid w:val="007B1A78"/>
    <w:rsid w:val="007B1C9E"/>
    <w:rsid w:val="007B1FFA"/>
    <w:rsid w:val="007B2007"/>
    <w:rsid w:val="007B2378"/>
    <w:rsid w:val="007B24E5"/>
    <w:rsid w:val="007B2540"/>
    <w:rsid w:val="007B263F"/>
    <w:rsid w:val="007B2873"/>
    <w:rsid w:val="007B291D"/>
    <w:rsid w:val="007B2C22"/>
    <w:rsid w:val="007B2F08"/>
    <w:rsid w:val="007B2F64"/>
    <w:rsid w:val="007B3727"/>
    <w:rsid w:val="007B3A2F"/>
    <w:rsid w:val="007B3B49"/>
    <w:rsid w:val="007B3BE0"/>
    <w:rsid w:val="007B3F31"/>
    <w:rsid w:val="007B4466"/>
    <w:rsid w:val="007B45EC"/>
    <w:rsid w:val="007B4A41"/>
    <w:rsid w:val="007B4AA8"/>
    <w:rsid w:val="007B4BF3"/>
    <w:rsid w:val="007B4FF5"/>
    <w:rsid w:val="007B51EF"/>
    <w:rsid w:val="007B542B"/>
    <w:rsid w:val="007B5453"/>
    <w:rsid w:val="007B58AE"/>
    <w:rsid w:val="007B5976"/>
    <w:rsid w:val="007B5B0D"/>
    <w:rsid w:val="007B6F21"/>
    <w:rsid w:val="007B70E8"/>
    <w:rsid w:val="007B714D"/>
    <w:rsid w:val="007B715E"/>
    <w:rsid w:val="007B71AC"/>
    <w:rsid w:val="007B7310"/>
    <w:rsid w:val="007B7916"/>
    <w:rsid w:val="007B7ACD"/>
    <w:rsid w:val="007C07FC"/>
    <w:rsid w:val="007C092B"/>
    <w:rsid w:val="007C09BA"/>
    <w:rsid w:val="007C0CE4"/>
    <w:rsid w:val="007C0ED3"/>
    <w:rsid w:val="007C1CEB"/>
    <w:rsid w:val="007C20BA"/>
    <w:rsid w:val="007C232A"/>
    <w:rsid w:val="007C2E98"/>
    <w:rsid w:val="007C30EE"/>
    <w:rsid w:val="007C3782"/>
    <w:rsid w:val="007C3967"/>
    <w:rsid w:val="007C3C7C"/>
    <w:rsid w:val="007C3CBA"/>
    <w:rsid w:val="007C4066"/>
    <w:rsid w:val="007C420D"/>
    <w:rsid w:val="007C4736"/>
    <w:rsid w:val="007C4A70"/>
    <w:rsid w:val="007C4E36"/>
    <w:rsid w:val="007C5340"/>
    <w:rsid w:val="007C5C32"/>
    <w:rsid w:val="007C5CB2"/>
    <w:rsid w:val="007C5CE3"/>
    <w:rsid w:val="007C6308"/>
    <w:rsid w:val="007C671E"/>
    <w:rsid w:val="007C6A03"/>
    <w:rsid w:val="007C6C0E"/>
    <w:rsid w:val="007C6E45"/>
    <w:rsid w:val="007C6FEC"/>
    <w:rsid w:val="007C7170"/>
    <w:rsid w:val="007C7E6B"/>
    <w:rsid w:val="007C7FD1"/>
    <w:rsid w:val="007D0156"/>
    <w:rsid w:val="007D049D"/>
    <w:rsid w:val="007D0501"/>
    <w:rsid w:val="007D054C"/>
    <w:rsid w:val="007D05E1"/>
    <w:rsid w:val="007D0621"/>
    <w:rsid w:val="007D06DD"/>
    <w:rsid w:val="007D072C"/>
    <w:rsid w:val="007D1058"/>
    <w:rsid w:val="007D17AE"/>
    <w:rsid w:val="007D1B47"/>
    <w:rsid w:val="007D1BCB"/>
    <w:rsid w:val="007D2950"/>
    <w:rsid w:val="007D29D7"/>
    <w:rsid w:val="007D2A24"/>
    <w:rsid w:val="007D2B8E"/>
    <w:rsid w:val="007D2BBD"/>
    <w:rsid w:val="007D2C85"/>
    <w:rsid w:val="007D2CFD"/>
    <w:rsid w:val="007D2ED6"/>
    <w:rsid w:val="007D302C"/>
    <w:rsid w:val="007D37E1"/>
    <w:rsid w:val="007D3843"/>
    <w:rsid w:val="007D3DA3"/>
    <w:rsid w:val="007D3FA8"/>
    <w:rsid w:val="007D4605"/>
    <w:rsid w:val="007D555A"/>
    <w:rsid w:val="007D5774"/>
    <w:rsid w:val="007D5E5D"/>
    <w:rsid w:val="007D64CC"/>
    <w:rsid w:val="007D674A"/>
    <w:rsid w:val="007D6914"/>
    <w:rsid w:val="007D75D4"/>
    <w:rsid w:val="007D7DCB"/>
    <w:rsid w:val="007E047A"/>
    <w:rsid w:val="007E05B0"/>
    <w:rsid w:val="007E0607"/>
    <w:rsid w:val="007E0694"/>
    <w:rsid w:val="007E0CA8"/>
    <w:rsid w:val="007E1232"/>
    <w:rsid w:val="007E173C"/>
    <w:rsid w:val="007E1DB3"/>
    <w:rsid w:val="007E217F"/>
    <w:rsid w:val="007E2403"/>
    <w:rsid w:val="007E278F"/>
    <w:rsid w:val="007E2C4B"/>
    <w:rsid w:val="007E2FC6"/>
    <w:rsid w:val="007E30B3"/>
    <w:rsid w:val="007E3131"/>
    <w:rsid w:val="007E3160"/>
    <w:rsid w:val="007E36E5"/>
    <w:rsid w:val="007E3827"/>
    <w:rsid w:val="007E3A4D"/>
    <w:rsid w:val="007E3A70"/>
    <w:rsid w:val="007E3D42"/>
    <w:rsid w:val="007E3E27"/>
    <w:rsid w:val="007E40C5"/>
    <w:rsid w:val="007E43C8"/>
    <w:rsid w:val="007E44C4"/>
    <w:rsid w:val="007E4514"/>
    <w:rsid w:val="007E459F"/>
    <w:rsid w:val="007E461D"/>
    <w:rsid w:val="007E4DE7"/>
    <w:rsid w:val="007E52BF"/>
    <w:rsid w:val="007E5574"/>
    <w:rsid w:val="007E5A34"/>
    <w:rsid w:val="007E5DDA"/>
    <w:rsid w:val="007E6592"/>
    <w:rsid w:val="007E69D0"/>
    <w:rsid w:val="007E6A03"/>
    <w:rsid w:val="007E6ACC"/>
    <w:rsid w:val="007E6DFF"/>
    <w:rsid w:val="007E7171"/>
    <w:rsid w:val="007E7368"/>
    <w:rsid w:val="007E7636"/>
    <w:rsid w:val="007E790D"/>
    <w:rsid w:val="007E7DF7"/>
    <w:rsid w:val="007F03AC"/>
    <w:rsid w:val="007F071F"/>
    <w:rsid w:val="007F12BD"/>
    <w:rsid w:val="007F14AB"/>
    <w:rsid w:val="007F1531"/>
    <w:rsid w:val="007F1576"/>
    <w:rsid w:val="007F15EE"/>
    <w:rsid w:val="007F171F"/>
    <w:rsid w:val="007F19D8"/>
    <w:rsid w:val="007F1CBC"/>
    <w:rsid w:val="007F1D82"/>
    <w:rsid w:val="007F23FC"/>
    <w:rsid w:val="007F2426"/>
    <w:rsid w:val="007F24B5"/>
    <w:rsid w:val="007F3170"/>
    <w:rsid w:val="007F3229"/>
    <w:rsid w:val="007F3498"/>
    <w:rsid w:val="007F36F1"/>
    <w:rsid w:val="007F41CF"/>
    <w:rsid w:val="007F42AA"/>
    <w:rsid w:val="007F42FA"/>
    <w:rsid w:val="007F4455"/>
    <w:rsid w:val="007F478D"/>
    <w:rsid w:val="007F4EB8"/>
    <w:rsid w:val="007F4EE0"/>
    <w:rsid w:val="007F5090"/>
    <w:rsid w:val="007F516B"/>
    <w:rsid w:val="007F5BCA"/>
    <w:rsid w:val="007F60CE"/>
    <w:rsid w:val="007F6152"/>
    <w:rsid w:val="007F652D"/>
    <w:rsid w:val="007F6608"/>
    <w:rsid w:val="007F6A81"/>
    <w:rsid w:val="007F6EA6"/>
    <w:rsid w:val="007F7216"/>
    <w:rsid w:val="007F729A"/>
    <w:rsid w:val="007F7418"/>
    <w:rsid w:val="007F754C"/>
    <w:rsid w:val="007F7594"/>
    <w:rsid w:val="007F789D"/>
    <w:rsid w:val="007F7F59"/>
    <w:rsid w:val="008004CD"/>
    <w:rsid w:val="0080064A"/>
    <w:rsid w:val="00800899"/>
    <w:rsid w:val="00800948"/>
    <w:rsid w:val="00800D57"/>
    <w:rsid w:val="00800E78"/>
    <w:rsid w:val="00801216"/>
    <w:rsid w:val="0080145F"/>
    <w:rsid w:val="008014EC"/>
    <w:rsid w:val="00801657"/>
    <w:rsid w:val="00801EB4"/>
    <w:rsid w:val="00802218"/>
    <w:rsid w:val="008022C7"/>
    <w:rsid w:val="008033CA"/>
    <w:rsid w:val="008034A8"/>
    <w:rsid w:val="008036B8"/>
    <w:rsid w:val="00803D05"/>
    <w:rsid w:val="00803D76"/>
    <w:rsid w:val="00803F02"/>
    <w:rsid w:val="008040DF"/>
    <w:rsid w:val="00804222"/>
    <w:rsid w:val="008044ED"/>
    <w:rsid w:val="00804A19"/>
    <w:rsid w:val="00804BEF"/>
    <w:rsid w:val="00804D7D"/>
    <w:rsid w:val="00804E36"/>
    <w:rsid w:val="00804E9C"/>
    <w:rsid w:val="00804EDD"/>
    <w:rsid w:val="008051B9"/>
    <w:rsid w:val="00805500"/>
    <w:rsid w:val="008056ED"/>
    <w:rsid w:val="0080594D"/>
    <w:rsid w:val="008059E5"/>
    <w:rsid w:val="00805B60"/>
    <w:rsid w:val="00805C09"/>
    <w:rsid w:val="00805CAC"/>
    <w:rsid w:val="0080604A"/>
    <w:rsid w:val="008063E5"/>
    <w:rsid w:val="00806471"/>
    <w:rsid w:val="00806637"/>
    <w:rsid w:val="00806722"/>
    <w:rsid w:val="00806B0C"/>
    <w:rsid w:val="00807060"/>
    <w:rsid w:val="00807439"/>
    <w:rsid w:val="008076C9"/>
    <w:rsid w:val="008078E0"/>
    <w:rsid w:val="008105B7"/>
    <w:rsid w:val="00810A81"/>
    <w:rsid w:val="00810B81"/>
    <w:rsid w:val="0081120D"/>
    <w:rsid w:val="0081181F"/>
    <w:rsid w:val="0081238F"/>
    <w:rsid w:val="0081253A"/>
    <w:rsid w:val="008125ED"/>
    <w:rsid w:val="008126C2"/>
    <w:rsid w:val="0081286D"/>
    <w:rsid w:val="00812A5D"/>
    <w:rsid w:val="00812A9D"/>
    <w:rsid w:val="00812DAF"/>
    <w:rsid w:val="00812DE8"/>
    <w:rsid w:val="00812E52"/>
    <w:rsid w:val="00813314"/>
    <w:rsid w:val="00813EE5"/>
    <w:rsid w:val="008140A1"/>
    <w:rsid w:val="0081434D"/>
    <w:rsid w:val="008143FF"/>
    <w:rsid w:val="00814A89"/>
    <w:rsid w:val="0081546B"/>
    <w:rsid w:val="00815553"/>
    <w:rsid w:val="00815617"/>
    <w:rsid w:val="0081588A"/>
    <w:rsid w:val="00815ABD"/>
    <w:rsid w:val="00815D57"/>
    <w:rsid w:val="00816231"/>
    <w:rsid w:val="00816468"/>
    <w:rsid w:val="008166D6"/>
    <w:rsid w:val="00816746"/>
    <w:rsid w:val="0081773B"/>
    <w:rsid w:val="00817B80"/>
    <w:rsid w:val="00817B8D"/>
    <w:rsid w:val="00820432"/>
    <w:rsid w:val="0082044C"/>
    <w:rsid w:val="00820777"/>
    <w:rsid w:val="008207BA"/>
    <w:rsid w:val="00820A99"/>
    <w:rsid w:val="00820B52"/>
    <w:rsid w:val="008216A4"/>
    <w:rsid w:val="00821734"/>
    <w:rsid w:val="00821D7C"/>
    <w:rsid w:val="00821F35"/>
    <w:rsid w:val="00822030"/>
    <w:rsid w:val="00822583"/>
    <w:rsid w:val="0082276C"/>
    <w:rsid w:val="00822804"/>
    <w:rsid w:val="00822B57"/>
    <w:rsid w:val="00822C37"/>
    <w:rsid w:val="00822DF5"/>
    <w:rsid w:val="008232CB"/>
    <w:rsid w:val="00823B04"/>
    <w:rsid w:val="0082407C"/>
    <w:rsid w:val="0082416E"/>
    <w:rsid w:val="00824299"/>
    <w:rsid w:val="0082451A"/>
    <w:rsid w:val="00824777"/>
    <w:rsid w:val="008249A0"/>
    <w:rsid w:val="00824A68"/>
    <w:rsid w:val="00824D9D"/>
    <w:rsid w:val="00824E96"/>
    <w:rsid w:val="00825108"/>
    <w:rsid w:val="008252EF"/>
    <w:rsid w:val="008252FD"/>
    <w:rsid w:val="00825803"/>
    <w:rsid w:val="00826031"/>
    <w:rsid w:val="0082613B"/>
    <w:rsid w:val="008261E4"/>
    <w:rsid w:val="00826284"/>
    <w:rsid w:val="00826484"/>
    <w:rsid w:val="00826583"/>
    <w:rsid w:val="00826A5C"/>
    <w:rsid w:val="00826E52"/>
    <w:rsid w:val="00826EA3"/>
    <w:rsid w:val="00827136"/>
    <w:rsid w:val="00827336"/>
    <w:rsid w:val="0082735F"/>
    <w:rsid w:val="0082749D"/>
    <w:rsid w:val="00827622"/>
    <w:rsid w:val="00827846"/>
    <w:rsid w:val="00827BC6"/>
    <w:rsid w:val="00827D09"/>
    <w:rsid w:val="008300AD"/>
    <w:rsid w:val="008306A6"/>
    <w:rsid w:val="00831141"/>
    <w:rsid w:val="008317AB"/>
    <w:rsid w:val="008318EC"/>
    <w:rsid w:val="00831F0E"/>
    <w:rsid w:val="00832265"/>
    <w:rsid w:val="0083228C"/>
    <w:rsid w:val="00832393"/>
    <w:rsid w:val="0083257B"/>
    <w:rsid w:val="00832B42"/>
    <w:rsid w:val="00832C9C"/>
    <w:rsid w:val="008334E8"/>
    <w:rsid w:val="00833568"/>
    <w:rsid w:val="008335E7"/>
    <w:rsid w:val="00833842"/>
    <w:rsid w:val="00833B31"/>
    <w:rsid w:val="00833FD5"/>
    <w:rsid w:val="00834344"/>
    <w:rsid w:val="0083451A"/>
    <w:rsid w:val="0083465E"/>
    <w:rsid w:val="00834742"/>
    <w:rsid w:val="008350BD"/>
    <w:rsid w:val="00835132"/>
    <w:rsid w:val="0083549C"/>
    <w:rsid w:val="00835BD5"/>
    <w:rsid w:val="00835ED2"/>
    <w:rsid w:val="00835F24"/>
    <w:rsid w:val="0083620D"/>
    <w:rsid w:val="00836AB1"/>
    <w:rsid w:val="00836F23"/>
    <w:rsid w:val="0083735A"/>
    <w:rsid w:val="008375C6"/>
    <w:rsid w:val="0083775A"/>
    <w:rsid w:val="00837861"/>
    <w:rsid w:val="00837A68"/>
    <w:rsid w:val="00837AB9"/>
    <w:rsid w:val="00837B24"/>
    <w:rsid w:val="00837E21"/>
    <w:rsid w:val="00840012"/>
    <w:rsid w:val="00840584"/>
    <w:rsid w:val="008406D7"/>
    <w:rsid w:val="008407D7"/>
    <w:rsid w:val="0084088B"/>
    <w:rsid w:val="00840A0C"/>
    <w:rsid w:val="00840B6F"/>
    <w:rsid w:val="00840F04"/>
    <w:rsid w:val="00841002"/>
    <w:rsid w:val="00841071"/>
    <w:rsid w:val="008410AB"/>
    <w:rsid w:val="008411E0"/>
    <w:rsid w:val="0084135B"/>
    <w:rsid w:val="0084181A"/>
    <w:rsid w:val="00841992"/>
    <w:rsid w:val="00841CDD"/>
    <w:rsid w:val="00841DCC"/>
    <w:rsid w:val="0084223D"/>
    <w:rsid w:val="008429C8"/>
    <w:rsid w:val="008429DB"/>
    <w:rsid w:val="00842A85"/>
    <w:rsid w:val="00842AE9"/>
    <w:rsid w:val="00842F07"/>
    <w:rsid w:val="008430B5"/>
    <w:rsid w:val="008430EA"/>
    <w:rsid w:val="0084355E"/>
    <w:rsid w:val="00843ACF"/>
    <w:rsid w:val="008441A3"/>
    <w:rsid w:val="008446F6"/>
    <w:rsid w:val="00844A1D"/>
    <w:rsid w:val="00845026"/>
    <w:rsid w:val="0084601A"/>
    <w:rsid w:val="0084629F"/>
    <w:rsid w:val="00846A12"/>
    <w:rsid w:val="00846D43"/>
    <w:rsid w:val="00846DB9"/>
    <w:rsid w:val="00846DC5"/>
    <w:rsid w:val="00846F09"/>
    <w:rsid w:val="008470DC"/>
    <w:rsid w:val="00847424"/>
    <w:rsid w:val="008474A3"/>
    <w:rsid w:val="008474B3"/>
    <w:rsid w:val="00847799"/>
    <w:rsid w:val="00847856"/>
    <w:rsid w:val="00847889"/>
    <w:rsid w:val="00847941"/>
    <w:rsid w:val="00847BF6"/>
    <w:rsid w:val="00847C6C"/>
    <w:rsid w:val="00847EBD"/>
    <w:rsid w:val="00850367"/>
    <w:rsid w:val="00850459"/>
    <w:rsid w:val="00850516"/>
    <w:rsid w:val="0085085A"/>
    <w:rsid w:val="00850A8C"/>
    <w:rsid w:val="008516C0"/>
    <w:rsid w:val="00851BCB"/>
    <w:rsid w:val="00851D19"/>
    <w:rsid w:val="00851D2F"/>
    <w:rsid w:val="00851DD2"/>
    <w:rsid w:val="0085213F"/>
    <w:rsid w:val="00852317"/>
    <w:rsid w:val="0085244E"/>
    <w:rsid w:val="00852492"/>
    <w:rsid w:val="00852585"/>
    <w:rsid w:val="008526D9"/>
    <w:rsid w:val="00852846"/>
    <w:rsid w:val="008529AD"/>
    <w:rsid w:val="00852A62"/>
    <w:rsid w:val="008534A4"/>
    <w:rsid w:val="0085354C"/>
    <w:rsid w:val="0085355E"/>
    <w:rsid w:val="008536CB"/>
    <w:rsid w:val="00853D28"/>
    <w:rsid w:val="00853E5B"/>
    <w:rsid w:val="00853E75"/>
    <w:rsid w:val="00853E8C"/>
    <w:rsid w:val="00853F04"/>
    <w:rsid w:val="00854024"/>
    <w:rsid w:val="00854126"/>
    <w:rsid w:val="00854139"/>
    <w:rsid w:val="0085425D"/>
    <w:rsid w:val="008547F9"/>
    <w:rsid w:val="00854F83"/>
    <w:rsid w:val="008551EA"/>
    <w:rsid w:val="0085526C"/>
    <w:rsid w:val="008555A2"/>
    <w:rsid w:val="00855737"/>
    <w:rsid w:val="008557C2"/>
    <w:rsid w:val="008558F0"/>
    <w:rsid w:val="00855AE3"/>
    <w:rsid w:val="00855C08"/>
    <w:rsid w:val="00855C4D"/>
    <w:rsid w:val="00855E4D"/>
    <w:rsid w:val="00855FAA"/>
    <w:rsid w:val="008561F1"/>
    <w:rsid w:val="00856207"/>
    <w:rsid w:val="008563CE"/>
    <w:rsid w:val="008564F2"/>
    <w:rsid w:val="008569EA"/>
    <w:rsid w:val="00857443"/>
    <w:rsid w:val="00857A66"/>
    <w:rsid w:val="00857BD6"/>
    <w:rsid w:val="00857CF0"/>
    <w:rsid w:val="00857D62"/>
    <w:rsid w:val="00857D98"/>
    <w:rsid w:val="0086031C"/>
    <w:rsid w:val="00860478"/>
    <w:rsid w:val="008606D7"/>
    <w:rsid w:val="00860CC6"/>
    <w:rsid w:val="008611D8"/>
    <w:rsid w:val="0086180D"/>
    <w:rsid w:val="00861B08"/>
    <w:rsid w:val="00861EA3"/>
    <w:rsid w:val="00861F85"/>
    <w:rsid w:val="00861FC3"/>
    <w:rsid w:val="0086222D"/>
    <w:rsid w:val="008623FD"/>
    <w:rsid w:val="008627FB"/>
    <w:rsid w:val="00862BD2"/>
    <w:rsid w:val="008632E6"/>
    <w:rsid w:val="0086338D"/>
    <w:rsid w:val="0086344F"/>
    <w:rsid w:val="008637D8"/>
    <w:rsid w:val="008639D4"/>
    <w:rsid w:val="00863CAA"/>
    <w:rsid w:val="00863FB0"/>
    <w:rsid w:val="0086435A"/>
    <w:rsid w:val="00864C32"/>
    <w:rsid w:val="0086513C"/>
    <w:rsid w:val="008658B6"/>
    <w:rsid w:val="0086601E"/>
    <w:rsid w:val="00866228"/>
    <w:rsid w:val="00866546"/>
    <w:rsid w:val="008666D7"/>
    <w:rsid w:val="00866713"/>
    <w:rsid w:val="00866732"/>
    <w:rsid w:val="008667BA"/>
    <w:rsid w:val="0086699A"/>
    <w:rsid w:val="00866DE5"/>
    <w:rsid w:val="00866E30"/>
    <w:rsid w:val="008670D7"/>
    <w:rsid w:val="0086748D"/>
    <w:rsid w:val="00867872"/>
    <w:rsid w:val="00867FEA"/>
    <w:rsid w:val="008700F9"/>
    <w:rsid w:val="0087093F"/>
    <w:rsid w:val="00870945"/>
    <w:rsid w:val="00870CC3"/>
    <w:rsid w:val="00870CCD"/>
    <w:rsid w:val="00870DCC"/>
    <w:rsid w:val="00870EED"/>
    <w:rsid w:val="00871039"/>
    <w:rsid w:val="0087152B"/>
    <w:rsid w:val="008718F0"/>
    <w:rsid w:val="00871A47"/>
    <w:rsid w:val="00871B1D"/>
    <w:rsid w:val="00872659"/>
    <w:rsid w:val="008726D7"/>
    <w:rsid w:val="0087277B"/>
    <w:rsid w:val="00872869"/>
    <w:rsid w:val="00872A71"/>
    <w:rsid w:val="00872F32"/>
    <w:rsid w:val="00872F83"/>
    <w:rsid w:val="00873227"/>
    <w:rsid w:val="008732DB"/>
    <w:rsid w:val="00873514"/>
    <w:rsid w:val="0087351D"/>
    <w:rsid w:val="00873F5A"/>
    <w:rsid w:val="0087402C"/>
    <w:rsid w:val="00874250"/>
    <w:rsid w:val="008744B9"/>
    <w:rsid w:val="00874510"/>
    <w:rsid w:val="008747AA"/>
    <w:rsid w:val="00874D22"/>
    <w:rsid w:val="00875575"/>
    <w:rsid w:val="008755E5"/>
    <w:rsid w:val="00875843"/>
    <w:rsid w:val="008758DA"/>
    <w:rsid w:val="008759AE"/>
    <w:rsid w:val="008759B5"/>
    <w:rsid w:val="00875CB5"/>
    <w:rsid w:val="0087612D"/>
    <w:rsid w:val="008761FA"/>
    <w:rsid w:val="008764A1"/>
    <w:rsid w:val="00876567"/>
    <w:rsid w:val="008767B8"/>
    <w:rsid w:val="00876933"/>
    <w:rsid w:val="00876B0F"/>
    <w:rsid w:val="00876ED7"/>
    <w:rsid w:val="00876F9E"/>
    <w:rsid w:val="00876FAA"/>
    <w:rsid w:val="0087758B"/>
    <w:rsid w:val="0087766C"/>
    <w:rsid w:val="00877727"/>
    <w:rsid w:val="00877C41"/>
    <w:rsid w:val="00877C47"/>
    <w:rsid w:val="00877FB0"/>
    <w:rsid w:val="008807AC"/>
    <w:rsid w:val="00880E05"/>
    <w:rsid w:val="00880F5E"/>
    <w:rsid w:val="0088109D"/>
    <w:rsid w:val="00881270"/>
    <w:rsid w:val="00881B90"/>
    <w:rsid w:val="00881D8C"/>
    <w:rsid w:val="00881F90"/>
    <w:rsid w:val="008822A5"/>
    <w:rsid w:val="00882631"/>
    <w:rsid w:val="00882721"/>
    <w:rsid w:val="00882730"/>
    <w:rsid w:val="008828D0"/>
    <w:rsid w:val="00882929"/>
    <w:rsid w:val="00882A66"/>
    <w:rsid w:val="008834E2"/>
    <w:rsid w:val="0088370D"/>
    <w:rsid w:val="008837FB"/>
    <w:rsid w:val="008839CA"/>
    <w:rsid w:val="00883E37"/>
    <w:rsid w:val="00884066"/>
    <w:rsid w:val="008840F7"/>
    <w:rsid w:val="00884365"/>
    <w:rsid w:val="008843CA"/>
    <w:rsid w:val="0088443A"/>
    <w:rsid w:val="008845AB"/>
    <w:rsid w:val="008846AE"/>
    <w:rsid w:val="00884BB9"/>
    <w:rsid w:val="00884C58"/>
    <w:rsid w:val="00884E43"/>
    <w:rsid w:val="00884FE6"/>
    <w:rsid w:val="00885D10"/>
    <w:rsid w:val="00885D94"/>
    <w:rsid w:val="00885D95"/>
    <w:rsid w:val="00886438"/>
    <w:rsid w:val="0088666C"/>
    <w:rsid w:val="008867CB"/>
    <w:rsid w:val="00886A58"/>
    <w:rsid w:val="00886D83"/>
    <w:rsid w:val="0088752E"/>
    <w:rsid w:val="00887704"/>
    <w:rsid w:val="00887B51"/>
    <w:rsid w:val="00887C11"/>
    <w:rsid w:val="008900F8"/>
    <w:rsid w:val="008902EB"/>
    <w:rsid w:val="0089057E"/>
    <w:rsid w:val="0089076B"/>
    <w:rsid w:val="00890C28"/>
    <w:rsid w:val="0089175E"/>
    <w:rsid w:val="00891831"/>
    <w:rsid w:val="00891DC6"/>
    <w:rsid w:val="00891DDC"/>
    <w:rsid w:val="00891FEE"/>
    <w:rsid w:val="00892721"/>
    <w:rsid w:val="00892798"/>
    <w:rsid w:val="00892B17"/>
    <w:rsid w:val="00892C9A"/>
    <w:rsid w:val="00892D4F"/>
    <w:rsid w:val="00892FD1"/>
    <w:rsid w:val="00893018"/>
    <w:rsid w:val="0089302F"/>
    <w:rsid w:val="008939C6"/>
    <w:rsid w:val="00893D44"/>
    <w:rsid w:val="00893D48"/>
    <w:rsid w:val="00893FE6"/>
    <w:rsid w:val="00894004"/>
    <w:rsid w:val="0089415E"/>
    <w:rsid w:val="008944C7"/>
    <w:rsid w:val="00894819"/>
    <w:rsid w:val="00894849"/>
    <w:rsid w:val="008948D7"/>
    <w:rsid w:val="008949C9"/>
    <w:rsid w:val="00894A8A"/>
    <w:rsid w:val="00894ABD"/>
    <w:rsid w:val="00894CCC"/>
    <w:rsid w:val="00894E1B"/>
    <w:rsid w:val="00895847"/>
    <w:rsid w:val="008958A2"/>
    <w:rsid w:val="00895940"/>
    <w:rsid w:val="00895B86"/>
    <w:rsid w:val="00895BC6"/>
    <w:rsid w:val="00895BEC"/>
    <w:rsid w:val="00895C44"/>
    <w:rsid w:val="00895C9F"/>
    <w:rsid w:val="00895DD1"/>
    <w:rsid w:val="008961C2"/>
    <w:rsid w:val="008962EE"/>
    <w:rsid w:val="0089693F"/>
    <w:rsid w:val="00896989"/>
    <w:rsid w:val="00896D16"/>
    <w:rsid w:val="0089743D"/>
    <w:rsid w:val="008976B6"/>
    <w:rsid w:val="0089799E"/>
    <w:rsid w:val="008A0021"/>
    <w:rsid w:val="008A03ED"/>
    <w:rsid w:val="008A04F9"/>
    <w:rsid w:val="008A0752"/>
    <w:rsid w:val="008A0B11"/>
    <w:rsid w:val="008A0F83"/>
    <w:rsid w:val="008A123E"/>
    <w:rsid w:val="008A1594"/>
    <w:rsid w:val="008A181B"/>
    <w:rsid w:val="008A1895"/>
    <w:rsid w:val="008A1E3B"/>
    <w:rsid w:val="008A20C7"/>
    <w:rsid w:val="008A21C0"/>
    <w:rsid w:val="008A2914"/>
    <w:rsid w:val="008A2D1A"/>
    <w:rsid w:val="008A2D47"/>
    <w:rsid w:val="008A2E48"/>
    <w:rsid w:val="008A2F94"/>
    <w:rsid w:val="008A30DB"/>
    <w:rsid w:val="008A3455"/>
    <w:rsid w:val="008A3704"/>
    <w:rsid w:val="008A3721"/>
    <w:rsid w:val="008A388E"/>
    <w:rsid w:val="008A402B"/>
    <w:rsid w:val="008A424F"/>
    <w:rsid w:val="008A4267"/>
    <w:rsid w:val="008A4782"/>
    <w:rsid w:val="008A4785"/>
    <w:rsid w:val="008A47C3"/>
    <w:rsid w:val="008A4A19"/>
    <w:rsid w:val="008A4CEF"/>
    <w:rsid w:val="008A50D4"/>
    <w:rsid w:val="008A5346"/>
    <w:rsid w:val="008A55BB"/>
    <w:rsid w:val="008A566C"/>
    <w:rsid w:val="008A5716"/>
    <w:rsid w:val="008A5810"/>
    <w:rsid w:val="008A59EA"/>
    <w:rsid w:val="008A5A15"/>
    <w:rsid w:val="008A5AAF"/>
    <w:rsid w:val="008A5C14"/>
    <w:rsid w:val="008A5C8A"/>
    <w:rsid w:val="008A603A"/>
    <w:rsid w:val="008A613B"/>
    <w:rsid w:val="008A62DC"/>
    <w:rsid w:val="008A6307"/>
    <w:rsid w:val="008A6BDC"/>
    <w:rsid w:val="008A6C83"/>
    <w:rsid w:val="008A6CF7"/>
    <w:rsid w:val="008A7376"/>
    <w:rsid w:val="008A7657"/>
    <w:rsid w:val="008A7811"/>
    <w:rsid w:val="008A7DA4"/>
    <w:rsid w:val="008A7E02"/>
    <w:rsid w:val="008B0029"/>
    <w:rsid w:val="008B0432"/>
    <w:rsid w:val="008B058B"/>
    <w:rsid w:val="008B0659"/>
    <w:rsid w:val="008B06BF"/>
    <w:rsid w:val="008B0C40"/>
    <w:rsid w:val="008B0F5B"/>
    <w:rsid w:val="008B1129"/>
    <w:rsid w:val="008B114F"/>
    <w:rsid w:val="008B14A4"/>
    <w:rsid w:val="008B1A6E"/>
    <w:rsid w:val="008B1DC3"/>
    <w:rsid w:val="008B1EF5"/>
    <w:rsid w:val="008B24B3"/>
    <w:rsid w:val="008B2673"/>
    <w:rsid w:val="008B2CD5"/>
    <w:rsid w:val="008B2D36"/>
    <w:rsid w:val="008B331B"/>
    <w:rsid w:val="008B38ED"/>
    <w:rsid w:val="008B3922"/>
    <w:rsid w:val="008B3A30"/>
    <w:rsid w:val="008B406D"/>
    <w:rsid w:val="008B4296"/>
    <w:rsid w:val="008B47E9"/>
    <w:rsid w:val="008B4A1D"/>
    <w:rsid w:val="008B4C90"/>
    <w:rsid w:val="008B4DDB"/>
    <w:rsid w:val="008B4F2E"/>
    <w:rsid w:val="008B4F97"/>
    <w:rsid w:val="008B50F7"/>
    <w:rsid w:val="008B5121"/>
    <w:rsid w:val="008B5498"/>
    <w:rsid w:val="008B5A44"/>
    <w:rsid w:val="008B5E52"/>
    <w:rsid w:val="008B5E53"/>
    <w:rsid w:val="008B6337"/>
    <w:rsid w:val="008B6944"/>
    <w:rsid w:val="008B6E47"/>
    <w:rsid w:val="008B7067"/>
    <w:rsid w:val="008B782E"/>
    <w:rsid w:val="008B794C"/>
    <w:rsid w:val="008C0037"/>
    <w:rsid w:val="008C02C8"/>
    <w:rsid w:val="008C1776"/>
    <w:rsid w:val="008C1782"/>
    <w:rsid w:val="008C17AD"/>
    <w:rsid w:val="008C1839"/>
    <w:rsid w:val="008C19A3"/>
    <w:rsid w:val="008C1C5A"/>
    <w:rsid w:val="008C1DE9"/>
    <w:rsid w:val="008C1F4B"/>
    <w:rsid w:val="008C2469"/>
    <w:rsid w:val="008C25BD"/>
    <w:rsid w:val="008C2642"/>
    <w:rsid w:val="008C28CE"/>
    <w:rsid w:val="008C29DF"/>
    <w:rsid w:val="008C2BF2"/>
    <w:rsid w:val="008C2FB7"/>
    <w:rsid w:val="008C36CB"/>
    <w:rsid w:val="008C3A0B"/>
    <w:rsid w:val="008C3AD5"/>
    <w:rsid w:val="008C3B0A"/>
    <w:rsid w:val="008C4076"/>
    <w:rsid w:val="008C4218"/>
    <w:rsid w:val="008C46F7"/>
    <w:rsid w:val="008C4707"/>
    <w:rsid w:val="008C492F"/>
    <w:rsid w:val="008C49AC"/>
    <w:rsid w:val="008C4C8A"/>
    <w:rsid w:val="008C4D49"/>
    <w:rsid w:val="008C4E86"/>
    <w:rsid w:val="008C52D9"/>
    <w:rsid w:val="008C534C"/>
    <w:rsid w:val="008C54E7"/>
    <w:rsid w:val="008C554D"/>
    <w:rsid w:val="008C5B39"/>
    <w:rsid w:val="008C5BC6"/>
    <w:rsid w:val="008C5BD6"/>
    <w:rsid w:val="008C5E90"/>
    <w:rsid w:val="008C60EF"/>
    <w:rsid w:val="008C6172"/>
    <w:rsid w:val="008C6382"/>
    <w:rsid w:val="008C68A6"/>
    <w:rsid w:val="008C6C10"/>
    <w:rsid w:val="008C727B"/>
    <w:rsid w:val="008C755F"/>
    <w:rsid w:val="008C771E"/>
    <w:rsid w:val="008C7AD5"/>
    <w:rsid w:val="008C7C6A"/>
    <w:rsid w:val="008D01B7"/>
    <w:rsid w:val="008D0311"/>
    <w:rsid w:val="008D0796"/>
    <w:rsid w:val="008D0B86"/>
    <w:rsid w:val="008D0D12"/>
    <w:rsid w:val="008D0E7F"/>
    <w:rsid w:val="008D0F5D"/>
    <w:rsid w:val="008D105A"/>
    <w:rsid w:val="008D1453"/>
    <w:rsid w:val="008D1669"/>
    <w:rsid w:val="008D1752"/>
    <w:rsid w:val="008D17C0"/>
    <w:rsid w:val="008D1A5A"/>
    <w:rsid w:val="008D1FD0"/>
    <w:rsid w:val="008D240E"/>
    <w:rsid w:val="008D2480"/>
    <w:rsid w:val="008D2749"/>
    <w:rsid w:val="008D28D7"/>
    <w:rsid w:val="008D2914"/>
    <w:rsid w:val="008D2C7D"/>
    <w:rsid w:val="008D39A4"/>
    <w:rsid w:val="008D39D5"/>
    <w:rsid w:val="008D3C09"/>
    <w:rsid w:val="008D3DA7"/>
    <w:rsid w:val="008D3ED4"/>
    <w:rsid w:val="008D40F2"/>
    <w:rsid w:val="008D43F3"/>
    <w:rsid w:val="008D4BFA"/>
    <w:rsid w:val="008D4EFF"/>
    <w:rsid w:val="008D5327"/>
    <w:rsid w:val="008D54A2"/>
    <w:rsid w:val="008D581A"/>
    <w:rsid w:val="008D5E26"/>
    <w:rsid w:val="008D5FE4"/>
    <w:rsid w:val="008D626A"/>
    <w:rsid w:val="008D6702"/>
    <w:rsid w:val="008D6A96"/>
    <w:rsid w:val="008D7123"/>
    <w:rsid w:val="008D7312"/>
    <w:rsid w:val="008D7465"/>
    <w:rsid w:val="008D771C"/>
    <w:rsid w:val="008D776C"/>
    <w:rsid w:val="008D782F"/>
    <w:rsid w:val="008D7C41"/>
    <w:rsid w:val="008D7F95"/>
    <w:rsid w:val="008D7FD1"/>
    <w:rsid w:val="008E02C4"/>
    <w:rsid w:val="008E0668"/>
    <w:rsid w:val="008E08B2"/>
    <w:rsid w:val="008E0934"/>
    <w:rsid w:val="008E0A13"/>
    <w:rsid w:val="008E0AAF"/>
    <w:rsid w:val="008E0BA1"/>
    <w:rsid w:val="008E0D94"/>
    <w:rsid w:val="008E0DC0"/>
    <w:rsid w:val="008E0DE2"/>
    <w:rsid w:val="008E1101"/>
    <w:rsid w:val="008E129A"/>
    <w:rsid w:val="008E15A6"/>
    <w:rsid w:val="008E1A00"/>
    <w:rsid w:val="008E1CFD"/>
    <w:rsid w:val="008E1F33"/>
    <w:rsid w:val="008E238F"/>
    <w:rsid w:val="008E24DE"/>
    <w:rsid w:val="008E25D4"/>
    <w:rsid w:val="008E2A96"/>
    <w:rsid w:val="008E3056"/>
    <w:rsid w:val="008E3085"/>
    <w:rsid w:val="008E30D6"/>
    <w:rsid w:val="008E3D98"/>
    <w:rsid w:val="008E3E7B"/>
    <w:rsid w:val="008E3EBE"/>
    <w:rsid w:val="008E4129"/>
    <w:rsid w:val="008E4463"/>
    <w:rsid w:val="008E4914"/>
    <w:rsid w:val="008E496C"/>
    <w:rsid w:val="008E4AE6"/>
    <w:rsid w:val="008E4BEA"/>
    <w:rsid w:val="008E4D8E"/>
    <w:rsid w:val="008E50DD"/>
    <w:rsid w:val="008E53A8"/>
    <w:rsid w:val="008E61A3"/>
    <w:rsid w:val="008E6404"/>
    <w:rsid w:val="008E665A"/>
    <w:rsid w:val="008E67C4"/>
    <w:rsid w:val="008E6A0F"/>
    <w:rsid w:val="008E6DB3"/>
    <w:rsid w:val="008E727E"/>
    <w:rsid w:val="008E7CA8"/>
    <w:rsid w:val="008E7EF5"/>
    <w:rsid w:val="008E7F73"/>
    <w:rsid w:val="008F0300"/>
    <w:rsid w:val="008F032E"/>
    <w:rsid w:val="008F049A"/>
    <w:rsid w:val="008F071A"/>
    <w:rsid w:val="008F1480"/>
    <w:rsid w:val="008F1C39"/>
    <w:rsid w:val="008F1C93"/>
    <w:rsid w:val="008F205D"/>
    <w:rsid w:val="008F2104"/>
    <w:rsid w:val="008F21E4"/>
    <w:rsid w:val="008F2248"/>
    <w:rsid w:val="008F2306"/>
    <w:rsid w:val="008F25D7"/>
    <w:rsid w:val="008F2A13"/>
    <w:rsid w:val="008F2D91"/>
    <w:rsid w:val="008F2E9D"/>
    <w:rsid w:val="008F2FF9"/>
    <w:rsid w:val="008F3131"/>
    <w:rsid w:val="008F33E5"/>
    <w:rsid w:val="008F33F1"/>
    <w:rsid w:val="008F35F7"/>
    <w:rsid w:val="008F3BAD"/>
    <w:rsid w:val="008F41BD"/>
    <w:rsid w:val="008F463E"/>
    <w:rsid w:val="008F4AE0"/>
    <w:rsid w:val="008F4AF6"/>
    <w:rsid w:val="008F4D48"/>
    <w:rsid w:val="008F4D71"/>
    <w:rsid w:val="008F4E2F"/>
    <w:rsid w:val="008F5703"/>
    <w:rsid w:val="008F570C"/>
    <w:rsid w:val="008F5875"/>
    <w:rsid w:val="008F59B1"/>
    <w:rsid w:val="008F5CAF"/>
    <w:rsid w:val="008F60EB"/>
    <w:rsid w:val="008F6640"/>
    <w:rsid w:val="008F6783"/>
    <w:rsid w:val="008F6BCF"/>
    <w:rsid w:val="008F6C39"/>
    <w:rsid w:val="008F7060"/>
    <w:rsid w:val="008F70AE"/>
    <w:rsid w:val="008F74A3"/>
    <w:rsid w:val="008F7503"/>
    <w:rsid w:val="008F7E11"/>
    <w:rsid w:val="008F7FDA"/>
    <w:rsid w:val="00900214"/>
    <w:rsid w:val="00900749"/>
    <w:rsid w:val="00900B11"/>
    <w:rsid w:val="00901067"/>
    <w:rsid w:val="00901361"/>
    <w:rsid w:val="009013E8"/>
    <w:rsid w:val="00901911"/>
    <w:rsid w:val="00901D18"/>
    <w:rsid w:val="00901DFA"/>
    <w:rsid w:val="00901E49"/>
    <w:rsid w:val="00901F06"/>
    <w:rsid w:val="00902027"/>
    <w:rsid w:val="009023BC"/>
    <w:rsid w:val="009025D6"/>
    <w:rsid w:val="0090279B"/>
    <w:rsid w:val="009029EB"/>
    <w:rsid w:val="00902A09"/>
    <w:rsid w:val="00902A19"/>
    <w:rsid w:val="00902A97"/>
    <w:rsid w:val="00902D47"/>
    <w:rsid w:val="00903053"/>
    <w:rsid w:val="00903AD3"/>
    <w:rsid w:val="0090402B"/>
    <w:rsid w:val="0090421C"/>
    <w:rsid w:val="009043EC"/>
    <w:rsid w:val="00904BDC"/>
    <w:rsid w:val="0090535E"/>
    <w:rsid w:val="009056F4"/>
    <w:rsid w:val="00905796"/>
    <w:rsid w:val="0090587D"/>
    <w:rsid w:val="00905AB8"/>
    <w:rsid w:val="00905FAB"/>
    <w:rsid w:val="0090605A"/>
    <w:rsid w:val="00906195"/>
    <w:rsid w:val="009062EF"/>
    <w:rsid w:val="00906412"/>
    <w:rsid w:val="00906DB1"/>
    <w:rsid w:val="00906FA2"/>
    <w:rsid w:val="00906FDC"/>
    <w:rsid w:val="009079D8"/>
    <w:rsid w:val="00907A66"/>
    <w:rsid w:val="009104ED"/>
    <w:rsid w:val="009109D7"/>
    <w:rsid w:val="00910DDA"/>
    <w:rsid w:val="00911317"/>
    <w:rsid w:val="00911757"/>
    <w:rsid w:val="009118DA"/>
    <w:rsid w:val="00911E2B"/>
    <w:rsid w:val="00911F4C"/>
    <w:rsid w:val="00912142"/>
    <w:rsid w:val="009121DF"/>
    <w:rsid w:val="00912836"/>
    <w:rsid w:val="00912953"/>
    <w:rsid w:val="009129D5"/>
    <w:rsid w:val="00912A91"/>
    <w:rsid w:val="00912DD6"/>
    <w:rsid w:val="009131B3"/>
    <w:rsid w:val="0091349E"/>
    <w:rsid w:val="00913E2B"/>
    <w:rsid w:val="00914264"/>
    <w:rsid w:val="00914454"/>
    <w:rsid w:val="009144A1"/>
    <w:rsid w:val="0091467F"/>
    <w:rsid w:val="00914DF3"/>
    <w:rsid w:val="00914FD0"/>
    <w:rsid w:val="009150D1"/>
    <w:rsid w:val="0091513E"/>
    <w:rsid w:val="00915243"/>
    <w:rsid w:val="00915A1C"/>
    <w:rsid w:val="00915AC2"/>
    <w:rsid w:val="00915AD8"/>
    <w:rsid w:val="00915B30"/>
    <w:rsid w:val="00915C93"/>
    <w:rsid w:val="00916133"/>
    <w:rsid w:val="00916325"/>
    <w:rsid w:val="0091645E"/>
    <w:rsid w:val="0091676E"/>
    <w:rsid w:val="00916853"/>
    <w:rsid w:val="00916C55"/>
    <w:rsid w:val="00916D2B"/>
    <w:rsid w:val="00916D80"/>
    <w:rsid w:val="00916EC0"/>
    <w:rsid w:val="009171EE"/>
    <w:rsid w:val="00917416"/>
    <w:rsid w:val="00917603"/>
    <w:rsid w:val="00917844"/>
    <w:rsid w:val="00917AB6"/>
    <w:rsid w:val="00917EDE"/>
    <w:rsid w:val="00920219"/>
    <w:rsid w:val="00920343"/>
    <w:rsid w:val="00920CDC"/>
    <w:rsid w:val="00920F64"/>
    <w:rsid w:val="0092141E"/>
    <w:rsid w:val="00921725"/>
    <w:rsid w:val="009218AE"/>
    <w:rsid w:val="009218FF"/>
    <w:rsid w:val="00921B12"/>
    <w:rsid w:val="0092235F"/>
    <w:rsid w:val="00922470"/>
    <w:rsid w:val="00922494"/>
    <w:rsid w:val="009228EF"/>
    <w:rsid w:val="00922BC1"/>
    <w:rsid w:val="00922C33"/>
    <w:rsid w:val="009237FD"/>
    <w:rsid w:val="00923AE8"/>
    <w:rsid w:val="00923B11"/>
    <w:rsid w:val="00923B94"/>
    <w:rsid w:val="00923EDF"/>
    <w:rsid w:val="00923FF0"/>
    <w:rsid w:val="0092407A"/>
    <w:rsid w:val="009240F8"/>
    <w:rsid w:val="009241D7"/>
    <w:rsid w:val="0092444C"/>
    <w:rsid w:val="009244AC"/>
    <w:rsid w:val="009246FC"/>
    <w:rsid w:val="00924717"/>
    <w:rsid w:val="00924896"/>
    <w:rsid w:val="00924B8A"/>
    <w:rsid w:val="00924BAB"/>
    <w:rsid w:val="00924C03"/>
    <w:rsid w:val="00924D4D"/>
    <w:rsid w:val="00925016"/>
    <w:rsid w:val="0092523F"/>
    <w:rsid w:val="009257BD"/>
    <w:rsid w:val="00925820"/>
    <w:rsid w:val="009259C2"/>
    <w:rsid w:val="0092635B"/>
    <w:rsid w:val="0092684D"/>
    <w:rsid w:val="00926BDB"/>
    <w:rsid w:val="00926E5C"/>
    <w:rsid w:val="00927216"/>
    <w:rsid w:val="0092727E"/>
    <w:rsid w:val="0092758F"/>
    <w:rsid w:val="00927662"/>
    <w:rsid w:val="009276F5"/>
    <w:rsid w:val="009278D8"/>
    <w:rsid w:val="00927BE4"/>
    <w:rsid w:val="00927BF9"/>
    <w:rsid w:val="00927C08"/>
    <w:rsid w:val="00927C60"/>
    <w:rsid w:val="0093000E"/>
    <w:rsid w:val="0093053B"/>
    <w:rsid w:val="00931188"/>
    <w:rsid w:val="0093163B"/>
    <w:rsid w:val="009316C0"/>
    <w:rsid w:val="00931A8C"/>
    <w:rsid w:val="00931B2B"/>
    <w:rsid w:val="0093218E"/>
    <w:rsid w:val="0093272F"/>
    <w:rsid w:val="00932793"/>
    <w:rsid w:val="00933081"/>
    <w:rsid w:val="00933373"/>
    <w:rsid w:val="00933549"/>
    <w:rsid w:val="00933598"/>
    <w:rsid w:val="00933A00"/>
    <w:rsid w:val="00933D5F"/>
    <w:rsid w:val="00934119"/>
    <w:rsid w:val="0093430D"/>
    <w:rsid w:val="009345B0"/>
    <w:rsid w:val="0093481B"/>
    <w:rsid w:val="00934850"/>
    <w:rsid w:val="00934BC2"/>
    <w:rsid w:val="00934BFA"/>
    <w:rsid w:val="00935063"/>
    <w:rsid w:val="00935319"/>
    <w:rsid w:val="00935779"/>
    <w:rsid w:val="00935810"/>
    <w:rsid w:val="00935A5E"/>
    <w:rsid w:val="00935A9D"/>
    <w:rsid w:val="00935DC3"/>
    <w:rsid w:val="00935F9C"/>
    <w:rsid w:val="00935FB7"/>
    <w:rsid w:val="0093617E"/>
    <w:rsid w:val="00936255"/>
    <w:rsid w:val="00936295"/>
    <w:rsid w:val="00936623"/>
    <w:rsid w:val="00936B8E"/>
    <w:rsid w:val="00936D6D"/>
    <w:rsid w:val="0093743A"/>
    <w:rsid w:val="009374E6"/>
    <w:rsid w:val="009376A9"/>
    <w:rsid w:val="009376B0"/>
    <w:rsid w:val="009376E8"/>
    <w:rsid w:val="00937929"/>
    <w:rsid w:val="00937957"/>
    <w:rsid w:val="00937DBC"/>
    <w:rsid w:val="009404C3"/>
    <w:rsid w:val="00940646"/>
    <w:rsid w:val="00940CB0"/>
    <w:rsid w:val="00940CB1"/>
    <w:rsid w:val="00940D03"/>
    <w:rsid w:val="00940E08"/>
    <w:rsid w:val="00941244"/>
    <w:rsid w:val="0094173D"/>
    <w:rsid w:val="009418AA"/>
    <w:rsid w:val="009419FB"/>
    <w:rsid w:val="00941AB8"/>
    <w:rsid w:val="009420F5"/>
    <w:rsid w:val="009425F0"/>
    <w:rsid w:val="0094289D"/>
    <w:rsid w:val="009431A2"/>
    <w:rsid w:val="009432F3"/>
    <w:rsid w:val="00943321"/>
    <w:rsid w:val="009436F9"/>
    <w:rsid w:val="00943B03"/>
    <w:rsid w:val="00943CFA"/>
    <w:rsid w:val="0094412C"/>
    <w:rsid w:val="009445B3"/>
    <w:rsid w:val="00944676"/>
    <w:rsid w:val="0094476E"/>
    <w:rsid w:val="00944A83"/>
    <w:rsid w:val="00944CB1"/>
    <w:rsid w:val="00944D43"/>
    <w:rsid w:val="00945024"/>
    <w:rsid w:val="00945E96"/>
    <w:rsid w:val="0094608B"/>
    <w:rsid w:val="009465B4"/>
    <w:rsid w:val="00946896"/>
    <w:rsid w:val="0094698E"/>
    <w:rsid w:val="009469DE"/>
    <w:rsid w:val="00946C5F"/>
    <w:rsid w:val="00946D84"/>
    <w:rsid w:val="00947363"/>
    <w:rsid w:val="0094737A"/>
    <w:rsid w:val="00947641"/>
    <w:rsid w:val="00947749"/>
    <w:rsid w:val="00947937"/>
    <w:rsid w:val="00947A46"/>
    <w:rsid w:val="00947D15"/>
    <w:rsid w:val="009501AD"/>
    <w:rsid w:val="00950A04"/>
    <w:rsid w:val="00950A50"/>
    <w:rsid w:val="00950D11"/>
    <w:rsid w:val="00950FE5"/>
    <w:rsid w:val="009512FB"/>
    <w:rsid w:val="009513CE"/>
    <w:rsid w:val="009514ED"/>
    <w:rsid w:val="0095169A"/>
    <w:rsid w:val="009516E0"/>
    <w:rsid w:val="0095182D"/>
    <w:rsid w:val="009518EA"/>
    <w:rsid w:val="00951A2D"/>
    <w:rsid w:val="00951B51"/>
    <w:rsid w:val="00951DD4"/>
    <w:rsid w:val="009521AE"/>
    <w:rsid w:val="009521B0"/>
    <w:rsid w:val="00952547"/>
    <w:rsid w:val="00952615"/>
    <w:rsid w:val="00952978"/>
    <w:rsid w:val="009529FE"/>
    <w:rsid w:val="00952A2A"/>
    <w:rsid w:val="00952AD7"/>
    <w:rsid w:val="00952C82"/>
    <w:rsid w:val="00952E3E"/>
    <w:rsid w:val="00952FDA"/>
    <w:rsid w:val="009532F5"/>
    <w:rsid w:val="00953BD8"/>
    <w:rsid w:val="00953DB4"/>
    <w:rsid w:val="009540E9"/>
    <w:rsid w:val="009541ED"/>
    <w:rsid w:val="0095423E"/>
    <w:rsid w:val="0095436C"/>
    <w:rsid w:val="0095443D"/>
    <w:rsid w:val="0095461B"/>
    <w:rsid w:val="00954B9C"/>
    <w:rsid w:val="009552E4"/>
    <w:rsid w:val="0095537C"/>
    <w:rsid w:val="00955B79"/>
    <w:rsid w:val="00955EB2"/>
    <w:rsid w:val="00955EF3"/>
    <w:rsid w:val="0095610F"/>
    <w:rsid w:val="00956135"/>
    <w:rsid w:val="009561E3"/>
    <w:rsid w:val="009561F5"/>
    <w:rsid w:val="00956200"/>
    <w:rsid w:val="009564BE"/>
    <w:rsid w:val="0095720B"/>
    <w:rsid w:val="0095770B"/>
    <w:rsid w:val="00957A67"/>
    <w:rsid w:val="00957B08"/>
    <w:rsid w:val="00957B13"/>
    <w:rsid w:val="00957EFD"/>
    <w:rsid w:val="00957F4C"/>
    <w:rsid w:val="0096072D"/>
    <w:rsid w:val="0096081F"/>
    <w:rsid w:val="00961219"/>
    <w:rsid w:val="0096127C"/>
    <w:rsid w:val="00961677"/>
    <w:rsid w:val="00961682"/>
    <w:rsid w:val="0096168E"/>
    <w:rsid w:val="009617EC"/>
    <w:rsid w:val="00961DBF"/>
    <w:rsid w:val="00961F37"/>
    <w:rsid w:val="009628BE"/>
    <w:rsid w:val="0096292F"/>
    <w:rsid w:val="009629AD"/>
    <w:rsid w:val="009629FE"/>
    <w:rsid w:val="00962A71"/>
    <w:rsid w:val="00962DC8"/>
    <w:rsid w:val="009631BC"/>
    <w:rsid w:val="009631EF"/>
    <w:rsid w:val="00963487"/>
    <w:rsid w:val="00963C9B"/>
    <w:rsid w:val="00963E8D"/>
    <w:rsid w:val="00964232"/>
    <w:rsid w:val="0096423E"/>
    <w:rsid w:val="00964707"/>
    <w:rsid w:val="0096489E"/>
    <w:rsid w:val="00964A0D"/>
    <w:rsid w:val="00965503"/>
    <w:rsid w:val="0096552B"/>
    <w:rsid w:val="009659F9"/>
    <w:rsid w:val="00966067"/>
    <w:rsid w:val="0096621F"/>
    <w:rsid w:val="009665DA"/>
    <w:rsid w:val="00966902"/>
    <w:rsid w:val="00966BE5"/>
    <w:rsid w:val="00966EB4"/>
    <w:rsid w:val="00966F4D"/>
    <w:rsid w:val="00966F57"/>
    <w:rsid w:val="00967499"/>
    <w:rsid w:val="009676E6"/>
    <w:rsid w:val="00967836"/>
    <w:rsid w:val="00967B60"/>
    <w:rsid w:val="00967BB6"/>
    <w:rsid w:val="00967D90"/>
    <w:rsid w:val="00967E6A"/>
    <w:rsid w:val="00969C18"/>
    <w:rsid w:val="00970016"/>
    <w:rsid w:val="00970C05"/>
    <w:rsid w:val="00970F94"/>
    <w:rsid w:val="0097105D"/>
    <w:rsid w:val="00971414"/>
    <w:rsid w:val="00971507"/>
    <w:rsid w:val="009715CB"/>
    <w:rsid w:val="009718B4"/>
    <w:rsid w:val="00971B9D"/>
    <w:rsid w:val="00971E12"/>
    <w:rsid w:val="00971E81"/>
    <w:rsid w:val="0097235B"/>
    <w:rsid w:val="00972740"/>
    <w:rsid w:val="00972954"/>
    <w:rsid w:val="00972A03"/>
    <w:rsid w:val="00972B87"/>
    <w:rsid w:val="00972DD5"/>
    <w:rsid w:val="00972FDD"/>
    <w:rsid w:val="00973231"/>
    <w:rsid w:val="0097329C"/>
    <w:rsid w:val="00973486"/>
    <w:rsid w:val="0097385E"/>
    <w:rsid w:val="009738E2"/>
    <w:rsid w:val="00973B77"/>
    <w:rsid w:val="00973C23"/>
    <w:rsid w:val="009743C1"/>
    <w:rsid w:val="009748C8"/>
    <w:rsid w:val="00974BCA"/>
    <w:rsid w:val="009750C8"/>
    <w:rsid w:val="00975157"/>
    <w:rsid w:val="009753EE"/>
    <w:rsid w:val="00975ECB"/>
    <w:rsid w:val="00976346"/>
    <w:rsid w:val="00976903"/>
    <w:rsid w:val="00976D23"/>
    <w:rsid w:val="009771EE"/>
    <w:rsid w:val="009778BD"/>
    <w:rsid w:val="00977933"/>
    <w:rsid w:val="00977B33"/>
    <w:rsid w:val="00977EC9"/>
    <w:rsid w:val="009800DF"/>
    <w:rsid w:val="00980106"/>
    <w:rsid w:val="0098027F"/>
    <w:rsid w:val="0098029F"/>
    <w:rsid w:val="009806F2"/>
    <w:rsid w:val="009808C7"/>
    <w:rsid w:val="00980D82"/>
    <w:rsid w:val="00980D92"/>
    <w:rsid w:val="00980DA1"/>
    <w:rsid w:val="00980F97"/>
    <w:rsid w:val="00980F9F"/>
    <w:rsid w:val="0098110C"/>
    <w:rsid w:val="009812B5"/>
    <w:rsid w:val="0098199F"/>
    <w:rsid w:val="00981C48"/>
    <w:rsid w:val="00981CB8"/>
    <w:rsid w:val="009824D4"/>
    <w:rsid w:val="009824F3"/>
    <w:rsid w:val="0098263B"/>
    <w:rsid w:val="00982647"/>
    <w:rsid w:val="00982CB2"/>
    <w:rsid w:val="00982ED7"/>
    <w:rsid w:val="009834FD"/>
    <w:rsid w:val="00983500"/>
    <w:rsid w:val="0098352B"/>
    <w:rsid w:val="0098383B"/>
    <w:rsid w:val="009839CA"/>
    <w:rsid w:val="0098420F"/>
    <w:rsid w:val="009842C6"/>
    <w:rsid w:val="009845BE"/>
    <w:rsid w:val="00984726"/>
    <w:rsid w:val="009848C1"/>
    <w:rsid w:val="009848E7"/>
    <w:rsid w:val="00984B7C"/>
    <w:rsid w:val="009850BA"/>
    <w:rsid w:val="00985767"/>
    <w:rsid w:val="00985CBD"/>
    <w:rsid w:val="00985DDF"/>
    <w:rsid w:val="00985DE1"/>
    <w:rsid w:val="0098605E"/>
    <w:rsid w:val="00986233"/>
    <w:rsid w:val="009862D9"/>
    <w:rsid w:val="00986795"/>
    <w:rsid w:val="009867A8"/>
    <w:rsid w:val="00986D11"/>
    <w:rsid w:val="00986DFF"/>
    <w:rsid w:val="009875DF"/>
    <w:rsid w:val="009876FC"/>
    <w:rsid w:val="009879C9"/>
    <w:rsid w:val="009879D2"/>
    <w:rsid w:val="00987C27"/>
    <w:rsid w:val="00987EAD"/>
    <w:rsid w:val="009904C8"/>
    <w:rsid w:val="009904E0"/>
    <w:rsid w:val="009907C9"/>
    <w:rsid w:val="00990986"/>
    <w:rsid w:val="00990C26"/>
    <w:rsid w:val="00990E93"/>
    <w:rsid w:val="00990FA9"/>
    <w:rsid w:val="0099106A"/>
    <w:rsid w:val="0099130D"/>
    <w:rsid w:val="009915AF"/>
    <w:rsid w:val="00991BD4"/>
    <w:rsid w:val="00991FBE"/>
    <w:rsid w:val="00992559"/>
    <w:rsid w:val="00992587"/>
    <w:rsid w:val="00992B21"/>
    <w:rsid w:val="00992C39"/>
    <w:rsid w:val="00992D22"/>
    <w:rsid w:val="00993312"/>
    <w:rsid w:val="009933AB"/>
    <w:rsid w:val="00993675"/>
    <w:rsid w:val="009937EC"/>
    <w:rsid w:val="00993887"/>
    <w:rsid w:val="00993A51"/>
    <w:rsid w:val="00993C35"/>
    <w:rsid w:val="00994566"/>
    <w:rsid w:val="00994A80"/>
    <w:rsid w:val="00994F1C"/>
    <w:rsid w:val="00994F1D"/>
    <w:rsid w:val="0099525B"/>
    <w:rsid w:val="009952EB"/>
    <w:rsid w:val="009953D7"/>
    <w:rsid w:val="0099546E"/>
    <w:rsid w:val="00995490"/>
    <w:rsid w:val="009954E4"/>
    <w:rsid w:val="00995B75"/>
    <w:rsid w:val="00995C07"/>
    <w:rsid w:val="00995DDE"/>
    <w:rsid w:val="00995E11"/>
    <w:rsid w:val="00996112"/>
    <w:rsid w:val="0099658B"/>
    <w:rsid w:val="009968F6"/>
    <w:rsid w:val="00996A1E"/>
    <w:rsid w:val="00996C2C"/>
    <w:rsid w:val="00996D3A"/>
    <w:rsid w:val="00996D71"/>
    <w:rsid w:val="0099721B"/>
    <w:rsid w:val="00997537"/>
    <w:rsid w:val="00997590"/>
    <w:rsid w:val="00997627"/>
    <w:rsid w:val="00997895"/>
    <w:rsid w:val="00997EC7"/>
    <w:rsid w:val="009A0036"/>
    <w:rsid w:val="009A01BE"/>
    <w:rsid w:val="009A0387"/>
    <w:rsid w:val="009A0547"/>
    <w:rsid w:val="009A06B2"/>
    <w:rsid w:val="009A090C"/>
    <w:rsid w:val="009A0F19"/>
    <w:rsid w:val="009A14A2"/>
    <w:rsid w:val="009A1524"/>
    <w:rsid w:val="009A1B70"/>
    <w:rsid w:val="009A2195"/>
    <w:rsid w:val="009A2748"/>
    <w:rsid w:val="009A2ED5"/>
    <w:rsid w:val="009A33F5"/>
    <w:rsid w:val="009A3528"/>
    <w:rsid w:val="009A384C"/>
    <w:rsid w:val="009A39B9"/>
    <w:rsid w:val="009A3A1A"/>
    <w:rsid w:val="009A3B6D"/>
    <w:rsid w:val="009A3D72"/>
    <w:rsid w:val="009A4075"/>
    <w:rsid w:val="009A4EDC"/>
    <w:rsid w:val="009A4F4D"/>
    <w:rsid w:val="009A50B5"/>
    <w:rsid w:val="009A52C5"/>
    <w:rsid w:val="009A5403"/>
    <w:rsid w:val="009A544D"/>
    <w:rsid w:val="009A5B97"/>
    <w:rsid w:val="009A5CE0"/>
    <w:rsid w:val="009A6282"/>
    <w:rsid w:val="009A63E5"/>
    <w:rsid w:val="009A671C"/>
    <w:rsid w:val="009A6A82"/>
    <w:rsid w:val="009A6BE8"/>
    <w:rsid w:val="009A6D97"/>
    <w:rsid w:val="009A7075"/>
    <w:rsid w:val="009A7149"/>
    <w:rsid w:val="009A76AB"/>
    <w:rsid w:val="009A79F4"/>
    <w:rsid w:val="009A7B71"/>
    <w:rsid w:val="009B04F5"/>
    <w:rsid w:val="009B09B7"/>
    <w:rsid w:val="009B17C4"/>
    <w:rsid w:val="009B1834"/>
    <w:rsid w:val="009B19E2"/>
    <w:rsid w:val="009B1AA4"/>
    <w:rsid w:val="009B23CA"/>
    <w:rsid w:val="009B23F4"/>
    <w:rsid w:val="009B28FD"/>
    <w:rsid w:val="009B2D2B"/>
    <w:rsid w:val="009B34D3"/>
    <w:rsid w:val="009B3578"/>
    <w:rsid w:val="009B37B4"/>
    <w:rsid w:val="009B3A86"/>
    <w:rsid w:val="009B3E96"/>
    <w:rsid w:val="009B42A0"/>
    <w:rsid w:val="009B441E"/>
    <w:rsid w:val="009B45D8"/>
    <w:rsid w:val="009B4EF0"/>
    <w:rsid w:val="009B4FB5"/>
    <w:rsid w:val="009B50EF"/>
    <w:rsid w:val="009B511D"/>
    <w:rsid w:val="009B53C3"/>
    <w:rsid w:val="009B56CE"/>
    <w:rsid w:val="009B58C5"/>
    <w:rsid w:val="009B5B09"/>
    <w:rsid w:val="009B6086"/>
    <w:rsid w:val="009B60E8"/>
    <w:rsid w:val="009B64E4"/>
    <w:rsid w:val="009B66E7"/>
    <w:rsid w:val="009B6AA9"/>
    <w:rsid w:val="009B6D0E"/>
    <w:rsid w:val="009B6D10"/>
    <w:rsid w:val="009B6D22"/>
    <w:rsid w:val="009B6E83"/>
    <w:rsid w:val="009B70D7"/>
    <w:rsid w:val="009B751D"/>
    <w:rsid w:val="009B76D1"/>
    <w:rsid w:val="009B77D7"/>
    <w:rsid w:val="009B7A86"/>
    <w:rsid w:val="009C0028"/>
    <w:rsid w:val="009C0315"/>
    <w:rsid w:val="009C031C"/>
    <w:rsid w:val="009C0472"/>
    <w:rsid w:val="009C05DE"/>
    <w:rsid w:val="009C081C"/>
    <w:rsid w:val="009C083B"/>
    <w:rsid w:val="009C0940"/>
    <w:rsid w:val="009C09ED"/>
    <w:rsid w:val="009C0AD2"/>
    <w:rsid w:val="009C0E2B"/>
    <w:rsid w:val="009C0E66"/>
    <w:rsid w:val="009C1090"/>
    <w:rsid w:val="009C10CF"/>
    <w:rsid w:val="009C10F6"/>
    <w:rsid w:val="009C1323"/>
    <w:rsid w:val="009C1350"/>
    <w:rsid w:val="009C1468"/>
    <w:rsid w:val="009C16C2"/>
    <w:rsid w:val="009C188C"/>
    <w:rsid w:val="009C1C44"/>
    <w:rsid w:val="009C2290"/>
    <w:rsid w:val="009C2364"/>
    <w:rsid w:val="009C23AF"/>
    <w:rsid w:val="009C2433"/>
    <w:rsid w:val="009C2597"/>
    <w:rsid w:val="009C270D"/>
    <w:rsid w:val="009C28E8"/>
    <w:rsid w:val="009C296E"/>
    <w:rsid w:val="009C2BB7"/>
    <w:rsid w:val="009C2C8F"/>
    <w:rsid w:val="009C33A9"/>
    <w:rsid w:val="009C3669"/>
    <w:rsid w:val="009C3A26"/>
    <w:rsid w:val="009C43B4"/>
    <w:rsid w:val="009C4901"/>
    <w:rsid w:val="009C4C4D"/>
    <w:rsid w:val="009C4E84"/>
    <w:rsid w:val="009C4F6F"/>
    <w:rsid w:val="009C5261"/>
    <w:rsid w:val="009C54AA"/>
    <w:rsid w:val="009C54AC"/>
    <w:rsid w:val="009C59B8"/>
    <w:rsid w:val="009C5F28"/>
    <w:rsid w:val="009C5FF0"/>
    <w:rsid w:val="009C63EF"/>
    <w:rsid w:val="009C64E8"/>
    <w:rsid w:val="009C69A4"/>
    <w:rsid w:val="009C6AD3"/>
    <w:rsid w:val="009C6EB4"/>
    <w:rsid w:val="009C725B"/>
    <w:rsid w:val="009C78D1"/>
    <w:rsid w:val="009C7954"/>
    <w:rsid w:val="009C7F05"/>
    <w:rsid w:val="009D04E5"/>
    <w:rsid w:val="009D0694"/>
    <w:rsid w:val="009D06CA"/>
    <w:rsid w:val="009D10A2"/>
    <w:rsid w:val="009D131A"/>
    <w:rsid w:val="009D1421"/>
    <w:rsid w:val="009D15AB"/>
    <w:rsid w:val="009D1904"/>
    <w:rsid w:val="009D1ADE"/>
    <w:rsid w:val="009D1AE8"/>
    <w:rsid w:val="009D1BD3"/>
    <w:rsid w:val="009D1C15"/>
    <w:rsid w:val="009D1E26"/>
    <w:rsid w:val="009D2103"/>
    <w:rsid w:val="009D28A9"/>
    <w:rsid w:val="009D3BBF"/>
    <w:rsid w:val="009D3C2E"/>
    <w:rsid w:val="009D3FEB"/>
    <w:rsid w:val="009D45AA"/>
    <w:rsid w:val="009D4716"/>
    <w:rsid w:val="009D475E"/>
    <w:rsid w:val="009D4814"/>
    <w:rsid w:val="009D4F41"/>
    <w:rsid w:val="009D53E0"/>
    <w:rsid w:val="009D54F1"/>
    <w:rsid w:val="009D5618"/>
    <w:rsid w:val="009D5657"/>
    <w:rsid w:val="009D5738"/>
    <w:rsid w:val="009D5839"/>
    <w:rsid w:val="009D594D"/>
    <w:rsid w:val="009D5AE3"/>
    <w:rsid w:val="009D6255"/>
    <w:rsid w:val="009D689B"/>
    <w:rsid w:val="009D68B9"/>
    <w:rsid w:val="009D68CC"/>
    <w:rsid w:val="009D6C87"/>
    <w:rsid w:val="009D6F49"/>
    <w:rsid w:val="009D6FAF"/>
    <w:rsid w:val="009D772C"/>
    <w:rsid w:val="009D791A"/>
    <w:rsid w:val="009D7CD7"/>
    <w:rsid w:val="009E01DE"/>
    <w:rsid w:val="009E05C5"/>
    <w:rsid w:val="009E069B"/>
    <w:rsid w:val="009E0777"/>
    <w:rsid w:val="009E08A7"/>
    <w:rsid w:val="009E0C5D"/>
    <w:rsid w:val="009E0E21"/>
    <w:rsid w:val="009E0FDF"/>
    <w:rsid w:val="009E0FF0"/>
    <w:rsid w:val="009E11AD"/>
    <w:rsid w:val="009E1287"/>
    <w:rsid w:val="009E17CA"/>
    <w:rsid w:val="009E1887"/>
    <w:rsid w:val="009E18FA"/>
    <w:rsid w:val="009E1C62"/>
    <w:rsid w:val="009E1C7A"/>
    <w:rsid w:val="009E1F0E"/>
    <w:rsid w:val="009E1FDE"/>
    <w:rsid w:val="009E23DE"/>
    <w:rsid w:val="009E2612"/>
    <w:rsid w:val="009E2C82"/>
    <w:rsid w:val="009E2E93"/>
    <w:rsid w:val="009E327E"/>
    <w:rsid w:val="009E36B0"/>
    <w:rsid w:val="009E3A2A"/>
    <w:rsid w:val="009E3C5E"/>
    <w:rsid w:val="009E4048"/>
    <w:rsid w:val="009E40B5"/>
    <w:rsid w:val="009E470F"/>
    <w:rsid w:val="009E4B1B"/>
    <w:rsid w:val="009E4CCC"/>
    <w:rsid w:val="009E5096"/>
    <w:rsid w:val="009E5127"/>
    <w:rsid w:val="009E5437"/>
    <w:rsid w:val="009E5719"/>
    <w:rsid w:val="009E59B0"/>
    <w:rsid w:val="009E5C92"/>
    <w:rsid w:val="009E5E8F"/>
    <w:rsid w:val="009E60FD"/>
    <w:rsid w:val="009E6438"/>
    <w:rsid w:val="009E6516"/>
    <w:rsid w:val="009E696D"/>
    <w:rsid w:val="009E6CE5"/>
    <w:rsid w:val="009E6D60"/>
    <w:rsid w:val="009E6E80"/>
    <w:rsid w:val="009E6F26"/>
    <w:rsid w:val="009E7161"/>
    <w:rsid w:val="009E7218"/>
    <w:rsid w:val="009E74E9"/>
    <w:rsid w:val="009E75BD"/>
    <w:rsid w:val="009E75D8"/>
    <w:rsid w:val="009E795D"/>
    <w:rsid w:val="009E7ADB"/>
    <w:rsid w:val="009E7B66"/>
    <w:rsid w:val="009F0067"/>
    <w:rsid w:val="009F0ADF"/>
    <w:rsid w:val="009F0E25"/>
    <w:rsid w:val="009F103E"/>
    <w:rsid w:val="009F104A"/>
    <w:rsid w:val="009F1287"/>
    <w:rsid w:val="009F13D8"/>
    <w:rsid w:val="009F19FD"/>
    <w:rsid w:val="009F2B42"/>
    <w:rsid w:val="009F2C56"/>
    <w:rsid w:val="009F2CC4"/>
    <w:rsid w:val="009F336D"/>
    <w:rsid w:val="009F34C8"/>
    <w:rsid w:val="009F3699"/>
    <w:rsid w:val="009F37D4"/>
    <w:rsid w:val="009F3896"/>
    <w:rsid w:val="009F3A5F"/>
    <w:rsid w:val="009F3E28"/>
    <w:rsid w:val="009F3E2A"/>
    <w:rsid w:val="009F403E"/>
    <w:rsid w:val="009F4261"/>
    <w:rsid w:val="009F4382"/>
    <w:rsid w:val="009F455D"/>
    <w:rsid w:val="009F4883"/>
    <w:rsid w:val="009F49CE"/>
    <w:rsid w:val="009F4F56"/>
    <w:rsid w:val="009F53D1"/>
    <w:rsid w:val="009F540A"/>
    <w:rsid w:val="009F5AAB"/>
    <w:rsid w:val="009F5C57"/>
    <w:rsid w:val="009F5CA0"/>
    <w:rsid w:val="009F5E23"/>
    <w:rsid w:val="009F5F78"/>
    <w:rsid w:val="009F6160"/>
    <w:rsid w:val="009F653E"/>
    <w:rsid w:val="009F67A6"/>
    <w:rsid w:val="009F6D22"/>
    <w:rsid w:val="009F6D64"/>
    <w:rsid w:val="009F704E"/>
    <w:rsid w:val="009F7353"/>
    <w:rsid w:val="009F73CD"/>
    <w:rsid w:val="009F7797"/>
    <w:rsid w:val="009F7989"/>
    <w:rsid w:val="009F7CA0"/>
    <w:rsid w:val="009F7F16"/>
    <w:rsid w:val="00A00142"/>
    <w:rsid w:val="00A0029C"/>
    <w:rsid w:val="00A00B4A"/>
    <w:rsid w:val="00A00BCB"/>
    <w:rsid w:val="00A01363"/>
    <w:rsid w:val="00A016AE"/>
    <w:rsid w:val="00A01CA8"/>
    <w:rsid w:val="00A01E9D"/>
    <w:rsid w:val="00A02300"/>
    <w:rsid w:val="00A02394"/>
    <w:rsid w:val="00A023BE"/>
    <w:rsid w:val="00A024E3"/>
    <w:rsid w:val="00A027A1"/>
    <w:rsid w:val="00A02979"/>
    <w:rsid w:val="00A02E52"/>
    <w:rsid w:val="00A02ED1"/>
    <w:rsid w:val="00A03159"/>
    <w:rsid w:val="00A031AB"/>
    <w:rsid w:val="00A031F4"/>
    <w:rsid w:val="00A032B2"/>
    <w:rsid w:val="00A033E7"/>
    <w:rsid w:val="00A03479"/>
    <w:rsid w:val="00A03523"/>
    <w:rsid w:val="00A03684"/>
    <w:rsid w:val="00A036C2"/>
    <w:rsid w:val="00A037D7"/>
    <w:rsid w:val="00A03AD3"/>
    <w:rsid w:val="00A03C3D"/>
    <w:rsid w:val="00A03EAA"/>
    <w:rsid w:val="00A040C3"/>
    <w:rsid w:val="00A047B5"/>
    <w:rsid w:val="00A04A87"/>
    <w:rsid w:val="00A04ADA"/>
    <w:rsid w:val="00A04C20"/>
    <w:rsid w:val="00A04D3C"/>
    <w:rsid w:val="00A04D7B"/>
    <w:rsid w:val="00A04E29"/>
    <w:rsid w:val="00A051B4"/>
    <w:rsid w:val="00A053EB"/>
    <w:rsid w:val="00A057E8"/>
    <w:rsid w:val="00A05975"/>
    <w:rsid w:val="00A07353"/>
    <w:rsid w:val="00A0767C"/>
    <w:rsid w:val="00A078BB"/>
    <w:rsid w:val="00A07909"/>
    <w:rsid w:val="00A07BBE"/>
    <w:rsid w:val="00A07CA8"/>
    <w:rsid w:val="00A10051"/>
    <w:rsid w:val="00A10A4C"/>
    <w:rsid w:val="00A11802"/>
    <w:rsid w:val="00A11BCB"/>
    <w:rsid w:val="00A12272"/>
    <w:rsid w:val="00A12395"/>
    <w:rsid w:val="00A1272C"/>
    <w:rsid w:val="00A12770"/>
    <w:rsid w:val="00A128D8"/>
    <w:rsid w:val="00A12B12"/>
    <w:rsid w:val="00A12E24"/>
    <w:rsid w:val="00A12F8F"/>
    <w:rsid w:val="00A13189"/>
    <w:rsid w:val="00A13380"/>
    <w:rsid w:val="00A13562"/>
    <w:rsid w:val="00A13A08"/>
    <w:rsid w:val="00A1428C"/>
    <w:rsid w:val="00A14BFD"/>
    <w:rsid w:val="00A14C07"/>
    <w:rsid w:val="00A14C72"/>
    <w:rsid w:val="00A14FE8"/>
    <w:rsid w:val="00A152AC"/>
    <w:rsid w:val="00A15862"/>
    <w:rsid w:val="00A158EB"/>
    <w:rsid w:val="00A15AC9"/>
    <w:rsid w:val="00A15AEF"/>
    <w:rsid w:val="00A15B0C"/>
    <w:rsid w:val="00A15CA3"/>
    <w:rsid w:val="00A15E23"/>
    <w:rsid w:val="00A15F17"/>
    <w:rsid w:val="00A16249"/>
    <w:rsid w:val="00A162DC"/>
    <w:rsid w:val="00A16668"/>
    <w:rsid w:val="00A16DC8"/>
    <w:rsid w:val="00A1707F"/>
    <w:rsid w:val="00A1709C"/>
    <w:rsid w:val="00A1728F"/>
    <w:rsid w:val="00A17571"/>
    <w:rsid w:val="00A175E2"/>
    <w:rsid w:val="00A177E3"/>
    <w:rsid w:val="00A17962"/>
    <w:rsid w:val="00A17EEE"/>
    <w:rsid w:val="00A17FE6"/>
    <w:rsid w:val="00A2007E"/>
    <w:rsid w:val="00A20137"/>
    <w:rsid w:val="00A2046F"/>
    <w:rsid w:val="00A20600"/>
    <w:rsid w:val="00A21827"/>
    <w:rsid w:val="00A21B2A"/>
    <w:rsid w:val="00A21CCB"/>
    <w:rsid w:val="00A21F86"/>
    <w:rsid w:val="00A220C9"/>
    <w:rsid w:val="00A22772"/>
    <w:rsid w:val="00A229F0"/>
    <w:rsid w:val="00A22A90"/>
    <w:rsid w:val="00A22DCD"/>
    <w:rsid w:val="00A22DEA"/>
    <w:rsid w:val="00A22DFF"/>
    <w:rsid w:val="00A22E0D"/>
    <w:rsid w:val="00A23019"/>
    <w:rsid w:val="00A23042"/>
    <w:rsid w:val="00A2326B"/>
    <w:rsid w:val="00A23602"/>
    <w:rsid w:val="00A240C7"/>
    <w:rsid w:val="00A24214"/>
    <w:rsid w:val="00A24A5D"/>
    <w:rsid w:val="00A24A67"/>
    <w:rsid w:val="00A24A69"/>
    <w:rsid w:val="00A24B81"/>
    <w:rsid w:val="00A24C04"/>
    <w:rsid w:val="00A24FCC"/>
    <w:rsid w:val="00A2504D"/>
    <w:rsid w:val="00A2514C"/>
    <w:rsid w:val="00A25317"/>
    <w:rsid w:val="00A256CE"/>
    <w:rsid w:val="00A26116"/>
    <w:rsid w:val="00A263BA"/>
    <w:rsid w:val="00A26459"/>
    <w:rsid w:val="00A26561"/>
    <w:rsid w:val="00A26808"/>
    <w:rsid w:val="00A27428"/>
    <w:rsid w:val="00A279C7"/>
    <w:rsid w:val="00A27C65"/>
    <w:rsid w:val="00A30010"/>
    <w:rsid w:val="00A307E5"/>
    <w:rsid w:val="00A30AAE"/>
    <w:rsid w:val="00A30B17"/>
    <w:rsid w:val="00A311C1"/>
    <w:rsid w:val="00A3174E"/>
    <w:rsid w:val="00A31AAD"/>
    <w:rsid w:val="00A31B26"/>
    <w:rsid w:val="00A31B31"/>
    <w:rsid w:val="00A31C49"/>
    <w:rsid w:val="00A322C2"/>
    <w:rsid w:val="00A32A37"/>
    <w:rsid w:val="00A32AE6"/>
    <w:rsid w:val="00A32C0E"/>
    <w:rsid w:val="00A32D02"/>
    <w:rsid w:val="00A33311"/>
    <w:rsid w:val="00A33383"/>
    <w:rsid w:val="00A33E67"/>
    <w:rsid w:val="00A34219"/>
    <w:rsid w:val="00A34251"/>
    <w:rsid w:val="00A343AE"/>
    <w:rsid w:val="00A349E0"/>
    <w:rsid w:val="00A34A07"/>
    <w:rsid w:val="00A34B1E"/>
    <w:rsid w:val="00A34B20"/>
    <w:rsid w:val="00A34B43"/>
    <w:rsid w:val="00A34EF6"/>
    <w:rsid w:val="00A34F09"/>
    <w:rsid w:val="00A34F7F"/>
    <w:rsid w:val="00A35385"/>
    <w:rsid w:val="00A35D00"/>
    <w:rsid w:val="00A35D60"/>
    <w:rsid w:val="00A35D66"/>
    <w:rsid w:val="00A35ECF"/>
    <w:rsid w:val="00A3625D"/>
    <w:rsid w:val="00A36503"/>
    <w:rsid w:val="00A367A3"/>
    <w:rsid w:val="00A36953"/>
    <w:rsid w:val="00A369A8"/>
    <w:rsid w:val="00A36A79"/>
    <w:rsid w:val="00A36A92"/>
    <w:rsid w:val="00A36D85"/>
    <w:rsid w:val="00A36E64"/>
    <w:rsid w:val="00A36EF1"/>
    <w:rsid w:val="00A37495"/>
    <w:rsid w:val="00A37592"/>
    <w:rsid w:val="00A377BC"/>
    <w:rsid w:val="00A37B34"/>
    <w:rsid w:val="00A37F84"/>
    <w:rsid w:val="00A402A0"/>
    <w:rsid w:val="00A407C0"/>
    <w:rsid w:val="00A4087B"/>
    <w:rsid w:val="00A4098D"/>
    <w:rsid w:val="00A40B3E"/>
    <w:rsid w:val="00A40C3C"/>
    <w:rsid w:val="00A40F0E"/>
    <w:rsid w:val="00A41477"/>
    <w:rsid w:val="00A41684"/>
    <w:rsid w:val="00A41891"/>
    <w:rsid w:val="00A41993"/>
    <w:rsid w:val="00A41AAF"/>
    <w:rsid w:val="00A41E70"/>
    <w:rsid w:val="00A42005"/>
    <w:rsid w:val="00A42092"/>
    <w:rsid w:val="00A42724"/>
    <w:rsid w:val="00A4273D"/>
    <w:rsid w:val="00A42992"/>
    <w:rsid w:val="00A4319C"/>
    <w:rsid w:val="00A43B48"/>
    <w:rsid w:val="00A4488B"/>
    <w:rsid w:val="00A448B7"/>
    <w:rsid w:val="00A44E23"/>
    <w:rsid w:val="00A45213"/>
    <w:rsid w:val="00A456B8"/>
    <w:rsid w:val="00A45861"/>
    <w:rsid w:val="00A45A03"/>
    <w:rsid w:val="00A45D27"/>
    <w:rsid w:val="00A46752"/>
    <w:rsid w:val="00A4681B"/>
    <w:rsid w:val="00A46D2B"/>
    <w:rsid w:val="00A46DE6"/>
    <w:rsid w:val="00A478B8"/>
    <w:rsid w:val="00A500A3"/>
    <w:rsid w:val="00A50218"/>
    <w:rsid w:val="00A50C47"/>
    <w:rsid w:val="00A50FCA"/>
    <w:rsid w:val="00A51150"/>
    <w:rsid w:val="00A512EB"/>
    <w:rsid w:val="00A51576"/>
    <w:rsid w:val="00A516C7"/>
    <w:rsid w:val="00A516FD"/>
    <w:rsid w:val="00A518C7"/>
    <w:rsid w:val="00A51B50"/>
    <w:rsid w:val="00A51D5B"/>
    <w:rsid w:val="00A52081"/>
    <w:rsid w:val="00A52D30"/>
    <w:rsid w:val="00A531FA"/>
    <w:rsid w:val="00A53259"/>
    <w:rsid w:val="00A538D4"/>
    <w:rsid w:val="00A53EA1"/>
    <w:rsid w:val="00A54175"/>
    <w:rsid w:val="00A54694"/>
    <w:rsid w:val="00A54B57"/>
    <w:rsid w:val="00A5503B"/>
    <w:rsid w:val="00A550A0"/>
    <w:rsid w:val="00A56309"/>
    <w:rsid w:val="00A5647D"/>
    <w:rsid w:val="00A5660D"/>
    <w:rsid w:val="00A56D3C"/>
    <w:rsid w:val="00A56D99"/>
    <w:rsid w:val="00A572F2"/>
    <w:rsid w:val="00A579C5"/>
    <w:rsid w:val="00A57B1A"/>
    <w:rsid w:val="00A57CD2"/>
    <w:rsid w:val="00A604C7"/>
    <w:rsid w:val="00A606A9"/>
    <w:rsid w:val="00A6088D"/>
    <w:rsid w:val="00A60F34"/>
    <w:rsid w:val="00A610E9"/>
    <w:rsid w:val="00A61459"/>
    <w:rsid w:val="00A614D7"/>
    <w:rsid w:val="00A62511"/>
    <w:rsid w:val="00A6271C"/>
    <w:rsid w:val="00A628D6"/>
    <w:rsid w:val="00A62B93"/>
    <w:rsid w:val="00A62C86"/>
    <w:rsid w:val="00A62CB9"/>
    <w:rsid w:val="00A63060"/>
    <w:rsid w:val="00A6309F"/>
    <w:rsid w:val="00A63157"/>
    <w:rsid w:val="00A6350A"/>
    <w:rsid w:val="00A63860"/>
    <w:rsid w:val="00A640F2"/>
    <w:rsid w:val="00A64151"/>
    <w:rsid w:val="00A64317"/>
    <w:rsid w:val="00A64523"/>
    <w:rsid w:val="00A64583"/>
    <w:rsid w:val="00A6464E"/>
    <w:rsid w:val="00A64672"/>
    <w:rsid w:val="00A646FC"/>
    <w:rsid w:val="00A647E7"/>
    <w:rsid w:val="00A647F0"/>
    <w:rsid w:val="00A65191"/>
    <w:rsid w:val="00A652DC"/>
    <w:rsid w:val="00A65D05"/>
    <w:rsid w:val="00A65E3A"/>
    <w:rsid w:val="00A660B3"/>
    <w:rsid w:val="00A66674"/>
    <w:rsid w:val="00A66893"/>
    <w:rsid w:val="00A66AD8"/>
    <w:rsid w:val="00A66C42"/>
    <w:rsid w:val="00A67231"/>
    <w:rsid w:val="00A67565"/>
    <w:rsid w:val="00A675B9"/>
    <w:rsid w:val="00A67D32"/>
    <w:rsid w:val="00A67D34"/>
    <w:rsid w:val="00A7019F"/>
    <w:rsid w:val="00A70326"/>
    <w:rsid w:val="00A706A1"/>
    <w:rsid w:val="00A709C7"/>
    <w:rsid w:val="00A70A46"/>
    <w:rsid w:val="00A70B1F"/>
    <w:rsid w:val="00A70D10"/>
    <w:rsid w:val="00A71474"/>
    <w:rsid w:val="00A714B5"/>
    <w:rsid w:val="00A71578"/>
    <w:rsid w:val="00A717B9"/>
    <w:rsid w:val="00A71808"/>
    <w:rsid w:val="00A71A0A"/>
    <w:rsid w:val="00A71DAD"/>
    <w:rsid w:val="00A71E4C"/>
    <w:rsid w:val="00A726B5"/>
    <w:rsid w:val="00A72747"/>
    <w:rsid w:val="00A72840"/>
    <w:rsid w:val="00A72C2F"/>
    <w:rsid w:val="00A73585"/>
    <w:rsid w:val="00A7377C"/>
    <w:rsid w:val="00A73B47"/>
    <w:rsid w:val="00A74164"/>
    <w:rsid w:val="00A743D2"/>
    <w:rsid w:val="00A74407"/>
    <w:rsid w:val="00A74753"/>
    <w:rsid w:val="00A74B24"/>
    <w:rsid w:val="00A74BFB"/>
    <w:rsid w:val="00A7502A"/>
    <w:rsid w:val="00A750A2"/>
    <w:rsid w:val="00A750B7"/>
    <w:rsid w:val="00A75228"/>
    <w:rsid w:val="00A755CA"/>
    <w:rsid w:val="00A7560A"/>
    <w:rsid w:val="00A75772"/>
    <w:rsid w:val="00A7584A"/>
    <w:rsid w:val="00A75BFB"/>
    <w:rsid w:val="00A75E52"/>
    <w:rsid w:val="00A75F5F"/>
    <w:rsid w:val="00A75F73"/>
    <w:rsid w:val="00A76250"/>
    <w:rsid w:val="00A762ED"/>
    <w:rsid w:val="00A76493"/>
    <w:rsid w:val="00A7651A"/>
    <w:rsid w:val="00A76AD9"/>
    <w:rsid w:val="00A76B50"/>
    <w:rsid w:val="00A76F6A"/>
    <w:rsid w:val="00A77075"/>
    <w:rsid w:val="00A773FC"/>
    <w:rsid w:val="00A77463"/>
    <w:rsid w:val="00A775D3"/>
    <w:rsid w:val="00A777C4"/>
    <w:rsid w:val="00A77FA8"/>
    <w:rsid w:val="00A800E1"/>
    <w:rsid w:val="00A807A5"/>
    <w:rsid w:val="00A809CE"/>
    <w:rsid w:val="00A809D0"/>
    <w:rsid w:val="00A80F41"/>
    <w:rsid w:val="00A812A9"/>
    <w:rsid w:val="00A812B6"/>
    <w:rsid w:val="00A8150A"/>
    <w:rsid w:val="00A81548"/>
    <w:rsid w:val="00A81714"/>
    <w:rsid w:val="00A81918"/>
    <w:rsid w:val="00A81BC3"/>
    <w:rsid w:val="00A81D1E"/>
    <w:rsid w:val="00A81D4E"/>
    <w:rsid w:val="00A81D74"/>
    <w:rsid w:val="00A81F4B"/>
    <w:rsid w:val="00A81F6E"/>
    <w:rsid w:val="00A8244C"/>
    <w:rsid w:val="00A82591"/>
    <w:rsid w:val="00A826D9"/>
    <w:rsid w:val="00A829FA"/>
    <w:rsid w:val="00A82A57"/>
    <w:rsid w:val="00A82BEC"/>
    <w:rsid w:val="00A82DBD"/>
    <w:rsid w:val="00A830B9"/>
    <w:rsid w:val="00A8381C"/>
    <w:rsid w:val="00A83B65"/>
    <w:rsid w:val="00A83C94"/>
    <w:rsid w:val="00A83CF4"/>
    <w:rsid w:val="00A842F5"/>
    <w:rsid w:val="00A84691"/>
    <w:rsid w:val="00A84C85"/>
    <w:rsid w:val="00A84E03"/>
    <w:rsid w:val="00A84F81"/>
    <w:rsid w:val="00A8503B"/>
    <w:rsid w:val="00A852FF"/>
    <w:rsid w:val="00A8539D"/>
    <w:rsid w:val="00A85667"/>
    <w:rsid w:val="00A8594C"/>
    <w:rsid w:val="00A85E7C"/>
    <w:rsid w:val="00A860FC"/>
    <w:rsid w:val="00A865F3"/>
    <w:rsid w:val="00A867C7"/>
    <w:rsid w:val="00A86E67"/>
    <w:rsid w:val="00A8707B"/>
    <w:rsid w:val="00A87806"/>
    <w:rsid w:val="00A90234"/>
    <w:rsid w:val="00A903C6"/>
    <w:rsid w:val="00A90469"/>
    <w:rsid w:val="00A90B53"/>
    <w:rsid w:val="00A90BDA"/>
    <w:rsid w:val="00A91185"/>
    <w:rsid w:val="00A911EF"/>
    <w:rsid w:val="00A9152A"/>
    <w:rsid w:val="00A91644"/>
    <w:rsid w:val="00A916AD"/>
    <w:rsid w:val="00A9175E"/>
    <w:rsid w:val="00A91C3F"/>
    <w:rsid w:val="00A91CB3"/>
    <w:rsid w:val="00A91D85"/>
    <w:rsid w:val="00A91ED9"/>
    <w:rsid w:val="00A91FD9"/>
    <w:rsid w:val="00A92253"/>
    <w:rsid w:val="00A9231B"/>
    <w:rsid w:val="00A928C1"/>
    <w:rsid w:val="00A92D8C"/>
    <w:rsid w:val="00A92DF6"/>
    <w:rsid w:val="00A9320D"/>
    <w:rsid w:val="00A935C0"/>
    <w:rsid w:val="00A9373E"/>
    <w:rsid w:val="00A93817"/>
    <w:rsid w:val="00A938D7"/>
    <w:rsid w:val="00A938F2"/>
    <w:rsid w:val="00A939AE"/>
    <w:rsid w:val="00A93C7E"/>
    <w:rsid w:val="00A943E5"/>
    <w:rsid w:val="00A94494"/>
    <w:rsid w:val="00A94814"/>
    <w:rsid w:val="00A94AC2"/>
    <w:rsid w:val="00A94FD8"/>
    <w:rsid w:val="00A9513F"/>
    <w:rsid w:val="00A9530D"/>
    <w:rsid w:val="00A955BE"/>
    <w:rsid w:val="00A95AB2"/>
    <w:rsid w:val="00A95F97"/>
    <w:rsid w:val="00A963A9"/>
    <w:rsid w:val="00A96466"/>
    <w:rsid w:val="00A96941"/>
    <w:rsid w:val="00A969C5"/>
    <w:rsid w:val="00A96B4B"/>
    <w:rsid w:val="00A96C70"/>
    <w:rsid w:val="00A96DAD"/>
    <w:rsid w:val="00A97092"/>
    <w:rsid w:val="00A971EC"/>
    <w:rsid w:val="00A977C6"/>
    <w:rsid w:val="00A979A1"/>
    <w:rsid w:val="00A97A36"/>
    <w:rsid w:val="00A97B4C"/>
    <w:rsid w:val="00A97C68"/>
    <w:rsid w:val="00A97FDD"/>
    <w:rsid w:val="00AA008C"/>
    <w:rsid w:val="00AA06D5"/>
    <w:rsid w:val="00AA0898"/>
    <w:rsid w:val="00AA10F4"/>
    <w:rsid w:val="00AA1564"/>
    <w:rsid w:val="00AA15B7"/>
    <w:rsid w:val="00AA1737"/>
    <w:rsid w:val="00AA1A78"/>
    <w:rsid w:val="00AA24EA"/>
    <w:rsid w:val="00AA2987"/>
    <w:rsid w:val="00AA2B31"/>
    <w:rsid w:val="00AA2D8C"/>
    <w:rsid w:val="00AA2DC4"/>
    <w:rsid w:val="00AA2E53"/>
    <w:rsid w:val="00AA307A"/>
    <w:rsid w:val="00AA3208"/>
    <w:rsid w:val="00AA3268"/>
    <w:rsid w:val="00AA32F9"/>
    <w:rsid w:val="00AA3A3C"/>
    <w:rsid w:val="00AA3D39"/>
    <w:rsid w:val="00AA4130"/>
    <w:rsid w:val="00AA4571"/>
    <w:rsid w:val="00AA4745"/>
    <w:rsid w:val="00AA479F"/>
    <w:rsid w:val="00AA4D51"/>
    <w:rsid w:val="00AA4F3E"/>
    <w:rsid w:val="00AA5034"/>
    <w:rsid w:val="00AA507D"/>
    <w:rsid w:val="00AA52B6"/>
    <w:rsid w:val="00AA559D"/>
    <w:rsid w:val="00AA56D7"/>
    <w:rsid w:val="00AA58E0"/>
    <w:rsid w:val="00AA5C10"/>
    <w:rsid w:val="00AA5F41"/>
    <w:rsid w:val="00AA5FF3"/>
    <w:rsid w:val="00AA657C"/>
    <w:rsid w:val="00AA66AF"/>
    <w:rsid w:val="00AA6C32"/>
    <w:rsid w:val="00AA6FD8"/>
    <w:rsid w:val="00AA7546"/>
    <w:rsid w:val="00AA75AB"/>
    <w:rsid w:val="00AA7BA7"/>
    <w:rsid w:val="00AA7D1D"/>
    <w:rsid w:val="00AB03AC"/>
    <w:rsid w:val="00AB060B"/>
    <w:rsid w:val="00AB0856"/>
    <w:rsid w:val="00AB0BAC"/>
    <w:rsid w:val="00AB0E1E"/>
    <w:rsid w:val="00AB0F00"/>
    <w:rsid w:val="00AB0FF0"/>
    <w:rsid w:val="00AB11AE"/>
    <w:rsid w:val="00AB14B6"/>
    <w:rsid w:val="00AB152F"/>
    <w:rsid w:val="00AB1640"/>
    <w:rsid w:val="00AB17DB"/>
    <w:rsid w:val="00AB18A9"/>
    <w:rsid w:val="00AB18DD"/>
    <w:rsid w:val="00AB198E"/>
    <w:rsid w:val="00AB19EF"/>
    <w:rsid w:val="00AB1AAC"/>
    <w:rsid w:val="00AB1B09"/>
    <w:rsid w:val="00AB1B49"/>
    <w:rsid w:val="00AB1CA4"/>
    <w:rsid w:val="00AB20E4"/>
    <w:rsid w:val="00AB211F"/>
    <w:rsid w:val="00AB26D4"/>
    <w:rsid w:val="00AB2880"/>
    <w:rsid w:val="00AB2AE4"/>
    <w:rsid w:val="00AB2D6F"/>
    <w:rsid w:val="00AB313B"/>
    <w:rsid w:val="00AB3426"/>
    <w:rsid w:val="00AB3495"/>
    <w:rsid w:val="00AB3550"/>
    <w:rsid w:val="00AB392B"/>
    <w:rsid w:val="00AB39FB"/>
    <w:rsid w:val="00AB3CC1"/>
    <w:rsid w:val="00AB3CDA"/>
    <w:rsid w:val="00AB40B1"/>
    <w:rsid w:val="00AB4457"/>
    <w:rsid w:val="00AB447B"/>
    <w:rsid w:val="00AB44CE"/>
    <w:rsid w:val="00AB470C"/>
    <w:rsid w:val="00AB4806"/>
    <w:rsid w:val="00AB4AF8"/>
    <w:rsid w:val="00AB4BB0"/>
    <w:rsid w:val="00AB4CDB"/>
    <w:rsid w:val="00AB4D1E"/>
    <w:rsid w:val="00AB4EDB"/>
    <w:rsid w:val="00AB51B8"/>
    <w:rsid w:val="00AB5462"/>
    <w:rsid w:val="00AB55C3"/>
    <w:rsid w:val="00AB5A5D"/>
    <w:rsid w:val="00AB5E11"/>
    <w:rsid w:val="00AB616B"/>
    <w:rsid w:val="00AB67DE"/>
    <w:rsid w:val="00AB6AD3"/>
    <w:rsid w:val="00AB6B04"/>
    <w:rsid w:val="00AB6E4C"/>
    <w:rsid w:val="00AB71EE"/>
    <w:rsid w:val="00AB7307"/>
    <w:rsid w:val="00AB7610"/>
    <w:rsid w:val="00AB7679"/>
    <w:rsid w:val="00AC0354"/>
    <w:rsid w:val="00AC086B"/>
    <w:rsid w:val="00AC09A6"/>
    <w:rsid w:val="00AC0DFE"/>
    <w:rsid w:val="00AC0F51"/>
    <w:rsid w:val="00AC0FA0"/>
    <w:rsid w:val="00AC11D9"/>
    <w:rsid w:val="00AC12BB"/>
    <w:rsid w:val="00AC1354"/>
    <w:rsid w:val="00AC146D"/>
    <w:rsid w:val="00AC1B37"/>
    <w:rsid w:val="00AC1C7A"/>
    <w:rsid w:val="00AC20D7"/>
    <w:rsid w:val="00AC2167"/>
    <w:rsid w:val="00AC228F"/>
    <w:rsid w:val="00AC23A3"/>
    <w:rsid w:val="00AC272A"/>
    <w:rsid w:val="00AC2730"/>
    <w:rsid w:val="00AC2827"/>
    <w:rsid w:val="00AC2B9E"/>
    <w:rsid w:val="00AC2CE2"/>
    <w:rsid w:val="00AC30CA"/>
    <w:rsid w:val="00AC34C6"/>
    <w:rsid w:val="00AC362E"/>
    <w:rsid w:val="00AC3949"/>
    <w:rsid w:val="00AC3C01"/>
    <w:rsid w:val="00AC3DAA"/>
    <w:rsid w:val="00AC40C7"/>
    <w:rsid w:val="00AC442F"/>
    <w:rsid w:val="00AC4486"/>
    <w:rsid w:val="00AC455B"/>
    <w:rsid w:val="00AC45B7"/>
    <w:rsid w:val="00AC4671"/>
    <w:rsid w:val="00AC497D"/>
    <w:rsid w:val="00AC4AEC"/>
    <w:rsid w:val="00AC4CA9"/>
    <w:rsid w:val="00AC4DB6"/>
    <w:rsid w:val="00AC501B"/>
    <w:rsid w:val="00AC50CE"/>
    <w:rsid w:val="00AC5458"/>
    <w:rsid w:val="00AC5536"/>
    <w:rsid w:val="00AC5546"/>
    <w:rsid w:val="00AC59A1"/>
    <w:rsid w:val="00AC5AC9"/>
    <w:rsid w:val="00AC65A6"/>
    <w:rsid w:val="00AC664C"/>
    <w:rsid w:val="00AC69C1"/>
    <w:rsid w:val="00AC6A5D"/>
    <w:rsid w:val="00AC7062"/>
    <w:rsid w:val="00AC7433"/>
    <w:rsid w:val="00AC74CB"/>
    <w:rsid w:val="00AC7696"/>
    <w:rsid w:val="00AC76FD"/>
    <w:rsid w:val="00AC7840"/>
    <w:rsid w:val="00AC7909"/>
    <w:rsid w:val="00AC79CD"/>
    <w:rsid w:val="00AC7A80"/>
    <w:rsid w:val="00AC7C63"/>
    <w:rsid w:val="00AC7E03"/>
    <w:rsid w:val="00AD01A5"/>
    <w:rsid w:val="00AD032B"/>
    <w:rsid w:val="00AD07C9"/>
    <w:rsid w:val="00AD0843"/>
    <w:rsid w:val="00AD0A69"/>
    <w:rsid w:val="00AD0B7F"/>
    <w:rsid w:val="00AD1029"/>
    <w:rsid w:val="00AD10BD"/>
    <w:rsid w:val="00AD15E1"/>
    <w:rsid w:val="00AD174C"/>
    <w:rsid w:val="00AD1CCE"/>
    <w:rsid w:val="00AD1D59"/>
    <w:rsid w:val="00AD1F9D"/>
    <w:rsid w:val="00AD1FB5"/>
    <w:rsid w:val="00AD2149"/>
    <w:rsid w:val="00AD2643"/>
    <w:rsid w:val="00AD2976"/>
    <w:rsid w:val="00AD2B96"/>
    <w:rsid w:val="00AD2D1B"/>
    <w:rsid w:val="00AD3432"/>
    <w:rsid w:val="00AD3D38"/>
    <w:rsid w:val="00AD3EF0"/>
    <w:rsid w:val="00AD4892"/>
    <w:rsid w:val="00AD4951"/>
    <w:rsid w:val="00AD497F"/>
    <w:rsid w:val="00AD4B52"/>
    <w:rsid w:val="00AD4C51"/>
    <w:rsid w:val="00AD4EA3"/>
    <w:rsid w:val="00AD5681"/>
    <w:rsid w:val="00AD5731"/>
    <w:rsid w:val="00AD59B4"/>
    <w:rsid w:val="00AD5B59"/>
    <w:rsid w:val="00AD5C44"/>
    <w:rsid w:val="00AD5DBA"/>
    <w:rsid w:val="00AD638B"/>
    <w:rsid w:val="00AD6777"/>
    <w:rsid w:val="00AD6A6C"/>
    <w:rsid w:val="00AD6B05"/>
    <w:rsid w:val="00AD6C71"/>
    <w:rsid w:val="00AD7336"/>
    <w:rsid w:val="00AD7C9B"/>
    <w:rsid w:val="00AD7E66"/>
    <w:rsid w:val="00AE028B"/>
    <w:rsid w:val="00AE02C2"/>
    <w:rsid w:val="00AE0481"/>
    <w:rsid w:val="00AE054F"/>
    <w:rsid w:val="00AE1011"/>
    <w:rsid w:val="00AE11E4"/>
    <w:rsid w:val="00AE1303"/>
    <w:rsid w:val="00AE1409"/>
    <w:rsid w:val="00AE149A"/>
    <w:rsid w:val="00AE14C2"/>
    <w:rsid w:val="00AE159F"/>
    <w:rsid w:val="00AE185C"/>
    <w:rsid w:val="00AE1C27"/>
    <w:rsid w:val="00AE25F8"/>
    <w:rsid w:val="00AE2B7C"/>
    <w:rsid w:val="00AE2C2D"/>
    <w:rsid w:val="00AE32FD"/>
    <w:rsid w:val="00AE3757"/>
    <w:rsid w:val="00AE3AA1"/>
    <w:rsid w:val="00AE3C01"/>
    <w:rsid w:val="00AE4423"/>
    <w:rsid w:val="00AE45FF"/>
    <w:rsid w:val="00AE4AEA"/>
    <w:rsid w:val="00AE4E05"/>
    <w:rsid w:val="00AE5588"/>
    <w:rsid w:val="00AE5CCF"/>
    <w:rsid w:val="00AE61CB"/>
    <w:rsid w:val="00AE620E"/>
    <w:rsid w:val="00AE6591"/>
    <w:rsid w:val="00AE6801"/>
    <w:rsid w:val="00AE6C58"/>
    <w:rsid w:val="00AE6C88"/>
    <w:rsid w:val="00AE6F69"/>
    <w:rsid w:val="00AE70AE"/>
    <w:rsid w:val="00AE7139"/>
    <w:rsid w:val="00AE75B3"/>
    <w:rsid w:val="00AE7A6A"/>
    <w:rsid w:val="00AE7D26"/>
    <w:rsid w:val="00AE7DB6"/>
    <w:rsid w:val="00AF06EA"/>
    <w:rsid w:val="00AF08AD"/>
    <w:rsid w:val="00AF09ED"/>
    <w:rsid w:val="00AF0B83"/>
    <w:rsid w:val="00AF0F29"/>
    <w:rsid w:val="00AF154A"/>
    <w:rsid w:val="00AF1B6D"/>
    <w:rsid w:val="00AF1BD8"/>
    <w:rsid w:val="00AF1C01"/>
    <w:rsid w:val="00AF209F"/>
    <w:rsid w:val="00AF21F5"/>
    <w:rsid w:val="00AF232B"/>
    <w:rsid w:val="00AF24CC"/>
    <w:rsid w:val="00AF24E0"/>
    <w:rsid w:val="00AF27F2"/>
    <w:rsid w:val="00AF2E9D"/>
    <w:rsid w:val="00AF31F7"/>
    <w:rsid w:val="00AF3995"/>
    <w:rsid w:val="00AF3ED5"/>
    <w:rsid w:val="00AF41EF"/>
    <w:rsid w:val="00AF4521"/>
    <w:rsid w:val="00AF4988"/>
    <w:rsid w:val="00AF4C08"/>
    <w:rsid w:val="00AF4C2F"/>
    <w:rsid w:val="00AF4CB5"/>
    <w:rsid w:val="00AF5699"/>
    <w:rsid w:val="00AF5F76"/>
    <w:rsid w:val="00AF61E4"/>
    <w:rsid w:val="00AF624E"/>
    <w:rsid w:val="00AF6859"/>
    <w:rsid w:val="00AF6B99"/>
    <w:rsid w:val="00AF6DC5"/>
    <w:rsid w:val="00AF7153"/>
    <w:rsid w:val="00AF7371"/>
    <w:rsid w:val="00AF7BD6"/>
    <w:rsid w:val="00AF7C18"/>
    <w:rsid w:val="00AF7EF4"/>
    <w:rsid w:val="00AF7FB1"/>
    <w:rsid w:val="00B000FA"/>
    <w:rsid w:val="00B0030A"/>
    <w:rsid w:val="00B005EB"/>
    <w:rsid w:val="00B00639"/>
    <w:rsid w:val="00B00788"/>
    <w:rsid w:val="00B00CD3"/>
    <w:rsid w:val="00B00D20"/>
    <w:rsid w:val="00B00DA6"/>
    <w:rsid w:val="00B010AC"/>
    <w:rsid w:val="00B01625"/>
    <w:rsid w:val="00B016F1"/>
    <w:rsid w:val="00B01809"/>
    <w:rsid w:val="00B01DDC"/>
    <w:rsid w:val="00B01E7C"/>
    <w:rsid w:val="00B0217C"/>
    <w:rsid w:val="00B022C8"/>
    <w:rsid w:val="00B022EA"/>
    <w:rsid w:val="00B024BD"/>
    <w:rsid w:val="00B024D6"/>
    <w:rsid w:val="00B0256F"/>
    <w:rsid w:val="00B026CC"/>
    <w:rsid w:val="00B02716"/>
    <w:rsid w:val="00B02819"/>
    <w:rsid w:val="00B02A25"/>
    <w:rsid w:val="00B02EA4"/>
    <w:rsid w:val="00B02F30"/>
    <w:rsid w:val="00B02F70"/>
    <w:rsid w:val="00B03017"/>
    <w:rsid w:val="00B03227"/>
    <w:rsid w:val="00B03613"/>
    <w:rsid w:val="00B037F0"/>
    <w:rsid w:val="00B03BBA"/>
    <w:rsid w:val="00B03BC5"/>
    <w:rsid w:val="00B04197"/>
    <w:rsid w:val="00B0468E"/>
    <w:rsid w:val="00B04AFA"/>
    <w:rsid w:val="00B04B18"/>
    <w:rsid w:val="00B04D86"/>
    <w:rsid w:val="00B04E1D"/>
    <w:rsid w:val="00B052A3"/>
    <w:rsid w:val="00B053D9"/>
    <w:rsid w:val="00B053F5"/>
    <w:rsid w:val="00B0555A"/>
    <w:rsid w:val="00B056BA"/>
    <w:rsid w:val="00B05C91"/>
    <w:rsid w:val="00B05DE2"/>
    <w:rsid w:val="00B0602B"/>
    <w:rsid w:val="00B06373"/>
    <w:rsid w:val="00B066FE"/>
    <w:rsid w:val="00B06EDE"/>
    <w:rsid w:val="00B07053"/>
    <w:rsid w:val="00B07332"/>
    <w:rsid w:val="00B07882"/>
    <w:rsid w:val="00B07B45"/>
    <w:rsid w:val="00B07B8E"/>
    <w:rsid w:val="00B07D83"/>
    <w:rsid w:val="00B100A5"/>
    <w:rsid w:val="00B100B9"/>
    <w:rsid w:val="00B103D6"/>
    <w:rsid w:val="00B10543"/>
    <w:rsid w:val="00B10810"/>
    <w:rsid w:val="00B10955"/>
    <w:rsid w:val="00B10AC8"/>
    <w:rsid w:val="00B10DEF"/>
    <w:rsid w:val="00B11258"/>
    <w:rsid w:val="00B114C6"/>
    <w:rsid w:val="00B11504"/>
    <w:rsid w:val="00B1157B"/>
    <w:rsid w:val="00B11592"/>
    <w:rsid w:val="00B119A5"/>
    <w:rsid w:val="00B119C3"/>
    <w:rsid w:val="00B11AC9"/>
    <w:rsid w:val="00B11B16"/>
    <w:rsid w:val="00B11CF2"/>
    <w:rsid w:val="00B122CF"/>
    <w:rsid w:val="00B122D1"/>
    <w:rsid w:val="00B12721"/>
    <w:rsid w:val="00B12E8A"/>
    <w:rsid w:val="00B12E94"/>
    <w:rsid w:val="00B13304"/>
    <w:rsid w:val="00B1371B"/>
    <w:rsid w:val="00B13FF5"/>
    <w:rsid w:val="00B14E20"/>
    <w:rsid w:val="00B155F4"/>
    <w:rsid w:val="00B15772"/>
    <w:rsid w:val="00B1599E"/>
    <w:rsid w:val="00B15F6D"/>
    <w:rsid w:val="00B161A9"/>
    <w:rsid w:val="00B165D7"/>
    <w:rsid w:val="00B16ABD"/>
    <w:rsid w:val="00B16F2A"/>
    <w:rsid w:val="00B17004"/>
    <w:rsid w:val="00B1700A"/>
    <w:rsid w:val="00B175B9"/>
    <w:rsid w:val="00B17B45"/>
    <w:rsid w:val="00B17D52"/>
    <w:rsid w:val="00B17F9B"/>
    <w:rsid w:val="00B201AD"/>
    <w:rsid w:val="00B20346"/>
    <w:rsid w:val="00B204A6"/>
    <w:rsid w:val="00B212EB"/>
    <w:rsid w:val="00B216DB"/>
    <w:rsid w:val="00B21F97"/>
    <w:rsid w:val="00B220E5"/>
    <w:rsid w:val="00B2227D"/>
    <w:rsid w:val="00B228AB"/>
    <w:rsid w:val="00B22B24"/>
    <w:rsid w:val="00B22BCA"/>
    <w:rsid w:val="00B22FF8"/>
    <w:rsid w:val="00B233CC"/>
    <w:rsid w:val="00B2370F"/>
    <w:rsid w:val="00B23898"/>
    <w:rsid w:val="00B23AF0"/>
    <w:rsid w:val="00B2405E"/>
    <w:rsid w:val="00B243EC"/>
    <w:rsid w:val="00B249FE"/>
    <w:rsid w:val="00B24B6C"/>
    <w:rsid w:val="00B25732"/>
    <w:rsid w:val="00B25950"/>
    <w:rsid w:val="00B25A16"/>
    <w:rsid w:val="00B25A1B"/>
    <w:rsid w:val="00B25B96"/>
    <w:rsid w:val="00B25BA7"/>
    <w:rsid w:val="00B26596"/>
    <w:rsid w:val="00B26BF3"/>
    <w:rsid w:val="00B26DFE"/>
    <w:rsid w:val="00B27012"/>
    <w:rsid w:val="00B27183"/>
    <w:rsid w:val="00B2727D"/>
    <w:rsid w:val="00B272DD"/>
    <w:rsid w:val="00B276FB"/>
    <w:rsid w:val="00B27B27"/>
    <w:rsid w:val="00B27B6F"/>
    <w:rsid w:val="00B27BA2"/>
    <w:rsid w:val="00B27DE8"/>
    <w:rsid w:val="00B27E6D"/>
    <w:rsid w:val="00B27EFC"/>
    <w:rsid w:val="00B3002C"/>
    <w:rsid w:val="00B30250"/>
    <w:rsid w:val="00B304E0"/>
    <w:rsid w:val="00B306AD"/>
    <w:rsid w:val="00B30EAD"/>
    <w:rsid w:val="00B310E6"/>
    <w:rsid w:val="00B312DB"/>
    <w:rsid w:val="00B314E3"/>
    <w:rsid w:val="00B3150E"/>
    <w:rsid w:val="00B31AB9"/>
    <w:rsid w:val="00B31DAD"/>
    <w:rsid w:val="00B31E33"/>
    <w:rsid w:val="00B321F5"/>
    <w:rsid w:val="00B3348F"/>
    <w:rsid w:val="00B3377B"/>
    <w:rsid w:val="00B34304"/>
    <w:rsid w:val="00B347A2"/>
    <w:rsid w:val="00B347BA"/>
    <w:rsid w:val="00B3482C"/>
    <w:rsid w:val="00B34A2B"/>
    <w:rsid w:val="00B34AF5"/>
    <w:rsid w:val="00B3501C"/>
    <w:rsid w:val="00B3510B"/>
    <w:rsid w:val="00B356E8"/>
    <w:rsid w:val="00B35C0C"/>
    <w:rsid w:val="00B3629A"/>
    <w:rsid w:val="00B366C6"/>
    <w:rsid w:val="00B36959"/>
    <w:rsid w:val="00B36F47"/>
    <w:rsid w:val="00B37014"/>
    <w:rsid w:val="00B37075"/>
    <w:rsid w:val="00B371C4"/>
    <w:rsid w:val="00B37CE6"/>
    <w:rsid w:val="00B37D0E"/>
    <w:rsid w:val="00B37E2C"/>
    <w:rsid w:val="00B40424"/>
    <w:rsid w:val="00B408F6"/>
    <w:rsid w:val="00B40A2D"/>
    <w:rsid w:val="00B412AB"/>
    <w:rsid w:val="00B4215F"/>
    <w:rsid w:val="00B4236F"/>
    <w:rsid w:val="00B4250B"/>
    <w:rsid w:val="00B4275D"/>
    <w:rsid w:val="00B428DE"/>
    <w:rsid w:val="00B428E5"/>
    <w:rsid w:val="00B42ABF"/>
    <w:rsid w:val="00B42C85"/>
    <w:rsid w:val="00B42ED0"/>
    <w:rsid w:val="00B42FC2"/>
    <w:rsid w:val="00B430FA"/>
    <w:rsid w:val="00B43189"/>
    <w:rsid w:val="00B4374E"/>
    <w:rsid w:val="00B4386A"/>
    <w:rsid w:val="00B439AA"/>
    <w:rsid w:val="00B43B51"/>
    <w:rsid w:val="00B43C3B"/>
    <w:rsid w:val="00B43D9A"/>
    <w:rsid w:val="00B440CC"/>
    <w:rsid w:val="00B4445D"/>
    <w:rsid w:val="00B44568"/>
    <w:rsid w:val="00B449DB"/>
    <w:rsid w:val="00B44A1A"/>
    <w:rsid w:val="00B4528D"/>
    <w:rsid w:val="00B452DD"/>
    <w:rsid w:val="00B455A1"/>
    <w:rsid w:val="00B456B9"/>
    <w:rsid w:val="00B45811"/>
    <w:rsid w:val="00B45D3E"/>
    <w:rsid w:val="00B45E07"/>
    <w:rsid w:val="00B45E20"/>
    <w:rsid w:val="00B4655F"/>
    <w:rsid w:val="00B4660B"/>
    <w:rsid w:val="00B46726"/>
    <w:rsid w:val="00B467D7"/>
    <w:rsid w:val="00B46930"/>
    <w:rsid w:val="00B469E2"/>
    <w:rsid w:val="00B46E53"/>
    <w:rsid w:val="00B4700B"/>
    <w:rsid w:val="00B47299"/>
    <w:rsid w:val="00B4782D"/>
    <w:rsid w:val="00B505A9"/>
    <w:rsid w:val="00B5084B"/>
    <w:rsid w:val="00B50901"/>
    <w:rsid w:val="00B509AF"/>
    <w:rsid w:val="00B509FD"/>
    <w:rsid w:val="00B51482"/>
    <w:rsid w:val="00B51518"/>
    <w:rsid w:val="00B51681"/>
    <w:rsid w:val="00B52756"/>
    <w:rsid w:val="00B52B3A"/>
    <w:rsid w:val="00B52D05"/>
    <w:rsid w:val="00B5331D"/>
    <w:rsid w:val="00B54513"/>
    <w:rsid w:val="00B548B6"/>
    <w:rsid w:val="00B54C0F"/>
    <w:rsid w:val="00B55210"/>
    <w:rsid w:val="00B552B4"/>
    <w:rsid w:val="00B55816"/>
    <w:rsid w:val="00B5588B"/>
    <w:rsid w:val="00B55BE6"/>
    <w:rsid w:val="00B5644A"/>
    <w:rsid w:val="00B56711"/>
    <w:rsid w:val="00B56A26"/>
    <w:rsid w:val="00B56D46"/>
    <w:rsid w:val="00B56D77"/>
    <w:rsid w:val="00B56FBF"/>
    <w:rsid w:val="00B5709B"/>
    <w:rsid w:val="00B573DE"/>
    <w:rsid w:val="00B57ABB"/>
    <w:rsid w:val="00B57AF7"/>
    <w:rsid w:val="00B57C00"/>
    <w:rsid w:val="00B60677"/>
    <w:rsid w:val="00B6070B"/>
    <w:rsid w:val="00B60D3F"/>
    <w:rsid w:val="00B60ECE"/>
    <w:rsid w:val="00B61108"/>
    <w:rsid w:val="00B61127"/>
    <w:rsid w:val="00B6119C"/>
    <w:rsid w:val="00B61341"/>
    <w:rsid w:val="00B6135B"/>
    <w:rsid w:val="00B61536"/>
    <w:rsid w:val="00B61768"/>
    <w:rsid w:val="00B61DDC"/>
    <w:rsid w:val="00B61F8E"/>
    <w:rsid w:val="00B62136"/>
    <w:rsid w:val="00B6221E"/>
    <w:rsid w:val="00B62328"/>
    <w:rsid w:val="00B623A9"/>
    <w:rsid w:val="00B62AB6"/>
    <w:rsid w:val="00B62E13"/>
    <w:rsid w:val="00B62EBB"/>
    <w:rsid w:val="00B62EBF"/>
    <w:rsid w:val="00B6315E"/>
    <w:rsid w:val="00B6361F"/>
    <w:rsid w:val="00B63855"/>
    <w:rsid w:val="00B63B18"/>
    <w:rsid w:val="00B6415E"/>
    <w:rsid w:val="00B646E6"/>
    <w:rsid w:val="00B64D93"/>
    <w:rsid w:val="00B65565"/>
    <w:rsid w:val="00B656DE"/>
    <w:rsid w:val="00B65809"/>
    <w:rsid w:val="00B658A7"/>
    <w:rsid w:val="00B659A2"/>
    <w:rsid w:val="00B65A73"/>
    <w:rsid w:val="00B65BD1"/>
    <w:rsid w:val="00B65BEA"/>
    <w:rsid w:val="00B65D2B"/>
    <w:rsid w:val="00B65E3A"/>
    <w:rsid w:val="00B65E7B"/>
    <w:rsid w:val="00B663DD"/>
    <w:rsid w:val="00B663F9"/>
    <w:rsid w:val="00B66569"/>
    <w:rsid w:val="00B66F5B"/>
    <w:rsid w:val="00B66F83"/>
    <w:rsid w:val="00B6723D"/>
    <w:rsid w:val="00B67318"/>
    <w:rsid w:val="00B67527"/>
    <w:rsid w:val="00B67740"/>
    <w:rsid w:val="00B67AD0"/>
    <w:rsid w:val="00B67BC4"/>
    <w:rsid w:val="00B67E4F"/>
    <w:rsid w:val="00B700C0"/>
    <w:rsid w:val="00B70882"/>
    <w:rsid w:val="00B7097C"/>
    <w:rsid w:val="00B70B57"/>
    <w:rsid w:val="00B70D20"/>
    <w:rsid w:val="00B70E77"/>
    <w:rsid w:val="00B7111E"/>
    <w:rsid w:val="00B71ABC"/>
    <w:rsid w:val="00B71B7A"/>
    <w:rsid w:val="00B71E15"/>
    <w:rsid w:val="00B72179"/>
    <w:rsid w:val="00B721A9"/>
    <w:rsid w:val="00B723D7"/>
    <w:rsid w:val="00B72579"/>
    <w:rsid w:val="00B72AAB"/>
    <w:rsid w:val="00B72B7D"/>
    <w:rsid w:val="00B72BE2"/>
    <w:rsid w:val="00B72C58"/>
    <w:rsid w:val="00B72E01"/>
    <w:rsid w:val="00B72E30"/>
    <w:rsid w:val="00B730FA"/>
    <w:rsid w:val="00B73371"/>
    <w:rsid w:val="00B73678"/>
    <w:rsid w:val="00B73877"/>
    <w:rsid w:val="00B73A68"/>
    <w:rsid w:val="00B73E9D"/>
    <w:rsid w:val="00B73FC5"/>
    <w:rsid w:val="00B74279"/>
    <w:rsid w:val="00B743E8"/>
    <w:rsid w:val="00B74AFE"/>
    <w:rsid w:val="00B74C14"/>
    <w:rsid w:val="00B74D32"/>
    <w:rsid w:val="00B74E2C"/>
    <w:rsid w:val="00B74E78"/>
    <w:rsid w:val="00B75344"/>
    <w:rsid w:val="00B757B9"/>
    <w:rsid w:val="00B75E4C"/>
    <w:rsid w:val="00B76433"/>
    <w:rsid w:val="00B766C8"/>
    <w:rsid w:val="00B768E5"/>
    <w:rsid w:val="00B76FA5"/>
    <w:rsid w:val="00B77196"/>
    <w:rsid w:val="00B773C7"/>
    <w:rsid w:val="00B773E6"/>
    <w:rsid w:val="00B77F12"/>
    <w:rsid w:val="00B77FB4"/>
    <w:rsid w:val="00B8058B"/>
    <w:rsid w:val="00B81028"/>
    <w:rsid w:val="00B813C1"/>
    <w:rsid w:val="00B815C1"/>
    <w:rsid w:val="00B81701"/>
    <w:rsid w:val="00B81731"/>
    <w:rsid w:val="00B81879"/>
    <w:rsid w:val="00B81920"/>
    <w:rsid w:val="00B81E24"/>
    <w:rsid w:val="00B82111"/>
    <w:rsid w:val="00B82130"/>
    <w:rsid w:val="00B8235C"/>
    <w:rsid w:val="00B8265F"/>
    <w:rsid w:val="00B82818"/>
    <w:rsid w:val="00B82B0F"/>
    <w:rsid w:val="00B82FD5"/>
    <w:rsid w:val="00B838F6"/>
    <w:rsid w:val="00B839C8"/>
    <w:rsid w:val="00B83A13"/>
    <w:rsid w:val="00B83F3A"/>
    <w:rsid w:val="00B84593"/>
    <w:rsid w:val="00B845A2"/>
    <w:rsid w:val="00B84DA4"/>
    <w:rsid w:val="00B8503B"/>
    <w:rsid w:val="00B8514C"/>
    <w:rsid w:val="00B852AC"/>
    <w:rsid w:val="00B85473"/>
    <w:rsid w:val="00B855B7"/>
    <w:rsid w:val="00B85687"/>
    <w:rsid w:val="00B8590A"/>
    <w:rsid w:val="00B85DC6"/>
    <w:rsid w:val="00B85ED3"/>
    <w:rsid w:val="00B868C8"/>
    <w:rsid w:val="00B86AA2"/>
    <w:rsid w:val="00B86B59"/>
    <w:rsid w:val="00B86CB7"/>
    <w:rsid w:val="00B86F94"/>
    <w:rsid w:val="00B87473"/>
    <w:rsid w:val="00B87717"/>
    <w:rsid w:val="00B87957"/>
    <w:rsid w:val="00B87C50"/>
    <w:rsid w:val="00B87C9E"/>
    <w:rsid w:val="00B87ECC"/>
    <w:rsid w:val="00B902E4"/>
    <w:rsid w:val="00B908B1"/>
    <w:rsid w:val="00B90FDD"/>
    <w:rsid w:val="00B911DF"/>
    <w:rsid w:val="00B913A6"/>
    <w:rsid w:val="00B91747"/>
    <w:rsid w:val="00B91D47"/>
    <w:rsid w:val="00B92669"/>
    <w:rsid w:val="00B92844"/>
    <w:rsid w:val="00B9294F"/>
    <w:rsid w:val="00B929BA"/>
    <w:rsid w:val="00B93027"/>
    <w:rsid w:val="00B9357B"/>
    <w:rsid w:val="00B93776"/>
    <w:rsid w:val="00B938D4"/>
    <w:rsid w:val="00B93F6D"/>
    <w:rsid w:val="00B941A4"/>
    <w:rsid w:val="00B94262"/>
    <w:rsid w:val="00B943BC"/>
    <w:rsid w:val="00B9456A"/>
    <w:rsid w:val="00B94FFA"/>
    <w:rsid w:val="00B955E5"/>
    <w:rsid w:val="00B9561E"/>
    <w:rsid w:val="00B9574C"/>
    <w:rsid w:val="00B959CC"/>
    <w:rsid w:val="00B960F8"/>
    <w:rsid w:val="00B9626A"/>
    <w:rsid w:val="00B9664C"/>
    <w:rsid w:val="00B96836"/>
    <w:rsid w:val="00B96E89"/>
    <w:rsid w:val="00B970CF"/>
    <w:rsid w:val="00B97957"/>
    <w:rsid w:val="00B97A08"/>
    <w:rsid w:val="00B97A34"/>
    <w:rsid w:val="00B97BB0"/>
    <w:rsid w:val="00B97C25"/>
    <w:rsid w:val="00BA00B6"/>
    <w:rsid w:val="00BA0226"/>
    <w:rsid w:val="00BA0307"/>
    <w:rsid w:val="00BA03B2"/>
    <w:rsid w:val="00BA0C11"/>
    <w:rsid w:val="00BA0C3C"/>
    <w:rsid w:val="00BA0D78"/>
    <w:rsid w:val="00BA0EEF"/>
    <w:rsid w:val="00BA103C"/>
    <w:rsid w:val="00BA1350"/>
    <w:rsid w:val="00BA1434"/>
    <w:rsid w:val="00BA15CE"/>
    <w:rsid w:val="00BA1B20"/>
    <w:rsid w:val="00BA1C50"/>
    <w:rsid w:val="00BA261F"/>
    <w:rsid w:val="00BA28BF"/>
    <w:rsid w:val="00BA2AEC"/>
    <w:rsid w:val="00BA2BF9"/>
    <w:rsid w:val="00BA2D4E"/>
    <w:rsid w:val="00BA2DF5"/>
    <w:rsid w:val="00BA2E06"/>
    <w:rsid w:val="00BA2EBD"/>
    <w:rsid w:val="00BA2ED2"/>
    <w:rsid w:val="00BA3102"/>
    <w:rsid w:val="00BA31A5"/>
    <w:rsid w:val="00BA36FB"/>
    <w:rsid w:val="00BA386F"/>
    <w:rsid w:val="00BA3AF4"/>
    <w:rsid w:val="00BA3FFE"/>
    <w:rsid w:val="00BA4029"/>
    <w:rsid w:val="00BA4C94"/>
    <w:rsid w:val="00BA4E6C"/>
    <w:rsid w:val="00BA5186"/>
    <w:rsid w:val="00BA55CB"/>
    <w:rsid w:val="00BA5654"/>
    <w:rsid w:val="00BA5910"/>
    <w:rsid w:val="00BA5AD3"/>
    <w:rsid w:val="00BA5C74"/>
    <w:rsid w:val="00BA5E2E"/>
    <w:rsid w:val="00BA60DE"/>
    <w:rsid w:val="00BA63E7"/>
    <w:rsid w:val="00BA67A2"/>
    <w:rsid w:val="00BA6A1C"/>
    <w:rsid w:val="00BA71AE"/>
    <w:rsid w:val="00BA739D"/>
    <w:rsid w:val="00BA73E6"/>
    <w:rsid w:val="00BA78A7"/>
    <w:rsid w:val="00BA7AEF"/>
    <w:rsid w:val="00BB026B"/>
    <w:rsid w:val="00BB05AD"/>
    <w:rsid w:val="00BB0B6F"/>
    <w:rsid w:val="00BB0C4E"/>
    <w:rsid w:val="00BB0E29"/>
    <w:rsid w:val="00BB108D"/>
    <w:rsid w:val="00BB1589"/>
    <w:rsid w:val="00BB165A"/>
    <w:rsid w:val="00BB1B56"/>
    <w:rsid w:val="00BB1C65"/>
    <w:rsid w:val="00BB1D11"/>
    <w:rsid w:val="00BB1F54"/>
    <w:rsid w:val="00BB26DD"/>
    <w:rsid w:val="00BB281F"/>
    <w:rsid w:val="00BB28B9"/>
    <w:rsid w:val="00BB2990"/>
    <w:rsid w:val="00BB2D18"/>
    <w:rsid w:val="00BB2D89"/>
    <w:rsid w:val="00BB2DE4"/>
    <w:rsid w:val="00BB2E33"/>
    <w:rsid w:val="00BB3317"/>
    <w:rsid w:val="00BB38C0"/>
    <w:rsid w:val="00BB3FA2"/>
    <w:rsid w:val="00BB3FB1"/>
    <w:rsid w:val="00BB4042"/>
    <w:rsid w:val="00BB4053"/>
    <w:rsid w:val="00BB4524"/>
    <w:rsid w:val="00BB45A6"/>
    <w:rsid w:val="00BB5012"/>
    <w:rsid w:val="00BB5260"/>
    <w:rsid w:val="00BB56B3"/>
    <w:rsid w:val="00BB5A40"/>
    <w:rsid w:val="00BB5DB4"/>
    <w:rsid w:val="00BB6CA7"/>
    <w:rsid w:val="00BB701A"/>
    <w:rsid w:val="00BB784A"/>
    <w:rsid w:val="00BB79D3"/>
    <w:rsid w:val="00BB7EC5"/>
    <w:rsid w:val="00BB7FD7"/>
    <w:rsid w:val="00BC0127"/>
    <w:rsid w:val="00BC0663"/>
    <w:rsid w:val="00BC11C3"/>
    <w:rsid w:val="00BC13B9"/>
    <w:rsid w:val="00BC1A4E"/>
    <w:rsid w:val="00BC1BCC"/>
    <w:rsid w:val="00BC224A"/>
    <w:rsid w:val="00BC2842"/>
    <w:rsid w:val="00BC2B62"/>
    <w:rsid w:val="00BC2EBF"/>
    <w:rsid w:val="00BC38F6"/>
    <w:rsid w:val="00BC39AF"/>
    <w:rsid w:val="00BC3A3B"/>
    <w:rsid w:val="00BC3ACE"/>
    <w:rsid w:val="00BC3BD6"/>
    <w:rsid w:val="00BC3C0C"/>
    <w:rsid w:val="00BC4779"/>
    <w:rsid w:val="00BC4ABF"/>
    <w:rsid w:val="00BC4EE0"/>
    <w:rsid w:val="00BC5078"/>
    <w:rsid w:val="00BC533D"/>
    <w:rsid w:val="00BC56EC"/>
    <w:rsid w:val="00BC571F"/>
    <w:rsid w:val="00BC5B37"/>
    <w:rsid w:val="00BC6137"/>
    <w:rsid w:val="00BC61C0"/>
    <w:rsid w:val="00BC6256"/>
    <w:rsid w:val="00BC63CA"/>
    <w:rsid w:val="00BC6D7F"/>
    <w:rsid w:val="00BC700A"/>
    <w:rsid w:val="00BC707A"/>
    <w:rsid w:val="00BC70C0"/>
    <w:rsid w:val="00BC7235"/>
    <w:rsid w:val="00BC7307"/>
    <w:rsid w:val="00BC73FA"/>
    <w:rsid w:val="00BC746E"/>
    <w:rsid w:val="00BC7639"/>
    <w:rsid w:val="00BC78A3"/>
    <w:rsid w:val="00BC7D5A"/>
    <w:rsid w:val="00BD024B"/>
    <w:rsid w:val="00BD03F5"/>
    <w:rsid w:val="00BD060F"/>
    <w:rsid w:val="00BD0639"/>
    <w:rsid w:val="00BD0953"/>
    <w:rsid w:val="00BD0966"/>
    <w:rsid w:val="00BD16D1"/>
    <w:rsid w:val="00BD1917"/>
    <w:rsid w:val="00BD1C5C"/>
    <w:rsid w:val="00BD1E0D"/>
    <w:rsid w:val="00BD2469"/>
    <w:rsid w:val="00BD261D"/>
    <w:rsid w:val="00BD26BA"/>
    <w:rsid w:val="00BD2E2D"/>
    <w:rsid w:val="00BD2F3E"/>
    <w:rsid w:val="00BD313A"/>
    <w:rsid w:val="00BD35D0"/>
    <w:rsid w:val="00BD36DB"/>
    <w:rsid w:val="00BD3B06"/>
    <w:rsid w:val="00BD3BC2"/>
    <w:rsid w:val="00BD3FA7"/>
    <w:rsid w:val="00BD3FAA"/>
    <w:rsid w:val="00BD42B5"/>
    <w:rsid w:val="00BD4380"/>
    <w:rsid w:val="00BD43AA"/>
    <w:rsid w:val="00BD477C"/>
    <w:rsid w:val="00BD4967"/>
    <w:rsid w:val="00BD4BFA"/>
    <w:rsid w:val="00BD54CE"/>
    <w:rsid w:val="00BD56F2"/>
    <w:rsid w:val="00BD62C2"/>
    <w:rsid w:val="00BD647B"/>
    <w:rsid w:val="00BD66F1"/>
    <w:rsid w:val="00BD67A5"/>
    <w:rsid w:val="00BD67DE"/>
    <w:rsid w:val="00BD68FE"/>
    <w:rsid w:val="00BD6A01"/>
    <w:rsid w:val="00BD6B12"/>
    <w:rsid w:val="00BD6BF5"/>
    <w:rsid w:val="00BD6FD7"/>
    <w:rsid w:val="00BD721C"/>
    <w:rsid w:val="00BD738D"/>
    <w:rsid w:val="00BD7609"/>
    <w:rsid w:val="00BD7957"/>
    <w:rsid w:val="00BD7C61"/>
    <w:rsid w:val="00BE065F"/>
    <w:rsid w:val="00BE091F"/>
    <w:rsid w:val="00BE0982"/>
    <w:rsid w:val="00BE0A39"/>
    <w:rsid w:val="00BE11D8"/>
    <w:rsid w:val="00BE11E1"/>
    <w:rsid w:val="00BE1232"/>
    <w:rsid w:val="00BE17D9"/>
    <w:rsid w:val="00BE1818"/>
    <w:rsid w:val="00BE1B4C"/>
    <w:rsid w:val="00BE1BF7"/>
    <w:rsid w:val="00BE2368"/>
    <w:rsid w:val="00BE2598"/>
    <w:rsid w:val="00BE262D"/>
    <w:rsid w:val="00BE26C9"/>
    <w:rsid w:val="00BE28F5"/>
    <w:rsid w:val="00BE291A"/>
    <w:rsid w:val="00BE30E6"/>
    <w:rsid w:val="00BE310D"/>
    <w:rsid w:val="00BE3280"/>
    <w:rsid w:val="00BE3292"/>
    <w:rsid w:val="00BE32D5"/>
    <w:rsid w:val="00BE3DEA"/>
    <w:rsid w:val="00BE3F26"/>
    <w:rsid w:val="00BE464F"/>
    <w:rsid w:val="00BE4F1E"/>
    <w:rsid w:val="00BE4F41"/>
    <w:rsid w:val="00BE50A2"/>
    <w:rsid w:val="00BE50FF"/>
    <w:rsid w:val="00BE5594"/>
    <w:rsid w:val="00BE5817"/>
    <w:rsid w:val="00BE5925"/>
    <w:rsid w:val="00BE5F2C"/>
    <w:rsid w:val="00BE61AF"/>
    <w:rsid w:val="00BE621E"/>
    <w:rsid w:val="00BE68E2"/>
    <w:rsid w:val="00BE69D2"/>
    <w:rsid w:val="00BE6B77"/>
    <w:rsid w:val="00BE6B7F"/>
    <w:rsid w:val="00BE6CA0"/>
    <w:rsid w:val="00BE6E78"/>
    <w:rsid w:val="00BE74C9"/>
    <w:rsid w:val="00BE767E"/>
    <w:rsid w:val="00BE78E8"/>
    <w:rsid w:val="00BE7990"/>
    <w:rsid w:val="00BE7A6C"/>
    <w:rsid w:val="00BE7AE4"/>
    <w:rsid w:val="00BE7BE5"/>
    <w:rsid w:val="00BE7D8A"/>
    <w:rsid w:val="00BF0136"/>
    <w:rsid w:val="00BF07A9"/>
    <w:rsid w:val="00BF0FE1"/>
    <w:rsid w:val="00BF1374"/>
    <w:rsid w:val="00BF14FD"/>
    <w:rsid w:val="00BF1C95"/>
    <w:rsid w:val="00BF1CA2"/>
    <w:rsid w:val="00BF1D43"/>
    <w:rsid w:val="00BF1E4B"/>
    <w:rsid w:val="00BF2110"/>
    <w:rsid w:val="00BF27F3"/>
    <w:rsid w:val="00BF28B5"/>
    <w:rsid w:val="00BF2A0D"/>
    <w:rsid w:val="00BF2B45"/>
    <w:rsid w:val="00BF2C41"/>
    <w:rsid w:val="00BF3366"/>
    <w:rsid w:val="00BF3529"/>
    <w:rsid w:val="00BF3546"/>
    <w:rsid w:val="00BF35A1"/>
    <w:rsid w:val="00BF382E"/>
    <w:rsid w:val="00BF3ACC"/>
    <w:rsid w:val="00BF3B71"/>
    <w:rsid w:val="00BF3F4B"/>
    <w:rsid w:val="00BF4342"/>
    <w:rsid w:val="00BF4501"/>
    <w:rsid w:val="00BF4783"/>
    <w:rsid w:val="00BF4A83"/>
    <w:rsid w:val="00BF4F3A"/>
    <w:rsid w:val="00BF50DF"/>
    <w:rsid w:val="00BF5335"/>
    <w:rsid w:val="00BF5541"/>
    <w:rsid w:val="00BF5799"/>
    <w:rsid w:val="00BF58BE"/>
    <w:rsid w:val="00BF5CA8"/>
    <w:rsid w:val="00BF5E43"/>
    <w:rsid w:val="00BF6149"/>
    <w:rsid w:val="00BF6308"/>
    <w:rsid w:val="00BF645F"/>
    <w:rsid w:val="00BF75EC"/>
    <w:rsid w:val="00BF7B68"/>
    <w:rsid w:val="00BF8225"/>
    <w:rsid w:val="00C003C6"/>
    <w:rsid w:val="00C003D8"/>
    <w:rsid w:val="00C00485"/>
    <w:rsid w:val="00C007C1"/>
    <w:rsid w:val="00C00C17"/>
    <w:rsid w:val="00C00F6F"/>
    <w:rsid w:val="00C0101E"/>
    <w:rsid w:val="00C010E0"/>
    <w:rsid w:val="00C017A4"/>
    <w:rsid w:val="00C01A31"/>
    <w:rsid w:val="00C01E14"/>
    <w:rsid w:val="00C01EEA"/>
    <w:rsid w:val="00C022DF"/>
    <w:rsid w:val="00C029AC"/>
    <w:rsid w:val="00C029C4"/>
    <w:rsid w:val="00C02B8C"/>
    <w:rsid w:val="00C02EA0"/>
    <w:rsid w:val="00C0329E"/>
    <w:rsid w:val="00C0338A"/>
    <w:rsid w:val="00C03724"/>
    <w:rsid w:val="00C03A75"/>
    <w:rsid w:val="00C042CA"/>
    <w:rsid w:val="00C042E5"/>
    <w:rsid w:val="00C04480"/>
    <w:rsid w:val="00C044CB"/>
    <w:rsid w:val="00C04741"/>
    <w:rsid w:val="00C04BFC"/>
    <w:rsid w:val="00C04D33"/>
    <w:rsid w:val="00C05A64"/>
    <w:rsid w:val="00C05AF6"/>
    <w:rsid w:val="00C05C23"/>
    <w:rsid w:val="00C0613A"/>
    <w:rsid w:val="00C0622E"/>
    <w:rsid w:val="00C06FCA"/>
    <w:rsid w:val="00C0722E"/>
    <w:rsid w:val="00C07320"/>
    <w:rsid w:val="00C075D2"/>
    <w:rsid w:val="00C0761F"/>
    <w:rsid w:val="00C07654"/>
    <w:rsid w:val="00C0767B"/>
    <w:rsid w:val="00C0785F"/>
    <w:rsid w:val="00C07922"/>
    <w:rsid w:val="00C07986"/>
    <w:rsid w:val="00C07C8A"/>
    <w:rsid w:val="00C100C8"/>
    <w:rsid w:val="00C102A2"/>
    <w:rsid w:val="00C10814"/>
    <w:rsid w:val="00C10A2B"/>
    <w:rsid w:val="00C10ADF"/>
    <w:rsid w:val="00C10BBE"/>
    <w:rsid w:val="00C10D8A"/>
    <w:rsid w:val="00C10DEB"/>
    <w:rsid w:val="00C10E08"/>
    <w:rsid w:val="00C1107F"/>
    <w:rsid w:val="00C114C6"/>
    <w:rsid w:val="00C119A4"/>
    <w:rsid w:val="00C11ADD"/>
    <w:rsid w:val="00C11EA0"/>
    <w:rsid w:val="00C12012"/>
    <w:rsid w:val="00C1206C"/>
    <w:rsid w:val="00C120CC"/>
    <w:rsid w:val="00C12191"/>
    <w:rsid w:val="00C12284"/>
    <w:rsid w:val="00C12301"/>
    <w:rsid w:val="00C124A9"/>
    <w:rsid w:val="00C126EB"/>
    <w:rsid w:val="00C12864"/>
    <w:rsid w:val="00C1286D"/>
    <w:rsid w:val="00C12B32"/>
    <w:rsid w:val="00C12C7F"/>
    <w:rsid w:val="00C13400"/>
    <w:rsid w:val="00C134E6"/>
    <w:rsid w:val="00C13515"/>
    <w:rsid w:val="00C1367A"/>
    <w:rsid w:val="00C13784"/>
    <w:rsid w:val="00C13A64"/>
    <w:rsid w:val="00C13BA5"/>
    <w:rsid w:val="00C13BF0"/>
    <w:rsid w:val="00C140D5"/>
    <w:rsid w:val="00C149A1"/>
    <w:rsid w:val="00C14ACF"/>
    <w:rsid w:val="00C14AF2"/>
    <w:rsid w:val="00C15125"/>
    <w:rsid w:val="00C1576B"/>
    <w:rsid w:val="00C15874"/>
    <w:rsid w:val="00C15B15"/>
    <w:rsid w:val="00C15C3E"/>
    <w:rsid w:val="00C15EF3"/>
    <w:rsid w:val="00C16349"/>
    <w:rsid w:val="00C163BC"/>
    <w:rsid w:val="00C163F3"/>
    <w:rsid w:val="00C16590"/>
    <w:rsid w:val="00C165F7"/>
    <w:rsid w:val="00C16B54"/>
    <w:rsid w:val="00C16BEE"/>
    <w:rsid w:val="00C16DC4"/>
    <w:rsid w:val="00C17BCC"/>
    <w:rsid w:val="00C17D8D"/>
    <w:rsid w:val="00C20022"/>
    <w:rsid w:val="00C202CE"/>
    <w:rsid w:val="00C205FD"/>
    <w:rsid w:val="00C206B3"/>
    <w:rsid w:val="00C20C68"/>
    <w:rsid w:val="00C20D64"/>
    <w:rsid w:val="00C21601"/>
    <w:rsid w:val="00C2185A"/>
    <w:rsid w:val="00C21899"/>
    <w:rsid w:val="00C21A3D"/>
    <w:rsid w:val="00C21A73"/>
    <w:rsid w:val="00C21AAF"/>
    <w:rsid w:val="00C21B4E"/>
    <w:rsid w:val="00C21D49"/>
    <w:rsid w:val="00C2203B"/>
    <w:rsid w:val="00C2215A"/>
    <w:rsid w:val="00C222EF"/>
    <w:rsid w:val="00C2230F"/>
    <w:rsid w:val="00C22317"/>
    <w:rsid w:val="00C2234F"/>
    <w:rsid w:val="00C226ED"/>
    <w:rsid w:val="00C22B1D"/>
    <w:rsid w:val="00C230E2"/>
    <w:rsid w:val="00C23408"/>
    <w:rsid w:val="00C2398C"/>
    <w:rsid w:val="00C23CF7"/>
    <w:rsid w:val="00C23D05"/>
    <w:rsid w:val="00C23E77"/>
    <w:rsid w:val="00C244A9"/>
    <w:rsid w:val="00C247B9"/>
    <w:rsid w:val="00C249AA"/>
    <w:rsid w:val="00C24BB1"/>
    <w:rsid w:val="00C24CD4"/>
    <w:rsid w:val="00C2508F"/>
    <w:rsid w:val="00C25459"/>
    <w:rsid w:val="00C25493"/>
    <w:rsid w:val="00C25626"/>
    <w:rsid w:val="00C256C9"/>
    <w:rsid w:val="00C257AE"/>
    <w:rsid w:val="00C25E82"/>
    <w:rsid w:val="00C2613C"/>
    <w:rsid w:val="00C2623E"/>
    <w:rsid w:val="00C262A7"/>
    <w:rsid w:val="00C263C5"/>
    <w:rsid w:val="00C264B8"/>
    <w:rsid w:val="00C26668"/>
    <w:rsid w:val="00C26845"/>
    <w:rsid w:val="00C26ADF"/>
    <w:rsid w:val="00C26B01"/>
    <w:rsid w:val="00C26C7F"/>
    <w:rsid w:val="00C26E68"/>
    <w:rsid w:val="00C2714D"/>
    <w:rsid w:val="00C27245"/>
    <w:rsid w:val="00C2726C"/>
    <w:rsid w:val="00C2761A"/>
    <w:rsid w:val="00C27671"/>
    <w:rsid w:val="00C278DF"/>
    <w:rsid w:val="00C27BED"/>
    <w:rsid w:val="00C27F11"/>
    <w:rsid w:val="00C3011C"/>
    <w:rsid w:val="00C30318"/>
    <w:rsid w:val="00C30657"/>
    <w:rsid w:val="00C30925"/>
    <w:rsid w:val="00C3094D"/>
    <w:rsid w:val="00C31043"/>
    <w:rsid w:val="00C31208"/>
    <w:rsid w:val="00C312BD"/>
    <w:rsid w:val="00C3150A"/>
    <w:rsid w:val="00C31F65"/>
    <w:rsid w:val="00C3219E"/>
    <w:rsid w:val="00C3221B"/>
    <w:rsid w:val="00C32325"/>
    <w:rsid w:val="00C32639"/>
    <w:rsid w:val="00C326C7"/>
    <w:rsid w:val="00C326D2"/>
    <w:rsid w:val="00C329AC"/>
    <w:rsid w:val="00C329B7"/>
    <w:rsid w:val="00C32E5E"/>
    <w:rsid w:val="00C33190"/>
    <w:rsid w:val="00C33722"/>
    <w:rsid w:val="00C33C69"/>
    <w:rsid w:val="00C33E7E"/>
    <w:rsid w:val="00C33EDF"/>
    <w:rsid w:val="00C33FBB"/>
    <w:rsid w:val="00C34251"/>
    <w:rsid w:val="00C343F9"/>
    <w:rsid w:val="00C34499"/>
    <w:rsid w:val="00C34B4E"/>
    <w:rsid w:val="00C34B6F"/>
    <w:rsid w:val="00C34CA9"/>
    <w:rsid w:val="00C34F22"/>
    <w:rsid w:val="00C35281"/>
    <w:rsid w:val="00C3535A"/>
    <w:rsid w:val="00C35381"/>
    <w:rsid w:val="00C35551"/>
    <w:rsid w:val="00C356F0"/>
    <w:rsid w:val="00C35BE9"/>
    <w:rsid w:val="00C35CE8"/>
    <w:rsid w:val="00C35D10"/>
    <w:rsid w:val="00C35D98"/>
    <w:rsid w:val="00C360E1"/>
    <w:rsid w:val="00C364DA"/>
    <w:rsid w:val="00C36AEA"/>
    <w:rsid w:val="00C36BD0"/>
    <w:rsid w:val="00C36C33"/>
    <w:rsid w:val="00C36DDB"/>
    <w:rsid w:val="00C36EEF"/>
    <w:rsid w:val="00C36F6C"/>
    <w:rsid w:val="00C36F93"/>
    <w:rsid w:val="00C3714C"/>
    <w:rsid w:val="00C37A13"/>
    <w:rsid w:val="00C37E73"/>
    <w:rsid w:val="00C40117"/>
    <w:rsid w:val="00C401A1"/>
    <w:rsid w:val="00C404D4"/>
    <w:rsid w:val="00C4061E"/>
    <w:rsid w:val="00C4075F"/>
    <w:rsid w:val="00C40EAA"/>
    <w:rsid w:val="00C4126A"/>
    <w:rsid w:val="00C414CE"/>
    <w:rsid w:val="00C419A3"/>
    <w:rsid w:val="00C41B36"/>
    <w:rsid w:val="00C41D69"/>
    <w:rsid w:val="00C41E2D"/>
    <w:rsid w:val="00C42082"/>
    <w:rsid w:val="00C42694"/>
    <w:rsid w:val="00C42D97"/>
    <w:rsid w:val="00C42E2F"/>
    <w:rsid w:val="00C42EFE"/>
    <w:rsid w:val="00C42F8F"/>
    <w:rsid w:val="00C4313E"/>
    <w:rsid w:val="00C4361B"/>
    <w:rsid w:val="00C43769"/>
    <w:rsid w:val="00C43B84"/>
    <w:rsid w:val="00C43BCE"/>
    <w:rsid w:val="00C43DE7"/>
    <w:rsid w:val="00C43E97"/>
    <w:rsid w:val="00C44047"/>
    <w:rsid w:val="00C442B7"/>
    <w:rsid w:val="00C443A2"/>
    <w:rsid w:val="00C44477"/>
    <w:rsid w:val="00C44672"/>
    <w:rsid w:val="00C4475A"/>
    <w:rsid w:val="00C448B8"/>
    <w:rsid w:val="00C44BA6"/>
    <w:rsid w:val="00C44FA8"/>
    <w:rsid w:val="00C45AE6"/>
    <w:rsid w:val="00C45C98"/>
    <w:rsid w:val="00C45E6E"/>
    <w:rsid w:val="00C46126"/>
    <w:rsid w:val="00C4620B"/>
    <w:rsid w:val="00C464D5"/>
    <w:rsid w:val="00C466F2"/>
    <w:rsid w:val="00C46FB9"/>
    <w:rsid w:val="00C47387"/>
    <w:rsid w:val="00C473EB"/>
    <w:rsid w:val="00C47426"/>
    <w:rsid w:val="00C475D9"/>
    <w:rsid w:val="00C476A4"/>
    <w:rsid w:val="00C47890"/>
    <w:rsid w:val="00C50193"/>
    <w:rsid w:val="00C501C1"/>
    <w:rsid w:val="00C50221"/>
    <w:rsid w:val="00C50368"/>
    <w:rsid w:val="00C50597"/>
    <w:rsid w:val="00C50686"/>
    <w:rsid w:val="00C509F9"/>
    <w:rsid w:val="00C50AAC"/>
    <w:rsid w:val="00C50CA4"/>
    <w:rsid w:val="00C50D14"/>
    <w:rsid w:val="00C5169B"/>
    <w:rsid w:val="00C51722"/>
    <w:rsid w:val="00C51735"/>
    <w:rsid w:val="00C5175F"/>
    <w:rsid w:val="00C51DCF"/>
    <w:rsid w:val="00C51E71"/>
    <w:rsid w:val="00C520E2"/>
    <w:rsid w:val="00C52455"/>
    <w:rsid w:val="00C524F8"/>
    <w:rsid w:val="00C5269E"/>
    <w:rsid w:val="00C52A08"/>
    <w:rsid w:val="00C530EE"/>
    <w:rsid w:val="00C53411"/>
    <w:rsid w:val="00C53965"/>
    <w:rsid w:val="00C53E20"/>
    <w:rsid w:val="00C54057"/>
    <w:rsid w:val="00C5450F"/>
    <w:rsid w:val="00C547F5"/>
    <w:rsid w:val="00C54D62"/>
    <w:rsid w:val="00C54F4E"/>
    <w:rsid w:val="00C55298"/>
    <w:rsid w:val="00C559BF"/>
    <w:rsid w:val="00C55A45"/>
    <w:rsid w:val="00C55C86"/>
    <w:rsid w:val="00C55D09"/>
    <w:rsid w:val="00C566FD"/>
    <w:rsid w:val="00C56917"/>
    <w:rsid w:val="00C56CD3"/>
    <w:rsid w:val="00C56D9D"/>
    <w:rsid w:val="00C56DA2"/>
    <w:rsid w:val="00C57416"/>
    <w:rsid w:val="00C57B0D"/>
    <w:rsid w:val="00C600A4"/>
    <w:rsid w:val="00C601EC"/>
    <w:rsid w:val="00C6044B"/>
    <w:rsid w:val="00C6064C"/>
    <w:rsid w:val="00C606AB"/>
    <w:rsid w:val="00C60777"/>
    <w:rsid w:val="00C60A58"/>
    <w:rsid w:val="00C611B9"/>
    <w:rsid w:val="00C6164F"/>
    <w:rsid w:val="00C61696"/>
    <w:rsid w:val="00C61DAC"/>
    <w:rsid w:val="00C61F6D"/>
    <w:rsid w:val="00C6220D"/>
    <w:rsid w:val="00C62244"/>
    <w:rsid w:val="00C62335"/>
    <w:rsid w:val="00C62430"/>
    <w:rsid w:val="00C62488"/>
    <w:rsid w:val="00C62949"/>
    <w:rsid w:val="00C62D64"/>
    <w:rsid w:val="00C62E65"/>
    <w:rsid w:val="00C633F5"/>
    <w:rsid w:val="00C634A7"/>
    <w:rsid w:val="00C6388C"/>
    <w:rsid w:val="00C639BC"/>
    <w:rsid w:val="00C63B01"/>
    <w:rsid w:val="00C63C92"/>
    <w:rsid w:val="00C63E04"/>
    <w:rsid w:val="00C641DE"/>
    <w:rsid w:val="00C644C6"/>
    <w:rsid w:val="00C64516"/>
    <w:rsid w:val="00C6483D"/>
    <w:rsid w:val="00C6493E"/>
    <w:rsid w:val="00C64E30"/>
    <w:rsid w:val="00C65295"/>
    <w:rsid w:val="00C6534E"/>
    <w:rsid w:val="00C65448"/>
    <w:rsid w:val="00C657DE"/>
    <w:rsid w:val="00C6580C"/>
    <w:rsid w:val="00C6602A"/>
    <w:rsid w:val="00C660E1"/>
    <w:rsid w:val="00C661F2"/>
    <w:rsid w:val="00C6657F"/>
    <w:rsid w:val="00C667EF"/>
    <w:rsid w:val="00C66A2D"/>
    <w:rsid w:val="00C66B4A"/>
    <w:rsid w:val="00C66C00"/>
    <w:rsid w:val="00C66D0B"/>
    <w:rsid w:val="00C66F4A"/>
    <w:rsid w:val="00C66F6B"/>
    <w:rsid w:val="00C672FC"/>
    <w:rsid w:val="00C674B0"/>
    <w:rsid w:val="00C6769A"/>
    <w:rsid w:val="00C67A09"/>
    <w:rsid w:val="00C67A97"/>
    <w:rsid w:val="00C67B73"/>
    <w:rsid w:val="00C67EAB"/>
    <w:rsid w:val="00C67EEA"/>
    <w:rsid w:val="00C7013E"/>
    <w:rsid w:val="00C70537"/>
    <w:rsid w:val="00C705C7"/>
    <w:rsid w:val="00C7069F"/>
    <w:rsid w:val="00C7088D"/>
    <w:rsid w:val="00C70962"/>
    <w:rsid w:val="00C70A8D"/>
    <w:rsid w:val="00C70B58"/>
    <w:rsid w:val="00C70B8B"/>
    <w:rsid w:val="00C70FC6"/>
    <w:rsid w:val="00C712FF"/>
    <w:rsid w:val="00C71351"/>
    <w:rsid w:val="00C714DB"/>
    <w:rsid w:val="00C71663"/>
    <w:rsid w:val="00C7192E"/>
    <w:rsid w:val="00C71BF0"/>
    <w:rsid w:val="00C71C86"/>
    <w:rsid w:val="00C721CD"/>
    <w:rsid w:val="00C72488"/>
    <w:rsid w:val="00C726D8"/>
    <w:rsid w:val="00C72955"/>
    <w:rsid w:val="00C72B13"/>
    <w:rsid w:val="00C7321F"/>
    <w:rsid w:val="00C735E6"/>
    <w:rsid w:val="00C736A7"/>
    <w:rsid w:val="00C736A8"/>
    <w:rsid w:val="00C73ADA"/>
    <w:rsid w:val="00C73B20"/>
    <w:rsid w:val="00C73BCE"/>
    <w:rsid w:val="00C74074"/>
    <w:rsid w:val="00C74498"/>
    <w:rsid w:val="00C74606"/>
    <w:rsid w:val="00C7498D"/>
    <w:rsid w:val="00C749C0"/>
    <w:rsid w:val="00C749ED"/>
    <w:rsid w:val="00C74CAA"/>
    <w:rsid w:val="00C74DC3"/>
    <w:rsid w:val="00C74EAB"/>
    <w:rsid w:val="00C74FC5"/>
    <w:rsid w:val="00C756AD"/>
    <w:rsid w:val="00C757FE"/>
    <w:rsid w:val="00C75964"/>
    <w:rsid w:val="00C75BF7"/>
    <w:rsid w:val="00C75F68"/>
    <w:rsid w:val="00C760FC"/>
    <w:rsid w:val="00C762D8"/>
    <w:rsid w:val="00C764D7"/>
    <w:rsid w:val="00C764DC"/>
    <w:rsid w:val="00C76E49"/>
    <w:rsid w:val="00C771C0"/>
    <w:rsid w:val="00C77A23"/>
    <w:rsid w:val="00C77ACD"/>
    <w:rsid w:val="00C77DDD"/>
    <w:rsid w:val="00C80281"/>
    <w:rsid w:val="00C802E8"/>
    <w:rsid w:val="00C804D3"/>
    <w:rsid w:val="00C80A85"/>
    <w:rsid w:val="00C80F95"/>
    <w:rsid w:val="00C810DF"/>
    <w:rsid w:val="00C81457"/>
    <w:rsid w:val="00C814DF"/>
    <w:rsid w:val="00C8152C"/>
    <w:rsid w:val="00C815EE"/>
    <w:rsid w:val="00C817D4"/>
    <w:rsid w:val="00C818D4"/>
    <w:rsid w:val="00C81956"/>
    <w:rsid w:val="00C81B57"/>
    <w:rsid w:val="00C81BE4"/>
    <w:rsid w:val="00C81E28"/>
    <w:rsid w:val="00C823A6"/>
    <w:rsid w:val="00C824D1"/>
    <w:rsid w:val="00C825E5"/>
    <w:rsid w:val="00C8271A"/>
    <w:rsid w:val="00C82A1D"/>
    <w:rsid w:val="00C82ABE"/>
    <w:rsid w:val="00C82AF8"/>
    <w:rsid w:val="00C82EE1"/>
    <w:rsid w:val="00C83005"/>
    <w:rsid w:val="00C8307F"/>
    <w:rsid w:val="00C83221"/>
    <w:rsid w:val="00C83407"/>
    <w:rsid w:val="00C83642"/>
    <w:rsid w:val="00C8384D"/>
    <w:rsid w:val="00C8385E"/>
    <w:rsid w:val="00C83A3F"/>
    <w:rsid w:val="00C83BC2"/>
    <w:rsid w:val="00C83D8E"/>
    <w:rsid w:val="00C83E75"/>
    <w:rsid w:val="00C84128"/>
    <w:rsid w:val="00C84701"/>
    <w:rsid w:val="00C849A8"/>
    <w:rsid w:val="00C84F25"/>
    <w:rsid w:val="00C851DD"/>
    <w:rsid w:val="00C8566E"/>
    <w:rsid w:val="00C85755"/>
    <w:rsid w:val="00C8580F"/>
    <w:rsid w:val="00C85884"/>
    <w:rsid w:val="00C85B8C"/>
    <w:rsid w:val="00C85F86"/>
    <w:rsid w:val="00C85FE4"/>
    <w:rsid w:val="00C86759"/>
    <w:rsid w:val="00C870C6"/>
    <w:rsid w:val="00C871FE"/>
    <w:rsid w:val="00C872E0"/>
    <w:rsid w:val="00C87500"/>
    <w:rsid w:val="00C8751B"/>
    <w:rsid w:val="00C87C7E"/>
    <w:rsid w:val="00C87F5D"/>
    <w:rsid w:val="00C9044F"/>
    <w:rsid w:val="00C907C3"/>
    <w:rsid w:val="00C91336"/>
    <w:rsid w:val="00C92015"/>
    <w:rsid w:val="00C9210C"/>
    <w:rsid w:val="00C92165"/>
    <w:rsid w:val="00C9220F"/>
    <w:rsid w:val="00C92609"/>
    <w:rsid w:val="00C92D22"/>
    <w:rsid w:val="00C92E8F"/>
    <w:rsid w:val="00C92FB3"/>
    <w:rsid w:val="00C930E0"/>
    <w:rsid w:val="00C930FE"/>
    <w:rsid w:val="00C93198"/>
    <w:rsid w:val="00C9325C"/>
    <w:rsid w:val="00C93265"/>
    <w:rsid w:val="00C939CA"/>
    <w:rsid w:val="00C93A32"/>
    <w:rsid w:val="00C93B64"/>
    <w:rsid w:val="00C93FBA"/>
    <w:rsid w:val="00C9414E"/>
    <w:rsid w:val="00C9425A"/>
    <w:rsid w:val="00C943C6"/>
    <w:rsid w:val="00C9450D"/>
    <w:rsid w:val="00C94617"/>
    <w:rsid w:val="00C95183"/>
    <w:rsid w:val="00C95261"/>
    <w:rsid w:val="00C95276"/>
    <w:rsid w:val="00C954C9"/>
    <w:rsid w:val="00C9551A"/>
    <w:rsid w:val="00C9557C"/>
    <w:rsid w:val="00C9564D"/>
    <w:rsid w:val="00C95824"/>
    <w:rsid w:val="00C95B95"/>
    <w:rsid w:val="00C95CA2"/>
    <w:rsid w:val="00C95CE2"/>
    <w:rsid w:val="00C9607A"/>
    <w:rsid w:val="00C9625B"/>
    <w:rsid w:val="00C9652F"/>
    <w:rsid w:val="00C96602"/>
    <w:rsid w:val="00C96856"/>
    <w:rsid w:val="00C969DD"/>
    <w:rsid w:val="00C97163"/>
    <w:rsid w:val="00C976DF"/>
    <w:rsid w:val="00C976E0"/>
    <w:rsid w:val="00C977FC"/>
    <w:rsid w:val="00C97815"/>
    <w:rsid w:val="00C97D4E"/>
    <w:rsid w:val="00CA0136"/>
    <w:rsid w:val="00CA01FB"/>
    <w:rsid w:val="00CA0256"/>
    <w:rsid w:val="00CA02E2"/>
    <w:rsid w:val="00CA083C"/>
    <w:rsid w:val="00CA0AC4"/>
    <w:rsid w:val="00CA0CB1"/>
    <w:rsid w:val="00CA0D27"/>
    <w:rsid w:val="00CA1545"/>
    <w:rsid w:val="00CA1547"/>
    <w:rsid w:val="00CA1AF6"/>
    <w:rsid w:val="00CA1B83"/>
    <w:rsid w:val="00CA1DE8"/>
    <w:rsid w:val="00CA1F58"/>
    <w:rsid w:val="00CA23A1"/>
    <w:rsid w:val="00CA267C"/>
    <w:rsid w:val="00CA2863"/>
    <w:rsid w:val="00CA29A3"/>
    <w:rsid w:val="00CA29AF"/>
    <w:rsid w:val="00CA3533"/>
    <w:rsid w:val="00CA356D"/>
    <w:rsid w:val="00CA3CBA"/>
    <w:rsid w:val="00CA3F9A"/>
    <w:rsid w:val="00CA41FC"/>
    <w:rsid w:val="00CA482F"/>
    <w:rsid w:val="00CA4B13"/>
    <w:rsid w:val="00CA4BED"/>
    <w:rsid w:val="00CA564D"/>
    <w:rsid w:val="00CA5672"/>
    <w:rsid w:val="00CA572D"/>
    <w:rsid w:val="00CA5868"/>
    <w:rsid w:val="00CA58B8"/>
    <w:rsid w:val="00CA5A64"/>
    <w:rsid w:val="00CA5B52"/>
    <w:rsid w:val="00CA5BA5"/>
    <w:rsid w:val="00CA5BF5"/>
    <w:rsid w:val="00CA5CB3"/>
    <w:rsid w:val="00CA5D6F"/>
    <w:rsid w:val="00CA6109"/>
    <w:rsid w:val="00CA658E"/>
    <w:rsid w:val="00CA690B"/>
    <w:rsid w:val="00CA6977"/>
    <w:rsid w:val="00CA6EE0"/>
    <w:rsid w:val="00CA74E2"/>
    <w:rsid w:val="00CA769D"/>
    <w:rsid w:val="00CA772A"/>
    <w:rsid w:val="00CA7A68"/>
    <w:rsid w:val="00CA7CF6"/>
    <w:rsid w:val="00CA7DB0"/>
    <w:rsid w:val="00CB0125"/>
    <w:rsid w:val="00CB01A0"/>
    <w:rsid w:val="00CB0883"/>
    <w:rsid w:val="00CB0FA4"/>
    <w:rsid w:val="00CB0FB9"/>
    <w:rsid w:val="00CB104A"/>
    <w:rsid w:val="00CB1616"/>
    <w:rsid w:val="00CB23DE"/>
    <w:rsid w:val="00CB2777"/>
    <w:rsid w:val="00CB2A52"/>
    <w:rsid w:val="00CB2A7B"/>
    <w:rsid w:val="00CB2AEB"/>
    <w:rsid w:val="00CB2B5B"/>
    <w:rsid w:val="00CB2EE9"/>
    <w:rsid w:val="00CB308A"/>
    <w:rsid w:val="00CB33CF"/>
    <w:rsid w:val="00CB345F"/>
    <w:rsid w:val="00CB3588"/>
    <w:rsid w:val="00CB39AB"/>
    <w:rsid w:val="00CB45E3"/>
    <w:rsid w:val="00CB506B"/>
    <w:rsid w:val="00CB5320"/>
    <w:rsid w:val="00CB53E4"/>
    <w:rsid w:val="00CB56F5"/>
    <w:rsid w:val="00CB579C"/>
    <w:rsid w:val="00CB5B0D"/>
    <w:rsid w:val="00CB5B24"/>
    <w:rsid w:val="00CB656F"/>
    <w:rsid w:val="00CB65F0"/>
    <w:rsid w:val="00CB6AFA"/>
    <w:rsid w:val="00CB72FC"/>
    <w:rsid w:val="00CB75CA"/>
    <w:rsid w:val="00CB7D9A"/>
    <w:rsid w:val="00CB7F6E"/>
    <w:rsid w:val="00CB7FAF"/>
    <w:rsid w:val="00CC04D5"/>
    <w:rsid w:val="00CC06DF"/>
    <w:rsid w:val="00CC0B11"/>
    <w:rsid w:val="00CC1331"/>
    <w:rsid w:val="00CC135C"/>
    <w:rsid w:val="00CC15F2"/>
    <w:rsid w:val="00CC1715"/>
    <w:rsid w:val="00CC1757"/>
    <w:rsid w:val="00CC1794"/>
    <w:rsid w:val="00CC1875"/>
    <w:rsid w:val="00CC1D2B"/>
    <w:rsid w:val="00CC1F0C"/>
    <w:rsid w:val="00CC20BC"/>
    <w:rsid w:val="00CC2809"/>
    <w:rsid w:val="00CC2AB5"/>
    <w:rsid w:val="00CC2AE9"/>
    <w:rsid w:val="00CC2B07"/>
    <w:rsid w:val="00CC2DF8"/>
    <w:rsid w:val="00CC31D1"/>
    <w:rsid w:val="00CC3CDB"/>
    <w:rsid w:val="00CC46DD"/>
    <w:rsid w:val="00CC4A72"/>
    <w:rsid w:val="00CC4D86"/>
    <w:rsid w:val="00CC5303"/>
    <w:rsid w:val="00CC53B6"/>
    <w:rsid w:val="00CC54CF"/>
    <w:rsid w:val="00CC5887"/>
    <w:rsid w:val="00CC58CA"/>
    <w:rsid w:val="00CC5B30"/>
    <w:rsid w:val="00CC5D04"/>
    <w:rsid w:val="00CC626C"/>
    <w:rsid w:val="00CC6675"/>
    <w:rsid w:val="00CC6A87"/>
    <w:rsid w:val="00CC70DE"/>
    <w:rsid w:val="00CC75C4"/>
    <w:rsid w:val="00CC7655"/>
    <w:rsid w:val="00CC7CEC"/>
    <w:rsid w:val="00CC7D71"/>
    <w:rsid w:val="00CC7E7F"/>
    <w:rsid w:val="00CD0052"/>
    <w:rsid w:val="00CD0140"/>
    <w:rsid w:val="00CD0254"/>
    <w:rsid w:val="00CD0389"/>
    <w:rsid w:val="00CD04C6"/>
    <w:rsid w:val="00CD08D8"/>
    <w:rsid w:val="00CD0CFB"/>
    <w:rsid w:val="00CD0FB6"/>
    <w:rsid w:val="00CD11EC"/>
    <w:rsid w:val="00CD1300"/>
    <w:rsid w:val="00CD1364"/>
    <w:rsid w:val="00CD13A9"/>
    <w:rsid w:val="00CD140E"/>
    <w:rsid w:val="00CD14A7"/>
    <w:rsid w:val="00CD15CB"/>
    <w:rsid w:val="00CD17F0"/>
    <w:rsid w:val="00CD1F8B"/>
    <w:rsid w:val="00CD20F0"/>
    <w:rsid w:val="00CD2142"/>
    <w:rsid w:val="00CD27E8"/>
    <w:rsid w:val="00CD2828"/>
    <w:rsid w:val="00CD2A49"/>
    <w:rsid w:val="00CD2B06"/>
    <w:rsid w:val="00CD351F"/>
    <w:rsid w:val="00CD3B43"/>
    <w:rsid w:val="00CD3CE5"/>
    <w:rsid w:val="00CD3FF6"/>
    <w:rsid w:val="00CD401B"/>
    <w:rsid w:val="00CD434A"/>
    <w:rsid w:val="00CD435F"/>
    <w:rsid w:val="00CD46D6"/>
    <w:rsid w:val="00CD46DD"/>
    <w:rsid w:val="00CD49AC"/>
    <w:rsid w:val="00CD4C8C"/>
    <w:rsid w:val="00CD4CA4"/>
    <w:rsid w:val="00CD50D7"/>
    <w:rsid w:val="00CD51AA"/>
    <w:rsid w:val="00CD52AC"/>
    <w:rsid w:val="00CD634C"/>
    <w:rsid w:val="00CD63DB"/>
    <w:rsid w:val="00CD685F"/>
    <w:rsid w:val="00CD6AB9"/>
    <w:rsid w:val="00CD6B78"/>
    <w:rsid w:val="00CD6B7F"/>
    <w:rsid w:val="00CD73BF"/>
    <w:rsid w:val="00CD767B"/>
    <w:rsid w:val="00CD7AF1"/>
    <w:rsid w:val="00CD7FBF"/>
    <w:rsid w:val="00CE0131"/>
    <w:rsid w:val="00CE0325"/>
    <w:rsid w:val="00CE04AC"/>
    <w:rsid w:val="00CE0869"/>
    <w:rsid w:val="00CE1406"/>
    <w:rsid w:val="00CE14AC"/>
    <w:rsid w:val="00CE1803"/>
    <w:rsid w:val="00CE1D0F"/>
    <w:rsid w:val="00CE23A8"/>
    <w:rsid w:val="00CE2D8C"/>
    <w:rsid w:val="00CE2FCD"/>
    <w:rsid w:val="00CE3106"/>
    <w:rsid w:val="00CE33DF"/>
    <w:rsid w:val="00CE37B9"/>
    <w:rsid w:val="00CE3A6D"/>
    <w:rsid w:val="00CE3C05"/>
    <w:rsid w:val="00CE3D2A"/>
    <w:rsid w:val="00CE4267"/>
    <w:rsid w:val="00CE4413"/>
    <w:rsid w:val="00CE451B"/>
    <w:rsid w:val="00CE4858"/>
    <w:rsid w:val="00CE4A50"/>
    <w:rsid w:val="00CE4BE4"/>
    <w:rsid w:val="00CE5626"/>
    <w:rsid w:val="00CE5790"/>
    <w:rsid w:val="00CE5B83"/>
    <w:rsid w:val="00CE6177"/>
    <w:rsid w:val="00CE62A4"/>
    <w:rsid w:val="00CE674B"/>
    <w:rsid w:val="00CE68A2"/>
    <w:rsid w:val="00CE6FF0"/>
    <w:rsid w:val="00CE6FF1"/>
    <w:rsid w:val="00CE7624"/>
    <w:rsid w:val="00CE7B73"/>
    <w:rsid w:val="00CE7CA7"/>
    <w:rsid w:val="00CE7D89"/>
    <w:rsid w:val="00CE7E52"/>
    <w:rsid w:val="00CF02FD"/>
    <w:rsid w:val="00CF0799"/>
    <w:rsid w:val="00CF0918"/>
    <w:rsid w:val="00CF095A"/>
    <w:rsid w:val="00CF0B24"/>
    <w:rsid w:val="00CF0F51"/>
    <w:rsid w:val="00CF14B4"/>
    <w:rsid w:val="00CF1B2E"/>
    <w:rsid w:val="00CF1E5E"/>
    <w:rsid w:val="00CF202C"/>
    <w:rsid w:val="00CF2135"/>
    <w:rsid w:val="00CF22D3"/>
    <w:rsid w:val="00CF22ED"/>
    <w:rsid w:val="00CF2451"/>
    <w:rsid w:val="00CF25DC"/>
    <w:rsid w:val="00CF26E4"/>
    <w:rsid w:val="00CF2765"/>
    <w:rsid w:val="00CF2A2A"/>
    <w:rsid w:val="00CF2B3D"/>
    <w:rsid w:val="00CF2BF4"/>
    <w:rsid w:val="00CF2D76"/>
    <w:rsid w:val="00CF307B"/>
    <w:rsid w:val="00CF3DD7"/>
    <w:rsid w:val="00CF3F24"/>
    <w:rsid w:val="00CF4024"/>
    <w:rsid w:val="00CF41D0"/>
    <w:rsid w:val="00CF4376"/>
    <w:rsid w:val="00CF4459"/>
    <w:rsid w:val="00CF44FA"/>
    <w:rsid w:val="00CF4501"/>
    <w:rsid w:val="00CF47ED"/>
    <w:rsid w:val="00CF4848"/>
    <w:rsid w:val="00CF4E15"/>
    <w:rsid w:val="00CF4F43"/>
    <w:rsid w:val="00CF51BE"/>
    <w:rsid w:val="00CF51D1"/>
    <w:rsid w:val="00CF5395"/>
    <w:rsid w:val="00CF57C9"/>
    <w:rsid w:val="00CF5C07"/>
    <w:rsid w:val="00CF5F40"/>
    <w:rsid w:val="00CF6000"/>
    <w:rsid w:val="00CF6577"/>
    <w:rsid w:val="00CF689D"/>
    <w:rsid w:val="00CF68FB"/>
    <w:rsid w:val="00CF6B22"/>
    <w:rsid w:val="00CF6B75"/>
    <w:rsid w:val="00CF6B88"/>
    <w:rsid w:val="00CF7178"/>
    <w:rsid w:val="00CF7361"/>
    <w:rsid w:val="00CF7632"/>
    <w:rsid w:val="00CF799B"/>
    <w:rsid w:val="00CF7D5D"/>
    <w:rsid w:val="00CF7DDA"/>
    <w:rsid w:val="00D0030D"/>
    <w:rsid w:val="00D0033B"/>
    <w:rsid w:val="00D00717"/>
    <w:rsid w:val="00D00C0B"/>
    <w:rsid w:val="00D00CAF"/>
    <w:rsid w:val="00D00DC4"/>
    <w:rsid w:val="00D014F5"/>
    <w:rsid w:val="00D01530"/>
    <w:rsid w:val="00D01C2A"/>
    <w:rsid w:val="00D01CE1"/>
    <w:rsid w:val="00D02149"/>
    <w:rsid w:val="00D02263"/>
    <w:rsid w:val="00D02768"/>
    <w:rsid w:val="00D02889"/>
    <w:rsid w:val="00D0289C"/>
    <w:rsid w:val="00D02A83"/>
    <w:rsid w:val="00D02B2F"/>
    <w:rsid w:val="00D02B7C"/>
    <w:rsid w:val="00D02C75"/>
    <w:rsid w:val="00D02E77"/>
    <w:rsid w:val="00D0336B"/>
    <w:rsid w:val="00D0374C"/>
    <w:rsid w:val="00D039E5"/>
    <w:rsid w:val="00D03A17"/>
    <w:rsid w:val="00D03A50"/>
    <w:rsid w:val="00D03C55"/>
    <w:rsid w:val="00D0417B"/>
    <w:rsid w:val="00D041B3"/>
    <w:rsid w:val="00D0464D"/>
    <w:rsid w:val="00D04696"/>
    <w:rsid w:val="00D04975"/>
    <w:rsid w:val="00D049E3"/>
    <w:rsid w:val="00D04E11"/>
    <w:rsid w:val="00D04EEA"/>
    <w:rsid w:val="00D04F1A"/>
    <w:rsid w:val="00D052EF"/>
    <w:rsid w:val="00D055F8"/>
    <w:rsid w:val="00D0582D"/>
    <w:rsid w:val="00D058D2"/>
    <w:rsid w:val="00D05E53"/>
    <w:rsid w:val="00D06978"/>
    <w:rsid w:val="00D069A2"/>
    <w:rsid w:val="00D06C7F"/>
    <w:rsid w:val="00D06ED7"/>
    <w:rsid w:val="00D0738A"/>
    <w:rsid w:val="00D07A21"/>
    <w:rsid w:val="00D07D02"/>
    <w:rsid w:val="00D0B23D"/>
    <w:rsid w:val="00D10185"/>
    <w:rsid w:val="00D10467"/>
    <w:rsid w:val="00D10B25"/>
    <w:rsid w:val="00D10B74"/>
    <w:rsid w:val="00D10BD2"/>
    <w:rsid w:val="00D10C26"/>
    <w:rsid w:val="00D110E7"/>
    <w:rsid w:val="00D1124D"/>
    <w:rsid w:val="00D115EA"/>
    <w:rsid w:val="00D11603"/>
    <w:rsid w:val="00D121B1"/>
    <w:rsid w:val="00D122EE"/>
    <w:rsid w:val="00D1235D"/>
    <w:rsid w:val="00D1297D"/>
    <w:rsid w:val="00D1298B"/>
    <w:rsid w:val="00D12A44"/>
    <w:rsid w:val="00D12A98"/>
    <w:rsid w:val="00D12FDE"/>
    <w:rsid w:val="00D13420"/>
    <w:rsid w:val="00D1377A"/>
    <w:rsid w:val="00D13BC5"/>
    <w:rsid w:val="00D13D20"/>
    <w:rsid w:val="00D13F32"/>
    <w:rsid w:val="00D14311"/>
    <w:rsid w:val="00D1468C"/>
    <w:rsid w:val="00D148FF"/>
    <w:rsid w:val="00D14EB9"/>
    <w:rsid w:val="00D151DA"/>
    <w:rsid w:val="00D154B1"/>
    <w:rsid w:val="00D1553C"/>
    <w:rsid w:val="00D15577"/>
    <w:rsid w:val="00D15615"/>
    <w:rsid w:val="00D15660"/>
    <w:rsid w:val="00D156B3"/>
    <w:rsid w:val="00D156BC"/>
    <w:rsid w:val="00D156F9"/>
    <w:rsid w:val="00D15E00"/>
    <w:rsid w:val="00D16225"/>
    <w:rsid w:val="00D163CC"/>
    <w:rsid w:val="00D1672B"/>
    <w:rsid w:val="00D16828"/>
    <w:rsid w:val="00D16DAA"/>
    <w:rsid w:val="00D16EAD"/>
    <w:rsid w:val="00D16FED"/>
    <w:rsid w:val="00D170C7"/>
    <w:rsid w:val="00D170D3"/>
    <w:rsid w:val="00D17387"/>
    <w:rsid w:val="00D1750A"/>
    <w:rsid w:val="00D177D8"/>
    <w:rsid w:val="00D179C3"/>
    <w:rsid w:val="00D17EE2"/>
    <w:rsid w:val="00D20381"/>
    <w:rsid w:val="00D204EF"/>
    <w:rsid w:val="00D20521"/>
    <w:rsid w:val="00D2065D"/>
    <w:rsid w:val="00D2085F"/>
    <w:rsid w:val="00D208CF"/>
    <w:rsid w:val="00D20BA8"/>
    <w:rsid w:val="00D20C23"/>
    <w:rsid w:val="00D20E16"/>
    <w:rsid w:val="00D21018"/>
    <w:rsid w:val="00D21471"/>
    <w:rsid w:val="00D21753"/>
    <w:rsid w:val="00D21B0E"/>
    <w:rsid w:val="00D21F0A"/>
    <w:rsid w:val="00D221DC"/>
    <w:rsid w:val="00D2245A"/>
    <w:rsid w:val="00D2247E"/>
    <w:rsid w:val="00D226B7"/>
    <w:rsid w:val="00D228A0"/>
    <w:rsid w:val="00D229EF"/>
    <w:rsid w:val="00D23275"/>
    <w:rsid w:val="00D23309"/>
    <w:rsid w:val="00D23355"/>
    <w:rsid w:val="00D23410"/>
    <w:rsid w:val="00D23596"/>
    <w:rsid w:val="00D237CE"/>
    <w:rsid w:val="00D238C6"/>
    <w:rsid w:val="00D23D47"/>
    <w:rsid w:val="00D23F60"/>
    <w:rsid w:val="00D23F91"/>
    <w:rsid w:val="00D24149"/>
    <w:rsid w:val="00D243E7"/>
    <w:rsid w:val="00D24936"/>
    <w:rsid w:val="00D24A94"/>
    <w:rsid w:val="00D24C46"/>
    <w:rsid w:val="00D24D4A"/>
    <w:rsid w:val="00D250CF"/>
    <w:rsid w:val="00D25388"/>
    <w:rsid w:val="00D255B2"/>
    <w:rsid w:val="00D25666"/>
    <w:rsid w:val="00D2597A"/>
    <w:rsid w:val="00D25D01"/>
    <w:rsid w:val="00D2615A"/>
    <w:rsid w:val="00D26338"/>
    <w:rsid w:val="00D2656F"/>
    <w:rsid w:val="00D26673"/>
    <w:rsid w:val="00D267B8"/>
    <w:rsid w:val="00D267E7"/>
    <w:rsid w:val="00D26A42"/>
    <w:rsid w:val="00D26B9E"/>
    <w:rsid w:val="00D26C72"/>
    <w:rsid w:val="00D26FFC"/>
    <w:rsid w:val="00D276A9"/>
    <w:rsid w:val="00D279F1"/>
    <w:rsid w:val="00D27C3C"/>
    <w:rsid w:val="00D30181"/>
    <w:rsid w:val="00D30565"/>
    <w:rsid w:val="00D30706"/>
    <w:rsid w:val="00D307D7"/>
    <w:rsid w:val="00D30A67"/>
    <w:rsid w:val="00D30B69"/>
    <w:rsid w:val="00D30DDB"/>
    <w:rsid w:val="00D30E4E"/>
    <w:rsid w:val="00D30FE1"/>
    <w:rsid w:val="00D31299"/>
    <w:rsid w:val="00D31519"/>
    <w:rsid w:val="00D31760"/>
    <w:rsid w:val="00D319CA"/>
    <w:rsid w:val="00D31A4E"/>
    <w:rsid w:val="00D31D0A"/>
    <w:rsid w:val="00D32258"/>
    <w:rsid w:val="00D325A3"/>
    <w:rsid w:val="00D32E45"/>
    <w:rsid w:val="00D330AF"/>
    <w:rsid w:val="00D335B8"/>
    <w:rsid w:val="00D33D4D"/>
    <w:rsid w:val="00D33EF9"/>
    <w:rsid w:val="00D34163"/>
    <w:rsid w:val="00D343BB"/>
    <w:rsid w:val="00D3453A"/>
    <w:rsid w:val="00D34561"/>
    <w:rsid w:val="00D3471C"/>
    <w:rsid w:val="00D3473A"/>
    <w:rsid w:val="00D348F8"/>
    <w:rsid w:val="00D349D9"/>
    <w:rsid w:val="00D34CDF"/>
    <w:rsid w:val="00D34DA7"/>
    <w:rsid w:val="00D34E40"/>
    <w:rsid w:val="00D356B1"/>
    <w:rsid w:val="00D359C7"/>
    <w:rsid w:val="00D35AB0"/>
    <w:rsid w:val="00D35C95"/>
    <w:rsid w:val="00D35EB6"/>
    <w:rsid w:val="00D35FC0"/>
    <w:rsid w:val="00D36A5F"/>
    <w:rsid w:val="00D36CCA"/>
    <w:rsid w:val="00D36DCC"/>
    <w:rsid w:val="00D36F52"/>
    <w:rsid w:val="00D36F8E"/>
    <w:rsid w:val="00D37167"/>
    <w:rsid w:val="00D3747A"/>
    <w:rsid w:val="00D3747B"/>
    <w:rsid w:val="00D37BD6"/>
    <w:rsid w:val="00D37D1B"/>
    <w:rsid w:val="00D37D33"/>
    <w:rsid w:val="00D37DCF"/>
    <w:rsid w:val="00D37E92"/>
    <w:rsid w:val="00D401B2"/>
    <w:rsid w:val="00D4024B"/>
    <w:rsid w:val="00D40573"/>
    <w:rsid w:val="00D40763"/>
    <w:rsid w:val="00D40A5B"/>
    <w:rsid w:val="00D40AFF"/>
    <w:rsid w:val="00D41373"/>
    <w:rsid w:val="00D4144E"/>
    <w:rsid w:val="00D41B06"/>
    <w:rsid w:val="00D41C1D"/>
    <w:rsid w:val="00D41CFD"/>
    <w:rsid w:val="00D41D0D"/>
    <w:rsid w:val="00D41DDB"/>
    <w:rsid w:val="00D41DEF"/>
    <w:rsid w:val="00D42015"/>
    <w:rsid w:val="00D420B3"/>
    <w:rsid w:val="00D42369"/>
    <w:rsid w:val="00D42725"/>
    <w:rsid w:val="00D428A2"/>
    <w:rsid w:val="00D431AD"/>
    <w:rsid w:val="00D438D7"/>
    <w:rsid w:val="00D43AF1"/>
    <w:rsid w:val="00D43D09"/>
    <w:rsid w:val="00D43EC5"/>
    <w:rsid w:val="00D43F21"/>
    <w:rsid w:val="00D4415B"/>
    <w:rsid w:val="00D444CD"/>
    <w:rsid w:val="00D448FA"/>
    <w:rsid w:val="00D44DE3"/>
    <w:rsid w:val="00D45164"/>
    <w:rsid w:val="00D45711"/>
    <w:rsid w:val="00D45738"/>
    <w:rsid w:val="00D457C0"/>
    <w:rsid w:val="00D45ADC"/>
    <w:rsid w:val="00D45DEA"/>
    <w:rsid w:val="00D45EC1"/>
    <w:rsid w:val="00D45F12"/>
    <w:rsid w:val="00D463D5"/>
    <w:rsid w:val="00D46611"/>
    <w:rsid w:val="00D46939"/>
    <w:rsid w:val="00D46EE6"/>
    <w:rsid w:val="00D46F10"/>
    <w:rsid w:val="00D47003"/>
    <w:rsid w:val="00D475F0"/>
    <w:rsid w:val="00D47637"/>
    <w:rsid w:val="00D50258"/>
    <w:rsid w:val="00D5033A"/>
    <w:rsid w:val="00D5068A"/>
    <w:rsid w:val="00D50912"/>
    <w:rsid w:val="00D50950"/>
    <w:rsid w:val="00D509B9"/>
    <w:rsid w:val="00D50ACF"/>
    <w:rsid w:val="00D50C95"/>
    <w:rsid w:val="00D51015"/>
    <w:rsid w:val="00D5107A"/>
    <w:rsid w:val="00D5109B"/>
    <w:rsid w:val="00D51219"/>
    <w:rsid w:val="00D51841"/>
    <w:rsid w:val="00D51944"/>
    <w:rsid w:val="00D51AA5"/>
    <w:rsid w:val="00D52507"/>
    <w:rsid w:val="00D52729"/>
    <w:rsid w:val="00D528DE"/>
    <w:rsid w:val="00D52C0C"/>
    <w:rsid w:val="00D52E32"/>
    <w:rsid w:val="00D5302B"/>
    <w:rsid w:val="00D53191"/>
    <w:rsid w:val="00D533C8"/>
    <w:rsid w:val="00D534F4"/>
    <w:rsid w:val="00D53975"/>
    <w:rsid w:val="00D5421F"/>
    <w:rsid w:val="00D54263"/>
    <w:rsid w:val="00D5459E"/>
    <w:rsid w:val="00D5472E"/>
    <w:rsid w:val="00D54B4E"/>
    <w:rsid w:val="00D54D10"/>
    <w:rsid w:val="00D54D1F"/>
    <w:rsid w:val="00D54F75"/>
    <w:rsid w:val="00D54FB3"/>
    <w:rsid w:val="00D553B3"/>
    <w:rsid w:val="00D5554A"/>
    <w:rsid w:val="00D55991"/>
    <w:rsid w:val="00D55A2C"/>
    <w:rsid w:val="00D55E7E"/>
    <w:rsid w:val="00D56772"/>
    <w:rsid w:val="00D5685D"/>
    <w:rsid w:val="00D56B26"/>
    <w:rsid w:val="00D56F58"/>
    <w:rsid w:val="00D57312"/>
    <w:rsid w:val="00D57525"/>
    <w:rsid w:val="00D578C5"/>
    <w:rsid w:val="00D57BE9"/>
    <w:rsid w:val="00D57C78"/>
    <w:rsid w:val="00D57CAD"/>
    <w:rsid w:val="00D600A3"/>
    <w:rsid w:val="00D6032C"/>
    <w:rsid w:val="00D604A6"/>
    <w:rsid w:val="00D60A71"/>
    <w:rsid w:val="00D60B44"/>
    <w:rsid w:val="00D60D7E"/>
    <w:rsid w:val="00D611A7"/>
    <w:rsid w:val="00D61439"/>
    <w:rsid w:val="00D61B6B"/>
    <w:rsid w:val="00D61DF1"/>
    <w:rsid w:val="00D61E49"/>
    <w:rsid w:val="00D61EEF"/>
    <w:rsid w:val="00D62046"/>
    <w:rsid w:val="00D62433"/>
    <w:rsid w:val="00D62460"/>
    <w:rsid w:val="00D62618"/>
    <w:rsid w:val="00D626AE"/>
    <w:rsid w:val="00D62863"/>
    <w:rsid w:val="00D6293D"/>
    <w:rsid w:val="00D62A27"/>
    <w:rsid w:val="00D637EA"/>
    <w:rsid w:val="00D63BCF"/>
    <w:rsid w:val="00D63D5F"/>
    <w:rsid w:val="00D63F54"/>
    <w:rsid w:val="00D647CE"/>
    <w:rsid w:val="00D64A74"/>
    <w:rsid w:val="00D64FD5"/>
    <w:rsid w:val="00D6519E"/>
    <w:rsid w:val="00D65302"/>
    <w:rsid w:val="00D65B3B"/>
    <w:rsid w:val="00D65F08"/>
    <w:rsid w:val="00D66456"/>
    <w:rsid w:val="00D665C4"/>
    <w:rsid w:val="00D669BC"/>
    <w:rsid w:val="00D669FD"/>
    <w:rsid w:val="00D66E6C"/>
    <w:rsid w:val="00D67383"/>
    <w:rsid w:val="00D67899"/>
    <w:rsid w:val="00D679E3"/>
    <w:rsid w:val="00D67CF8"/>
    <w:rsid w:val="00D70055"/>
    <w:rsid w:val="00D70971"/>
    <w:rsid w:val="00D70D4F"/>
    <w:rsid w:val="00D70F23"/>
    <w:rsid w:val="00D70F86"/>
    <w:rsid w:val="00D7134D"/>
    <w:rsid w:val="00D71863"/>
    <w:rsid w:val="00D719AD"/>
    <w:rsid w:val="00D71ABB"/>
    <w:rsid w:val="00D71CE2"/>
    <w:rsid w:val="00D71CEB"/>
    <w:rsid w:val="00D71D91"/>
    <w:rsid w:val="00D71F0C"/>
    <w:rsid w:val="00D72392"/>
    <w:rsid w:val="00D7276A"/>
    <w:rsid w:val="00D73056"/>
    <w:rsid w:val="00D73963"/>
    <w:rsid w:val="00D73CCE"/>
    <w:rsid w:val="00D73CD8"/>
    <w:rsid w:val="00D7431A"/>
    <w:rsid w:val="00D7433F"/>
    <w:rsid w:val="00D74359"/>
    <w:rsid w:val="00D7471B"/>
    <w:rsid w:val="00D74805"/>
    <w:rsid w:val="00D74A98"/>
    <w:rsid w:val="00D74C4E"/>
    <w:rsid w:val="00D74D0B"/>
    <w:rsid w:val="00D74D23"/>
    <w:rsid w:val="00D756BF"/>
    <w:rsid w:val="00D75B05"/>
    <w:rsid w:val="00D75EBA"/>
    <w:rsid w:val="00D75F92"/>
    <w:rsid w:val="00D76365"/>
    <w:rsid w:val="00D76D3F"/>
    <w:rsid w:val="00D774F6"/>
    <w:rsid w:val="00D77578"/>
    <w:rsid w:val="00D7759F"/>
    <w:rsid w:val="00D7770E"/>
    <w:rsid w:val="00D778A0"/>
    <w:rsid w:val="00D77A56"/>
    <w:rsid w:val="00D77B9F"/>
    <w:rsid w:val="00D80107"/>
    <w:rsid w:val="00D804B9"/>
    <w:rsid w:val="00D80581"/>
    <w:rsid w:val="00D80692"/>
    <w:rsid w:val="00D80747"/>
    <w:rsid w:val="00D80845"/>
    <w:rsid w:val="00D80946"/>
    <w:rsid w:val="00D80EE5"/>
    <w:rsid w:val="00D81049"/>
    <w:rsid w:val="00D81562"/>
    <w:rsid w:val="00D819E1"/>
    <w:rsid w:val="00D823DC"/>
    <w:rsid w:val="00D8247F"/>
    <w:rsid w:val="00D824B2"/>
    <w:rsid w:val="00D82643"/>
    <w:rsid w:val="00D828F0"/>
    <w:rsid w:val="00D82D55"/>
    <w:rsid w:val="00D82E30"/>
    <w:rsid w:val="00D82EEE"/>
    <w:rsid w:val="00D837E3"/>
    <w:rsid w:val="00D838B9"/>
    <w:rsid w:val="00D83A9D"/>
    <w:rsid w:val="00D83BF3"/>
    <w:rsid w:val="00D844E9"/>
    <w:rsid w:val="00D84538"/>
    <w:rsid w:val="00D84690"/>
    <w:rsid w:val="00D84DD5"/>
    <w:rsid w:val="00D851FB"/>
    <w:rsid w:val="00D85282"/>
    <w:rsid w:val="00D8576F"/>
    <w:rsid w:val="00D858C3"/>
    <w:rsid w:val="00D85A7C"/>
    <w:rsid w:val="00D85A9E"/>
    <w:rsid w:val="00D85D15"/>
    <w:rsid w:val="00D8623B"/>
    <w:rsid w:val="00D863C8"/>
    <w:rsid w:val="00D866B8"/>
    <w:rsid w:val="00D86714"/>
    <w:rsid w:val="00D86800"/>
    <w:rsid w:val="00D86D3B"/>
    <w:rsid w:val="00D86D82"/>
    <w:rsid w:val="00D86F47"/>
    <w:rsid w:val="00D87724"/>
    <w:rsid w:val="00D87A79"/>
    <w:rsid w:val="00D87A83"/>
    <w:rsid w:val="00D87D2C"/>
    <w:rsid w:val="00D87D5B"/>
    <w:rsid w:val="00D90093"/>
    <w:rsid w:val="00D904C9"/>
    <w:rsid w:val="00D906EB"/>
    <w:rsid w:val="00D907D6"/>
    <w:rsid w:val="00D90A03"/>
    <w:rsid w:val="00D90B9F"/>
    <w:rsid w:val="00D90CF2"/>
    <w:rsid w:val="00D90D28"/>
    <w:rsid w:val="00D90DCA"/>
    <w:rsid w:val="00D9112D"/>
    <w:rsid w:val="00D91515"/>
    <w:rsid w:val="00D91670"/>
    <w:rsid w:val="00D91863"/>
    <w:rsid w:val="00D91A43"/>
    <w:rsid w:val="00D91C08"/>
    <w:rsid w:val="00D922ED"/>
    <w:rsid w:val="00D934FA"/>
    <w:rsid w:val="00D93D59"/>
    <w:rsid w:val="00D93F38"/>
    <w:rsid w:val="00D94014"/>
    <w:rsid w:val="00D9429B"/>
    <w:rsid w:val="00D9448A"/>
    <w:rsid w:val="00D9450C"/>
    <w:rsid w:val="00D94533"/>
    <w:rsid w:val="00D945F2"/>
    <w:rsid w:val="00D9465C"/>
    <w:rsid w:val="00D946D1"/>
    <w:rsid w:val="00D947B6"/>
    <w:rsid w:val="00D94AAD"/>
    <w:rsid w:val="00D952AA"/>
    <w:rsid w:val="00D9557F"/>
    <w:rsid w:val="00D955BF"/>
    <w:rsid w:val="00D95C2C"/>
    <w:rsid w:val="00D963C7"/>
    <w:rsid w:val="00D96797"/>
    <w:rsid w:val="00D96C52"/>
    <w:rsid w:val="00D970EF"/>
    <w:rsid w:val="00D972E5"/>
    <w:rsid w:val="00D973DD"/>
    <w:rsid w:val="00D978E2"/>
    <w:rsid w:val="00D9798C"/>
    <w:rsid w:val="00D97A2E"/>
    <w:rsid w:val="00D97B25"/>
    <w:rsid w:val="00D97BCF"/>
    <w:rsid w:val="00D97DA0"/>
    <w:rsid w:val="00D97E48"/>
    <w:rsid w:val="00D97FC2"/>
    <w:rsid w:val="00DA002B"/>
    <w:rsid w:val="00DA005C"/>
    <w:rsid w:val="00DA0309"/>
    <w:rsid w:val="00DA052E"/>
    <w:rsid w:val="00DA05A1"/>
    <w:rsid w:val="00DA08DE"/>
    <w:rsid w:val="00DA0BCB"/>
    <w:rsid w:val="00DA0DBD"/>
    <w:rsid w:val="00DA0DFE"/>
    <w:rsid w:val="00DA11E6"/>
    <w:rsid w:val="00DA11F7"/>
    <w:rsid w:val="00DA1474"/>
    <w:rsid w:val="00DA1777"/>
    <w:rsid w:val="00DA1B48"/>
    <w:rsid w:val="00DA1FE4"/>
    <w:rsid w:val="00DA21A8"/>
    <w:rsid w:val="00DA2291"/>
    <w:rsid w:val="00DA26DF"/>
    <w:rsid w:val="00DA29FC"/>
    <w:rsid w:val="00DA29FE"/>
    <w:rsid w:val="00DA2B12"/>
    <w:rsid w:val="00DA2C43"/>
    <w:rsid w:val="00DA2E81"/>
    <w:rsid w:val="00DA2F31"/>
    <w:rsid w:val="00DA32D5"/>
    <w:rsid w:val="00DA3323"/>
    <w:rsid w:val="00DA38E1"/>
    <w:rsid w:val="00DA3B23"/>
    <w:rsid w:val="00DA40C7"/>
    <w:rsid w:val="00DA440F"/>
    <w:rsid w:val="00DA45A5"/>
    <w:rsid w:val="00DA472D"/>
    <w:rsid w:val="00DA49F4"/>
    <w:rsid w:val="00DA4D7E"/>
    <w:rsid w:val="00DA5266"/>
    <w:rsid w:val="00DA52CC"/>
    <w:rsid w:val="00DA55A8"/>
    <w:rsid w:val="00DA5CCF"/>
    <w:rsid w:val="00DA5F98"/>
    <w:rsid w:val="00DA6623"/>
    <w:rsid w:val="00DA665F"/>
    <w:rsid w:val="00DA6C61"/>
    <w:rsid w:val="00DA6F14"/>
    <w:rsid w:val="00DA784D"/>
    <w:rsid w:val="00DA7BD5"/>
    <w:rsid w:val="00DB0072"/>
    <w:rsid w:val="00DB0114"/>
    <w:rsid w:val="00DB03C4"/>
    <w:rsid w:val="00DB0DF9"/>
    <w:rsid w:val="00DB0E0D"/>
    <w:rsid w:val="00DB0E5C"/>
    <w:rsid w:val="00DB0E93"/>
    <w:rsid w:val="00DB0F81"/>
    <w:rsid w:val="00DB0FAC"/>
    <w:rsid w:val="00DB1036"/>
    <w:rsid w:val="00DB118E"/>
    <w:rsid w:val="00DB1617"/>
    <w:rsid w:val="00DB163B"/>
    <w:rsid w:val="00DB16C1"/>
    <w:rsid w:val="00DB1775"/>
    <w:rsid w:val="00DB1DDF"/>
    <w:rsid w:val="00DB269B"/>
    <w:rsid w:val="00DB2834"/>
    <w:rsid w:val="00DB28EA"/>
    <w:rsid w:val="00DB2C07"/>
    <w:rsid w:val="00DB31F1"/>
    <w:rsid w:val="00DB32F1"/>
    <w:rsid w:val="00DB376B"/>
    <w:rsid w:val="00DB3821"/>
    <w:rsid w:val="00DB3C46"/>
    <w:rsid w:val="00DB3CA4"/>
    <w:rsid w:val="00DB3F52"/>
    <w:rsid w:val="00DB3F66"/>
    <w:rsid w:val="00DB438B"/>
    <w:rsid w:val="00DB44BC"/>
    <w:rsid w:val="00DB4796"/>
    <w:rsid w:val="00DB48F0"/>
    <w:rsid w:val="00DB5019"/>
    <w:rsid w:val="00DB5205"/>
    <w:rsid w:val="00DB5637"/>
    <w:rsid w:val="00DB56D1"/>
    <w:rsid w:val="00DB586D"/>
    <w:rsid w:val="00DB5A96"/>
    <w:rsid w:val="00DB5D2C"/>
    <w:rsid w:val="00DB5F67"/>
    <w:rsid w:val="00DB60ED"/>
    <w:rsid w:val="00DB61AD"/>
    <w:rsid w:val="00DB67E0"/>
    <w:rsid w:val="00DB70B3"/>
    <w:rsid w:val="00DB7381"/>
    <w:rsid w:val="00DB7421"/>
    <w:rsid w:val="00DB786D"/>
    <w:rsid w:val="00DB7E78"/>
    <w:rsid w:val="00DB7EAB"/>
    <w:rsid w:val="00DB7EFF"/>
    <w:rsid w:val="00DC0280"/>
    <w:rsid w:val="00DC0421"/>
    <w:rsid w:val="00DC05B5"/>
    <w:rsid w:val="00DC06ED"/>
    <w:rsid w:val="00DC081A"/>
    <w:rsid w:val="00DC0CB3"/>
    <w:rsid w:val="00DC0D3E"/>
    <w:rsid w:val="00DC139A"/>
    <w:rsid w:val="00DC14B2"/>
    <w:rsid w:val="00DC1559"/>
    <w:rsid w:val="00DC1594"/>
    <w:rsid w:val="00DC1826"/>
    <w:rsid w:val="00DC1C63"/>
    <w:rsid w:val="00DC1EA1"/>
    <w:rsid w:val="00DC2CBC"/>
    <w:rsid w:val="00DC2D39"/>
    <w:rsid w:val="00DC30B8"/>
    <w:rsid w:val="00DC3210"/>
    <w:rsid w:val="00DC3414"/>
    <w:rsid w:val="00DC3492"/>
    <w:rsid w:val="00DC37C0"/>
    <w:rsid w:val="00DC41DB"/>
    <w:rsid w:val="00DC4535"/>
    <w:rsid w:val="00DC4EFD"/>
    <w:rsid w:val="00DC5376"/>
    <w:rsid w:val="00DC6054"/>
    <w:rsid w:val="00DC60A6"/>
    <w:rsid w:val="00DC6446"/>
    <w:rsid w:val="00DC65A6"/>
    <w:rsid w:val="00DC69FA"/>
    <w:rsid w:val="00DC709A"/>
    <w:rsid w:val="00DC70A1"/>
    <w:rsid w:val="00DC7334"/>
    <w:rsid w:val="00DC75AF"/>
    <w:rsid w:val="00DC79BF"/>
    <w:rsid w:val="00DC7DC1"/>
    <w:rsid w:val="00DD09D4"/>
    <w:rsid w:val="00DD0E3E"/>
    <w:rsid w:val="00DD1709"/>
    <w:rsid w:val="00DD1751"/>
    <w:rsid w:val="00DD1C36"/>
    <w:rsid w:val="00DD22C6"/>
    <w:rsid w:val="00DD2FAD"/>
    <w:rsid w:val="00DD3295"/>
    <w:rsid w:val="00DD3760"/>
    <w:rsid w:val="00DD3E4D"/>
    <w:rsid w:val="00DD414D"/>
    <w:rsid w:val="00DD4206"/>
    <w:rsid w:val="00DD4996"/>
    <w:rsid w:val="00DD53CD"/>
    <w:rsid w:val="00DD5540"/>
    <w:rsid w:val="00DD5661"/>
    <w:rsid w:val="00DD58F3"/>
    <w:rsid w:val="00DD5AF3"/>
    <w:rsid w:val="00DD5B32"/>
    <w:rsid w:val="00DD5DC4"/>
    <w:rsid w:val="00DD5EDB"/>
    <w:rsid w:val="00DD6255"/>
    <w:rsid w:val="00DD6BF0"/>
    <w:rsid w:val="00DD7489"/>
    <w:rsid w:val="00DD7581"/>
    <w:rsid w:val="00DD75D1"/>
    <w:rsid w:val="00DD7ACF"/>
    <w:rsid w:val="00DD7BB0"/>
    <w:rsid w:val="00DD7C9F"/>
    <w:rsid w:val="00DD7E00"/>
    <w:rsid w:val="00DE0000"/>
    <w:rsid w:val="00DE0007"/>
    <w:rsid w:val="00DE065E"/>
    <w:rsid w:val="00DE0BFC"/>
    <w:rsid w:val="00DE0C3D"/>
    <w:rsid w:val="00DE0ED1"/>
    <w:rsid w:val="00DE18F1"/>
    <w:rsid w:val="00DE1954"/>
    <w:rsid w:val="00DE199B"/>
    <w:rsid w:val="00DE1A3D"/>
    <w:rsid w:val="00DE1A96"/>
    <w:rsid w:val="00DE1C15"/>
    <w:rsid w:val="00DE1ED7"/>
    <w:rsid w:val="00DE2349"/>
    <w:rsid w:val="00DE23AB"/>
    <w:rsid w:val="00DE23C8"/>
    <w:rsid w:val="00DE26B5"/>
    <w:rsid w:val="00DE2A2E"/>
    <w:rsid w:val="00DE2C42"/>
    <w:rsid w:val="00DE2E7A"/>
    <w:rsid w:val="00DE31C6"/>
    <w:rsid w:val="00DE3554"/>
    <w:rsid w:val="00DE4049"/>
    <w:rsid w:val="00DE4106"/>
    <w:rsid w:val="00DE412A"/>
    <w:rsid w:val="00DE4179"/>
    <w:rsid w:val="00DE42FA"/>
    <w:rsid w:val="00DE482E"/>
    <w:rsid w:val="00DE4C1C"/>
    <w:rsid w:val="00DE4E07"/>
    <w:rsid w:val="00DE4F3A"/>
    <w:rsid w:val="00DE531B"/>
    <w:rsid w:val="00DE5C79"/>
    <w:rsid w:val="00DE5FAC"/>
    <w:rsid w:val="00DE6764"/>
    <w:rsid w:val="00DE6833"/>
    <w:rsid w:val="00DE68F0"/>
    <w:rsid w:val="00DE6A3D"/>
    <w:rsid w:val="00DE6A41"/>
    <w:rsid w:val="00DE6CAA"/>
    <w:rsid w:val="00DE6F14"/>
    <w:rsid w:val="00DE70FF"/>
    <w:rsid w:val="00DE7103"/>
    <w:rsid w:val="00DE71AB"/>
    <w:rsid w:val="00DE7448"/>
    <w:rsid w:val="00DE7817"/>
    <w:rsid w:val="00DF02DB"/>
    <w:rsid w:val="00DF0787"/>
    <w:rsid w:val="00DF0824"/>
    <w:rsid w:val="00DF0A47"/>
    <w:rsid w:val="00DF0B17"/>
    <w:rsid w:val="00DF0B1B"/>
    <w:rsid w:val="00DF0B61"/>
    <w:rsid w:val="00DF0BA4"/>
    <w:rsid w:val="00DF0CA8"/>
    <w:rsid w:val="00DF0EDF"/>
    <w:rsid w:val="00DF0F9F"/>
    <w:rsid w:val="00DF13A0"/>
    <w:rsid w:val="00DF14DA"/>
    <w:rsid w:val="00DF15F1"/>
    <w:rsid w:val="00DF1C6F"/>
    <w:rsid w:val="00DF1C73"/>
    <w:rsid w:val="00DF1E34"/>
    <w:rsid w:val="00DF2107"/>
    <w:rsid w:val="00DF2389"/>
    <w:rsid w:val="00DF27EC"/>
    <w:rsid w:val="00DF2B8C"/>
    <w:rsid w:val="00DF303B"/>
    <w:rsid w:val="00DF30C3"/>
    <w:rsid w:val="00DF31FF"/>
    <w:rsid w:val="00DF3305"/>
    <w:rsid w:val="00DF33BE"/>
    <w:rsid w:val="00DF38AA"/>
    <w:rsid w:val="00DF3BE7"/>
    <w:rsid w:val="00DF3C98"/>
    <w:rsid w:val="00DF42AC"/>
    <w:rsid w:val="00DF43C8"/>
    <w:rsid w:val="00DF496A"/>
    <w:rsid w:val="00DF4A6F"/>
    <w:rsid w:val="00DF4AE8"/>
    <w:rsid w:val="00DF4B11"/>
    <w:rsid w:val="00DF4B45"/>
    <w:rsid w:val="00DF51A5"/>
    <w:rsid w:val="00DF56BD"/>
    <w:rsid w:val="00DF5B92"/>
    <w:rsid w:val="00DF5E73"/>
    <w:rsid w:val="00DF5ED9"/>
    <w:rsid w:val="00DF5F5A"/>
    <w:rsid w:val="00DF62A6"/>
    <w:rsid w:val="00DF7076"/>
    <w:rsid w:val="00DF7094"/>
    <w:rsid w:val="00DF794E"/>
    <w:rsid w:val="00DF7D6F"/>
    <w:rsid w:val="00DF7E13"/>
    <w:rsid w:val="00DF7E8E"/>
    <w:rsid w:val="00E006F4"/>
    <w:rsid w:val="00E0071C"/>
    <w:rsid w:val="00E01171"/>
    <w:rsid w:val="00E01D24"/>
    <w:rsid w:val="00E01E43"/>
    <w:rsid w:val="00E0229D"/>
    <w:rsid w:val="00E02683"/>
    <w:rsid w:val="00E02753"/>
    <w:rsid w:val="00E027F2"/>
    <w:rsid w:val="00E0296F"/>
    <w:rsid w:val="00E02C3B"/>
    <w:rsid w:val="00E02E26"/>
    <w:rsid w:val="00E02E74"/>
    <w:rsid w:val="00E02E7B"/>
    <w:rsid w:val="00E03534"/>
    <w:rsid w:val="00E03725"/>
    <w:rsid w:val="00E038BF"/>
    <w:rsid w:val="00E03BE2"/>
    <w:rsid w:val="00E03D5E"/>
    <w:rsid w:val="00E03E8F"/>
    <w:rsid w:val="00E04053"/>
    <w:rsid w:val="00E04178"/>
    <w:rsid w:val="00E044EC"/>
    <w:rsid w:val="00E04567"/>
    <w:rsid w:val="00E0465A"/>
    <w:rsid w:val="00E04690"/>
    <w:rsid w:val="00E04B85"/>
    <w:rsid w:val="00E04EEB"/>
    <w:rsid w:val="00E04F98"/>
    <w:rsid w:val="00E04FB3"/>
    <w:rsid w:val="00E05499"/>
    <w:rsid w:val="00E05724"/>
    <w:rsid w:val="00E05EAC"/>
    <w:rsid w:val="00E062C4"/>
    <w:rsid w:val="00E06B12"/>
    <w:rsid w:val="00E06E09"/>
    <w:rsid w:val="00E07076"/>
    <w:rsid w:val="00E07226"/>
    <w:rsid w:val="00E072FF"/>
    <w:rsid w:val="00E07327"/>
    <w:rsid w:val="00E0798B"/>
    <w:rsid w:val="00E07C7C"/>
    <w:rsid w:val="00E100F8"/>
    <w:rsid w:val="00E102FE"/>
    <w:rsid w:val="00E10410"/>
    <w:rsid w:val="00E105DF"/>
    <w:rsid w:val="00E10A94"/>
    <w:rsid w:val="00E10C42"/>
    <w:rsid w:val="00E10C7E"/>
    <w:rsid w:val="00E10CE8"/>
    <w:rsid w:val="00E11321"/>
    <w:rsid w:val="00E1141B"/>
    <w:rsid w:val="00E11575"/>
    <w:rsid w:val="00E12597"/>
    <w:rsid w:val="00E127DD"/>
    <w:rsid w:val="00E12904"/>
    <w:rsid w:val="00E12DCE"/>
    <w:rsid w:val="00E12F2C"/>
    <w:rsid w:val="00E1300D"/>
    <w:rsid w:val="00E132BD"/>
    <w:rsid w:val="00E13436"/>
    <w:rsid w:val="00E13961"/>
    <w:rsid w:val="00E13A20"/>
    <w:rsid w:val="00E13A5A"/>
    <w:rsid w:val="00E140A2"/>
    <w:rsid w:val="00E141A7"/>
    <w:rsid w:val="00E142EC"/>
    <w:rsid w:val="00E14647"/>
    <w:rsid w:val="00E14654"/>
    <w:rsid w:val="00E14FC2"/>
    <w:rsid w:val="00E1513C"/>
    <w:rsid w:val="00E1527F"/>
    <w:rsid w:val="00E15473"/>
    <w:rsid w:val="00E1567C"/>
    <w:rsid w:val="00E158DB"/>
    <w:rsid w:val="00E1592D"/>
    <w:rsid w:val="00E1621F"/>
    <w:rsid w:val="00E16358"/>
    <w:rsid w:val="00E163B2"/>
    <w:rsid w:val="00E165B4"/>
    <w:rsid w:val="00E1673B"/>
    <w:rsid w:val="00E169E6"/>
    <w:rsid w:val="00E16D35"/>
    <w:rsid w:val="00E16E45"/>
    <w:rsid w:val="00E16EB8"/>
    <w:rsid w:val="00E16EE3"/>
    <w:rsid w:val="00E172B7"/>
    <w:rsid w:val="00E17571"/>
    <w:rsid w:val="00E17703"/>
    <w:rsid w:val="00E17A6E"/>
    <w:rsid w:val="00E17BED"/>
    <w:rsid w:val="00E17CDD"/>
    <w:rsid w:val="00E17EC5"/>
    <w:rsid w:val="00E17F8E"/>
    <w:rsid w:val="00E17FF4"/>
    <w:rsid w:val="00E2025F"/>
    <w:rsid w:val="00E203CE"/>
    <w:rsid w:val="00E20788"/>
    <w:rsid w:val="00E2085F"/>
    <w:rsid w:val="00E20D54"/>
    <w:rsid w:val="00E20FEC"/>
    <w:rsid w:val="00E212E1"/>
    <w:rsid w:val="00E21698"/>
    <w:rsid w:val="00E2196F"/>
    <w:rsid w:val="00E21F9E"/>
    <w:rsid w:val="00E21FFC"/>
    <w:rsid w:val="00E220C5"/>
    <w:rsid w:val="00E2243B"/>
    <w:rsid w:val="00E225CA"/>
    <w:rsid w:val="00E22B0F"/>
    <w:rsid w:val="00E22CEC"/>
    <w:rsid w:val="00E22DB7"/>
    <w:rsid w:val="00E232AC"/>
    <w:rsid w:val="00E2359F"/>
    <w:rsid w:val="00E23650"/>
    <w:rsid w:val="00E2383C"/>
    <w:rsid w:val="00E242C2"/>
    <w:rsid w:val="00E24382"/>
    <w:rsid w:val="00E244A5"/>
    <w:rsid w:val="00E24529"/>
    <w:rsid w:val="00E247C7"/>
    <w:rsid w:val="00E24C7D"/>
    <w:rsid w:val="00E24DD4"/>
    <w:rsid w:val="00E24E81"/>
    <w:rsid w:val="00E25135"/>
    <w:rsid w:val="00E25E67"/>
    <w:rsid w:val="00E2604C"/>
    <w:rsid w:val="00E264A3"/>
    <w:rsid w:val="00E267CD"/>
    <w:rsid w:val="00E26D37"/>
    <w:rsid w:val="00E2713A"/>
    <w:rsid w:val="00E27473"/>
    <w:rsid w:val="00E275D6"/>
    <w:rsid w:val="00E275EF"/>
    <w:rsid w:val="00E279B6"/>
    <w:rsid w:val="00E27BE1"/>
    <w:rsid w:val="00E27C3B"/>
    <w:rsid w:val="00E27D01"/>
    <w:rsid w:val="00E30054"/>
    <w:rsid w:val="00E30753"/>
    <w:rsid w:val="00E30B81"/>
    <w:rsid w:val="00E30CA0"/>
    <w:rsid w:val="00E3104A"/>
    <w:rsid w:val="00E312BA"/>
    <w:rsid w:val="00E31363"/>
    <w:rsid w:val="00E3197F"/>
    <w:rsid w:val="00E31BA4"/>
    <w:rsid w:val="00E31C8D"/>
    <w:rsid w:val="00E31DFD"/>
    <w:rsid w:val="00E31F7D"/>
    <w:rsid w:val="00E322B3"/>
    <w:rsid w:val="00E323D5"/>
    <w:rsid w:val="00E323E5"/>
    <w:rsid w:val="00E328A5"/>
    <w:rsid w:val="00E32D27"/>
    <w:rsid w:val="00E3345A"/>
    <w:rsid w:val="00E334C3"/>
    <w:rsid w:val="00E33684"/>
    <w:rsid w:val="00E336DF"/>
    <w:rsid w:val="00E336E1"/>
    <w:rsid w:val="00E338C7"/>
    <w:rsid w:val="00E33C34"/>
    <w:rsid w:val="00E33C97"/>
    <w:rsid w:val="00E341F2"/>
    <w:rsid w:val="00E341FB"/>
    <w:rsid w:val="00E3421F"/>
    <w:rsid w:val="00E3449E"/>
    <w:rsid w:val="00E34706"/>
    <w:rsid w:val="00E34864"/>
    <w:rsid w:val="00E348C9"/>
    <w:rsid w:val="00E348EB"/>
    <w:rsid w:val="00E34D09"/>
    <w:rsid w:val="00E34E64"/>
    <w:rsid w:val="00E3509C"/>
    <w:rsid w:val="00E353A2"/>
    <w:rsid w:val="00E358A7"/>
    <w:rsid w:val="00E35C38"/>
    <w:rsid w:val="00E36194"/>
    <w:rsid w:val="00E36471"/>
    <w:rsid w:val="00E36D9F"/>
    <w:rsid w:val="00E36DA3"/>
    <w:rsid w:val="00E36E16"/>
    <w:rsid w:val="00E37178"/>
    <w:rsid w:val="00E37887"/>
    <w:rsid w:val="00E3792F"/>
    <w:rsid w:val="00E37DD5"/>
    <w:rsid w:val="00E37F78"/>
    <w:rsid w:val="00E40435"/>
    <w:rsid w:val="00E40763"/>
    <w:rsid w:val="00E40F3F"/>
    <w:rsid w:val="00E4101D"/>
    <w:rsid w:val="00E411FB"/>
    <w:rsid w:val="00E41617"/>
    <w:rsid w:val="00E4208C"/>
    <w:rsid w:val="00E420D3"/>
    <w:rsid w:val="00E423F8"/>
    <w:rsid w:val="00E424C9"/>
    <w:rsid w:val="00E42678"/>
    <w:rsid w:val="00E42AD3"/>
    <w:rsid w:val="00E42D4B"/>
    <w:rsid w:val="00E42D76"/>
    <w:rsid w:val="00E42FDE"/>
    <w:rsid w:val="00E42FE9"/>
    <w:rsid w:val="00E4300C"/>
    <w:rsid w:val="00E43462"/>
    <w:rsid w:val="00E43717"/>
    <w:rsid w:val="00E43C8F"/>
    <w:rsid w:val="00E43FFA"/>
    <w:rsid w:val="00E44471"/>
    <w:rsid w:val="00E444AB"/>
    <w:rsid w:val="00E446B9"/>
    <w:rsid w:val="00E45039"/>
    <w:rsid w:val="00E45153"/>
    <w:rsid w:val="00E45853"/>
    <w:rsid w:val="00E45CE9"/>
    <w:rsid w:val="00E45E89"/>
    <w:rsid w:val="00E45EE2"/>
    <w:rsid w:val="00E45F61"/>
    <w:rsid w:val="00E4657C"/>
    <w:rsid w:val="00E46D27"/>
    <w:rsid w:val="00E46D55"/>
    <w:rsid w:val="00E47112"/>
    <w:rsid w:val="00E476E1"/>
    <w:rsid w:val="00E4785C"/>
    <w:rsid w:val="00E47962"/>
    <w:rsid w:val="00E47F7D"/>
    <w:rsid w:val="00E50053"/>
    <w:rsid w:val="00E50629"/>
    <w:rsid w:val="00E50651"/>
    <w:rsid w:val="00E50987"/>
    <w:rsid w:val="00E509DA"/>
    <w:rsid w:val="00E50BC3"/>
    <w:rsid w:val="00E51062"/>
    <w:rsid w:val="00E511E2"/>
    <w:rsid w:val="00E51374"/>
    <w:rsid w:val="00E51833"/>
    <w:rsid w:val="00E519CF"/>
    <w:rsid w:val="00E51BBC"/>
    <w:rsid w:val="00E51DCB"/>
    <w:rsid w:val="00E51DCF"/>
    <w:rsid w:val="00E51E9A"/>
    <w:rsid w:val="00E5205F"/>
    <w:rsid w:val="00E5248D"/>
    <w:rsid w:val="00E525AB"/>
    <w:rsid w:val="00E525C7"/>
    <w:rsid w:val="00E52744"/>
    <w:rsid w:val="00E52BA0"/>
    <w:rsid w:val="00E530BA"/>
    <w:rsid w:val="00E53122"/>
    <w:rsid w:val="00E531B0"/>
    <w:rsid w:val="00E53425"/>
    <w:rsid w:val="00E537B7"/>
    <w:rsid w:val="00E5388B"/>
    <w:rsid w:val="00E538A8"/>
    <w:rsid w:val="00E54236"/>
    <w:rsid w:val="00E545DF"/>
    <w:rsid w:val="00E5467D"/>
    <w:rsid w:val="00E54C64"/>
    <w:rsid w:val="00E552D7"/>
    <w:rsid w:val="00E55329"/>
    <w:rsid w:val="00E553D3"/>
    <w:rsid w:val="00E553F5"/>
    <w:rsid w:val="00E5541D"/>
    <w:rsid w:val="00E55494"/>
    <w:rsid w:val="00E556FD"/>
    <w:rsid w:val="00E55777"/>
    <w:rsid w:val="00E55799"/>
    <w:rsid w:val="00E558B3"/>
    <w:rsid w:val="00E55AF5"/>
    <w:rsid w:val="00E55B48"/>
    <w:rsid w:val="00E55D35"/>
    <w:rsid w:val="00E55FB9"/>
    <w:rsid w:val="00E562F2"/>
    <w:rsid w:val="00E56372"/>
    <w:rsid w:val="00E564A6"/>
    <w:rsid w:val="00E570D6"/>
    <w:rsid w:val="00E57256"/>
    <w:rsid w:val="00E57A69"/>
    <w:rsid w:val="00E57B1F"/>
    <w:rsid w:val="00E57DF8"/>
    <w:rsid w:val="00E57DFA"/>
    <w:rsid w:val="00E60095"/>
    <w:rsid w:val="00E600C7"/>
    <w:rsid w:val="00E601B7"/>
    <w:rsid w:val="00E602E0"/>
    <w:rsid w:val="00E6049D"/>
    <w:rsid w:val="00E60D65"/>
    <w:rsid w:val="00E61185"/>
    <w:rsid w:val="00E61221"/>
    <w:rsid w:val="00E6126E"/>
    <w:rsid w:val="00E61B11"/>
    <w:rsid w:val="00E61DF7"/>
    <w:rsid w:val="00E62273"/>
    <w:rsid w:val="00E6266F"/>
    <w:rsid w:val="00E626EE"/>
    <w:rsid w:val="00E6285E"/>
    <w:rsid w:val="00E62ACD"/>
    <w:rsid w:val="00E630B8"/>
    <w:rsid w:val="00E631D2"/>
    <w:rsid w:val="00E6384B"/>
    <w:rsid w:val="00E63C8C"/>
    <w:rsid w:val="00E63EB6"/>
    <w:rsid w:val="00E6415D"/>
    <w:rsid w:val="00E641E9"/>
    <w:rsid w:val="00E6432C"/>
    <w:rsid w:val="00E64485"/>
    <w:rsid w:val="00E64D06"/>
    <w:rsid w:val="00E64D77"/>
    <w:rsid w:val="00E64F2D"/>
    <w:rsid w:val="00E656A1"/>
    <w:rsid w:val="00E65A94"/>
    <w:rsid w:val="00E662D9"/>
    <w:rsid w:val="00E6636B"/>
    <w:rsid w:val="00E663D8"/>
    <w:rsid w:val="00E664ED"/>
    <w:rsid w:val="00E666CE"/>
    <w:rsid w:val="00E667A5"/>
    <w:rsid w:val="00E66917"/>
    <w:rsid w:val="00E66964"/>
    <w:rsid w:val="00E674BA"/>
    <w:rsid w:val="00E674D0"/>
    <w:rsid w:val="00E67DD0"/>
    <w:rsid w:val="00E67EBE"/>
    <w:rsid w:val="00E703CA"/>
    <w:rsid w:val="00E703F9"/>
    <w:rsid w:val="00E70BCA"/>
    <w:rsid w:val="00E714C5"/>
    <w:rsid w:val="00E7152B"/>
    <w:rsid w:val="00E71D49"/>
    <w:rsid w:val="00E71E83"/>
    <w:rsid w:val="00E720FD"/>
    <w:rsid w:val="00E7217A"/>
    <w:rsid w:val="00E7220B"/>
    <w:rsid w:val="00E72252"/>
    <w:rsid w:val="00E72621"/>
    <w:rsid w:val="00E729AB"/>
    <w:rsid w:val="00E72A0D"/>
    <w:rsid w:val="00E72E07"/>
    <w:rsid w:val="00E73198"/>
    <w:rsid w:val="00E734FF"/>
    <w:rsid w:val="00E73657"/>
    <w:rsid w:val="00E739CE"/>
    <w:rsid w:val="00E73ADF"/>
    <w:rsid w:val="00E73E02"/>
    <w:rsid w:val="00E744D4"/>
    <w:rsid w:val="00E749BD"/>
    <w:rsid w:val="00E749E2"/>
    <w:rsid w:val="00E74A20"/>
    <w:rsid w:val="00E74B54"/>
    <w:rsid w:val="00E74E15"/>
    <w:rsid w:val="00E75647"/>
    <w:rsid w:val="00E759EA"/>
    <w:rsid w:val="00E75AE1"/>
    <w:rsid w:val="00E760E6"/>
    <w:rsid w:val="00E76385"/>
    <w:rsid w:val="00E76CE2"/>
    <w:rsid w:val="00E76E1D"/>
    <w:rsid w:val="00E77071"/>
    <w:rsid w:val="00E770DE"/>
    <w:rsid w:val="00E774C0"/>
    <w:rsid w:val="00E77540"/>
    <w:rsid w:val="00E77690"/>
    <w:rsid w:val="00E7784C"/>
    <w:rsid w:val="00E77874"/>
    <w:rsid w:val="00E778B1"/>
    <w:rsid w:val="00E7797A"/>
    <w:rsid w:val="00E77AE3"/>
    <w:rsid w:val="00E77AF2"/>
    <w:rsid w:val="00E77DAB"/>
    <w:rsid w:val="00E77F44"/>
    <w:rsid w:val="00E800A7"/>
    <w:rsid w:val="00E8064F"/>
    <w:rsid w:val="00E8079F"/>
    <w:rsid w:val="00E810D4"/>
    <w:rsid w:val="00E813B7"/>
    <w:rsid w:val="00E81482"/>
    <w:rsid w:val="00E81C71"/>
    <w:rsid w:val="00E81C9F"/>
    <w:rsid w:val="00E81DC9"/>
    <w:rsid w:val="00E81FE7"/>
    <w:rsid w:val="00E82290"/>
    <w:rsid w:val="00E822AB"/>
    <w:rsid w:val="00E824BA"/>
    <w:rsid w:val="00E8274D"/>
    <w:rsid w:val="00E82A62"/>
    <w:rsid w:val="00E82AFE"/>
    <w:rsid w:val="00E82EB2"/>
    <w:rsid w:val="00E82EEC"/>
    <w:rsid w:val="00E8335C"/>
    <w:rsid w:val="00E8353F"/>
    <w:rsid w:val="00E836AC"/>
    <w:rsid w:val="00E83A82"/>
    <w:rsid w:val="00E83EE6"/>
    <w:rsid w:val="00E83FD1"/>
    <w:rsid w:val="00E842A4"/>
    <w:rsid w:val="00E843D9"/>
    <w:rsid w:val="00E84451"/>
    <w:rsid w:val="00E8463E"/>
    <w:rsid w:val="00E8464D"/>
    <w:rsid w:val="00E84754"/>
    <w:rsid w:val="00E848E5"/>
    <w:rsid w:val="00E849BF"/>
    <w:rsid w:val="00E85477"/>
    <w:rsid w:val="00E85768"/>
    <w:rsid w:val="00E859BC"/>
    <w:rsid w:val="00E85ADF"/>
    <w:rsid w:val="00E85FBE"/>
    <w:rsid w:val="00E86A72"/>
    <w:rsid w:val="00E86D32"/>
    <w:rsid w:val="00E87306"/>
    <w:rsid w:val="00E87391"/>
    <w:rsid w:val="00E878C6"/>
    <w:rsid w:val="00E87E36"/>
    <w:rsid w:val="00E87ECC"/>
    <w:rsid w:val="00E9008A"/>
    <w:rsid w:val="00E902EF"/>
    <w:rsid w:val="00E90BFB"/>
    <w:rsid w:val="00E90E9F"/>
    <w:rsid w:val="00E90FDA"/>
    <w:rsid w:val="00E910BE"/>
    <w:rsid w:val="00E913D1"/>
    <w:rsid w:val="00E9146D"/>
    <w:rsid w:val="00E91B8F"/>
    <w:rsid w:val="00E91E15"/>
    <w:rsid w:val="00E91E62"/>
    <w:rsid w:val="00E923A0"/>
    <w:rsid w:val="00E92B47"/>
    <w:rsid w:val="00E92E67"/>
    <w:rsid w:val="00E936DD"/>
    <w:rsid w:val="00E93A0D"/>
    <w:rsid w:val="00E93B1A"/>
    <w:rsid w:val="00E93C2E"/>
    <w:rsid w:val="00E93D45"/>
    <w:rsid w:val="00E940B6"/>
    <w:rsid w:val="00E94255"/>
    <w:rsid w:val="00E945FF"/>
    <w:rsid w:val="00E94C97"/>
    <w:rsid w:val="00E94EB9"/>
    <w:rsid w:val="00E94F03"/>
    <w:rsid w:val="00E95301"/>
    <w:rsid w:val="00E955D4"/>
    <w:rsid w:val="00E95601"/>
    <w:rsid w:val="00E95C8F"/>
    <w:rsid w:val="00E960A4"/>
    <w:rsid w:val="00E961EE"/>
    <w:rsid w:val="00E96753"/>
    <w:rsid w:val="00E967A3"/>
    <w:rsid w:val="00E969E7"/>
    <w:rsid w:val="00E96A34"/>
    <w:rsid w:val="00E96AD8"/>
    <w:rsid w:val="00E96B16"/>
    <w:rsid w:val="00E96CF3"/>
    <w:rsid w:val="00E9703E"/>
    <w:rsid w:val="00E9718D"/>
    <w:rsid w:val="00E973C0"/>
    <w:rsid w:val="00E97C8C"/>
    <w:rsid w:val="00E97FA8"/>
    <w:rsid w:val="00E9EAA4"/>
    <w:rsid w:val="00EA093C"/>
    <w:rsid w:val="00EA0E4B"/>
    <w:rsid w:val="00EA1851"/>
    <w:rsid w:val="00EA18EA"/>
    <w:rsid w:val="00EA19DE"/>
    <w:rsid w:val="00EA1A4C"/>
    <w:rsid w:val="00EA1C48"/>
    <w:rsid w:val="00EA1C90"/>
    <w:rsid w:val="00EA1DAA"/>
    <w:rsid w:val="00EA213D"/>
    <w:rsid w:val="00EA2318"/>
    <w:rsid w:val="00EA24D8"/>
    <w:rsid w:val="00EA2842"/>
    <w:rsid w:val="00EA2D3F"/>
    <w:rsid w:val="00EA2D72"/>
    <w:rsid w:val="00EA345D"/>
    <w:rsid w:val="00EA352C"/>
    <w:rsid w:val="00EA3597"/>
    <w:rsid w:val="00EA37DD"/>
    <w:rsid w:val="00EA3B98"/>
    <w:rsid w:val="00EA3CDC"/>
    <w:rsid w:val="00EA3DAC"/>
    <w:rsid w:val="00EA3EA0"/>
    <w:rsid w:val="00EA4092"/>
    <w:rsid w:val="00EA4732"/>
    <w:rsid w:val="00EA4C24"/>
    <w:rsid w:val="00EA4EE7"/>
    <w:rsid w:val="00EA5295"/>
    <w:rsid w:val="00EA56A4"/>
    <w:rsid w:val="00EA56BE"/>
    <w:rsid w:val="00EA5CC9"/>
    <w:rsid w:val="00EA677A"/>
    <w:rsid w:val="00EA6A32"/>
    <w:rsid w:val="00EA6F6B"/>
    <w:rsid w:val="00EA72B8"/>
    <w:rsid w:val="00EA78FA"/>
    <w:rsid w:val="00EA79E9"/>
    <w:rsid w:val="00EA7DB0"/>
    <w:rsid w:val="00EB0033"/>
    <w:rsid w:val="00EB015C"/>
    <w:rsid w:val="00EB08D0"/>
    <w:rsid w:val="00EB0917"/>
    <w:rsid w:val="00EB0F2D"/>
    <w:rsid w:val="00EB101B"/>
    <w:rsid w:val="00EB1050"/>
    <w:rsid w:val="00EB1700"/>
    <w:rsid w:val="00EB1995"/>
    <w:rsid w:val="00EB1AFB"/>
    <w:rsid w:val="00EB259B"/>
    <w:rsid w:val="00EB262A"/>
    <w:rsid w:val="00EB26ED"/>
    <w:rsid w:val="00EB2817"/>
    <w:rsid w:val="00EB2848"/>
    <w:rsid w:val="00EB292B"/>
    <w:rsid w:val="00EB2BD5"/>
    <w:rsid w:val="00EB2E8E"/>
    <w:rsid w:val="00EB2F1B"/>
    <w:rsid w:val="00EB2F6B"/>
    <w:rsid w:val="00EB3237"/>
    <w:rsid w:val="00EB32CF"/>
    <w:rsid w:val="00EB330E"/>
    <w:rsid w:val="00EB34A8"/>
    <w:rsid w:val="00EB35B1"/>
    <w:rsid w:val="00EB3963"/>
    <w:rsid w:val="00EB3A46"/>
    <w:rsid w:val="00EB3AA0"/>
    <w:rsid w:val="00EB3AAD"/>
    <w:rsid w:val="00EB3EA9"/>
    <w:rsid w:val="00EB44F5"/>
    <w:rsid w:val="00EB52FE"/>
    <w:rsid w:val="00EB54B8"/>
    <w:rsid w:val="00EB560B"/>
    <w:rsid w:val="00EB5B1D"/>
    <w:rsid w:val="00EB60A5"/>
    <w:rsid w:val="00EB6607"/>
    <w:rsid w:val="00EB6768"/>
    <w:rsid w:val="00EB67DD"/>
    <w:rsid w:val="00EB6B32"/>
    <w:rsid w:val="00EB6C13"/>
    <w:rsid w:val="00EB6D08"/>
    <w:rsid w:val="00EB6D14"/>
    <w:rsid w:val="00EB710B"/>
    <w:rsid w:val="00EB74EA"/>
    <w:rsid w:val="00EB74EF"/>
    <w:rsid w:val="00EB76E3"/>
    <w:rsid w:val="00EB7C95"/>
    <w:rsid w:val="00EC00C1"/>
    <w:rsid w:val="00EC08E9"/>
    <w:rsid w:val="00EC0919"/>
    <w:rsid w:val="00EC0A45"/>
    <w:rsid w:val="00EC0DB3"/>
    <w:rsid w:val="00EC1226"/>
    <w:rsid w:val="00EC1567"/>
    <w:rsid w:val="00EC1631"/>
    <w:rsid w:val="00EC1667"/>
    <w:rsid w:val="00EC1F6E"/>
    <w:rsid w:val="00EC24DB"/>
    <w:rsid w:val="00EC24F9"/>
    <w:rsid w:val="00EC2701"/>
    <w:rsid w:val="00EC2B28"/>
    <w:rsid w:val="00EC2BA3"/>
    <w:rsid w:val="00EC2C75"/>
    <w:rsid w:val="00EC2CEB"/>
    <w:rsid w:val="00EC3530"/>
    <w:rsid w:val="00EC35D6"/>
    <w:rsid w:val="00EC3730"/>
    <w:rsid w:val="00EC3775"/>
    <w:rsid w:val="00EC384E"/>
    <w:rsid w:val="00EC3B5C"/>
    <w:rsid w:val="00EC3BF4"/>
    <w:rsid w:val="00EC3F59"/>
    <w:rsid w:val="00EC4015"/>
    <w:rsid w:val="00EC44C7"/>
    <w:rsid w:val="00EC4DF2"/>
    <w:rsid w:val="00EC4E5A"/>
    <w:rsid w:val="00EC500B"/>
    <w:rsid w:val="00EC5368"/>
    <w:rsid w:val="00EC5BA5"/>
    <w:rsid w:val="00EC62CE"/>
    <w:rsid w:val="00EC6323"/>
    <w:rsid w:val="00EC6341"/>
    <w:rsid w:val="00EC63F0"/>
    <w:rsid w:val="00EC6478"/>
    <w:rsid w:val="00EC65C6"/>
    <w:rsid w:val="00EC67E8"/>
    <w:rsid w:val="00EC6DE3"/>
    <w:rsid w:val="00EC77B3"/>
    <w:rsid w:val="00EC78D1"/>
    <w:rsid w:val="00EC7F59"/>
    <w:rsid w:val="00EC7F99"/>
    <w:rsid w:val="00ED027C"/>
    <w:rsid w:val="00ED02C2"/>
    <w:rsid w:val="00ED0700"/>
    <w:rsid w:val="00ED08BE"/>
    <w:rsid w:val="00ED09D0"/>
    <w:rsid w:val="00ED10FB"/>
    <w:rsid w:val="00ED12A2"/>
    <w:rsid w:val="00ED1580"/>
    <w:rsid w:val="00ED181C"/>
    <w:rsid w:val="00ED21BE"/>
    <w:rsid w:val="00ED23B5"/>
    <w:rsid w:val="00ED24FD"/>
    <w:rsid w:val="00ED256A"/>
    <w:rsid w:val="00ED2862"/>
    <w:rsid w:val="00ED2954"/>
    <w:rsid w:val="00ED29F4"/>
    <w:rsid w:val="00ED2A79"/>
    <w:rsid w:val="00ED2D07"/>
    <w:rsid w:val="00ED2D14"/>
    <w:rsid w:val="00ED2D76"/>
    <w:rsid w:val="00ED2E25"/>
    <w:rsid w:val="00ED2FB2"/>
    <w:rsid w:val="00ED36FA"/>
    <w:rsid w:val="00ED37D9"/>
    <w:rsid w:val="00ED4199"/>
    <w:rsid w:val="00ED42F2"/>
    <w:rsid w:val="00ED4901"/>
    <w:rsid w:val="00ED4BB4"/>
    <w:rsid w:val="00ED50E6"/>
    <w:rsid w:val="00ED5E73"/>
    <w:rsid w:val="00ED5FD0"/>
    <w:rsid w:val="00ED5FD2"/>
    <w:rsid w:val="00ED6218"/>
    <w:rsid w:val="00ED6374"/>
    <w:rsid w:val="00ED6547"/>
    <w:rsid w:val="00ED69CB"/>
    <w:rsid w:val="00ED6A41"/>
    <w:rsid w:val="00ED6AE8"/>
    <w:rsid w:val="00ED6D56"/>
    <w:rsid w:val="00ED6F21"/>
    <w:rsid w:val="00ED6F2A"/>
    <w:rsid w:val="00ED6FD5"/>
    <w:rsid w:val="00ED7089"/>
    <w:rsid w:val="00ED75C3"/>
    <w:rsid w:val="00ED7682"/>
    <w:rsid w:val="00EE009E"/>
    <w:rsid w:val="00EE0334"/>
    <w:rsid w:val="00EE039E"/>
    <w:rsid w:val="00EE04EC"/>
    <w:rsid w:val="00EE060D"/>
    <w:rsid w:val="00EE0A2F"/>
    <w:rsid w:val="00EE0BCB"/>
    <w:rsid w:val="00EE0D2B"/>
    <w:rsid w:val="00EE1114"/>
    <w:rsid w:val="00EE11BD"/>
    <w:rsid w:val="00EE11F1"/>
    <w:rsid w:val="00EE14C0"/>
    <w:rsid w:val="00EE167C"/>
    <w:rsid w:val="00EE19D3"/>
    <w:rsid w:val="00EE1D04"/>
    <w:rsid w:val="00EE2015"/>
    <w:rsid w:val="00EE2113"/>
    <w:rsid w:val="00EE22D3"/>
    <w:rsid w:val="00EE23B9"/>
    <w:rsid w:val="00EE262A"/>
    <w:rsid w:val="00EE26E0"/>
    <w:rsid w:val="00EE2730"/>
    <w:rsid w:val="00EE2988"/>
    <w:rsid w:val="00EE2E58"/>
    <w:rsid w:val="00EE2F76"/>
    <w:rsid w:val="00EE3D5E"/>
    <w:rsid w:val="00EE3E34"/>
    <w:rsid w:val="00EE3F43"/>
    <w:rsid w:val="00EE43C1"/>
    <w:rsid w:val="00EE4594"/>
    <w:rsid w:val="00EE4625"/>
    <w:rsid w:val="00EE4658"/>
    <w:rsid w:val="00EE496E"/>
    <w:rsid w:val="00EE4B9A"/>
    <w:rsid w:val="00EE4C87"/>
    <w:rsid w:val="00EE4CB9"/>
    <w:rsid w:val="00EE4DC9"/>
    <w:rsid w:val="00EE51B6"/>
    <w:rsid w:val="00EE6190"/>
    <w:rsid w:val="00EE6260"/>
    <w:rsid w:val="00EE6389"/>
    <w:rsid w:val="00EE64A3"/>
    <w:rsid w:val="00EE6675"/>
    <w:rsid w:val="00EE69A5"/>
    <w:rsid w:val="00EE69C0"/>
    <w:rsid w:val="00EE6E0E"/>
    <w:rsid w:val="00EE7248"/>
    <w:rsid w:val="00EE780B"/>
    <w:rsid w:val="00EE7EBB"/>
    <w:rsid w:val="00EE7FDB"/>
    <w:rsid w:val="00EF03E5"/>
    <w:rsid w:val="00EF0EDC"/>
    <w:rsid w:val="00EF11B5"/>
    <w:rsid w:val="00EF157E"/>
    <w:rsid w:val="00EF15BC"/>
    <w:rsid w:val="00EF1772"/>
    <w:rsid w:val="00EF1EBE"/>
    <w:rsid w:val="00EF2097"/>
    <w:rsid w:val="00EF25DD"/>
    <w:rsid w:val="00EF267C"/>
    <w:rsid w:val="00EF2680"/>
    <w:rsid w:val="00EF2853"/>
    <w:rsid w:val="00EF293C"/>
    <w:rsid w:val="00EF33EF"/>
    <w:rsid w:val="00EF3466"/>
    <w:rsid w:val="00EF3994"/>
    <w:rsid w:val="00EF3AA2"/>
    <w:rsid w:val="00EF3B48"/>
    <w:rsid w:val="00EF4273"/>
    <w:rsid w:val="00EF450F"/>
    <w:rsid w:val="00EF4B43"/>
    <w:rsid w:val="00EF52EC"/>
    <w:rsid w:val="00EF54F6"/>
    <w:rsid w:val="00EF598C"/>
    <w:rsid w:val="00EF5C85"/>
    <w:rsid w:val="00EF5E46"/>
    <w:rsid w:val="00EF6369"/>
    <w:rsid w:val="00EF646A"/>
    <w:rsid w:val="00EF6559"/>
    <w:rsid w:val="00EF6B71"/>
    <w:rsid w:val="00EF6B87"/>
    <w:rsid w:val="00EF6D6F"/>
    <w:rsid w:val="00EF6E05"/>
    <w:rsid w:val="00EF702D"/>
    <w:rsid w:val="00EF74CC"/>
    <w:rsid w:val="00EF7537"/>
    <w:rsid w:val="00EF7B1D"/>
    <w:rsid w:val="00EF7C7E"/>
    <w:rsid w:val="00EF7F60"/>
    <w:rsid w:val="00F00528"/>
    <w:rsid w:val="00F00882"/>
    <w:rsid w:val="00F008AF"/>
    <w:rsid w:val="00F00A1E"/>
    <w:rsid w:val="00F00A85"/>
    <w:rsid w:val="00F00C96"/>
    <w:rsid w:val="00F00DCB"/>
    <w:rsid w:val="00F00FD7"/>
    <w:rsid w:val="00F013FD"/>
    <w:rsid w:val="00F01443"/>
    <w:rsid w:val="00F0161D"/>
    <w:rsid w:val="00F01DA4"/>
    <w:rsid w:val="00F01F8C"/>
    <w:rsid w:val="00F020ED"/>
    <w:rsid w:val="00F02CEB"/>
    <w:rsid w:val="00F02D84"/>
    <w:rsid w:val="00F0333B"/>
    <w:rsid w:val="00F03401"/>
    <w:rsid w:val="00F0352F"/>
    <w:rsid w:val="00F03568"/>
    <w:rsid w:val="00F0368B"/>
    <w:rsid w:val="00F03731"/>
    <w:rsid w:val="00F03863"/>
    <w:rsid w:val="00F0398A"/>
    <w:rsid w:val="00F03999"/>
    <w:rsid w:val="00F03C0D"/>
    <w:rsid w:val="00F03F5C"/>
    <w:rsid w:val="00F04817"/>
    <w:rsid w:val="00F04A28"/>
    <w:rsid w:val="00F04DB8"/>
    <w:rsid w:val="00F04E8D"/>
    <w:rsid w:val="00F053E9"/>
    <w:rsid w:val="00F05451"/>
    <w:rsid w:val="00F055D9"/>
    <w:rsid w:val="00F055F3"/>
    <w:rsid w:val="00F05744"/>
    <w:rsid w:val="00F05942"/>
    <w:rsid w:val="00F0656D"/>
    <w:rsid w:val="00F065CB"/>
    <w:rsid w:val="00F06755"/>
    <w:rsid w:val="00F06855"/>
    <w:rsid w:val="00F06FE1"/>
    <w:rsid w:val="00F0715E"/>
    <w:rsid w:val="00F0720A"/>
    <w:rsid w:val="00F07429"/>
    <w:rsid w:val="00F07562"/>
    <w:rsid w:val="00F07592"/>
    <w:rsid w:val="00F07622"/>
    <w:rsid w:val="00F079B9"/>
    <w:rsid w:val="00F104BE"/>
    <w:rsid w:val="00F1087F"/>
    <w:rsid w:val="00F1089B"/>
    <w:rsid w:val="00F10B79"/>
    <w:rsid w:val="00F10D3D"/>
    <w:rsid w:val="00F110E4"/>
    <w:rsid w:val="00F11951"/>
    <w:rsid w:val="00F11EF2"/>
    <w:rsid w:val="00F12274"/>
    <w:rsid w:val="00F122D4"/>
    <w:rsid w:val="00F127FC"/>
    <w:rsid w:val="00F1286F"/>
    <w:rsid w:val="00F12B03"/>
    <w:rsid w:val="00F12BBA"/>
    <w:rsid w:val="00F13302"/>
    <w:rsid w:val="00F13361"/>
    <w:rsid w:val="00F13540"/>
    <w:rsid w:val="00F1357E"/>
    <w:rsid w:val="00F13733"/>
    <w:rsid w:val="00F138C1"/>
    <w:rsid w:val="00F139A4"/>
    <w:rsid w:val="00F139E5"/>
    <w:rsid w:val="00F13B57"/>
    <w:rsid w:val="00F13BFA"/>
    <w:rsid w:val="00F13C6F"/>
    <w:rsid w:val="00F141D1"/>
    <w:rsid w:val="00F14325"/>
    <w:rsid w:val="00F14373"/>
    <w:rsid w:val="00F14618"/>
    <w:rsid w:val="00F148CF"/>
    <w:rsid w:val="00F14A44"/>
    <w:rsid w:val="00F14C62"/>
    <w:rsid w:val="00F14CC8"/>
    <w:rsid w:val="00F15130"/>
    <w:rsid w:val="00F156B7"/>
    <w:rsid w:val="00F159D5"/>
    <w:rsid w:val="00F167CA"/>
    <w:rsid w:val="00F16A6C"/>
    <w:rsid w:val="00F16CD8"/>
    <w:rsid w:val="00F16E3F"/>
    <w:rsid w:val="00F17067"/>
    <w:rsid w:val="00F17218"/>
    <w:rsid w:val="00F1735A"/>
    <w:rsid w:val="00F174AF"/>
    <w:rsid w:val="00F1755F"/>
    <w:rsid w:val="00F178E5"/>
    <w:rsid w:val="00F17A2B"/>
    <w:rsid w:val="00F17B85"/>
    <w:rsid w:val="00F20206"/>
    <w:rsid w:val="00F203B6"/>
    <w:rsid w:val="00F205F2"/>
    <w:rsid w:val="00F208CF"/>
    <w:rsid w:val="00F20997"/>
    <w:rsid w:val="00F209DC"/>
    <w:rsid w:val="00F20B49"/>
    <w:rsid w:val="00F20CC2"/>
    <w:rsid w:val="00F213C5"/>
    <w:rsid w:val="00F2148C"/>
    <w:rsid w:val="00F21568"/>
    <w:rsid w:val="00F2179F"/>
    <w:rsid w:val="00F217A8"/>
    <w:rsid w:val="00F2199F"/>
    <w:rsid w:val="00F21D77"/>
    <w:rsid w:val="00F21D8E"/>
    <w:rsid w:val="00F21EF3"/>
    <w:rsid w:val="00F22058"/>
    <w:rsid w:val="00F22932"/>
    <w:rsid w:val="00F22B1B"/>
    <w:rsid w:val="00F22B3D"/>
    <w:rsid w:val="00F22BAE"/>
    <w:rsid w:val="00F2354F"/>
    <w:rsid w:val="00F23764"/>
    <w:rsid w:val="00F23B6C"/>
    <w:rsid w:val="00F23EB2"/>
    <w:rsid w:val="00F24191"/>
    <w:rsid w:val="00F249D7"/>
    <w:rsid w:val="00F249EE"/>
    <w:rsid w:val="00F25037"/>
    <w:rsid w:val="00F25413"/>
    <w:rsid w:val="00F25B1B"/>
    <w:rsid w:val="00F25B91"/>
    <w:rsid w:val="00F25BE7"/>
    <w:rsid w:val="00F25C2B"/>
    <w:rsid w:val="00F25E2E"/>
    <w:rsid w:val="00F25F57"/>
    <w:rsid w:val="00F26398"/>
    <w:rsid w:val="00F26D61"/>
    <w:rsid w:val="00F26E29"/>
    <w:rsid w:val="00F26F87"/>
    <w:rsid w:val="00F27036"/>
    <w:rsid w:val="00F272D7"/>
    <w:rsid w:val="00F27419"/>
    <w:rsid w:val="00F27435"/>
    <w:rsid w:val="00F2755F"/>
    <w:rsid w:val="00F27613"/>
    <w:rsid w:val="00F2766E"/>
    <w:rsid w:val="00F277B2"/>
    <w:rsid w:val="00F278A3"/>
    <w:rsid w:val="00F309BC"/>
    <w:rsid w:val="00F309F2"/>
    <w:rsid w:val="00F30A29"/>
    <w:rsid w:val="00F30E38"/>
    <w:rsid w:val="00F317ED"/>
    <w:rsid w:val="00F31A56"/>
    <w:rsid w:val="00F3223B"/>
    <w:rsid w:val="00F32631"/>
    <w:rsid w:val="00F3279C"/>
    <w:rsid w:val="00F32AFD"/>
    <w:rsid w:val="00F32EBE"/>
    <w:rsid w:val="00F3300C"/>
    <w:rsid w:val="00F338C0"/>
    <w:rsid w:val="00F33AD5"/>
    <w:rsid w:val="00F33AE5"/>
    <w:rsid w:val="00F33C4B"/>
    <w:rsid w:val="00F33EE3"/>
    <w:rsid w:val="00F3401D"/>
    <w:rsid w:val="00F34246"/>
    <w:rsid w:val="00F34437"/>
    <w:rsid w:val="00F345B0"/>
    <w:rsid w:val="00F347F4"/>
    <w:rsid w:val="00F349D4"/>
    <w:rsid w:val="00F34A05"/>
    <w:rsid w:val="00F34A4B"/>
    <w:rsid w:val="00F34B1B"/>
    <w:rsid w:val="00F351F2"/>
    <w:rsid w:val="00F35363"/>
    <w:rsid w:val="00F3555B"/>
    <w:rsid w:val="00F35771"/>
    <w:rsid w:val="00F357EF"/>
    <w:rsid w:val="00F35871"/>
    <w:rsid w:val="00F358E8"/>
    <w:rsid w:val="00F3592A"/>
    <w:rsid w:val="00F35CA3"/>
    <w:rsid w:val="00F35E60"/>
    <w:rsid w:val="00F3609E"/>
    <w:rsid w:val="00F364A5"/>
    <w:rsid w:val="00F36725"/>
    <w:rsid w:val="00F36B92"/>
    <w:rsid w:val="00F36BDF"/>
    <w:rsid w:val="00F36BE8"/>
    <w:rsid w:val="00F36DBA"/>
    <w:rsid w:val="00F36E0A"/>
    <w:rsid w:val="00F36E54"/>
    <w:rsid w:val="00F36F02"/>
    <w:rsid w:val="00F36F5E"/>
    <w:rsid w:val="00F378E2"/>
    <w:rsid w:val="00F37EB9"/>
    <w:rsid w:val="00F37F15"/>
    <w:rsid w:val="00F37F43"/>
    <w:rsid w:val="00F37FC2"/>
    <w:rsid w:val="00F406DD"/>
    <w:rsid w:val="00F40A62"/>
    <w:rsid w:val="00F40B2D"/>
    <w:rsid w:val="00F40B66"/>
    <w:rsid w:val="00F41008"/>
    <w:rsid w:val="00F41146"/>
    <w:rsid w:val="00F414F1"/>
    <w:rsid w:val="00F416BF"/>
    <w:rsid w:val="00F41B81"/>
    <w:rsid w:val="00F42150"/>
    <w:rsid w:val="00F42163"/>
    <w:rsid w:val="00F4222F"/>
    <w:rsid w:val="00F4255A"/>
    <w:rsid w:val="00F42A6A"/>
    <w:rsid w:val="00F42B41"/>
    <w:rsid w:val="00F42D7A"/>
    <w:rsid w:val="00F42FFF"/>
    <w:rsid w:val="00F43940"/>
    <w:rsid w:val="00F43BCA"/>
    <w:rsid w:val="00F43CC2"/>
    <w:rsid w:val="00F44022"/>
    <w:rsid w:val="00F44100"/>
    <w:rsid w:val="00F441DB"/>
    <w:rsid w:val="00F442AE"/>
    <w:rsid w:val="00F443BF"/>
    <w:rsid w:val="00F444D6"/>
    <w:rsid w:val="00F44FCC"/>
    <w:rsid w:val="00F45085"/>
    <w:rsid w:val="00F451D5"/>
    <w:rsid w:val="00F451E7"/>
    <w:rsid w:val="00F45319"/>
    <w:rsid w:val="00F45356"/>
    <w:rsid w:val="00F45473"/>
    <w:rsid w:val="00F456DA"/>
    <w:rsid w:val="00F457EF"/>
    <w:rsid w:val="00F45892"/>
    <w:rsid w:val="00F45F4E"/>
    <w:rsid w:val="00F468B4"/>
    <w:rsid w:val="00F46B84"/>
    <w:rsid w:val="00F46C79"/>
    <w:rsid w:val="00F46E39"/>
    <w:rsid w:val="00F46F57"/>
    <w:rsid w:val="00F470DB"/>
    <w:rsid w:val="00F4727D"/>
    <w:rsid w:val="00F475FE"/>
    <w:rsid w:val="00F47A31"/>
    <w:rsid w:val="00F47A84"/>
    <w:rsid w:val="00F47CF6"/>
    <w:rsid w:val="00F47D38"/>
    <w:rsid w:val="00F50125"/>
    <w:rsid w:val="00F50C56"/>
    <w:rsid w:val="00F510E8"/>
    <w:rsid w:val="00F51D6A"/>
    <w:rsid w:val="00F51F78"/>
    <w:rsid w:val="00F521B6"/>
    <w:rsid w:val="00F523C4"/>
    <w:rsid w:val="00F523C5"/>
    <w:rsid w:val="00F52783"/>
    <w:rsid w:val="00F532DC"/>
    <w:rsid w:val="00F532DD"/>
    <w:rsid w:val="00F53329"/>
    <w:rsid w:val="00F5358B"/>
    <w:rsid w:val="00F5397E"/>
    <w:rsid w:val="00F53AD8"/>
    <w:rsid w:val="00F53EB3"/>
    <w:rsid w:val="00F53EE6"/>
    <w:rsid w:val="00F53F6F"/>
    <w:rsid w:val="00F542C1"/>
    <w:rsid w:val="00F5496E"/>
    <w:rsid w:val="00F54A35"/>
    <w:rsid w:val="00F5531C"/>
    <w:rsid w:val="00F553B2"/>
    <w:rsid w:val="00F5547B"/>
    <w:rsid w:val="00F55692"/>
    <w:rsid w:val="00F55710"/>
    <w:rsid w:val="00F557BF"/>
    <w:rsid w:val="00F55A6B"/>
    <w:rsid w:val="00F560EE"/>
    <w:rsid w:val="00F5642C"/>
    <w:rsid w:val="00F567D3"/>
    <w:rsid w:val="00F56971"/>
    <w:rsid w:val="00F56EC6"/>
    <w:rsid w:val="00F56ED8"/>
    <w:rsid w:val="00F5732D"/>
    <w:rsid w:val="00F5763B"/>
    <w:rsid w:val="00F5772F"/>
    <w:rsid w:val="00F5779E"/>
    <w:rsid w:val="00F5789E"/>
    <w:rsid w:val="00F57B24"/>
    <w:rsid w:val="00F57B72"/>
    <w:rsid w:val="00F6004F"/>
    <w:rsid w:val="00F60098"/>
    <w:rsid w:val="00F60148"/>
    <w:rsid w:val="00F60198"/>
    <w:rsid w:val="00F6053B"/>
    <w:rsid w:val="00F60626"/>
    <w:rsid w:val="00F6062F"/>
    <w:rsid w:val="00F60AA7"/>
    <w:rsid w:val="00F612CE"/>
    <w:rsid w:val="00F61341"/>
    <w:rsid w:val="00F61450"/>
    <w:rsid w:val="00F61508"/>
    <w:rsid w:val="00F615E1"/>
    <w:rsid w:val="00F61CEF"/>
    <w:rsid w:val="00F61D1E"/>
    <w:rsid w:val="00F61DC8"/>
    <w:rsid w:val="00F61DE9"/>
    <w:rsid w:val="00F62335"/>
    <w:rsid w:val="00F6244D"/>
    <w:rsid w:val="00F62597"/>
    <w:rsid w:val="00F625FC"/>
    <w:rsid w:val="00F6266F"/>
    <w:rsid w:val="00F626C9"/>
    <w:rsid w:val="00F627F9"/>
    <w:rsid w:val="00F6284D"/>
    <w:rsid w:val="00F629B1"/>
    <w:rsid w:val="00F629C5"/>
    <w:rsid w:val="00F62A21"/>
    <w:rsid w:val="00F62CC6"/>
    <w:rsid w:val="00F63072"/>
    <w:rsid w:val="00F633E7"/>
    <w:rsid w:val="00F63A4D"/>
    <w:rsid w:val="00F63B40"/>
    <w:rsid w:val="00F63F0C"/>
    <w:rsid w:val="00F63FB9"/>
    <w:rsid w:val="00F64477"/>
    <w:rsid w:val="00F64AB5"/>
    <w:rsid w:val="00F657A5"/>
    <w:rsid w:val="00F658E1"/>
    <w:rsid w:val="00F65AAA"/>
    <w:rsid w:val="00F65B33"/>
    <w:rsid w:val="00F65BE3"/>
    <w:rsid w:val="00F6645D"/>
    <w:rsid w:val="00F6698E"/>
    <w:rsid w:val="00F66E68"/>
    <w:rsid w:val="00F67362"/>
    <w:rsid w:val="00F6740E"/>
    <w:rsid w:val="00F67534"/>
    <w:rsid w:val="00F67612"/>
    <w:rsid w:val="00F67808"/>
    <w:rsid w:val="00F67929"/>
    <w:rsid w:val="00F67C1D"/>
    <w:rsid w:val="00F7004F"/>
    <w:rsid w:val="00F703AD"/>
    <w:rsid w:val="00F70440"/>
    <w:rsid w:val="00F7045F"/>
    <w:rsid w:val="00F7053E"/>
    <w:rsid w:val="00F705FA"/>
    <w:rsid w:val="00F707C2"/>
    <w:rsid w:val="00F70996"/>
    <w:rsid w:val="00F70AF3"/>
    <w:rsid w:val="00F71193"/>
    <w:rsid w:val="00F7147A"/>
    <w:rsid w:val="00F714DD"/>
    <w:rsid w:val="00F719D5"/>
    <w:rsid w:val="00F71B60"/>
    <w:rsid w:val="00F71B8A"/>
    <w:rsid w:val="00F71C6F"/>
    <w:rsid w:val="00F71D68"/>
    <w:rsid w:val="00F71D9E"/>
    <w:rsid w:val="00F71E44"/>
    <w:rsid w:val="00F720CB"/>
    <w:rsid w:val="00F7216F"/>
    <w:rsid w:val="00F72843"/>
    <w:rsid w:val="00F72A31"/>
    <w:rsid w:val="00F72D52"/>
    <w:rsid w:val="00F73451"/>
    <w:rsid w:val="00F73C30"/>
    <w:rsid w:val="00F73ED6"/>
    <w:rsid w:val="00F73FC9"/>
    <w:rsid w:val="00F7404C"/>
    <w:rsid w:val="00F740C4"/>
    <w:rsid w:val="00F740E6"/>
    <w:rsid w:val="00F743E1"/>
    <w:rsid w:val="00F74449"/>
    <w:rsid w:val="00F74451"/>
    <w:rsid w:val="00F74560"/>
    <w:rsid w:val="00F749AF"/>
    <w:rsid w:val="00F74AD9"/>
    <w:rsid w:val="00F74AF9"/>
    <w:rsid w:val="00F74CF4"/>
    <w:rsid w:val="00F74DDD"/>
    <w:rsid w:val="00F74E90"/>
    <w:rsid w:val="00F74F56"/>
    <w:rsid w:val="00F757E0"/>
    <w:rsid w:val="00F758C3"/>
    <w:rsid w:val="00F7594B"/>
    <w:rsid w:val="00F75BAF"/>
    <w:rsid w:val="00F75D41"/>
    <w:rsid w:val="00F75E22"/>
    <w:rsid w:val="00F75F78"/>
    <w:rsid w:val="00F76455"/>
    <w:rsid w:val="00F76583"/>
    <w:rsid w:val="00F76646"/>
    <w:rsid w:val="00F76C18"/>
    <w:rsid w:val="00F76C1D"/>
    <w:rsid w:val="00F76D37"/>
    <w:rsid w:val="00F7708D"/>
    <w:rsid w:val="00F77422"/>
    <w:rsid w:val="00F77CEE"/>
    <w:rsid w:val="00F77E4F"/>
    <w:rsid w:val="00F80040"/>
    <w:rsid w:val="00F803CB"/>
    <w:rsid w:val="00F80404"/>
    <w:rsid w:val="00F8048C"/>
    <w:rsid w:val="00F80E0D"/>
    <w:rsid w:val="00F81297"/>
    <w:rsid w:val="00F812AD"/>
    <w:rsid w:val="00F813A0"/>
    <w:rsid w:val="00F816D2"/>
    <w:rsid w:val="00F818CC"/>
    <w:rsid w:val="00F819F3"/>
    <w:rsid w:val="00F81C93"/>
    <w:rsid w:val="00F81E63"/>
    <w:rsid w:val="00F82342"/>
    <w:rsid w:val="00F82BEE"/>
    <w:rsid w:val="00F82FA6"/>
    <w:rsid w:val="00F831B4"/>
    <w:rsid w:val="00F834C4"/>
    <w:rsid w:val="00F83D92"/>
    <w:rsid w:val="00F83DB5"/>
    <w:rsid w:val="00F83F31"/>
    <w:rsid w:val="00F84083"/>
    <w:rsid w:val="00F8418F"/>
    <w:rsid w:val="00F8421F"/>
    <w:rsid w:val="00F84572"/>
    <w:rsid w:val="00F84892"/>
    <w:rsid w:val="00F849EB"/>
    <w:rsid w:val="00F857F5"/>
    <w:rsid w:val="00F85ABE"/>
    <w:rsid w:val="00F85BC7"/>
    <w:rsid w:val="00F85C53"/>
    <w:rsid w:val="00F85D2A"/>
    <w:rsid w:val="00F85EB8"/>
    <w:rsid w:val="00F8602C"/>
    <w:rsid w:val="00F864F4"/>
    <w:rsid w:val="00F86575"/>
    <w:rsid w:val="00F87091"/>
    <w:rsid w:val="00F87654"/>
    <w:rsid w:val="00F8788F"/>
    <w:rsid w:val="00F87A5C"/>
    <w:rsid w:val="00F90157"/>
    <w:rsid w:val="00F903B1"/>
    <w:rsid w:val="00F90756"/>
    <w:rsid w:val="00F90774"/>
    <w:rsid w:val="00F907BF"/>
    <w:rsid w:val="00F908A5"/>
    <w:rsid w:val="00F90ADA"/>
    <w:rsid w:val="00F90C77"/>
    <w:rsid w:val="00F90D41"/>
    <w:rsid w:val="00F90D66"/>
    <w:rsid w:val="00F91611"/>
    <w:rsid w:val="00F9195A"/>
    <w:rsid w:val="00F91B40"/>
    <w:rsid w:val="00F91CC3"/>
    <w:rsid w:val="00F91E2B"/>
    <w:rsid w:val="00F91FF3"/>
    <w:rsid w:val="00F920EF"/>
    <w:rsid w:val="00F92212"/>
    <w:rsid w:val="00F9261F"/>
    <w:rsid w:val="00F92718"/>
    <w:rsid w:val="00F929DB"/>
    <w:rsid w:val="00F92EDE"/>
    <w:rsid w:val="00F930C8"/>
    <w:rsid w:val="00F93393"/>
    <w:rsid w:val="00F934FE"/>
    <w:rsid w:val="00F93573"/>
    <w:rsid w:val="00F93BB6"/>
    <w:rsid w:val="00F93F7A"/>
    <w:rsid w:val="00F94370"/>
    <w:rsid w:val="00F9442A"/>
    <w:rsid w:val="00F948B3"/>
    <w:rsid w:val="00F9492C"/>
    <w:rsid w:val="00F94B5B"/>
    <w:rsid w:val="00F94FCD"/>
    <w:rsid w:val="00F95043"/>
    <w:rsid w:val="00F951ED"/>
    <w:rsid w:val="00F9524E"/>
    <w:rsid w:val="00F95316"/>
    <w:rsid w:val="00F95423"/>
    <w:rsid w:val="00F95D07"/>
    <w:rsid w:val="00F95F82"/>
    <w:rsid w:val="00F96109"/>
    <w:rsid w:val="00F9612A"/>
    <w:rsid w:val="00F96404"/>
    <w:rsid w:val="00F965A8"/>
    <w:rsid w:val="00F96603"/>
    <w:rsid w:val="00F96626"/>
    <w:rsid w:val="00F96B7A"/>
    <w:rsid w:val="00F96D84"/>
    <w:rsid w:val="00F97346"/>
    <w:rsid w:val="00F9752F"/>
    <w:rsid w:val="00F9784E"/>
    <w:rsid w:val="00F97920"/>
    <w:rsid w:val="00F979C1"/>
    <w:rsid w:val="00FA00E2"/>
    <w:rsid w:val="00FA06AA"/>
    <w:rsid w:val="00FA078B"/>
    <w:rsid w:val="00FA0AB2"/>
    <w:rsid w:val="00FA0B5E"/>
    <w:rsid w:val="00FA0E52"/>
    <w:rsid w:val="00FA0F63"/>
    <w:rsid w:val="00FA161A"/>
    <w:rsid w:val="00FA1AE2"/>
    <w:rsid w:val="00FA2496"/>
    <w:rsid w:val="00FA2969"/>
    <w:rsid w:val="00FA2A62"/>
    <w:rsid w:val="00FA3189"/>
    <w:rsid w:val="00FA319C"/>
    <w:rsid w:val="00FA335C"/>
    <w:rsid w:val="00FA370B"/>
    <w:rsid w:val="00FA38E4"/>
    <w:rsid w:val="00FA392A"/>
    <w:rsid w:val="00FA3A4F"/>
    <w:rsid w:val="00FA3A58"/>
    <w:rsid w:val="00FA3ADA"/>
    <w:rsid w:val="00FA3AF2"/>
    <w:rsid w:val="00FA3D62"/>
    <w:rsid w:val="00FA3D9B"/>
    <w:rsid w:val="00FA4354"/>
    <w:rsid w:val="00FA4457"/>
    <w:rsid w:val="00FA44CB"/>
    <w:rsid w:val="00FA4649"/>
    <w:rsid w:val="00FA4982"/>
    <w:rsid w:val="00FA4A35"/>
    <w:rsid w:val="00FA4D71"/>
    <w:rsid w:val="00FA5142"/>
    <w:rsid w:val="00FA571B"/>
    <w:rsid w:val="00FA5900"/>
    <w:rsid w:val="00FA6571"/>
    <w:rsid w:val="00FA6A73"/>
    <w:rsid w:val="00FA7407"/>
    <w:rsid w:val="00FA771A"/>
    <w:rsid w:val="00FA7840"/>
    <w:rsid w:val="00FA7A83"/>
    <w:rsid w:val="00FA7D82"/>
    <w:rsid w:val="00FA7FC0"/>
    <w:rsid w:val="00FB01B9"/>
    <w:rsid w:val="00FB0729"/>
    <w:rsid w:val="00FB074C"/>
    <w:rsid w:val="00FB0C6F"/>
    <w:rsid w:val="00FB0CB8"/>
    <w:rsid w:val="00FB10D4"/>
    <w:rsid w:val="00FB113F"/>
    <w:rsid w:val="00FB1A39"/>
    <w:rsid w:val="00FB1E0F"/>
    <w:rsid w:val="00FB1E60"/>
    <w:rsid w:val="00FB21F5"/>
    <w:rsid w:val="00FB2525"/>
    <w:rsid w:val="00FB26AB"/>
    <w:rsid w:val="00FB27D8"/>
    <w:rsid w:val="00FB29B0"/>
    <w:rsid w:val="00FB2BA6"/>
    <w:rsid w:val="00FB2BAB"/>
    <w:rsid w:val="00FB2E7D"/>
    <w:rsid w:val="00FB2F63"/>
    <w:rsid w:val="00FB2FA1"/>
    <w:rsid w:val="00FB2FCC"/>
    <w:rsid w:val="00FB33AD"/>
    <w:rsid w:val="00FB357E"/>
    <w:rsid w:val="00FB43CD"/>
    <w:rsid w:val="00FB487A"/>
    <w:rsid w:val="00FB493B"/>
    <w:rsid w:val="00FB579F"/>
    <w:rsid w:val="00FB5D2D"/>
    <w:rsid w:val="00FB6611"/>
    <w:rsid w:val="00FB6871"/>
    <w:rsid w:val="00FB6B0A"/>
    <w:rsid w:val="00FB6C54"/>
    <w:rsid w:val="00FB6D7B"/>
    <w:rsid w:val="00FB75DF"/>
    <w:rsid w:val="00FB7CD8"/>
    <w:rsid w:val="00FB7E42"/>
    <w:rsid w:val="00FC004B"/>
    <w:rsid w:val="00FC00ED"/>
    <w:rsid w:val="00FC03CE"/>
    <w:rsid w:val="00FC05C8"/>
    <w:rsid w:val="00FC06CC"/>
    <w:rsid w:val="00FC1262"/>
    <w:rsid w:val="00FC12CB"/>
    <w:rsid w:val="00FC12FE"/>
    <w:rsid w:val="00FC1457"/>
    <w:rsid w:val="00FC14E1"/>
    <w:rsid w:val="00FC1710"/>
    <w:rsid w:val="00FC1761"/>
    <w:rsid w:val="00FC1812"/>
    <w:rsid w:val="00FC21AD"/>
    <w:rsid w:val="00FC2264"/>
    <w:rsid w:val="00FC268C"/>
    <w:rsid w:val="00FC26D7"/>
    <w:rsid w:val="00FC2937"/>
    <w:rsid w:val="00FC298B"/>
    <w:rsid w:val="00FC2AF6"/>
    <w:rsid w:val="00FC2EF4"/>
    <w:rsid w:val="00FC2F77"/>
    <w:rsid w:val="00FC3379"/>
    <w:rsid w:val="00FC38B9"/>
    <w:rsid w:val="00FC38F8"/>
    <w:rsid w:val="00FC3C78"/>
    <w:rsid w:val="00FC403C"/>
    <w:rsid w:val="00FC42FA"/>
    <w:rsid w:val="00FC46D2"/>
    <w:rsid w:val="00FC4B43"/>
    <w:rsid w:val="00FC51E5"/>
    <w:rsid w:val="00FC5320"/>
    <w:rsid w:val="00FC5780"/>
    <w:rsid w:val="00FC5A6E"/>
    <w:rsid w:val="00FC5DE1"/>
    <w:rsid w:val="00FC5E89"/>
    <w:rsid w:val="00FC6013"/>
    <w:rsid w:val="00FC65F9"/>
    <w:rsid w:val="00FC6BCE"/>
    <w:rsid w:val="00FC79F2"/>
    <w:rsid w:val="00FC7D68"/>
    <w:rsid w:val="00FC7DF3"/>
    <w:rsid w:val="00FD0121"/>
    <w:rsid w:val="00FD0553"/>
    <w:rsid w:val="00FD058A"/>
    <w:rsid w:val="00FD07CB"/>
    <w:rsid w:val="00FD0A27"/>
    <w:rsid w:val="00FD0A64"/>
    <w:rsid w:val="00FD0C0E"/>
    <w:rsid w:val="00FD0E07"/>
    <w:rsid w:val="00FD1193"/>
    <w:rsid w:val="00FD14A3"/>
    <w:rsid w:val="00FD157F"/>
    <w:rsid w:val="00FD164C"/>
    <w:rsid w:val="00FD2082"/>
    <w:rsid w:val="00FD227F"/>
    <w:rsid w:val="00FD23E2"/>
    <w:rsid w:val="00FD27FF"/>
    <w:rsid w:val="00FD2A88"/>
    <w:rsid w:val="00FD2FA8"/>
    <w:rsid w:val="00FD3238"/>
    <w:rsid w:val="00FD363A"/>
    <w:rsid w:val="00FD3A14"/>
    <w:rsid w:val="00FD3B47"/>
    <w:rsid w:val="00FD3F19"/>
    <w:rsid w:val="00FD4036"/>
    <w:rsid w:val="00FD414E"/>
    <w:rsid w:val="00FD45FE"/>
    <w:rsid w:val="00FD4CCC"/>
    <w:rsid w:val="00FD595C"/>
    <w:rsid w:val="00FD596A"/>
    <w:rsid w:val="00FD602E"/>
    <w:rsid w:val="00FD606A"/>
    <w:rsid w:val="00FD60BC"/>
    <w:rsid w:val="00FD638C"/>
    <w:rsid w:val="00FD6550"/>
    <w:rsid w:val="00FD6F5D"/>
    <w:rsid w:val="00FD6F93"/>
    <w:rsid w:val="00FD7359"/>
    <w:rsid w:val="00FD7515"/>
    <w:rsid w:val="00FD79C9"/>
    <w:rsid w:val="00FD7B1C"/>
    <w:rsid w:val="00FE033A"/>
    <w:rsid w:val="00FE0823"/>
    <w:rsid w:val="00FE099D"/>
    <w:rsid w:val="00FE0AB8"/>
    <w:rsid w:val="00FE0B68"/>
    <w:rsid w:val="00FE159F"/>
    <w:rsid w:val="00FE18B8"/>
    <w:rsid w:val="00FE19F7"/>
    <w:rsid w:val="00FE1CCD"/>
    <w:rsid w:val="00FE2068"/>
    <w:rsid w:val="00FE27ED"/>
    <w:rsid w:val="00FE281B"/>
    <w:rsid w:val="00FE29ED"/>
    <w:rsid w:val="00FE2CD3"/>
    <w:rsid w:val="00FE36E3"/>
    <w:rsid w:val="00FE37C6"/>
    <w:rsid w:val="00FE3C6F"/>
    <w:rsid w:val="00FE41C9"/>
    <w:rsid w:val="00FE43E2"/>
    <w:rsid w:val="00FE43E4"/>
    <w:rsid w:val="00FE45C9"/>
    <w:rsid w:val="00FE53DD"/>
    <w:rsid w:val="00FE547F"/>
    <w:rsid w:val="00FE574C"/>
    <w:rsid w:val="00FE580B"/>
    <w:rsid w:val="00FE580F"/>
    <w:rsid w:val="00FE584B"/>
    <w:rsid w:val="00FE59B2"/>
    <w:rsid w:val="00FE6035"/>
    <w:rsid w:val="00FE60A9"/>
    <w:rsid w:val="00FE6396"/>
    <w:rsid w:val="00FE64F1"/>
    <w:rsid w:val="00FE6636"/>
    <w:rsid w:val="00FE6B53"/>
    <w:rsid w:val="00FE6D71"/>
    <w:rsid w:val="00FE7096"/>
    <w:rsid w:val="00FE7749"/>
    <w:rsid w:val="00FE787F"/>
    <w:rsid w:val="00FE79E1"/>
    <w:rsid w:val="00FE7A1E"/>
    <w:rsid w:val="00FE7B70"/>
    <w:rsid w:val="00FE7E2D"/>
    <w:rsid w:val="00FF0128"/>
    <w:rsid w:val="00FF028A"/>
    <w:rsid w:val="00FF073C"/>
    <w:rsid w:val="00FF075E"/>
    <w:rsid w:val="00FF0941"/>
    <w:rsid w:val="00FF0ADB"/>
    <w:rsid w:val="00FF0D0B"/>
    <w:rsid w:val="00FF0E21"/>
    <w:rsid w:val="00FF0F0C"/>
    <w:rsid w:val="00FF102F"/>
    <w:rsid w:val="00FF11F1"/>
    <w:rsid w:val="00FF1255"/>
    <w:rsid w:val="00FF137D"/>
    <w:rsid w:val="00FF1CC5"/>
    <w:rsid w:val="00FF1E2C"/>
    <w:rsid w:val="00FF1EFD"/>
    <w:rsid w:val="00FF20B5"/>
    <w:rsid w:val="00FF2707"/>
    <w:rsid w:val="00FF2718"/>
    <w:rsid w:val="00FF2796"/>
    <w:rsid w:val="00FF2AB6"/>
    <w:rsid w:val="00FF2AD1"/>
    <w:rsid w:val="00FF2DE4"/>
    <w:rsid w:val="00FF2E7F"/>
    <w:rsid w:val="00FF3A0C"/>
    <w:rsid w:val="00FF3E1B"/>
    <w:rsid w:val="00FF3E35"/>
    <w:rsid w:val="00FF3E4A"/>
    <w:rsid w:val="00FF3F86"/>
    <w:rsid w:val="00FF4195"/>
    <w:rsid w:val="00FF47DE"/>
    <w:rsid w:val="00FF480D"/>
    <w:rsid w:val="00FF49AA"/>
    <w:rsid w:val="00FF4B79"/>
    <w:rsid w:val="00FF4B84"/>
    <w:rsid w:val="00FF4DAF"/>
    <w:rsid w:val="00FF4F52"/>
    <w:rsid w:val="00FF50AE"/>
    <w:rsid w:val="00FF54CA"/>
    <w:rsid w:val="00FF584A"/>
    <w:rsid w:val="00FF5B1A"/>
    <w:rsid w:val="00FF5D7D"/>
    <w:rsid w:val="00FF633E"/>
    <w:rsid w:val="00FF6347"/>
    <w:rsid w:val="00FF6390"/>
    <w:rsid w:val="00FF6518"/>
    <w:rsid w:val="00FF6609"/>
    <w:rsid w:val="00FF67ED"/>
    <w:rsid w:val="00FF6813"/>
    <w:rsid w:val="00FF6A56"/>
    <w:rsid w:val="00FF6B93"/>
    <w:rsid w:val="00FF71CF"/>
    <w:rsid w:val="00FF75CE"/>
    <w:rsid w:val="00FF75DD"/>
    <w:rsid w:val="00FF7FDF"/>
    <w:rsid w:val="010C6E4C"/>
    <w:rsid w:val="010D7058"/>
    <w:rsid w:val="010F407E"/>
    <w:rsid w:val="011363E8"/>
    <w:rsid w:val="011F23B0"/>
    <w:rsid w:val="0128DC94"/>
    <w:rsid w:val="01367D3C"/>
    <w:rsid w:val="01525D59"/>
    <w:rsid w:val="0154C8F0"/>
    <w:rsid w:val="0161936D"/>
    <w:rsid w:val="0168916A"/>
    <w:rsid w:val="016B503E"/>
    <w:rsid w:val="017A2566"/>
    <w:rsid w:val="01B11E71"/>
    <w:rsid w:val="01BF3B33"/>
    <w:rsid w:val="01C502F8"/>
    <w:rsid w:val="01C55C3E"/>
    <w:rsid w:val="01C6E091"/>
    <w:rsid w:val="01C87DAA"/>
    <w:rsid w:val="01D86FAC"/>
    <w:rsid w:val="01DEF9CF"/>
    <w:rsid w:val="01FF1887"/>
    <w:rsid w:val="020BC867"/>
    <w:rsid w:val="0218403F"/>
    <w:rsid w:val="021BC466"/>
    <w:rsid w:val="022B8C1F"/>
    <w:rsid w:val="0250A373"/>
    <w:rsid w:val="025165E9"/>
    <w:rsid w:val="026EE93C"/>
    <w:rsid w:val="02710A13"/>
    <w:rsid w:val="02753DBF"/>
    <w:rsid w:val="027EC7B0"/>
    <w:rsid w:val="0285DF5D"/>
    <w:rsid w:val="02ED050C"/>
    <w:rsid w:val="0311132F"/>
    <w:rsid w:val="0314A460"/>
    <w:rsid w:val="031BE0F0"/>
    <w:rsid w:val="03297669"/>
    <w:rsid w:val="0335F7E2"/>
    <w:rsid w:val="03445921"/>
    <w:rsid w:val="03514919"/>
    <w:rsid w:val="036EC221"/>
    <w:rsid w:val="038BA4E2"/>
    <w:rsid w:val="038C519E"/>
    <w:rsid w:val="038D1190"/>
    <w:rsid w:val="03959929"/>
    <w:rsid w:val="0395DEF1"/>
    <w:rsid w:val="0397DA48"/>
    <w:rsid w:val="03A5E821"/>
    <w:rsid w:val="03D6081A"/>
    <w:rsid w:val="03D76C7F"/>
    <w:rsid w:val="03F9B268"/>
    <w:rsid w:val="04070B74"/>
    <w:rsid w:val="041664B7"/>
    <w:rsid w:val="041B9B49"/>
    <w:rsid w:val="0431BBF9"/>
    <w:rsid w:val="044F1462"/>
    <w:rsid w:val="047EA9E1"/>
    <w:rsid w:val="04882C74"/>
    <w:rsid w:val="0497EB5C"/>
    <w:rsid w:val="0497F499"/>
    <w:rsid w:val="04B0EF9D"/>
    <w:rsid w:val="04BA86D0"/>
    <w:rsid w:val="04CBD4A8"/>
    <w:rsid w:val="04CBEADA"/>
    <w:rsid w:val="04D7C7E5"/>
    <w:rsid w:val="0500505F"/>
    <w:rsid w:val="0501F06B"/>
    <w:rsid w:val="050AC46F"/>
    <w:rsid w:val="05191AE3"/>
    <w:rsid w:val="0538794D"/>
    <w:rsid w:val="0542A90B"/>
    <w:rsid w:val="054C379E"/>
    <w:rsid w:val="0563F6A2"/>
    <w:rsid w:val="056E9101"/>
    <w:rsid w:val="0574C880"/>
    <w:rsid w:val="058516D7"/>
    <w:rsid w:val="05BB8014"/>
    <w:rsid w:val="05C9AB55"/>
    <w:rsid w:val="05E35D0D"/>
    <w:rsid w:val="05ED8B98"/>
    <w:rsid w:val="06068238"/>
    <w:rsid w:val="0610F4B0"/>
    <w:rsid w:val="06323CED"/>
    <w:rsid w:val="06330155"/>
    <w:rsid w:val="0636BD19"/>
    <w:rsid w:val="0640FB1D"/>
    <w:rsid w:val="0650C8F1"/>
    <w:rsid w:val="0687736D"/>
    <w:rsid w:val="068BE4EB"/>
    <w:rsid w:val="06C06F42"/>
    <w:rsid w:val="06FD3244"/>
    <w:rsid w:val="0701F538"/>
    <w:rsid w:val="07086832"/>
    <w:rsid w:val="070923B8"/>
    <w:rsid w:val="0728C496"/>
    <w:rsid w:val="073A3991"/>
    <w:rsid w:val="074141EA"/>
    <w:rsid w:val="0756A65D"/>
    <w:rsid w:val="0756FA00"/>
    <w:rsid w:val="076732EF"/>
    <w:rsid w:val="07689300"/>
    <w:rsid w:val="0771E2EC"/>
    <w:rsid w:val="07977AA5"/>
    <w:rsid w:val="079A5F06"/>
    <w:rsid w:val="07A6EDD8"/>
    <w:rsid w:val="07AAE063"/>
    <w:rsid w:val="07AF3ECE"/>
    <w:rsid w:val="07D5E2D1"/>
    <w:rsid w:val="07D9E4F6"/>
    <w:rsid w:val="07ECA0C5"/>
    <w:rsid w:val="07EDAA8D"/>
    <w:rsid w:val="07F47102"/>
    <w:rsid w:val="07FBD051"/>
    <w:rsid w:val="080340AC"/>
    <w:rsid w:val="0844F26A"/>
    <w:rsid w:val="084F5AFF"/>
    <w:rsid w:val="087068D8"/>
    <w:rsid w:val="087B46F5"/>
    <w:rsid w:val="0885A6C1"/>
    <w:rsid w:val="08881A05"/>
    <w:rsid w:val="0894EAE3"/>
    <w:rsid w:val="08BB53D9"/>
    <w:rsid w:val="08CEC2D7"/>
    <w:rsid w:val="09037D30"/>
    <w:rsid w:val="091549A5"/>
    <w:rsid w:val="091CAC42"/>
    <w:rsid w:val="09219A5F"/>
    <w:rsid w:val="09296619"/>
    <w:rsid w:val="0940D09E"/>
    <w:rsid w:val="094133A7"/>
    <w:rsid w:val="094BF37F"/>
    <w:rsid w:val="09538140"/>
    <w:rsid w:val="09549CF3"/>
    <w:rsid w:val="0963A6C3"/>
    <w:rsid w:val="0973C76E"/>
    <w:rsid w:val="099A1475"/>
    <w:rsid w:val="09A8B921"/>
    <w:rsid w:val="09DBDE0D"/>
    <w:rsid w:val="0A0415EC"/>
    <w:rsid w:val="0A059FD0"/>
    <w:rsid w:val="0A14DC39"/>
    <w:rsid w:val="0A2492A8"/>
    <w:rsid w:val="0A3CC245"/>
    <w:rsid w:val="0A4FC2BB"/>
    <w:rsid w:val="0A6688FF"/>
    <w:rsid w:val="0A6A6205"/>
    <w:rsid w:val="0A877F76"/>
    <w:rsid w:val="0A9864B3"/>
    <w:rsid w:val="0AA04539"/>
    <w:rsid w:val="0AAD141D"/>
    <w:rsid w:val="0AAE241B"/>
    <w:rsid w:val="0AB878BE"/>
    <w:rsid w:val="0ABA5D39"/>
    <w:rsid w:val="0AD13612"/>
    <w:rsid w:val="0B321BAA"/>
    <w:rsid w:val="0B36CB6A"/>
    <w:rsid w:val="0B4AEA2B"/>
    <w:rsid w:val="0B67B416"/>
    <w:rsid w:val="0B717078"/>
    <w:rsid w:val="0B77D2E4"/>
    <w:rsid w:val="0B90F33A"/>
    <w:rsid w:val="0B95763A"/>
    <w:rsid w:val="0B9724C1"/>
    <w:rsid w:val="0BA27861"/>
    <w:rsid w:val="0BA61FB6"/>
    <w:rsid w:val="0BCDC42F"/>
    <w:rsid w:val="0BCDE1FB"/>
    <w:rsid w:val="0BCEDC43"/>
    <w:rsid w:val="0BD5DC2D"/>
    <w:rsid w:val="0BDA6258"/>
    <w:rsid w:val="0BFBF278"/>
    <w:rsid w:val="0C022467"/>
    <w:rsid w:val="0C106237"/>
    <w:rsid w:val="0C1F0988"/>
    <w:rsid w:val="0C24E9B7"/>
    <w:rsid w:val="0C30F5E3"/>
    <w:rsid w:val="0C674EBC"/>
    <w:rsid w:val="0CC5FC3B"/>
    <w:rsid w:val="0CD599A3"/>
    <w:rsid w:val="0CE7106F"/>
    <w:rsid w:val="0CF91E48"/>
    <w:rsid w:val="0D1568C5"/>
    <w:rsid w:val="0D2A64EE"/>
    <w:rsid w:val="0D30E88B"/>
    <w:rsid w:val="0D359611"/>
    <w:rsid w:val="0D463CEE"/>
    <w:rsid w:val="0D93BF80"/>
    <w:rsid w:val="0DBA23FF"/>
    <w:rsid w:val="0DC2B3EC"/>
    <w:rsid w:val="0DC7A165"/>
    <w:rsid w:val="0DCA8F59"/>
    <w:rsid w:val="0DDB1C95"/>
    <w:rsid w:val="0DF02DAF"/>
    <w:rsid w:val="0DF10CF0"/>
    <w:rsid w:val="0E08174C"/>
    <w:rsid w:val="0E0872C4"/>
    <w:rsid w:val="0E2A93DC"/>
    <w:rsid w:val="0E3C756D"/>
    <w:rsid w:val="0E490240"/>
    <w:rsid w:val="0E5FCAB9"/>
    <w:rsid w:val="0E68DBDC"/>
    <w:rsid w:val="0E6D3B2E"/>
    <w:rsid w:val="0E93A877"/>
    <w:rsid w:val="0E976310"/>
    <w:rsid w:val="0EEFD3D4"/>
    <w:rsid w:val="0F03B638"/>
    <w:rsid w:val="0F0E4AD0"/>
    <w:rsid w:val="0F17B8F1"/>
    <w:rsid w:val="0F20E031"/>
    <w:rsid w:val="0F2E05E0"/>
    <w:rsid w:val="0F4F3500"/>
    <w:rsid w:val="0F5D89E5"/>
    <w:rsid w:val="0F70C285"/>
    <w:rsid w:val="0F93A2ED"/>
    <w:rsid w:val="0F9870FD"/>
    <w:rsid w:val="0FA96737"/>
    <w:rsid w:val="0FBFD0D5"/>
    <w:rsid w:val="0FCD2535"/>
    <w:rsid w:val="0FDC49CB"/>
    <w:rsid w:val="0FE701EF"/>
    <w:rsid w:val="0FEDE1B3"/>
    <w:rsid w:val="0FF5D3AF"/>
    <w:rsid w:val="1003E31A"/>
    <w:rsid w:val="101DB2BC"/>
    <w:rsid w:val="103D6E61"/>
    <w:rsid w:val="104F391F"/>
    <w:rsid w:val="104F56D2"/>
    <w:rsid w:val="10697107"/>
    <w:rsid w:val="10774509"/>
    <w:rsid w:val="10879B08"/>
    <w:rsid w:val="10981CE8"/>
    <w:rsid w:val="109F6DAA"/>
    <w:rsid w:val="10A1EC31"/>
    <w:rsid w:val="10C05083"/>
    <w:rsid w:val="10E8FEAA"/>
    <w:rsid w:val="10F0AE64"/>
    <w:rsid w:val="11359B87"/>
    <w:rsid w:val="113E696C"/>
    <w:rsid w:val="11479D02"/>
    <w:rsid w:val="114FA27A"/>
    <w:rsid w:val="1151AE3F"/>
    <w:rsid w:val="11558308"/>
    <w:rsid w:val="116E1FA2"/>
    <w:rsid w:val="1173A37E"/>
    <w:rsid w:val="118C8845"/>
    <w:rsid w:val="1192E858"/>
    <w:rsid w:val="11B96974"/>
    <w:rsid w:val="11C386D4"/>
    <w:rsid w:val="11EFE346"/>
    <w:rsid w:val="11F02AA8"/>
    <w:rsid w:val="11F3FDCA"/>
    <w:rsid w:val="11FDE4E8"/>
    <w:rsid w:val="1207BDBD"/>
    <w:rsid w:val="1208E80A"/>
    <w:rsid w:val="121C9568"/>
    <w:rsid w:val="1233FE89"/>
    <w:rsid w:val="123A66DF"/>
    <w:rsid w:val="1240EF89"/>
    <w:rsid w:val="124A83F1"/>
    <w:rsid w:val="124AF33B"/>
    <w:rsid w:val="1258BA9A"/>
    <w:rsid w:val="1271C6E9"/>
    <w:rsid w:val="127D20E7"/>
    <w:rsid w:val="127E2C37"/>
    <w:rsid w:val="128848A2"/>
    <w:rsid w:val="1291D807"/>
    <w:rsid w:val="12C6EC50"/>
    <w:rsid w:val="12D31F95"/>
    <w:rsid w:val="12E62406"/>
    <w:rsid w:val="12FC0F35"/>
    <w:rsid w:val="13193F9B"/>
    <w:rsid w:val="131CB17E"/>
    <w:rsid w:val="1325E686"/>
    <w:rsid w:val="132966D6"/>
    <w:rsid w:val="13497F4F"/>
    <w:rsid w:val="136448FC"/>
    <w:rsid w:val="137E2681"/>
    <w:rsid w:val="139003B2"/>
    <w:rsid w:val="1395716C"/>
    <w:rsid w:val="13A3734D"/>
    <w:rsid w:val="13B913DF"/>
    <w:rsid w:val="13F74E7F"/>
    <w:rsid w:val="13F8F767"/>
    <w:rsid w:val="140E8589"/>
    <w:rsid w:val="1419134F"/>
    <w:rsid w:val="1441C888"/>
    <w:rsid w:val="145898FF"/>
    <w:rsid w:val="145A480E"/>
    <w:rsid w:val="1460EA2F"/>
    <w:rsid w:val="147F0217"/>
    <w:rsid w:val="1493E334"/>
    <w:rsid w:val="149BBC95"/>
    <w:rsid w:val="14AD9296"/>
    <w:rsid w:val="14B19FB2"/>
    <w:rsid w:val="14B8DFA9"/>
    <w:rsid w:val="14CC4A3C"/>
    <w:rsid w:val="14CCE29E"/>
    <w:rsid w:val="150A2E7A"/>
    <w:rsid w:val="1512E9C3"/>
    <w:rsid w:val="152A7F31"/>
    <w:rsid w:val="15640B08"/>
    <w:rsid w:val="156A4B87"/>
    <w:rsid w:val="1577B918"/>
    <w:rsid w:val="1580AF87"/>
    <w:rsid w:val="159EB7FD"/>
    <w:rsid w:val="15B33D21"/>
    <w:rsid w:val="15CEB4C7"/>
    <w:rsid w:val="15EF39D1"/>
    <w:rsid w:val="15F46387"/>
    <w:rsid w:val="15FA2A41"/>
    <w:rsid w:val="15FE29F2"/>
    <w:rsid w:val="16016025"/>
    <w:rsid w:val="16031C1D"/>
    <w:rsid w:val="16683922"/>
    <w:rsid w:val="16865BF4"/>
    <w:rsid w:val="16954A4A"/>
    <w:rsid w:val="16956AD8"/>
    <w:rsid w:val="16B12565"/>
    <w:rsid w:val="16B18CB5"/>
    <w:rsid w:val="16BC0803"/>
    <w:rsid w:val="16C0D279"/>
    <w:rsid w:val="1705767E"/>
    <w:rsid w:val="17187112"/>
    <w:rsid w:val="17208D68"/>
    <w:rsid w:val="172CE321"/>
    <w:rsid w:val="1747A60B"/>
    <w:rsid w:val="1755FD94"/>
    <w:rsid w:val="1766EDD8"/>
    <w:rsid w:val="176832CE"/>
    <w:rsid w:val="177A0CDB"/>
    <w:rsid w:val="177C2DBE"/>
    <w:rsid w:val="1780D50D"/>
    <w:rsid w:val="17814517"/>
    <w:rsid w:val="1787AC77"/>
    <w:rsid w:val="17A43491"/>
    <w:rsid w:val="17A81162"/>
    <w:rsid w:val="17A928DC"/>
    <w:rsid w:val="17AEFEA1"/>
    <w:rsid w:val="17B16C90"/>
    <w:rsid w:val="17D1F124"/>
    <w:rsid w:val="17E0B45C"/>
    <w:rsid w:val="17E67954"/>
    <w:rsid w:val="17E8BA50"/>
    <w:rsid w:val="18015828"/>
    <w:rsid w:val="1801C99A"/>
    <w:rsid w:val="18229D92"/>
    <w:rsid w:val="18254B2C"/>
    <w:rsid w:val="1832C298"/>
    <w:rsid w:val="183779F6"/>
    <w:rsid w:val="183C2DA0"/>
    <w:rsid w:val="1840C586"/>
    <w:rsid w:val="185057E5"/>
    <w:rsid w:val="1857E1AE"/>
    <w:rsid w:val="189B1B98"/>
    <w:rsid w:val="18B59259"/>
    <w:rsid w:val="18BA03D8"/>
    <w:rsid w:val="18BB2DD6"/>
    <w:rsid w:val="18BD69C4"/>
    <w:rsid w:val="18BD9604"/>
    <w:rsid w:val="18C1E704"/>
    <w:rsid w:val="18C41019"/>
    <w:rsid w:val="18C5716F"/>
    <w:rsid w:val="18F045BE"/>
    <w:rsid w:val="18F43343"/>
    <w:rsid w:val="18FFC5B0"/>
    <w:rsid w:val="19014F2B"/>
    <w:rsid w:val="191443BA"/>
    <w:rsid w:val="191AA12E"/>
    <w:rsid w:val="192289E3"/>
    <w:rsid w:val="1931FEB6"/>
    <w:rsid w:val="193CB8CA"/>
    <w:rsid w:val="195BDD77"/>
    <w:rsid w:val="19835ED5"/>
    <w:rsid w:val="19989CFA"/>
    <w:rsid w:val="19AD4B8B"/>
    <w:rsid w:val="19C06CC3"/>
    <w:rsid w:val="19CD7F66"/>
    <w:rsid w:val="19D850B1"/>
    <w:rsid w:val="19FCAF49"/>
    <w:rsid w:val="1A03D127"/>
    <w:rsid w:val="1A0A8287"/>
    <w:rsid w:val="1A1D0C7B"/>
    <w:rsid w:val="1A24CBFE"/>
    <w:rsid w:val="1A324999"/>
    <w:rsid w:val="1A3C518A"/>
    <w:rsid w:val="1A3ECDDC"/>
    <w:rsid w:val="1A442B7F"/>
    <w:rsid w:val="1A4DBB7C"/>
    <w:rsid w:val="1A53EB0A"/>
    <w:rsid w:val="1A5D578E"/>
    <w:rsid w:val="1A79683F"/>
    <w:rsid w:val="1A83AEDB"/>
    <w:rsid w:val="1A83B418"/>
    <w:rsid w:val="1A8F21E5"/>
    <w:rsid w:val="1AB7DF6C"/>
    <w:rsid w:val="1AD31D6E"/>
    <w:rsid w:val="1ADA46B4"/>
    <w:rsid w:val="1AE9D778"/>
    <w:rsid w:val="1AEF1772"/>
    <w:rsid w:val="1AF927E4"/>
    <w:rsid w:val="1AFE2526"/>
    <w:rsid w:val="1B1774DE"/>
    <w:rsid w:val="1B3004B3"/>
    <w:rsid w:val="1B5F9448"/>
    <w:rsid w:val="1B75294C"/>
    <w:rsid w:val="1B7CD99A"/>
    <w:rsid w:val="1B9116CA"/>
    <w:rsid w:val="1BB58135"/>
    <w:rsid w:val="1BB71FA3"/>
    <w:rsid w:val="1BC80ED8"/>
    <w:rsid w:val="1BC94B97"/>
    <w:rsid w:val="1BCE7B17"/>
    <w:rsid w:val="1BD82DB6"/>
    <w:rsid w:val="1BE14F58"/>
    <w:rsid w:val="1BF509DD"/>
    <w:rsid w:val="1C0CF722"/>
    <w:rsid w:val="1C0E5C3E"/>
    <w:rsid w:val="1C16DB15"/>
    <w:rsid w:val="1C179AAD"/>
    <w:rsid w:val="1C1B43D5"/>
    <w:rsid w:val="1C1BEED6"/>
    <w:rsid w:val="1C221528"/>
    <w:rsid w:val="1C49E372"/>
    <w:rsid w:val="1C63F5ED"/>
    <w:rsid w:val="1CB7C2A9"/>
    <w:rsid w:val="1CBCAB2A"/>
    <w:rsid w:val="1CCCF00B"/>
    <w:rsid w:val="1CCF57A2"/>
    <w:rsid w:val="1CD0FBA2"/>
    <w:rsid w:val="1CD304A5"/>
    <w:rsid w:val="1CF5B80E"/>
    <w:rsid w:val="1CF8A20E"/>
    <w:rsid w:val="1CFA5725"/>
    <w:rsid w:val="1D049854"/>
    <w:rsid w:val="1D2EE0BE"/>
    <w:rsid w:val="1D362768"/>
    <w:rsid w:val="1D4E0A52"/>
    <w:rsid w:val="1D5BA5BB"/>
    <w:rsid w:val="1D64224C"/>
    <w:rsid w:val="1D79B440"/>
    <w:rsid w:val="1D90F103"/>
    <w:rsid w:val="1D99D934"/>
    <w:rsid w:val="1DA3AB53"/>
    <w:rsid w:val="1DAD1311"/>
    <w:rsid w:val="1DB2B645"/>
    <w:rsid w:val="1DCEE406"/>
    <w:rsid w:val="1DCF13CE"/>
    <w:rsid w:val="1DD054ED"/>
    <w:rsid w:val="1E02B61E"/>
    <w:rsid w:val="1E0B2319"/>
    <w:rsid w:val="1E0B36D9"/>
    <w:rsid w:val="1E265AC3"/>
    <w:rsid w:val="1E3E948D"/>
    <w:rsid w:val="1E46C49E"/>
    <w:rsid w:val="1E5A28E4"/>
    <w:rsid w:val="1E6182BB"/>
    <w:rsid w:val="1E77C638"/>
    <w:rsid w:val="1E7DDAD4"/>
    <w:rsid w:val="1E7F0680"/>
    <w:rsid w:val="1E9F6630"/>
    <w:rsid w:val="1EA1FF23"/>
    <w:rsid w:val="1EA4ECA3"/>
    <w:rsid w:val="1EB1441A"/>
    <w:rsid w:val="1EBC45A9"/>
    <w:rsid w:val="1EC620E7"/>
    <w:rsid w:val="1ED94FED"/>
    <w:rsid w:val="1EDBA524"/>
    <w:rsid w:val="1EEA49B7"/>
    <w:rsid w:val="1EFF3DE2"/>
    <w:rsid w:val="1F077333"/>
    <w:rsid w:val="1F0E39B8"/>
    <w:rsid w:val="1F1CF120"/>
    <w:rsid w:val="1F246CCD"/>
    <w:rsid w:val="1F32C051"/>
    <w:rsid w:val="1F403613"/>
    <w:rsid w:val="1F592283"/>
    <w:rsid w:val="1F6F07C9"/>
    <w:rsid w:val="1F79250B"/>
    <w:rsid w:val="1F8CB9AA"/>
    <w:rsid w:val="1FAA247D"/>
    <w:rsid w:val="1FB07C29"/>
    <w:rsid w:val="1FCA34C3"/>
    <w:rsid w:val="1FDAE434"/>
    <w:rsid w:val="1FEAEB7D"/>
    <w:rsid w:val="1FFD9C91"/>
    <w:rsid w:val="20140C71"/>
    <w:rsid w:val="202407A3"/>
    <w:rsid w:val="20395B73"/>
    <w:rsid w:val="204562FD"/>
    <w:rsid w:val="2046FBC1"/>
    <w:rsid w:val="204CD1E8"/>
    <w:rsid w:val="2055E494"/>
    <w:rsid w:val="2060E097"/>
    <w:rsid w:val="20676B26"/>
    <w:rsid w:val="206B69EF"/>
    <w:rsid w:val="206EE97F"/>
    <w:rsid w:val="2071DAB9"/>
    <w:rsid w:val="20779B2D"/>
    <w:rsid w:val="207801C2"/>
    <w:rsid w:val="207E1E31"/>
    <w:rsid w:val="2094AC6D"/>
    <w:rsid w:val="20991E1B"/>
    <w:rsid w:val="20A8E13D"/>
    <w:rsid w:val="20C6A01F"/>
    <w:rsid w:val="20DB8AEF"/>
    <w:rsid w:val="20E6CD69"/>
    <w:rsid w:val="20EFDF08"/>
    <w:rsid w:val="20F41C24"/>
    <w:rsid w:val="2120567B"/>
    <w:rsid w:val="2120B17D"/>
    <w:rsid w:val="21491CE6"/>
    <w:rsid w:val="214A986F"/>
    <w:rsid w:val="214CD460"/>
    <w:rsid w:val="215DBF90"/>
    <w:rsid w:val="2161CEA8"/>
    <w:rsid w:val="2161E145"/>
    <w:rsid w:val="216D2128"/>
    <w:rsid w:val="217EC375"/>
    <w:rsid w:val="2188DFD5"/>
    <w:rsid w:val="2193DBD9"/>
    <w:rsid w:val="219F2B9F"/>
    <w:rsid w:val="21DD7DD5"/>
    <w:rsid w:val="21E268F7"/>
    <w:rsid w:val="21F35C83"/>
    <w:rsid w:val="220A5A53"/>
    <w:rsid w:val="220F2196"/>
    <w:rsid w:val="22162FA6"/>
    <w:rsid w:val="223D5400"/>
    <w:rsid w:val="2244AB88"/>
    <w:rsid w:val="224F48DF"/>
    <w:rsid w:val="22553D03"/>
    <w:rsid w:val="226AB725"/>
    <w:rsid w:val="22735600"/>
    <w:rsid w:val="227E08CD"/>
    <w:rsid w:val="2280AD50"/>
    <w:rsid w:val="22955666"/>
    <w:rsid w:val="22A6C1C2"/>
    <w:rsid w:val="22AAC6DE"/>
    <w:rsid w:val="22AC529C"/>
    <w:rsid w:val="22B7E89D"/>
    <w:rsid w:val="22C4D794"/>
    <w:rsid w:val="22CE7D0D"/>
    <w:rsid w:val="22D3D4C2"/>
    <w:rsid w:val="22DA236A"/>
    <w:rsid w:val="22EEB70A"/>
    <w:rsid w:val="22EFDFE0"/>
    <w:rsid w:val="22F2C761"/>
    <w:rsid w:val="22FA97FC"/>
    <w:rsid w:val="2311E297"/>
    <w:rsid w:val="2317F868"/>
    <w:rsid w:val="232DAD85"/>
    <w:rsid w:val="2330B8B8"/>
    <w:rsid w:val="233519ED"/>
    <w:rsid w:val="23365F4C"/>
    <w:rsid w:val="23410517"/>
    <w:rsid w:val="23553EA6"/>
    <w:rsid w:val="236B1BAA"/>
    <w:rsid w:val="236DCD81"/>
    <w:rsid w:val="23836D66"/>
    <w:rsid w:val="23BA563B"/>
    <w:rsid w:val="23E91E9F"/>
    <w:rsid w:val="23E99525"/>
    <w:rsid w:val="240F7340"/>
    <w:rsid w:val="2419D593"/>
    <w:rsid w:val="243029AF"/>
    <w:rsid w:val="24411CA0"/>
    <w:rsid w:val="24558956"/>
    <w:rsid w:val="2461E11D"/>
    <w:rsid w:val="24676779"/>
    <w:rsid w:val="248C357F"/>
    <w:rsid w:val="24917FE2"/>
    <w:rsid w:val="24922613"/>
    <w:rsid w:val="2492D913"/>
    <w:rsid w:val="24A7097C"/>
    <w:rsid w:val="24AD2AFE"/>
    <w:rsid w:val="24D887A4"/>
    <w:rsid w:val="24E1593E"/>
    <w:rsid w:val="24E3A519"/>
    <w:rsid w:val="24F6960E"/>
    <w:rsid w:val="2503196E"/>
    <w:rsid w:val="2537FBD7"/>
    <w:rsid w:val="253DA422"/>
    <w:rsid w:val="2553F1B4"/>
    <w:rsid w:val="255C0A5B"/>
    <w:rsid w:val="255FF760"/>
    <w:rsid w:val="25801D55"/>
    <w:rsid w:val="258CAEA2"/>
    <w:rsid w:val="25AEFB33"/>
    <w:rsid w:val="25C175F1"/>
    <w:rsid w:val="25D99397"/>
    <w:rsid w:val="25DA70A1"/>
    <w:rsid w:val="25E09828"/>
    <w:rsid w:val="25E1C09A"/>
    <w:rsid w:val="25EB0069"/>
    <w:rsid w:val="26145B48"/>
    <w:rsid w:val="261718B1"/>
    <w:rsid w:val="2617B5E9"/>
    <w:rsid w:val="261A1F38"/>
    <w:rsid w:val="261CF3AF"/>
    <w:rsid w:val="2636CFA6"/>
    <w:rsid w:val="26377D89"/>
    <w:rsid w:val="26400014"/>
    <w:rsid w:val="264AD535"/>
    <w:rsid w:val="2652EA7D"/>
    <w:rsid w:val="2659E216"/>
    <w:rsid w:val="266925F4"/>
    <w:rsid w:val="268D0E50"/>
    <w:rsid w:val="26AE5EE6"/>
    <w:rsid w:val="26C18CD7"/>
    <w:rsid w:val="26C8CF10"/>
    <w:rsid w:val="26CCD840"/>
    <w:rsid w:val="26F50517"/>
    <w:rsid w:val="27047537"/>
    <w:rsid w:val="270E992E"/>
    <w:rsid w:val="2728CD5B"/>
    <w:rsid w:val="27298A64"/>
    <w:rsid w:val="2742EA98"/>
    <w:rsid w:val="27499246"/>
    <w:rsid w:val="27590176"/>
    <w:rsid w:val="2764A669"/>
    <w:rsid w:val="276E6C39"/>
    <w:rsid w:val="27865B1F"/>
    <w:rsid w:val="2788CCA1"/>
    <w:rsid w:val="27929B90"/>
    <w:rsid w:val="279ADB59"/>
    <w:rsid w:val="27A93410"/>
    <w:rsid w:val="27AB97A8"/>
    <w:rsid w:val="27C448BE"/>
    <w:rsid w:val="27DD99FA"/>
    <w:rsid w:val="27F574D6"/>
    <w:rsid w:val="27F6ABE8"/>
    <w:rsid w:val="27F90C38"/>
    <w:rsid w:val="2803B68A"/>
    <w:rsid w:val="2813A4E1"/>
    <w:rsid w:val="281586C7"/>
    <w:rsid w:val="281C2DB6"/>
    <w:rsid w:val="281D31CB"/>
    <w:rsid w:val="282C0607"/>
    <w:rsid w:val="282D3424"/>
    <w:rsid w:val="2838BCF0"/>
    <w:rsid w:val="2844DFD3"/>
    <w:rsid w:val="28694467"/>
    <w:rsid w:val="287892BC"/>
    <w:rsid w:val="28890429"/>
    <w:rsid w:val="28891BDC"/>
    <w:rsid w:val="28BC01D1"/>
    <w:rsid w:val="28BCA8D5"/>
    <w:rsid w:val="28C50BB0"/>
    <w:rsid w:val="28C608A8"/>
    <w:rsid w:val="28EA9019"/>
    <w:rsid w:val="2902F23D"/>
    <w:rsid w:val="2909A719"/>
    <w:rsid w:val="2917D7D9"/>
    <w:rsid w:val="2923D308"/>
    <w:rsid w:val="2924697E"/>
    <w:rsid w:val="2924A466"/>
    <w:rsid w:val="294343B9"/>
    <w:rsid w:val="29469888"/>
    <w:rsid w:val="294E7352"/>
    <w:rsid w:val="2950AD5A"/>
    <w:rsid w:val="2964784A"/>
    <w:rsid w:val="2981CF97"/>
    <w:rsid w:val="2988A6A5"/>
    <w:rsid w:val="299A003F"/>
    <w:rsid w:val="299A6889"/>
    <w:rsid w:val="29BB4A7D"/>
    <w:rsid w:val="29BB686A"/>
    <w:rsid w:val="29CA8F9F"/>
    <w:rsid w:val="29CC9F16"/>
    <w:rsid w:val="29F00D96"/>
    <w:rsid w:val="2A1F0948"/>
    <w:rsid w:val="2A2BEDD5"/>
    <w:rsid w:val="2A3D6117"/>
    <w:rsid w:val="2A442D4C"/>
    <w:rsid w:val="2A576FE0"/>
    <w:rsid w:val="2A73828E"/>
    <w:rsid w:val="2A9B4D63"/>
    <w:rsid w:val="2A9EFA49"/>
    <w:rsid w:val="2ADC7721"/>
    <w:rsid w:val="2AE4238A"/>
    <w:rsid w:val="2AFA04D5"/>
    <w:rsid w:val="2B060D6A"/>
    <w:rsid w:val="2B090236"/>
    <w:rsid w:val="2B14CD66"/>
    <w:rsid w:val="2B1D0F20"/>
    <w:rsid w:val="2B4254CE"/>
    <w:rsid w:val="2B57E5CD"/>
    <w:rsid w:val="2B679001"/>
    <w:rsid w:val="2B79B018"/>
    <w:rsid w:val="2B947F9B"/>
    <w:rsid w:val="2BB15735"/>
    <w:rsid w:val="2BB7B6A4"/>
    <w:rsid w:val="2BBE5600"/>
    <w:rsid w:val="2BEDF609"/>
    <w:rsid w:val="2BF4742B"/>
    <w:rsid w:val="2BFECBB6"/>
    <w:rsid w:val="2C239119"/>
    <w:rsid w:val="2C7E6D8B"/>
    <w:rsid w:val="2C7EB673"/>
    <w:rsid w:val="2C85F914"/>
    <w:rsid w:val="2C991BD4"/>
    <w:rsid w:val="2CA37F31"/>
    <w:rsid w:val="2CBE8C99"/>
    <w:rsid w:val="2CD44179"/>
    <w:rsid w:val="2CE6F74F"/>
    <w:rsid w:val="2D037E95"/>
    <w:rsid w:val="2D133A6E"/>
    <w:rsid w:val="2D500C9C"/>
    <w:rsid w:val="2D5AED1E"/>
    <w:rsid w:val="2D663489"/>
    <w:rsid w:val="2D7730BB"/>
    <w:rsid w:val="2DB0907E"/>
    <w:rsid w:val="2DB6062D"/>
    <w:rsid w:val="2DD47588"/>
    <w:rsid w:val="2DD8DAD6"/>
    <w:rsid w:val="2DEF4AA0"/>
    <w:rsid w:val="2E0A21D8"/>
    <w:rsid w:val="2E33513D"/>
    <w:rsid w:val="2E5DEE5B"/>
    <w:rsid w:val="2E6E070F"/>
    <w:rsid w:val="2E78A78A"/>
    <w:rsid w:val="2E8C8BA7"/>
    <w:rsid w:val="2EB2A695"/>
    <w:rsid w:val="2EBFE4BA"/>
    <w:rsid w:val="2ED2539F"/>
    <w:rsid w:val="2EDAF70D"/>
    <w:rsid w:val="2F01D706"/>
    <w:rsid w:val="2F0D9954"/>
    <w:rsid w:val="2F101F75"/>
    <w:rsid w:val="2F45CC52"/>
    <w:rsid w:val="2F4DCD22"/>
    <w:rsid w:val="2F52FF7A"/>
    <w:rsid w:val="2F68AEDB"/>
    <w:rsid w:val="2F785CA0"/>
    <w:rsid w:val="2F84EC30"/>
    <w:rsid w:val="2F8F25D9"/>
    <w:rsid w:val="2F919BD1"/>
    <w:rsid w:val="2FB47BFD"/>
    <w:rsid w:val="2FBEDFB3"/>
    <w:rsid w:val="2FCDF42A"/>
    <w:rsid w:val="2FD4F6A2"/>
    <w:rsid w:val="2FF81BF4"/>
    <w:rsid w:val="2FFE6CAF"/>
    <w:rsid w:val="300CDE8D"/>
    <w:rsid w:val="30444EBC"/>
    <w:rsid w:val="30869DAC"/>
    <w:rsid w:val="3087637A"/>
    <w:rsid w:val="3087C4AD"/>
    <w:rsid w:val="308810FC"/>
    <w:rsid w:val="3093F523"/>
    <w:rsid w:val="30A6D1C6"/>
    <w:rsid w:val="30C1C76F"/>
    <w:rsid w:val="30D03C7E"/>
    <w:rsid w:val="30D558AC"/>
    <w:rsid w:val="30FA106E"/>
    <w:rsid w:val="30FD25CC"/>
    <w:rsid w:val="310992BE"/>
    <w:rsid w:val="310B9619"/>
    <w:rsid w:val="31137372"/>
    <w:rsid w:val="3115FE96"/>
    <w:rsid w:val="31172FD7"/>
    <w:rsid w:val="311FA7DB"/>
    <w:rsid w:val="3126C9F8"/>
    <w:rsid w:val="312B379A"/>
    <w:rsid w:val="312DB176"/>
    <w:rsid w:val="3144D80C"/>
    <w:rsid w:val="31519C59"/>
    <w:rsid w:val="315B5EB8"/>
    <w:rsid w:val="315C8849"/>
    <w:rsid w:val="31802E30"/>
    <w:rsid w:val="31812919"/>
    <w:rsid w:val="31AF0B4E"/>
    <w:rsid w:val="31D2B877"/>
    <w:rsid w:val="31F9A849"/>
    <w:rsid w:val="320E6127"/>
    <w:rsid w:val="3226A066"/>
    <w:rsid w:val="32394868"/>
    <w:rsid w:val="325A9910"/>
    <w:rsid w:val="325E0C87"/>
    <w:rsid w:val="3264D141"/>
    <w:rsid w:val="32670B33"/>
    <w:rsid w:val="3274C2CC"/>
    <w:rsid w:val="32903617"/>
    <w:rsid w:val="3293C473"/>
    <w:rsid w:val="32985B03"/>
    <w:rsid w:val="329BE13E"/>
    <w:rsid w:val="32AE46EF"/>
    <w:rsid w:val="32B83842"/>
    <w:rsid w:val="32CD8E9A"/>
    <w:rsid w:val="32D645C8"/>
    <w:rsid w:val="3302C6F1"/>
    <w:rsid w:val="3328D1C4"/>
    <w:rsid w:val="333AFA98"/>
    <w:rsid w:val="3370D0B2"/>
    <w:rsid w:val="337A3FD1"/>
    <w:rsid w:val="3383A739"/>
    <w:rsid w:val="3399A3A4"/>
    <w:rsid w:val="339DADBD"/>
    <w:rsid w:val="33A627B8"/>
    <w:rsid w:val="33B564A5"/>
    <w:rsid w:val="33C09227"/>
    <w:rsid w:val="33C1CD89"/>
    <w:rsid w:val="33CC38F0"/>
    <w:rsid w:val="33D2AD11"/>
    <w:rsid w:val="33DC7CC7"/>
    <w:rsid w:val="33E905C9"/>
    <w:rsid w:val="33FBF8B1"/>
    <w:rsid w:val="33FF2716"/>
    <w:rsid w:val="340A8554"/>
    <w:rsid w:val="340BC7E0"/>
    <w:rsid w:val="340CF855"/>
    <w:rsid w:val="34150CD8"/>
    <w:rsid w:val="343C0135"/>
    <w:rsid w:val="346344A7"/>
    <w:rsid w:val="3468FE97"/>
    <w:rsid w:val="346D91C2"/>
    <w:rsid w:val="346F5BB4"/>
    <w:rsid w:val="347638F4"/>
    <w:rsid w:val="348BC915"/>
    <w:rsid w:val="348EEB58"/>
    <w:rsid w:val="349535C9"/>
    <w:rsid w:val="349B0C3D"/>
    <w:rsid w:val="349B8836"/>
    <w:rsid w:val="34BBB639"/>
    <w:rsid w:val="34C9F76F"/>
    <w:rsid w:val="34DB460E"/>
    <w:rsid w:val="34E8C889"/>
    <w:rsid w:val="34F1BB10"/>
    <w:rsid w:val="34F92D32"/>
    <w:rsid w:val="350C566C"/>
    <w:rsid w:val="3527CF1A"/>
    <w:rsid w:val="35397A44"/>
    <w:rsid w:val="353EE48E"/>
    <w:rsid w:val="3544C0FB"/>
    <w:rsid w:val="355548C7"/>
    <w:rsid w:val="356D8C68"/>
    <w:rsid w:val="357D6FEE"/>
    <w:rsid w:val="357F4B37"/>
    <w:rsid w:val="3587FC0A"/>
    <w:rsid w:val="358DD344"/>
    <w:rsid w:val="35A5EDC2"/>
    <w:rsid w:val="35AE1352"/>
    <w:rsid w:val="35B0F613"/>
    <w:rsid w:val="35B12F22"/>
    <w:rsid w:val="35E125A6"/>
    <w:rsid w:val="36244FF7"/>
    <w:rsid w:val="36295DC4"/>
    <w:rsid w:val="362BB7D2"/>
    <w:rsid w:val="3646F0B0"/>
    <w:rsid w:val="36507072"/>
    <w:rsid w:val="36580CD8"/>
    <w:rsid w:val="36736977"/>
    <w:rsid w:val="367AE953"/>
    <w:rsid w:val="368E6AE3"/>
    <w:rsid w:val="36A60DCD"/>
    <w:rsid w:val="36B6EE75"/>
    <w:rsid w:val="36C17834"/>
    <w:rsid w:val="36E89049"/>
    <w:rsid w:val="37057770"/>
    <w:rsid w:val="37170316"/>
    <w:rsid w:val="37614409"/>
    <w:rsid w:val="376B9391"/>
    <w:rsid w:val="3770F70A"/>
    <w:rsid w:val="37917B52"/>
    <w:rsid w:val="37960850"/>
    <w:rsid w:val="3799F4EF"/>
    <w:rsid w:val="37CB6151"/>
    <w:rsid w:val="37D1A09C"/>
    <w:rsid w:val="37EBEC61"/>
    <w:rsid w:val="37ED0D5C"/>
    <w:rsid w:val="37F06B15"/>
    <w:rsid w:val="381206CB"/>
    <w:rsid w:val="38137C9A"/>
    <w:rsid w:val="38238795"/>
    <w:rsid w:val="382602DE"/>
    <w:rsid w:val="38491A15"/>
    <w:rsid w:val="384F13F2"/>
    <w:rsid w:val="3852E928"/>
    <w:rsid w:val="3880CC8D"/>
    <w:rsid w:val="38A30AC1"/>
    <w:rsid w:val="38AB608D"/>
    <w:rsid w:val="38C3F4A4"/>
    <w:rsid w:val="38E2DDD7"/>
    <w:rsid w:val="38F1AC71"/>
    <w:rsid w:val="38F42AEC"/>
    <w:rsid w:val="390CBBFD"/>
    <w:rsid w:val="39227024"/>
    <w:rsid w:val="39230C7E"/>
    <w:rsid w:val="39242C34"/>
    <w:rsid w:val="39327A4B"/>
    <w:rsid w:val="3938CB30"/>
    <w:rsid w:val="39532E3B"/>
    <w:rsid w:val="3955A6B8"/>
    <w:rsid w:val="398550EE"/>
    <w:rsid w:val="398A2D2C"/>
    <w:rsid w:val="398EE50E"/>
    <w:rsid w:val="39A1991C"/>
    <w:rsid w:val="39AB3D78"/>
    <w:rsid w:val="39AB9929"/>
    <w:rsid w:val="39AE8242"/>
    <w:rsid w:val="39B996E0"/>
    <w:rsid w:val="39CAFA87"/>
    <w:rsid w:val="39D663A9"/>
    <w:rsid w:val="3A033972"/>
    <w:rsid w:val="3A1F4CF4"/>
    <w:rsid w:val="3A2476A1"/>
    <w:rsid w:val="3A3243D7"/>
    <w:rsid w:val="3A4B05B5"/>
    <w:rsid w:val="3A534B73"/>
    <w:rsid w:val="3A587BBC"/>
    <w:rsid w:val="3A59658F"/>
    <w:rsid w:val="3A5A25B7"/>
    <w:rsid w:val="3A7D58C8"/>
    <w:rsid w:val="3A7FC247"/>
    <w:rsid w:val="3A8FA92F"/>
    <w:rsid w:val="3A903D37"/>
    <w:rsid w:val="3AA6500B"/>
    <w:rsid w:val="3AAD6DE9"/>
    <w:rsid w:val="3AADA38E"/>
    <w:rsid w:val="3AB8B1F9"/>
    <w:rsid w:val="3AC7ECDF"/>
    <w:rsid w:val="3AD01D56"/>
    <w:rsid w:val="3ADE84B8"/>
    <w:rsid w:val="3AF0AEB3"/>
    <w:rsid w:val="3B06D63D"/>
    <w:rsid w:val="3B48C3EF"/>
    <w:rsid w:val="3B4EC63F"/>
    <w:rsid w:val="3B665B7E"/>
    <w:rsid w:val="3B6B482B"/>
    <w:rsid w:val="3B6FBFAB"/>
    <w:rsid w:val="3B81BB1A"/>
    <w:rsid w:val="3B85EF66"/>
    <w:rsid w:val="3B8B992D"/>
    <w:rsid w:val="3B8FE8E3"/>
    <w:rsid w:val="3B94CC78"/>
    <w:rsid w:val="3BAC178B"/>
    <w:rsid w:val="3BADB61B"/>
    <w:rsid w:val="3BC2F50E"/>
    <w:rsid w:val="3BD80573"/>
    <w:rsid w:val="3BDA8990"/>
    <w:rsid w:val="3BDC513E"/>
    <w:rsid w:val="3BEF94FA"/>
    <w:rsid w:val="3BF4DB09"/>
    <w:rsid w:val="3BF85E44"/>
    <w:rsid w:val="3C09F597"/>
    <w:rsid w:val="3C21AAA3"/>
    <w:rsid w:val="3C250C5C"/>
    <w:rsid w:val="3C3432BA"/>
    <w:rsid w:val="3C525427"/>
    <w:rsid w:val="3C609111"/>
    <w:rsid w:val="3C62A7AA"/>
    <w:rsid w:val="3C70DA3B"/>
    <w:rsid w:val="3C8701D4"/>
    <w:rsid w:val="3C8B23A9"/>
    <w:rsid w:val="3CA13652"/>
    <w:rsid w:val="3CB4D248"/>
    <w:rsid w:val="3CB58747"/>
    <w:rsid w:val="3CC2B6B0"/>
    <w:rsid w:val="3CD10272"/>
    <w:rsid w:val="3CDFBD6F"/>
    <w:rsid w:val="3CDFFAC8"/>
    <w:rsid w:val="3CFEB5D4"/>
    <w:rsid w:val="3D063EE9"/>
    <w:rsid w:val="3D1FF811"/>
    <w:rsid w:val="3D20A21C"/>
    <w:rsid w:val="3D3007C0"/>
    <w:rsid w:val="3D3CAB8B"/>
    <w:rsid w:val="3D634E94"/>
    <w:rsid w:val="3D7CBD71"/>
    <w:rsid w:val="3D885DB1"/>
    <w:rsid w:val="3D8DE5C4"/>
    <w:rsid w:val="3D946481"/>
    <w:rsid w:val="3D9E2A6F"/>
    <w:rsid w:val="3DAB6C5E"/>
    <w:rsid w:val="3DD0A36B"/>
    <w:rsid w:val="3DDF8376"/>
    <w:rsid w:val="3DECDCA0"/>
    <w:rsid w:val="3DF82FF9"/>
    <w:rsid w:val="3E0C3890"/>
    <w:rsid w:val="3E3BDF37"/>
    <w:rsid w:val="3E48E9F2"/>
    <w:rsid w:val="3E6195C2"/>
    <w:rsid w:val="3E9BAB96"/>
    <w:rsid w:val="3E9BD52C"/>
    <w:rsid w:val="3EA7C05B"/>
    <w:rsid w:val="3EB5CB71"/>
    <w:rsid w:val="3EB7536B"/>
    <w:rsid w:val="3EB8A453"/>
    <w:rsid w:val="3ECD51D8"/>
    <w:rsid w:val="3ED91761"/>
    <w:rsid w:val="3EF6835C"/>
    <w:rsid w:val="3F087547"/>
    <w:rsid w:val="3F08DC09"/>
    <w:rsid w:val="3F253FFE"/>
    <w:rsid w:val="3F38B539"/>
    <w:rsid w:val="3F498AC1"/>
    <w:rsid w:val="3F5655DA"/>
    <w:rsid w:val="3F6FC531"/>
    <w:rsid w:val="3F7DBEA1"/>
    <w:rsid w:val="3F8151E3"/>
    <w:rsid w:val="3F85AEBB"/>
    <w:rsid w:val="3FA15FC7"/>
    <w:rsid w:val="3FAFAECB"/>
    <w:rsid w:val="3FB21BF2"/>
    <w:rsid w:val="3FBFF289"/>
    <w:rsid w:val="3FC397DE"/>
    <w:rsid w:val="3FDDD139"/>
    <w:rsid w:val="3FDE1595"/>
    <w:rsid w:val="3FE84991"/>
    <w:rsid w:val="3FF52326"/>
    <w:rsid w:val="400D3FF9"/>
    <w:rsid w:val="4045D5EF"/>
    <w:rsid w:val="40693B15"/>
    <w:rsid w:val="4084CF68"/>
    <w:rsid w:val="4086925D"/>
    <w:rsid w:val="40898B9F"/>
    <w:rsid w:val="409F83A6"/>
    <w:rsid w:val="40B43D77"/>
    <w:rsid w:val="40B5AF3F"/>
    <w:rsid w:val="40DD6DF4"/>
    <w:rsid w:val="40EA6C34"/>
    <w:rsid w:val="410A776A"/>
    <w:rsid w:val="4110B234"/>
    <w:rsid w:val="412B5B0D"/>
    <w:rsid w:val="413DE635"/>
    <w:rsid w:val="414CE59B"/>
    <w:rsid w:val="4155D3DE"/>
    <w:rsid w:val="416046EF"/>
    <w:rsid w:val="4176E5F7"/>
    <w:rsid w:val="4187FE90"/>
    <w:rsid w:val="418BE7C5"/>
    <w:rsid w:val="4197FD68"/>
    <w:rsid w:val="41B058B4"/>
    <w:rsid w:val="41CB5632"/>
    <w:rsid w:val="41CD6452"/>
    <w:rsid w:val="41E14047"/>
    <w:rsid w:val="41EA3486"/>
    <w:rsid w:val="41F3171C"/>
    <w:rsid w:val="41F9AFEF"/>
    <w:rsid w:val="4205275C"/>
    <w:rsid w:val="4218D206"/>
    <w:rsid w:val="421CC4F8"/>
    <w:rsid w:val="42303440"/>
    <w:rsid w:val="423A4525"/>
    <w:rsid w:val="425EF416"/>
    <w:rsid w:val="426353AC"/>
    <w:rsid w:val="42762857"/>
    <w:rsid w:val="42A6206A"/>
    <w:rsid w:val="42C61A3C"/>
    <w:rsid w:val="42C79461"/>
    <w:rsid w:val="42CB929E"/>
    <w:rsid w:val="42CC63A4"/>
    <w:rsid w:val="42D5A8C3"/>
    <w:rsid w:val="42DF17FB"/>
    <w:rsid w:val="42E38F93"/>
    <w:rsid w:val="42E9FBBE"/>
    <w:rsid w:val="42ED7B49"/>
    <w:rsid w:val="432645C5"/>
    <w:rsid w:val="4329871A"/>
    <w:rsid w:val="43310933"/>
    <w:rsid w:val="4335ED78"/>
    <w:rsid w:val="433F4406"/>
    <w:rsid w:val="43421B28"/>
    <w:rsid w:val="434EA302"/>
    <w:rsid w:val="4378235C"/>
    <w:rsid w:val="437843DA"/>
    <w:rsid w:val="437E67C3"/>
    <w:rsid w:val="437EC3E2"/>
    <w:rsid w:val="439F846E"/>
    <w:rsid w:val="43BA9293"/>
    <w:rsid w:val="43BFE6AD"/>
    <w:rsid w:val="43C085D2"/>
    <w:rsid w:val="43C2CFA0"/>
    <w:rsid w:val="43CB6B9B"/>
    <w:rsid w:val="43E20780"/>
    <w:rsid w:val="44011754"/>
    <w:rsid w:val="44042B87"/>
    <w:rsid w:val="44082C19"/>
    <w:rsid w:val="4425CF2A"/>
    <w:rsid w:val="4433FCB9"/>
    <w:rsid w:val="443715A4"/>
    <w:rsid w:val="4443BB6C"/>
    <w:rsid w:val="444404EE"/>
    <w:rsid w:val="4454C73D"/>
    <w:rsid w:val="445C6E33"/>
    <w:rsid w:val="445F00F0"/>
    <w:rsid w:val="445F97D1"/>
    <w:rsid w:val="447C2F59"/>
    <w:rsid w:val="447D828B"/>
    <w:rsid w:val="447FB28F"/>
    <w:rsid w:val="4490EFD7"/>
    <w:rsid w:val="449AFA6D"/>
    <w:rsid w:val="44CDBC35"/>
    <w:rsid w:val="44EDD3A9"/>
    <w:rsid w:val="44F5AE8E"/>
    <w:rsid w:val="44F85390"/>
    <w:rsid w:val="44FF5613"/>
    <w:rsid w:val="450B8435"/>
    <w:rsid w:val="45115DAB"/>
    <w:rsid w:val="45119221"/>
    <w:rsid w:val="4515D58D"/>
    <w:rsid w:val="4556A9DA"/>
    <w:rsid w:val="4567CE98"/>
    <w:rsid w:val="456BB740"/>
    <w:rsid w:val="4589E15D"/>
    <w:rsid w:val="45A42B40"/>
    <w:rsid w:val="45A4703E"/>
    <w:rsid w:val="45AA3088"/>
    <w:rsid w:val="45B7A10C"/>
    <w:rsid w:val="45C364D3"/>
    <w:rsid w:val="45E60F02"/>
    <w:rsid w:val="45EB9856"/>
    <w:rsid w:val="45EF96D0"/>
    <w:rsid w:val="45F0D370"/>
    <w:rsid w:val="4638AE56"/>
    <w:rsid w:val="4638E37D"/>
    <w:rsid w:val="4639FA25"/>
    <w:rsid w:val="46459D22"/>
    <w:rsid w:val="4647FA5B"/>
    <w:rsid w:val="466ED47A"/>
    <w:rsid w:val="4682DBC1"/>
    <w:rsid w:val="468E0EF2"/>
    <w:rsid w:val="46968DB2"/>
    <w:rsid w:val="469A329B"/>
    <w:rsid w:val="469B2331"/>
    <w:rsid w:val="46B31B9C"/>
    <w:rsid w:val="46DA1877"/>
    <w:rsid w:val="46FBE74E"/>
    <w:rsid w:val="4706E3B0"/>
    <w:rsid w:val="470B5F7E"/>
    <w:rsid w:val="471A3D80"/>
    <w:rsid w:val="4739F358"/>
    <w:rsid w:val="473BED88"/>
    <w:rsid w:val="474EE6EC"/>
    <w:rsid w:val="474F1FA5"/>
    <w:rsid w:val="4752C8DC"/>
    <w:rsid w:val="477780D9"/>
    <w:rsid w:val="4779B150"/>
    <w:rsid w:val="477DD86F"/>
    <w:rsid w:val="4781A674"/>
    <w:rsid w:val="47972A55"/>
    <w:rsid w:val="479780E4"/>
    <w:rsid w:val="47AFF167"/>
    <w:rsid w:val="47B544A0"/>
    <w:rsid w:val="47B69FD7"/>
    <w:rsid w:val="47BA446B"/>
    <w:rsid w:val="47BE21AB"/>
    <w:rsid w:val="47E3898F"/>
    <w:rsid w:val="47EA9994"/>
    <w:rsid w:val="47F3F32E"/>
    <w:rsid w:val="48202778"/>
    <w:rsid w:val="4820FB95"/>
    <w:rsid w:val="482E57A0"/>
    <w:rsid w:val="48322535"/>
    <w:rsid w:val="483CC4FC"/>
    <w:rsid w:val="48442EDF"/>
    <w:rsid w:val="484CD507"/>
    <w:rsid w:val="485069BE"/>
    <w:rsid w:val="48750294"/>
    <w:rsid w:val="487E0C0B"/>
    <w:rsid w:val="48BE06FC"/>
    <w:rsid w:val="48C288C4"/>
    <w:rsid w:val="48F32AD2"/>
    <w:rsid w:val="48F35A9B"/>
    <w:rsid w:val="48F63317"/>
    <w:rsid w:val="49064F30"/>
    <w:rsid w:val="49127496"/>
    <w:rsid w:val="4921C91C"/>
    <w:rsid w:val="492623EB"/>
    <w:rsid w:val="4934738A"/>
    <w:rsid w:val="49384C0D"/>
    <w:rsid w:val="496248E5"/>
    <w:rsid w:val="4978F5FA"/>
    <w:rsid w:val="499CD16B"/>
    <w:rsid w:val="49A13CDA"/>
    <w:rsid w:val="49A15DB7"/>
    <w:rsid w:val="49A5041E"/>
    <w:rsid w:val="49A576DE"/>
    <w:rsid w:val="49ABB109"/>
    <w:rsid w:val="49C43685"/>
    <w:rsid w:val="49CB6459"/>
    <w:rsid w:val="49D0C383"/>
    <w:rsid w:val="49F35CEA"/>
    <w:rsid w:val="4A0CE331"/>
    <w:rsid w:val="4A1D4AD8"/>
    <w:rsid w:val="4A2DF127"/>
    <w:rsid w:val="4A315DF1"/>
    <w:rsid w:val="4A31BBA2"/>
    <w:rsid w:val="4A3997C9"/>
    <w:rsid w:val="4A49001E"/>
    <w:rsid w:val="4A5E41E7"/>
    <w:rsid w:val="4A64B7D6"/>
    <w:rsid w:val="4A6B198E"/>
    <w:rsid w:val="4A72C65F"/>
    <w:rsid w:val="4A8461E3"/>
    <w:rsid w:val="4A866BD5"/>
    <w:rsid w:val="4A8849FF"/>
    <w:rsid w:val="4A918B95"/>
    <w:rsid w:val="4A9A47E5"/>
    <w:rsid w:val="4A9B2B69"/>
    <w:rsid w:val="4A9DA189"/>
    <w:rsid w:val="4AA605E0"/>
    <w:rsid w:val="4AF8A5E8"/>
    <w:rsid w:val="4B0A8377"/>
    <w:rsid w:val="4B0C8B18"/>
    <w:rsid w:val="4B152837"/>
    <w:rsid w:val="4B16A4F7"/>
    <w:rsid w:val="4B4254CD"/>
    <w:rsid w:val="4B527B1C"/>
    <w:rsid w:val="4B65B2EB"/>
    <w:rsid w:val="4B68895D"/>
    <w:rsid w:val="4B770360"/>
    <w:rsid w:val="4B8F5FED"/>
    <w:rsid w:val="4BA2843E"/>
    <w:rsid w:val="4BB2B7E2"/>
    <w:rsid w:val="4BF0E146"/>
    <w:rsid w:val="4BFB4D30"/>
    <w:rsid w:val="4C2686AC"/>
    <w:rsid w:val="4C45838D"/>
    <w:rsid w:val="4C69A111"/>
    <w:rsid w:val="4C9C7305"/>
    <w:rsid w:val="4CA3E8AB"/>
    <w:rsid w:val="4CBD6DE3"/>
    <w:rsid w:val="4CC507EE"/>
    <w:rsid w:val="4CD90B1E"/>
    <w:rsid w:val="4D711B5D"/>
    <w:rsid w:val="4D76B5AF"/>
    <w:rsid w:val="4D892B87"/>
    <w:rsid w:val="4D8A0A94"/>
    <w:rsid w:val="4D96F7D4"/>
    <w:rsid w:val="4D97F047"/>
    <w:rsid w:val="4D9A3AEE"/>
    <w:rsid w:val="4DAC85DA"/>
    <w:rsid w:val="4DE1A997"/>
    <w:rsid w:val="4DE744D1"/>
    <w:rsid w:val="4DE81896"/>
    <w:rsid w:val="4DE835B5"/>
    <w:rsid w:val="4DF3E799"/>
    <w:rsid w:val="4DF8EA43"/>
    <w:rsid w:val="4E0E4F52"/>
    <w:rsid w:val="4E118F8A"/>
    <w:rsid w:val="4E123DC2"/>
    <w:rsid w:val="4E1F8EFF"/>
    <w:rsid w:val="4E21B6CE"/>
    <w:rsid w:val="4E281740"/>
    <w:rsid w:val="4E332CAE"/>
    <w:rsid w:val="4E40504F"/>
    <w:rsid w:val="4E434977"/>
    <w:rsid w:val="4E4925CD"/>
    <w:rsid w:val="4E5238CF"/>
    <w:rsid w:val="4E54FD88"/>
    <w:rsid w:val="4ED14231"/>
    <w:rsid w:val="4EE4CBA2"/>
    <w:rsid w:val="4EF821A8"/>
    <w:rsid w:val="4F231661"/>
    <w:rsid w:val="4F27972A"/>
    <w:rsid w:val="4F2BFEAD"/>
    <w:rsid w:val="4F2F3E0A"/>
    <w:rsid w:val="4F37097F"/>
    <w:rsid w:val="4F3B2268"/>
    <w:rsid w:val="4F44404B"/>
    <w:rsid w:val="4F4E55D9"/>
    <w:rsid w:val="4F5E4D3B"/>
    <w:rsid w:val="4F6603F1"/>
    <w:rsid w:val="4F6C4DC3"/>
    <w:rsid w:val="4F80D6A8"/>
    <w:rsid w:val="4FA309F3"/>
    <w:rsid w:val="4FA9CFD6"/>
    <w:rsid w:val="4FACE999"/>
    <w:rsid w:val="4FC60395"/>
    <w:rsid w:val="4FCDF48E"/>
    <w:rsid w:val="4FDA0C28"/>
    <w:rsid w:val="4FF4DE37"/>
    <w:rsid w:val="5010DF81"/>
    <w:rsid w:val="5012FC9B"/>
    <w:rsid w:val="50181851"/>
    <w:rsid w:val="5018907F"/>
    <w:rsid w:val="501B7531"/>
    <w:rsid w:val="501CE89D"/>
    <w:rsid w:val="50466FAE"/>
    <w:rsid w:val="50866FBF"/>
    <w:rsid w:val="5086FDE4"/>
    <w:rsid w:val="509A5E8E"/>
    <w:rsid w:val="509D7376"/>
    <w:rsid w:val="50A61A12"/>
    <w:rsid w:val="50A70079"/>
    <w:rsid w:val="50B37C1B"/>
    <w:rsid w:val="50C26D09"/>
    <w:rsid w:val="50D0DB42"/>
    <w:rsid w:val="50D6B405"/>
    <w:rsid w:val="50D78F52"/>
    <w:rsid w:val="50EE2564"/>
    <w:rsid w:val="5122F9B0"/>
    <w:rsid w:val="514AD6A5"/>
    <w:rsid w:val="514BAB47"/>
    <w:rsid w:val="5152298E"/>
    <w:rsid w:val="51675157"/>
    <w:rsid w:val="5176D132"/>
    <w:rsid w:val="51866811"/>
    <w:rsid w:val="51A7DF37"/>
    <w:rsid w:val="51B2FC56"/>
    <w:rsid w:val="51CBD8C5"/>
    <w:rsid w:val="51D75371"/>
    <w:rsid w:val="51E27475"/>
    <w:rsid w:val="51E6E264"/>
    <w:rsid w:val="51F9F094"/>
    <w:rsid w:val="5202216E"/>
    <w:rsid w:val="52070DB7"/>
    <w:rsid w:val="520BCC4C"/>
    <w:rsid w:val="5239F057"/>
    <w:rsid w:val="5248E466"/>
    <w:rsid w:val="5252206F"/>
    <w:rsid w:val="5261128B"/>
    <w:rsid w:val="52A21A3E"/>
    <w:rsid w:val="52A91EF1"/>
    <w:rsid w:val="52CD46A6"/>
    <w:rsid w:val="52D3C9AB"/>
    <w:rsid w:val="533CE197"/>
    <w:rsid w:val="5374709A"/>
    <w:rsid w:val="5384F40F"/>
    <w:rsid w:val="538525AF"/>
    <w:rsid w:val="538D6EAA"/>
    <w:rsid w:val="53915916"/>
    <w:rsid w:val="5399A411"/>
    <w:rsid w:val="53AAA3D3"/>
    <w:rsid w:val="53FA6EAE"/>
    <w:rsid w:val="541639AD"/>
    <w:rsid w:val="541B59C4"/>
    <w:rsid w:val="542EDC89"/>
    <w:rsid w:val="545AE449"/>
    <w:rsid w:val="5468CF8B"/>
    <w:rsid w:val="546E0AA3"/>
    <w:rsid w:val="54717005"/>
    <w:rsid w:val="54A57688"/>
    <w:rsid w:val="54C3EA4D"/>
    <w:rsid w:val="54F808CB"/>
    <w:rsid w:val="54F80A78"/>
    <w:rsid w:val="54FFBDFA"/>
    <w:rsid w:val="550EDA92"/>
    <w:rsid w:val="5539B5D2"/>
    <w:rsid w:val="553E24FB"/>
    <w:rsid w:val="55406AC5"/>
    <w:rsid w:val="557DE807"/>
    <w:rsid w:val="55877F28"/>
    <w:rsid w:val="558D7AF3"/>
    <w:rsid w:val="55A01E65"/>
    <w:rsid w:val="55B3D23F"/>
    <w:rsid w:val="55C061F5"/>
    <w:rsid w:val="560C90FE"/>
    <w:rsid w:val="561D54D4"/>
    <w:rsid w:val="562FAE5F"/>
    <w:rsid w:val="56333304"/>
    <w:rsid w:val="56357DC4"/>
    <w:rsid w:val="5639B58D"/>
    <w:rsid w:val="5644AEFD"/>
    <w:rsid w:val="5659D8FA"/>
    <w:rsid w:val="56949C49"/>
    <w:rsid w:val="569CD080"/>
    <w:rsid w:val="56B26600"/>
    <w:rsid w:val="56B83523"/>
    <w:rsid w:val="56D4F648"/>
    <w:rsid w:val="56D8F220"/>
    <w:rsid w:val="56DD5BC1"/>
    <w:rsid w:val="56F022D0"/>
    <w:rsid w:val="56F71CCE"/>
    <w:rsid w:val="56FD5670"/>
    <w:rsid w:val="570AB39A"/>
    <w:rsid w:val="57343C16"/>
    <w:rsid w:val="574B2D4F"/>
    <w:rsid w:val="575D96F3"/>
    <w:rsid w:val="57852E5D"/>
    <w:rsid w:val="578A4BED"/>
    <w:rsid w:val="57935CC7"/>
    <w:rsid w:val="57AF0C0E"/>
    <w:rsid w:val="57B2DFA4"/>
    <w:rsid w:val="57D152A2"/>
    <w:rsid w:val="57E7B9FC"/>
    <w:rsid w:val="58333CC3"/>
    <w:rsid w:val="5837F638"/>
    <w:rsid w:val="583BFDD2"/>
    <w:rsid w:val="5841ED49"/>
    <w:rsid w:val="5843F001"/>
    <w:rsid w:val="58485488"/>
    <w:rsid w:val="584A6653"/>
    <w:rsid w:val="585DBB75"/>
    <w:rsid w:val="588E2C8E"/>
    <w:rsid w:val="58AB2415"/>
    <w:rsid w:val="58EA849C"/>
    <w:rsid w:val="58EA8B76"/>
    <w:rsid w:val="590BCD82"/>
    <w:rsid w:val="5913E984"/>
    <w:rsid w:val="591407BF"/>
    <w:rsid w:val="591F6360"/>
    <w:rsid w:val="592121FD"/>
    <w:rsid w:val="5922365D"/>
    <w:rsid w:val="592B914D"/>
    <w:rsid w:val="5936E245"/>
    <w:rsid w:val="594363E6"/>
    <w:rsid w:val="594649A7"/>
    <w:rsid w:val="597E45D8"/>
    <w:rsid w:val="59A47683"/>
    <w:rsid w:val="59AA50C8"/>
    <w:rsid w:val="59E7AFC1"/>
    <w:rsid w:val="59E93E5F"/>
    <w:rsid w:val="59F96A93"/>
    <w:rsid w:val="5A06BA99"/>
    <w:rsid w:val="5A0F0A3C"/>
    <w:rsid w:val="5A17459B"/>
    <w:rsid w:val="5A1AFFC1"/>
    <w:rsid w:val="5A1C8BA1"/>
    <w:rsid w:val="5A28FFEC"/>
    <w:rsid w:val="5A3F6F7A"/>
    <w:rsid w:val="5A7B3805"/>
    <w:rsid w:val="5A7BE034"/>
    <w:rsid w:val="5A96EE6C"/>
    <w:rsid w:val="5A9F63C6"/>
    <w:rsid w:val="5AAAA2EE"/>
    <w:rsid w:val="5AB5D920"/>
    <w:rsid w:val="5AB7DB55"/>
    <w:rsid w:val="5ABB8F84"/>
    <w:rsid w:val="5AEC3094"/>
    <w:rsid w:val="5AF11815"/>
    <w:rsid w:val="5AF2B0E5"/>
    <w:rsid w:val="5B31D53E"/>
    <w:rsid w:val="5B3E45D7"/>
    <w:rsid w:val="5B40CDFA"/>
    <w:rsid w:val="5B6BFF7B"/>
    <w:rsid w:val="5B783075"/>
    <w:rsid w:val="5B83A6F5"/>
    <w:rsid w:val="5B8F4A34"/>
    <w:rsid w:val="5BA62C9A"/>
    <w:rsid w:val="5BDED11C"/>
    <w:rsid w:val="5C196356"/>
    <w:rsid w:val="5C2450D2"/>
    <w:rsid w:val="5C2F0721"/>
    <w:rsid w:val="5C40435B"/>
    <w:rsid w:val="5C4147A3"/>
    <w:rsid w:val="5C472A0E"/>
    <w:rsid w:val="5C58CB84"/>
    <w:rsid w:val="5C6A881E"/>
    <w:rsid w:val="5C6BAFA7"/>
    <w:rsid w:val="5C8E092B"/>
    <w:rsid w:val="5CA203B6"/>
    <w:rsid w:val="5CAA0AA1"/>
    <w:rsid w:val="5CAFDBB8"/>
    <w:rsid w:val="5CBFA230"/>
    <w:rsid w:val="5CC103F7"/>
    <w:rsid w:val="5CD1850D"/>
    <w:rsid w:val="5CD2CDF7"/>
    <w:rsid w:val="5CD4B027"/>
    <w:rsid w:val="5CED986B"/>
    <w:rsid w:val="5CF21FB5"/>
    <w:rsid w:val="5CF35D12"/>
    <w:rsid w:val="5D18EB1B"/>
    <w:rsid w:val="5D19E016"/>
    <w:rsid w:val="5D242F10"/>
    <w:rsid w:val="5D3B4D5F"/>
    <w:rsid w:val="5D530495"/>
    <w:rsid w:val="5D58E55E"/>
    <w:rsid w:val="5D6439B2"/>
    <w:rsid w:val="5D8A56D6"/>
    <w:rsid w:val="5D8C4022"/>
    <w:rsid w:val="5D996CFD"/>
    <w:rsid w:val="5D9B003F"/>
    <w:rsid w:val="5DC19633"/>
    <w:rsid w:val="5DC69930"/>
    <w:rsid w:val="5DCA0DF4"/>
    <w:rsid w:val="5DF1C742"/>
    <w:rsid w:val="5DFC6323"/>
    <w:rsid w:val="5E0AF919"/>
    <w:rsid w:val="5E169A99"/>
    <w:rsid w:val="5E275AB4"/>
    <w:rsid w:val="5E2EBF1D"/>
    <w:rsid w:val="5E32DE66"/>
    <w:rsid w:val="5E3E1892"/>
    <w:rsid w:val="5E3F51DA"/>
    <w:rsid w:val="5E3FDAC1"/>
    <w:rsid w:val="5E40B982"/>
    <w:rsid w:val="5E466521"/>
    <w:rsid w:val="5E49F163"/>
    <w:rsid w:val="5E60D4BA"/>
    <w:rsid w:val="5E6E882A"/>
    <w:rsid w:val="5E7274EE"/>
    <w:rsid w:val="5E76E4F4"/>
    <w:rsid w:val="5E924DBC"/>
    <w:rsid w:val="5EAD03D1"/>
    <w:rsid w:val="5EC8CC4C"/>
    <w:rsid w:val="5EE2830D"/>
    <w:rsid w:val="5EF138FF"/>
    <w:rsid w:val="5F1AE05F"/>
    <w:rsid w:val="5F4C298E"/>
    <w:rsid w:val="5F5C72D7"/>
    <w:rsid w:val="5F664A8C"/>
    <w:rsid w:val="5F760702"/>
    <w:rsid w:val="5F9CF485"/>
    <w:rsid w:val="5F9E26C0"/>
    <w:rsid w:val="5F9E623D"/>
    <w:rsid w:val="5FA50815"/>
    <w:rsid w:val="5FBDFA3A"/>
    <w:rsid w:val="5FC11A6A"/>
    <w:rsid w:val="5FE0D5EE"/>
    <w:rsid w:val="5FFBF16F"/>
    <w:rsid w:val="600B10E6"/>
    <w:rsid w:val="60154902"/>
    <w:rsid w:val="60318916"/>
    <w:rsid w:val="603A9CA8"/>
    <w:rsid w:val="60434A92"/>
    <w:rsid w:val="60482F85"/>
    <w:rsid w:val="605CC2B1"/>
    <w:rsid w:val="6072CB1F"/>
    <w:rsid w:val="607615B3"/>
    <w:rsid w:val="608DDB02"/>
    <w:rsid w:val="608EE1AE"/>
    <w:rsid w:val="60A05A39"/>
    <w:rsid w:val="60B8A8FC"/>
    <w:rsid w:val="60C5C517"/>
    <w:rsid w:val="60EC6704"/>
    <w:rsid w:val="61136241"/>
    <w:rsid w:val="6131F30E"/>
    <w:rsid w:val="61354075"/>
    <w:rsid w:val="613F3919"/>
    <w:rsid w:val="6154FB81"/>
    <w:rsid w:val="61767FCE"/>
    <w:rsid w:val="617FB5EE"/>
    <w:rsid w:val="618C124A"/>
    <w:rsid w:val="61912AAC"/>
    <w:rsid w:val="61A87796"/>
    <w:rsid w:val="61A8D3F0"/>
    <w:rsid w:val="61AAD930"/>
    <w:rsid w:val="61AECE29"/>
    <w:rsid w:val="61CADD6F"/>
    <w:rsid w:val="61CD2709"/>
    <w:rsid w:val="61D8FD70"/>
    <w:rsid w:val="61DA8615"/>
    <w:rsid w:val="61E60BEA"/>
    <w:rsid w:val="61F7A477"/>
    <w:rsid w:val="61FFA034"/>
    <w:rsid w:val="620EF3A3"/>
    <w:rsid w:val="621F7AE2"/>
    <w:rsid w:val="6227AC21"/>
    <w:rsid w:val="6227E4F9"/>
    <w:rsid w:val="624791B9"/>
    <w:rsid w:val="6254C2AE"/>
    <w:rsid w:val="626C5146"/>
    <w:rsid w:val="626EA655"/>
    <w:rsid w:val="62774397"/>
    <w:rsid w:val="6277A5D7"/>
    <w:rsid w:val="627C2F5B"/>
    <w:rsid w:val="62943C38"/>
    <w:rsid w:val="62999995"/>
    <w:rsid w:val="62A38312"/>
    <w:rsid w:val="62B4E386"/>
    <w:rsid w:val="62BE4CBF"/>
    <w:rsid w:val="62E8900C"/>
    <w:rsid w:val="62F19930"/>
    <w:rsid w:val="62F5F7EB"/>
    <w:rsid w:val="6300754D"/>
    <w:rsid w:val="630DD874"/>
    <w:rsid w:val="6312DF20"/>
    <w:rsid w:val="6337B6A8"/>
    <w:rsid w:val="6350831F"/>
    <w:rsid w:val="6354E530"/>
    <w:rsid w:val="6379DB7E"/>
    <w:rsid w:val="637CE96C"/>
    <w:rsid w:val="6389BF9B"/>
    <w:rsid w:val="63A437D2"/>
    <w:rsid w:val="63DBFCC9"/>
    <w:rsid w:val="63E01E93"/>
    <w:rsid w:val="63E4ABBE"/>
    <w:rsid w:val="6410B488"/>
    <w:rsid w:val="64508768"/>
    <w:rsid w:val="646643C7"/>
    <w:rsid w:val="646D8DF8"/>
    <w:rsid w:val="64842664"/>
    <w:rsid w:val="648BFE10"/>
    <w:rsid w:val="6494E5C9"/>
    <w:rsid w:val="64B3EC3D"/>
    <w:rsid w:val="64D169D4"/>
    <w:rsid w:val="64D50874"/>
    <w:rsid w:val="64E33EAC"/>
    <w:rsid w:val="64E59770"/>
    <w:rsid w:val="64F60ED3"/>
    <w:rsid w:val="6510D5E0"/>
    <w:rsid w:val="654DF301"/>
    <w:rsid w:val="65563121"/>
    <w:rsid w:val="65A8C960"/>
    <w:rsid w:val="65AF0FA4"/>
    <w:rsid w:val="65B6698C"/>
    <w:rsid w:val="65CB5003"/>
    <w:rsid w:val="65EE6FF4"/>
    <w:rsid w:val="66014BB1"/>
    <w:rsid w:val="660AACA0"/>
    <w:rsid w:val="660B7297"/>
    <w:rsid w:val="661FB318"/>
    <w:rsid w:val="663794F2"/>
    <w:rsid w:val="663F2CEA"/>
    <w:rsid w:val="6640CC5A"/>
    <w:rsid w:val="6660780A"/>
    <w:rsid w:val="6666E495"/>
    <w:rsid w:val="666CC2AC"/>
    <w:rsid w:val="667FA6D7"/>
    <w:rsid w:val="6697F4C5"/>
    <w:rsid w:val="66A458F3"/>
    <w:rsid w:val="66B242A2"/>
    <w:rsid w:val="66B4B8DF"/>
    <w:rsid w:val="66B7EECB"/>
    <w:rsid w:val="66BB5DE2"/>
    <w:rsid w:val="66C85FA2"/>
    <w:rsid w:val="66FC5975"/>
    <w:rsid w:val="67053E8A"/>
    <w:rsid w:val="6715E2FF"/>
    <w:rsid w:val="671F891E"/>
    <w:rsid w:val="67236486"/>
    <w:rsid w:val="6725C274"/>
    <w:rsid w:val="6730AE63"/>
    <w:rsid w:val="673A0EF3"/>
    <w:rsid w:val="6743EAE4"/>
    <w:rsid w:val="6751E02F"/>
    <w:rsid w:val="67594F45"/>
    <w:rsid w:val="67797525"/>
    <w:rsid w:val="678595DA"/>
    <w:rsid w:val="678CEDF9"/>
    <w:rsid w:val="67A3FFFE"/>
    <w:rsid w:val="67C6EF81"/>
    <w:rsid w:val="67D2718A"/>
    <w:rsid w:val="67F275F1"/>
    <w:rsid w:val="67FE8C4D"/>
    <w:rsid w:val="6832567F"/>
    <w:rsid w:val="68329B63"/>
    <w:rsid w:val="6861BBCD"/>
    <w:rsid w:val="68859483"/>
    <w:rsid w:val="6898C3EE"/>
    <w:rsid w:val="68AA3861"/>
    <w:rsid w:val="68C9AFD6"/>
    <w:rsid w:val="68D4974C"/>
    <w:rsid w:val="68F0DD1C"/>
    <w:rsid w:val="68F4B079"/>
    <w:rsid w:val="6901930E"/>
    <w:rsid w:val="69299A94"/>
    <w:rsid w:val="692E2D8C"/>
    <w:rsid w:val="694429C0"/>
    <w:rsid w:val="695D8796"/>
    <w:rsid w:val="697CD641"/>
    <w:rsid w:val="698DA4B1"/>
    <w:rsid w:val="698F3638"/>
    <w:rsid w:val="69A22A91"/>
    <w:rsid w:val="69F8F8D3"/>
    <w:rsid w:val="6A17F660"/>
    <w:rsid w:val="6A1B4F79"/>
    <w:rsid w:val="6A3BFA73"/>
    <w:rsid w:val="6A64ABB4"/>
    <w:rsid w:val="6A8BAE46"/>
    <w:rsid w:val="6A91B6A0"/>
    <w:rsid w:val="6AA6786A"/>
    <w:rsid w:val="6AADEE7B"/>
    <w:rsid w:val="6ABAC481"/>
    <w:rsid w:val="6ADFDBB4"/>
    <w:rsid w:val="6AE695F0"/>
    <w:rsid w:val="6AED6071"/>
    <w:rsid w:val="6B074486"/>
    <w:rsid w:val="6B109871"/>
    <w:rsid w:val="6B151A86"/>
    <w:rsid w:val="6B19F6CC"/>
    <w:rsid w:val="6B2CCD29"/>
    <w:rsid w:val="6B3B4816"/>
    <w:rsid w:val="6B3CA002"/>
    <w:rsid w:val="6B3FDEA9"/>
    <w:rsid w:val="6B478B6C"/>
    <w:rsid w:val="6B73270E"/>
    <w:rsid w:val="6B7722B0"/>
    <w:rsid w:val="6B7C9D45"/>
    <w:rsid w:val="6B84DB0B"/>
    <w:rsid w:val="6B86D333"/>
    <w:rsid w:val="6B8980EC"/>
    <w:rsid w:val="6BA4DC02"/>
    <w:rsid w:val="6BB7CEB9"/>
    <w:rsid w:val="6C08974E"/>
    <w:rsid w:val="6C096394"/>
    <w:rsid w:val="6C13E494"/>
    <w:rsid w:val="6C2C5022"/>
    <w:rsid w:val="6C327E05"/>
    <w:rsid w:val="6C3891C0"/>
    <w:rsid w:val="6C468393"/>
    <w:rsid w:val="6C6CEB43"/>
    <w:rsid w:val="6CA7A929"/>
    <w:rsid w:val="6CAD8030"/>
    <w:rsid w:val="6CC47189"/>
    <w:rsid w:val="6CE59607"/>
    <w:rsid w:val="6CF40370"/>
    <w:rsid w:val="6D1E7B88"/>
    <w:rsid w:val="6D21BC66"/>
    <w:rsid w:val="6D254ACC"/>
    <w:rsid w:val="6D32797B"/>
    <w:rsid w:val="6D5EEF8B"/>
    <w:rsid w:val="6D69DDCE"/>
    <w:rsid w:val="6D7DC30D"/>
    <w:rsid w:val="6DC5AC87"/>
    <w:rsid w:val="6DCC7AB4"/>
    <w:rsid w:val="6DD11B8B"/>
    <w:rsid w:val="6DD345DF"/>
    <w:rsid w:val="6DDC2BCE"/>
    <w:rsid w:val="6DDECC0D"/>
    <w:rsid w:val="6E1DD03A"/>
    <w:rsid w:val="6E2EFE8A"/>
    <w:rsid w:val="6E380E92"/>
    <w:rsid w:val="6E3C01D9"/>
    <w:rsid w:val="6E4C1864"/>
    <w:rsid w:val="6E50E4C1"/>
    <w:rsid w:val="6E537E1D"/>
    <w:rsid w:val="6E5C7DEB"/>
    <w:rsid w:val="6E698748"/>
    <w:rsid w:val="6E7AE93D"/>
    <w:rsid w:val="6E7F04C9"/>
    <w:rsid w:val="6E8DFD50"/>
    <w:rsid w:val="6E96B5C8"/>
    <w:rsid w:val="6E99F131"/>
    <w:rsid w:val="6ECF34FA"/>
    <w:rsid w:val="6EFA1862"/>
    <w:rsid w:val="6F052F31"/>
    <w:rsid w:val="6F18219C"/>
    <w:rsid w:val="6F28B374"/>
    <w:rsid w:val="6F3BE78A"/>
    <w:rsid w:val="6F47D3CA"/>
    <w:rsid w:val="6F4A3B20"/>
    <w:rsid w:val="6F4ED954"/>
    <w:rsid w:val="6F6E04E8"/>
    <w:rsid w:val="6F83DCD4"/>
    <w:rsid w:val="6F84A273"/>
    <w:rsid w:val="6F850D82"/>
    <w:rsid w:val="6F865AC8"/>
    <w:rsid w:val="6FA05402"/>
    <w:rsid w:val="6FAC57F0"/>
    <w:rsid w:val="6FC3E551"/>
    <w:rsid w:val="6FE491D7"/>
    <w:rsid w:val="70191F9E"/>
    <w:rsid w:val="701DDCBF"/>
    <w:rsid w:val="70220B2E"/>
    <w:rsid w:val="70272663"/>
    <w:rsid w:val="702999A1"/>
    <w:rsid w:val="70433D65"/>
    <w:rsid w:val="70436494"/>
    <w:rsid w:val="7043D2F6"/>
    <w:rsid w:val="704E6812"/>
    <w:rsid w:val="704E7FEE"/>
    <w:rsid w:val="704E98D1"/>
    <w:rsid w:val="7055AE44"/>
    <w:rsid w:val="70578C80"/>
    <w:rsid w:val="7063F609"/>
    <w:rsid w:val="706AA216"/>
    <w:rsid w:val="7076BA9E"/>
    <w:rsid w:val="707D6393"/>
    <w:rsid w:val="70819C65"/>
    <w:rsid w:val="7094526B"/>
    <w:rsid w:val="70C10F73"/>
    <w:rsid w:val="70C70A64"/>
    <w:rsid w:val="70D3B883"/>
    <w:rsid w:val="70E5FDCB"/>
    <w:rsid w:val="70FBCE5C"/>
    <w:rsid w:val="710838D8"/>
    <w:rsid w:val="712792CA"/>
    <w:rsid w:val="713C459A"/>
    <w:rsid w:val="7154FFE3"/>
    <w:rsid w:val="715D3749"/>
    <w:rsid w:val="71678767"/>
    <w:rsid w:val="716B2C13"/>
    <w:rsid w:val="717F2B42"/>
    <w:rsid w:val="71898318"/>
    <w:rsid w:val="71C2DCEF"/>
    <w:rsid w:val="71F9D09C"/>
    <w:rsid w:val="7229BF57"/>
    <w:rsid w:val="7242EC82"/>
    <w:rsid w:val="7247B668"/>
    <w:rsid w:val="7253C0A8"/>
    <w:rsid w:val="7269F5EF"/>
    <w:rsid w:val="7271FC1D"/>
    <w:rsid w:val="72897477"/>
    <w:rsid w:val="72A40DB0"/>
    <w:rsid w:val="72BD3C99"/>
    <w:rsid w:val="72C25FD9"/>
    <w:rsid w:val="72E3D03E"/>
    <w:rsid w:val="72F0E2CC"/>
    <w:rsid w:val="72F19F89"/>
    <w:rsid w:val="72F50F2F"/>
    <w:rsid w:val="7304AE91"/>
    <w:rsid w:val="734724D4"/>
    <w:rsid w:val="736EFA1B"/>
    <w:rsid w:val="737B3AA8"/>
    <w:rsid w:val="73815B76"/>
    <w:rsid w:val="738CF914"/>
    <w:rsid w:val="738DE42C"/>
    <w:rsid w:val="739C0A32"/>
    <w:rsid w:val="73AF37C7"/>
    <w:rsid w:val="73BB5298"/>
    <w:rsid w:val="73C6C908"/>
    <w:rsid w:val="73CEE2D0"/>
    <w:rsid w:val="73D8E581"/>
    <w:rsid w:val="73DC94F9"/>
    <w:rsid w:val="73E95846"/>
    <w:rsid w:val="744CC89C"/>
    <w:rsid w:val="7452E2DC"/>
    <w:rsid w:val="748E4CA0"/>
    <w:rsid w:val="748FEFEB"/>
    <w:rsid w:val="74ABF4BA"/>
    <w:rsid w:val="74B1CB2E"/>
    <w:rsid w:val="74B3113B"/>
    <w:rsid w:val="74D122C3"/>
    <w:rsid w:val="74DC8678"/>
    <w:rsid w:val="751C8A0C"/>
    <w:rsid w:val="7523A97F"/>
    <w:rsid w:val="7533853B"/>
    <w:rsid w:val="754EF3FE"/>
    <w:rsid w:val="756658B0"/>
    <w:rsid w:val="75748598"/>
    <w:rsid w:val="75895DEE"/>
    <w:rsid w:val="7591BEA4"/>
    <w:rsid w:val="75A6FE1D"/>
    <w:rsid w:val="75A705DA"/>
    <w:rsid w:val="75A70C13"/>
    <w:rsid w:val="75B2F3C6"/>
    <w:rsid w:val="75D62AEA"/>
    <w:rsid w:val="75DA339E"/>
    <w:rsid w:val="75E41B4D"/>
    <w:rsid w:val="75E439FB"/>
    <w:rsid w:val="75EEF6EF"/>
    <w:rsid w:val="75FA56CA"/>
    <w:rsid w:val="7637598E"/>
    <w:rsid w:val="765B8E73"/>
    <w:rsid w:val="765D1FE3"/>
    <w:rsid w:val="766D4367"/>
    <w:rsid w:val="7673DFFF"/>
    <w:rsid w:val="767CB98D"/>
    <w:rsid w:val="767F4EF4"/>
    <w:rsid w:val="7685143A"/>
    <w:rsid w:val="768EB1D4"/>
    <w:rsid w:val="76A10D98"/>
    <w:rsid w:val="76AC93C7"/>
    <w:rsid w:val="76B42174"/>
    <w:rsid w:val="76BFC7E7"/>
    <w:rsid w:val="76EBCC76"/>
    <w:rsid w:val="76F603A8"/>
    <w:rsid w:val="76FFDBC0"/>
    <w:rsid w:val="77040DA5"/>
    <w:rsid w:val="770514B2"/>
    <w:rsid w:val="7720A2A6"/>
    <w:rsid w:val="772110ED"/>
    <w:rsid w:val="77451C80"/>
    <w:rsid w:val="776B9CC1"/>
    <w:rsid w:val="77B49406"/>
    <w:rsid w:val="77C6964A"/>
    <w:rsid w:val="77D5424F"/>
    <w:rsid w:val="77EBF695"/>
    <w:rsid w:val="77FDCDC1"/>
    <w:rsid w:val="7805D3EE"/>
    <w:rsid w:val="780BA361"/>
    <w:rsid w:val="780ECAD7"/>
    <w:rsid w:val="78139855"/>
    <w:rsid w:val="78218509"/>
    <w:rsid w:val="7827335F"/>
    <w:rsid w:val="7832C77C"/>
    <w:rsid w:val="783DB2D1"/>
    <w:rsid w:val="785B63DB"/>
    <w:rsid w:val="78620903"/>
    <w:rsid w:val="78B3D59D"/>
    <w:rsid w:val="78B79BA2"/>
    <w:rsid w:val="78BB2A4C"/>
    <w:rsid w:val="78C3D01B"/>
    <w:rsid w:val="78D61ADA"/>
    <w:rsid w:val="78DA2338"/>
    <w:rsid w:val="790EB3CC"/>
    <w:rsid w:val="792ACAD3"/>
    <w:rsid w:val="79316BEE"/>
    <w:rsid w:val="793A0EBE"/>
    <w:rsid w:val="795393D2"/>
    <w:rsid w:val="7966D7BB"/>
    <w:rsid w:val="79773FA0"/>
    <w:rsid w:val="7978DB96"/>
    <w:rsid w:val="798AFF4E"/>
    <w:rsid w:val="798B950E"/>
    <w:rsid w:val="798C76B5"/>
    <w:rsid w:val="798CB797"/>
    <w:rsid w:val="7993C8FF"/>
    <w:rsid w:val="7995E754"/>
    <w:rsid w:val="799C7DDF"/>
    <w:rsid w:val="79B8F768"/>
    <w:rsid w:val="79BFFAA8"/>
    <w:rsid w:val="79C8701F"/>
    <w:rsid w:val="79D159F6"/>
    <w:rsid w:val="79DD2032"/>
    <w:rsid w:val="79F34856"/>
    <w:rsid w:val="7A0269C8"/>
    <w:rsid w:val="7A2AF681"/>
    <w:rsid w:val="7A43E00E"/>
    <w:rsid w:val="7A56F77D"/>
    <w:rsid w:val="7A5BA6E9"/>
    <w:rsid w:val="7AAA6D56"/>
    <w:rsid w:val="7AACB11F"/>
    <w:rsid w:val="7ACF4F0E"/>
    <w:rsid w:val="7AF11D2C"/>
    <w:rsid w:val="7AF35DAF"/>
    <w:rsid w:val="7AFB3FFB"/>
    <w:rsid w:val="7B0E1B69"/>
    <w:rsid w:val="7B0E3D10"/>
    <w:rsid w:val="7B1194D5"/>
    <w:rsid w:val="7B19EDC8"/>
    <w:rsid w:val="7B251586"/>
    <w:rsid w:val="7B2960E7"/>
    <w:rsid w:val="7B29E931"/>
    <w:rsid w:val="7B379791"/>
    <w:rsid w:val="7B4A2ACA"/>
    <w:rsid w:val="7B6C6FC3"/>
    <w:rsid w:val="7B825318"/>
    <w:rsid w:val="7B8EE64A"/>
    <w:rsid w:val="7B9B98A8"/>
    <w:rsid w:val="7BA0B63F"/>
    <w:rsid w:val="7BA4E3E0"/>
    <w:rsid w:val="7BB155F8"/>
    <w:rsid w:val="7BBE907A"/>
    <w:rsid w:val="7BC770E5"/>
    <w:rsid w:val="7BCC812C"/>
    <w:rsid w:val="7BEA7EFA"/>
    <w:rsid w:val="7BED05B5"/>
    <w:rsid w:val="7C173C21"/>
    <w:rsid w:val="7C34BDBD"/>
    <w:rsid w:val="7C4724D7"/>
    <w:rsid w:val="7C678C15"/>
    <w:rsid w:val="7C786E48"/>
    <w:rsid w:val="7CB39DA3"/>
    <w:rsid w:val="7CBA7D87"/>
    <w:rsid w:val="7CBBC0E6"/>
    <w:rsid w:val="7CC44FDE"/>
    <w:rsid w:val="7CC5D304"/>
    <w:rsid w:val="7CD985C0"/>
    <w:rsid w:val="7CF20D29"/>
    <w:rsid w:val="7D053DEA"/>
    <w:rsid w:val="7D21D52C"/>
    <w:rsid w:val="7D223315"/>
    <w:rsid w:val="7D37C30F"/>
    <w:rsid w:val="7D387474"/>
    <w:rsid w:val="7D5D55B4"/>
    <w:rsid w:val="7D5E1D41"/>
    <w:rsid w:val="7D6DDB91"/>
    <w:rsid w:val="7D7422EB"/>
    <w:rsid w:val="7D7A7D52"/>
    <w:rsid w:val="7D9F2F7C"/>
    <w:rsid w:val="7DAB5192"/>
    <w:rsid w:val="7DB46FA3"/>
    <w:rsid w:val="7DB62942"/>
    <w:rsid w:val="7DB7E542"/>
    <w:rsid w:val="7DC2BB96"/>
    <w:rsid w:val="7DC8DACF"/>
    <w:rsid w:val="7DD4610C"/>
    <w:rsid w:val="7DE0BDE4"/>
    <w:rsid w:val="7DE0C47B"/>
    <w:rsid w:val="7DE1D910"/>
    <w:rsid w:val="7DE20C64"/>
    <w:rsid w:val="7DF107EA"/>
    <w:rsid w:val="7DFA8D8B"/>
    <w:rsid w:val="7E12BA41"/>
    <w:rsid w:val="7E192DFC"/>
    <w:rsid w:val="7E2B7428"/>
    <w:rsid w:val="7E2D7DE0"/>
    <w:rsid w:val="7E49F513"/>
    <w:rsid w:val="7E4CB53E"/>
    <w:rsid w:val="7E6420B8"/>
    <w:rsid w:val="7E65C085"/>
    <w:rsid w:val="7E6E367B"/>
    <w:rsid w:val="7E83FFA1"/>
    <w:rsid w:val="7E91AD77"/>
    <w:rsid w:val="7E97E608"/>
    <w:rsid w:val="7EA6CCA7"/>
    <w:rsid w:val="7EAB4CEC"/>
    <w:rsid w:val="7EB0B605"/>
    <w:rsid w:val="7ECB2C5A"/>
    <w:rsid w:val="7ECF8B65"/>
    <w:rsid w:val="7ED3C18C"/>
    <w:rsid w:val="7F0250A2"/>
    <w:rsid w:val="7F12FB2A"/>
    <w:rsid w:val="7F14C222"/>
    <w:rsid w:val="7F154525"/>
    <w:rsid w:val="7F1F218E"/>
    <w:rsid w:val="7F2281BD"/>
    <w:rsid w:val="7F2FBA6A"/>
    <w:rsid w:val="7F31836B"/>
    <w:rsid w:val="7F39BD40"/>
    <w:rsid w:val="7F5446AE"/>
    <w:rsid w:val="7F5EAA32"/>
    <w:rsid w:val="7F6FF18D"/>
    <w:rsid w:val="7F7C54A4"/>
    <w:rsid w:val="7F9C8410"/>
    <w:rsid w:val="7FA43164"/>
    <w:rsid w:val="7FABFAD9"/>
    <w:rsid w:val="7FB118A9"/>
    <w:rsid w:val="7FB5BFC2"/>
    <w:rsid w:val="7FE04180"/>
    <w:rsid w:val="7FF497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359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9"/>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6052EE"/>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6052EE"/>
    <w:pPr>
      <w:numPr>
        <w:numId w:val="6"/>
      </w:numPr>
      <w:tabs>
        <w:tab w:val="clear" w:pos="709"/>
      </w:tabs>
      <w:ind w:left="0" w:firstLine="0"/>
    </w:pPr>
    <w:rPr>
      <w:rFonts w:eastAsia="Times New Roman"/>
      <w:lang w:eastAsia="de-DE"/>
    </w:rPr>
  </w:style>
  <w:style w:type="paragraph" w:customStyle="1" w:styleId="ListBullet1">
    <w:name w:val="List Bullet 1"/>
    <w:basedOn w:val="Normal"/>
    <w:rsid w:val="006052EE"/>
    <w:pPr>
      <w:numPr>
        <w:numId w:val="1"/>
      </w:numPr>
      <w:tabs>
        <w:tab w:val="clear" w:pos="1134"/>
      </w:tabs>
      <w:ind w:left="0" w:firstLine="0"/>
    </w:pPr>
    <w:rPr>
      <w:rFonts w:eastAsia="Times New Roman"/>
      <w:lang w:eastAsia="de-DE"/>
    </w:rPr>
  </w:style>
  <w:style w:type="paragraph" w:customStyle="1" w:styleId="ListDash">
    <w:name w:val="List Dash"/>
    <w:basedOn w:val="Normal"/>
    <w:rsid w:val="006052EE"/>
    <w:pPr>
      <w:numPr>
        <w:numId w:val="3"/>
      </w:numPr>
      <w:tabs>
        <w:tab w:val="clear" w:pos="283"/>
      </w:tabs>
      <w:ind w:left="0" w:firstLine="0"/>
    </w:pPr>
    <w:rPr>
      <w:rFonts w:eastAsia="Times New Roman"/>
      <w:lang w:eastAsia="de-DE"/>
    </w:rPr>
  </w:style>
  <w:style w:type="paragraph" w:customStyle="1" w:styleId="ListDash1">
    <w:name w:val="List Dash 1"/>
    <w:basedOn w:val="Normal"/>
    <w:rsid w:val="006052EE"/>
    <w:pPr>
      <w:numPr>
        <w:numId w:val="4"/>
      </w:numPr>
      <w:tabs>
        <w:tab w:val="clear" w:pos="1134"/>
      </w:tabs>
      <w:ind w:left="0" w:firstLine="0"/>
    </w:pPr>
    <w:rPr>
      <w:rFonts w:eastAsia="Times New Roman"/>
      <w:lang w:eastAsia="de-DE"/>
    </w:rPr>
  </w:style>
  <w:style w:type="paragraph" w:customStyle="1" w:styleId="ListDash2">
    <w:name w:val="List Dash 2"/>
    <w:basedOn w:val="Normal"/>
    <w:rsid w:val="006052EE"/>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6052EE"/>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6052EE"/>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6052EE"/>
    <w:pPr>
      <w:numPr>
        <w:ilvl w:val="3"/>
        <w:numId w:val="6"/>
      </w:numPr>
      <w:tabs>
        <w:tab w:val="clear" w:pos="2835"/>
      </w:tabs>
      <w:ind w:left="0" w:firstLine="0"/>
    </w:pPr>
    <w:rPr>
      <w:rFonts w:eastAsia="Times New Roman"/>
      <w:lang w:eastAsia="de-DE"/>
    </w:rPr>
  </w:style>
  <w:style w:type="table" w:styleId="TableGrid">
    <w:name w:val="Table Grid"/>
    <w:basedOn w:val="TableNormal"/>
    <w:rsid w:val="006052EE"/>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sid w:val="006052EE"/>
    <w:rPr>
      <w:color w:val="0000FF"/>
      <w:u w:val="single"/>
    </w:rPr>
  </w:style>
  <w:style w:type="paragraph" w:styleId="ListBullet">
    <w:name w:val="List Bullet"/>
    <w:basedOn w:val="Normal"/>
    <w:rsid w:val="006052EE"/>
    <w:pPr>
      <w:numPr>
        <w:numId w:val="7"/>
      </w:numPr>
      <w:tabs>
        <w:tab w:val="clear" w:pos="283"/>
      </w:tabs>
      <w:ind w:left="0" w:firstLine="0"/>
    </w:pPr>
    <w:rPr>
      <w:rFonts w:eastAsia="Times New Roman"/>
      <w:lang w:val="fr-FR" w:eastAsia="en-GB"/>
    </w:rPr>
  </w:style>
  <w:style w:type="paragraph" w:styleId="ListBullet2">
    <w:name w:val="List Bullet 2"/>
    <w:basedOn w:val="Normal"/>
    <w:rsid w:val="006052EE"/>
    <w:pPr>
      <w:numPr>
        <w:numId w:val="8"/>
      </w:numPr>
      <w:tabs>
        <w:tab w:val="clear" w:pos="1134"/>
      </w:tabs>
      <w:ind w:left="0" w:firstLine="0"/>
    </w:pPr>
    <w:rPr>
      <w:rFonts w:eastAsia="Times New Roman"/>
      <w:lang w:val="fr-FR" w:eastAsia="en-GB"/>
    </w:rPr>
  </w:style>
  <w:style w:type="paragraph" w:styleId="ListBullet3">
    <w:name w:val="List Bullet 3"/>
    <w:basedOn w:val="Normal"/>
    <w:rsid w:val="006052EE"/>
    <w:pPr>
      <w:numPr>
        <w:numId w:val="9"/>
      </w:numPr>
      <w:tabs>
        <w:tab w:val="clear" w:pos="1134"/>
      </w:tabs>
      <w:ind w:left="0" w:firstLine="0"/>
    </w:pPr>
    <w:rPr>
      <w:rFonts w:eastAsia="Times New Roman"/>
      <w:lang w:val="fr-FR" w:eastAsia="en-GB"/>
    </w:rPr>
  </w:style>
  <w:style w:type="paragraph" w:styleId="ListNumber2">
    <w:name w:val="List Number 2"/>
    <w:basedOn w:val="Normal"/>
    <w:rsid w:val="006052EE"/>
    <w:pPr>
      <w:numPr>
        <w:numId w:val="12"/>
      </w:numPr>
      <w:tabs>
        <w:tab w:val="clear" w:pos="1560"/>
      </w:tabs>
      <w:ind w:left="0" w:firstLine="0"/>
    </w:pPr>
    <w:rPr>
      <w:rFonts w:eastAsia="Times New Roman"/>
      <w:lang w:val="fr-FR" w:eastAsia="en-GB"/>
    </w:rPr>
  </w:style>
  <w:style w:type="paragraph" w:styleId="ListNumber3">
    <w:name w:val="List Number 3"/>
    <w:basedOn w:val="Normal"/>
    <w:rsid w:val="006052EE"/>
    <w:pPr>
      <w:numPr>
        <w:numId w:val="13"/>
      </w:numPr>
      <w:tabs>
        <w:tab w:val="clear" w:pos="1560"/>
      </w:tabs>
      <w:ind w:left="0" w:firstLine="0"/>
    </w:pPr>
    <w:rPr>
      <w:rFonts w:eastAsia="Times New Roman"/>
      <w:lang w:val="fr-FR" w:eastAsia="en-GB"/>
    </w:rPr>
  </w:style>
  <w:style w:type="paragraph" w:styleId="ListNumber4">
    <w:name w:val="List Number 4"/>
    <w:basedOn w:val="Normal"/>
    <w:rsid w:val="006052EE"/>
    <w:pPr>
      <w:numPr>
        <w:numId w:val="14"/>
      </w:numPr>
      <w:tabs>
        <w:tab w:val="clear" w:pos="1560"/>
      </w:tabs>
      <w:ind w:left="0" w:firstLine="0"/>
    </w:pPr>
    <w:rPr>
      <w:rFonts w:eastAsia="Times New Roman"/>
      <w:lang w:val="fr-FR" w:eastAsia="en-GB"/>
    </w:rPr>
  </w:style>
  <w:style w:type="paragraph" w:customStyle="1" w:styleId="ListDash3">
    <w:name w:val="List Dash 3"/>
    <w:basedOn w:val="Normal"/>
    <w:rsid w:val="006052EE"/>
    <w:rPr>
      <w:rFonts w:eastAsia="Times New Roman"/>
      <w:lang w:val="fr-FR" w:eastAsia="en-GB"/>
    </w:rPr>
  </w:style>
  <w:style w:type="paragraph" w:customStyle="1" w:styleId="ListDash4">
    <w:name w:val="List Dash 4"/>
    <w:basedOn w:val="Normal"/>
    <w:rsid w:val="006052EE"/>
    <w:pPr>
      <w:numPr>
        <w:numId w:val="10"/>
      </w:numPr>
      <w:tabs>
        <w:tab w:val="clear" w:pos="1134"/>
      </w:tabs>
      <w:ind w:left="0" w:firstLine="0"/>
    </w:pPr>
    <w:rPr>
      <w:rFonts w:eastAsia="Times New Roman"/>
      <w:lang w:val="fr-FR" w:eastAsia="en-GB"/>
    </w:rPr>
  </w:style>
  <w:style w:type="paragraph" w:customStyle="1" w:styleId="ListNumber1">
    <w:name w:val="List Number 1"/>
    <w:basedOn w:val="Text1"/>
    <w:rsid w:val="006052EE"/>
    <w:pPr>
      <w:numPr>
        <w:numId w:val="11"/>
      </w:numPr>
      <w:tabs>
        <w:tab w:val="clear" w:pos="1560"/>
      </w:tabs>
      <w:ind w:left="0" w:firstLine="0"/>
    </w:pPr>
    <w:rPr>
      <w:rFonts w:eastAsia="Times New Roman"/>
      <w:lang w:val="fr-FR" w:eastAsia="en-GB"/>
    </w:rPr>
  </w:style>
  <w:style w:type="paragraph" w:customStyle="1" w:styleId="ListNumber1Level2">
    <w:name w:val="List Number 1 (Level 2)"/>
    <w:basedOn w:val="Text1"/>
    <w:rsid w:val="006052EE"/>
    <w:pPr>
      <w:numPr>
        <w:ilvl w:val="1"/>
        <w:numId w:val="11"/>
      </w:numPr>
      <w:tabs>
        <w:tab w:val="clear" w:pos="2268"/>
      </w:tabs>
      <w:ind w:left="0" w:firstLine="0"/>
    </w:pPr>
    <w:rPr>
      <w:rFonts w:eastAsia="Times New Roman"/>
      <w:lang w:val="fr-FR" w:eastAsia="en-GB"/>
    </w:rPr>
  </w:style>
  <w:style w:type="paragraph" w:customStyle="1" w:styleId="ListNumber2Level2">
    <w:name w:val="List Number 2 (Level 2)"/>
    <w:basedOn w:val="Text2"/>
    <w:rsid w:val="006052EE"/>
    <w:pPr>
      <w:numPr>
        <w:ilvl w:val="1"/>
        <w:numId w:val="12"/>
      </w:numPr>
      <w:tabs>
        <w:tab w:val="clear" w:pos="2268"/>
      </w:tabs>
      <w:ind w:left="0" w:firstLine="0"/>
    </w:pPr>
    <w:rPr>
      <w:rFonts w:eastAsia="Times New Roman"/>
      <w:lang w:val="fr-FR" w:eastAsia="en-GB"/>
    </w:rPr>
  </w:style>
  <w:style w:type="paragraph" w:customStyle="1" w:styleId="ListNumber3Level2">
    <w:name w:val="List Number 3 (Level 2)"/>
    <w:basedOn w:val="Text3"/>
    <w:rsid w:val="006052EE"/>
    <w:pPr>
      <w:numPr>
        <w:ilvl w:val="1"/>
        <w:numId w:val="13"/>
      </w:numPr>
      <w:tabs>
        <w:tab w:val="clear" w:pos="2268"/>
      </w:tabs>
      <w:ind w:left="0" w:firstLine="0"/>
    </w:pPr>
    <w:rPr>
      <w:rFonts w:eastAsia="Times New Roman"/>
      <w:lang w:val="fr-FR" w:eastAsia="en-GB"/>
    </w:rPr>
  </w:style>
  <w:style w:type="paragraph" w:customStyle="1" w:styleId="ListNumber4Level2">
    <w:name w:val="List Number 4 (Level 2)"/>
    <w:basedOn w:val="Text4"/>
    <w:rsid w:val="006052EE"/>
    <w:pPr>
      <w:numPr>
        <w:ilvl w:val="1"/>
        <w:numId w:val="14"/>
      </w:numPr>
      <w:tabs>
        <w:tab w:val="clear" w:pos="2268"/>
      </w:tabs>
      <w:ind w:left="0" w:firstLine="0"/>
    </w:pPr>
    <w:rPr>
      <w:rFonts w:eastAsia="Times New Roman"/>
      <w:lang w:val="fr-FR" w:eastAsia="en-GB"/>
    </w:rPr>
  </w:style>
  <w:style w:type="paragraph" w:customStyle="1" w:styleId="ListNumber1Level3">
    <w:name w:val="List Number 1 (Level 3)"/>
    <w:basedOn w:val="Text1"/>
    <w:rsid w:val="006052EE"/>
    <w:pPr>
      <w:numPr>
        <w:ilvl w:val="2"/>
        <w:numId w:val="11"/>
      </w:numPr>
      <w:tabs>
        <w:tab w:val="clear" w:pos="2977"/>
      </w:tabs>
      <w:ind w:left="0" w:firstLine="0"/>
    </w:pPr>
    <w:rPr>
      <w:rFonts w:eastAsia="Times New Roman"/>
      <w:lang w:val="fr-FR" w:eastAsia="en-GB"/>
    </w:rPr>
  </w:style>
  <w:style w:type="paragraph" w:customStyle="1" w:styleId="ListNumber2Level3">
    <w:name w:val="List Number 2 (Level 3)"/>
    <w:basedOn w:val="Text2"/>
    <w:rsid w:val="006052EE"/>
    <w:pPr>
      <w:numPr>
        <w:ilvl w:val="2"/>
        <w:numId w:val="12"/>
      </w:numPr>
      <w:tabs>
        <w:tab w:val="clear" w:pos="2977"/>
      </w:tabs>
      <w:ind w:left="0" w:firstLine="0"/>
    </w:pPr>
    <w:rPr>
      <w:rFonts w:eastAsia="Times New Roman"/>
      <w:lang w:val="fr-FR" w:eastAsia="en-GB"/>
    </w:rPr>
  </w:style>
  <w:style w:type="paragraph" w:customStyle="1" w:styleId="ListNumber3Level3">
    <w:name w:val="List Number 3 (Level 3)"/>
    <w:basedOn w:val="Text3"/>
    <w:rsid w:val="006052EE"/>
    <w:pPr>
      <w:numPr>
        <w:ilvl w:val="2"/>
        <w:numId w:val="13"/>
      </w:numPr>
      <w:tabs>
        <w:tab w:val="clear" w:pos="2977"/>
      </w:tabs>
      <w:ind w:left="0" w:firstLine="0"/>
    </w:pPr>
    <w:rPr>
      <w:rFonts w:eastAsia="Times New Roman"/>
      <w:lang w:val="fr-FR" w:eastAsia="en-GB"/>
    </w:rPr>
  </w:style>
  <w:style w:type="paragraph" w:customStyle="1" w:styleId="ListNumber4Level3">
    <w:name w:val="List Number 4 (Level 3)"/>
    <w:basedOn w:val="Text4"/>
    <w:rsid w:val="006052EE"/>
    <w:pPr>
      <w:numPr>
        <w:ilvl w:val="2"/>
        <w:numId w:val="14"/>
      </w:numPr>
      <w:tabs>
        <w:tab w:val="clear" w:pos="2977"/>
      </w:tabs>
      <w:ind w:left="0" w:firstLine="0"/>
    </w:pPr>
    <w:rPr>
      <w:rFonts w:eastAsia="Times New Roman"/>
      <w:lang w:val="fr-FR" w:eastAsia="en-GB"/>
    </w:rPr>
  </w:style>
  <w:style w:type="paragraph" w:customStyle="1" w:styleId="ListNumber1Level4">
    <w:name w:val="List Number 1 (Level 4)"/>
    <w:basedOn w:val="Text1"/>
    <w:rsid w:val="006052EE"/>
    <w:pPr>
      <w:numPr>
        <w:ilvl w:val="3"/>
        <w:numId w:val="11"/>
      </w:numPr>
      <w:tabs>
        <w:tab w:val="clear" w:pos="3686"/>
      </w:tabs>
      <w:ind w:left="0" w:firstLine="0"/>
    </w:pPr>
    <w:rPr>
      <w:rFonts w:eastAsia="Times New Roman"/>
      <w:lang w:val="fr-FR" w:eastAsia="en-GB"/>
    </w:rPr>
  </w:style>
  <w:style w:type="paragraph" w:customStyle="1" w:styleId="ListNumber2Level4">
    <w:name w:val="List Number 2 (Level 4)"/>
    <w:basedOn w:val="Text2"/>
    <w:rsid w:val="006052EE"/>
    <w:pPr>
      <w:numPr>
        <w:ilvl w:val="3"/>
        <w:numId w:val="12"/>
      </w:numPr>
      <w:tabs>
        <w:tab w:val="clear" w:pos="3686"/>
      </w:tabs>
      <w:ind w:left="0" w:firstLine="0"/>
    </w:pPr>
    <w:rPr>
      <w:rFonts w:eastAsia="Times New Roman"/>
      <w:lang w:val="fr-FR" w:eastAsia="en-GB"/>
    </w:rPr>
  </w:style>
  <w:style w:type="paragraph" w:customStyle="1" w:styleId="ListNumber3Level4">
    <w:name w:val="List Number 3 (Level 4)"/>
    <w:basedOn w:val="Text3"/>
    <w:rsid w:val="006052EE"/>
    <w:pPr>
      <w:numPr>
        <w:ilvl w:val="3"/>
        <w:numId w:val="13"/>
      </w:numPr>
      <w:tabs>
        <w:tab w:val="clear" w:pos="3686"/>
      </w:tabs>
      <w:ind w:left="0" w:firstLine="0"/>
    </w:pPr>
    <w:rPr>
      <w:rFonts w:eastAsia="Times New Roman"/>
      <w:lang w:val="fr-FR" w:eastAsia="en-GB"/>
    </w:rPr>
  </w:style>
  <w:style w:type="paragraph" w:customStyle="1" w:styleId="ListNumber4Level4">
    <w:name w:val="List Number 4 (Level 4)"/>
    <w:basedOn w:val="Text4"/>
    <w:rsid w:val="006052EE"/>
    <w:pPr>
      <w:numPr>
        <w:ilvl w:val="3"/>
        <w:numId w:val="14"/>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6052EE"/>
    <w:pPr>
      <w:jc w:val="center"/>
    </w:pPr>
    <w:rPr>
      <w:rFonts w:eastAsia="Times New Roman"/>
      <w:b/>
      <w:u w:val="single"/>
      <w:lang w:val="fr-FR" w:eastAsia="en-GB"/>
    </w:rPr>
  </w:style>
  <w:style w:type="paragraph" w:customStyle="1" w:styleId="Annexetitreexposglobal">
    <w:name w:val="Annexe titre (exposé global)"/>
    <w:basedOn w:val="Normal"/>
    <w:next w:val="Normal"/>
    <w:rsid w:val="006052EE"/>
    <w:pPr>
      <w:jc w:val="center"/>
    </w:pPr>
    <w:rPr>
      <w:rFonts w:eastAsia="Times New Roman"/>
      <w:b/>
      <w:u w:val="single"/>
      <w:lang w:val="fr-FR" w:eastAsia="en-GB"/>
    </w:rPr>
  </w:style>
  <w:style w:type="paragraph" w:customStyle="1" w:styleId="Annexetitrefichefinacte">
    <w:name w:val="Annexe titre (fiche fin. acte)"/>
    <w:basedOn w:val="Normal"/>
    <w:next w:val="Normal"/>
    <w:rsid w:val="006052EE"/>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6052EE"/>
    <w:pPr>
      <w:jc w:val="center"/>
    </w:pPr>
    <w:rPr>
      <w:rFonts w:eastAsia="Times New Roman"/>
      <w:b/>
      <w:u w:val="single"/>
      <w:lang w:val="fr-FR" w:eastAsia="en-GB"/>
    </w:rPr>
  </w:style>
  <w:style w:type="paragraph" w:customStyle="1" w:styleId="Annexetitreglobale">
    <w:name w:val="Annexe titre (globale)"/>
    <w:basedOn w:val="Normal"/>
    <w:next w:val="Normal"/>
    <w:rsid w:val="006052EE"/>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6052EE"/>
    <w:pPr>
      <w:jc w:val="center"/>
    </w:pPr>
    <w:rPr>
      <w:rFonts w:eastAsia="Times New Roman"/>
      <w:b/>
      <w:u w:val="single"/>
      <w:lang w:val="fr-FR" w:eastAsia="en-GB"/>
    </w:rPr>
  </w:style>
  <w:style w:type="paragraph" w:customStyle="1" w:styleId="Langueoriginale">
    <w:name w:val="Langue originale"/>
    <w:basedOn w:val="Normal"/>
    <w:rsid w:val="006052EE"/>
    <w:pPr>
      <w:spacing w:before="360"/>
      <w:jc w:val="center"/>
    </w:pPr>
    <w:rPr>
      <w:rFonts w:eastAsia="Times New Roman"/>
      <w:caps/>
      <w:lang w:val="fr-FR" w:eastAsia="en-GB"/>
    </w:rPr>
  </w:style>
  <w:style w:type="paragraph" w:customStyle="1" w:styleId="Phrasefinale">
    <w:name w:val="Phrase finale"/>
    <w:basedOn w:val="Normal"/>
    <w:next w:val="Normal"/>
    <w:rsid w:val="006052EE"/>
    <w:pPr>
      <w:spacing w:before="360" w:after="0"/>
      <w:jc w:val="center"/>
    </w:pPr>
    <w:rPr>
      <w:rFonts w:eastAsia="Times New Roman"/>
      <w:lang w:val="fr-FR" w:eastAsia="en-GB"/>
    </w:rPr>
  </w:style>
  <w:style w:type="paragraph" w:customStyle="1" w:styleId="Prliminairetitre">
    <w:name w:val="Préliminaire titre"/>
    <w:basedOn w:val="Normal"/>
    <w:next w:val="Normal"/>
    <w:rsid w:val="006052EE"/>
    <w:pPr>
      <w:spacing w:before="360" w:after="360"/>
      <w:jc w:val="center"/>
    </w:pPr>
    <w:rPr>
      <w:rFonts w:eastAsia="Times New Roman"/>
      <w:b/>
      <w:lang w:val="fr-FR" w:eastAsia="en-GB"/>
    </w:rPr>
  </w:style>
  <w:style w:type="paragraph" w:customStyle="1" w:styleId="Prliminairetype">
    <w:name w:val="Préliminaire type"/>
    <w:basedOn w:val="Normal"/>
    <w:next w:val="Normal"/>
    <w:rsid w:val="006052EE"/>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6052EE"/>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6052EE"/>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6052EE"/>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6052EE"/>
    <w:pPr>
      <w:spacing w:before="0" w:after="0"/>
      <w:jc w:val="center"/>
    </w:pPr>
    <w:rPr>
      <w:rFonts w:eastAsia="Times New Roman"/>
      <w:b/>
      <w:lang w:val="fr-FR" w:eastAsia="en-GB"/>
    </w:rPr>
  </w:style>
  <w:style w:type="paragraph" w:customStyle="1" w:styleId="Statutprliminaire">
    <w:name w:val="Statut (préliminaire)"/>
    <w:basedOn w:val="Normal"/>
    <w:next w:val="Normal"/>
    <w:rsid w:val="006052EE"/>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6052EE"/>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6052EE"/>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6052EE"/>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6052EE"/>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6052EE"/>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6052EE"/>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6052EE"/>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6052EE"/>
    <w:pPr>
      <w:jc w:val="center"/>
    </w:pPr>
    <w:rPr>
      <w:rFonts w:eastAsia="Times New Roman"/>
      <w:b/>
      <w:u w:val="single"/>
      <w:lang w:val="fr-FR" w:eastAsia="en-GB"/>
    </w:rPr>
  </w:style>
  <w:style w:type="character" w:styleId="CommentReference">
    <w:name w:val="annotation reference"/>
    <w:uiPriority w:val="99"/>
    <w:rsid w:val="006052EE"/>
    <w:rPr>
      <w:rFonts w:cs="Times New Roman"/>
      <w:sz w:val="16"/>
      <w:szCs w:val="16"/>
    </w:rPr>
  </w:style>
  <w:style w:type="paragraph" w:styleId="CommentText">
    <w:name w:val="annotation text"/>
    <w:aliases w:val="Text poznámky"/>
    <w:basedOn w:val="Normal"/>
    <w:link w:val="CommentTextChar"/>
    <w:uiPriority w:val="99"/>
    <w:rsid w:val="006052EE"/>
    <w:rPr>
      <w:rFonts w:eastAsia="Times New Roman"/>
      <w:sz w:val="20"/>
      <w:szCs w:val="20"/>
      <w:lang w:val="fr-FR" w:eastAsia="en-GB"/>
    </w:rPr>
  </w:style>
  <w:style w:type="character" w:customStyle="1" w:styleId="CommentTextChar">
    <w:name w:val="Comment Text Char"/>
    <w:aliases w:val="Text poznámky Char"/>
    <w:basedOn w:val="DefaultParagraphFont"/>
    <w:link w:val="CommentText"/>
    <w:uiPriority w:val="99"/>
    <w:rsid w:val="006052EE"/>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6052EE"/>
    <w:rPr>
      <w:b/>
      <w:bCs/>
    </w:rPr>
  </w:style>
  <w:style w:type="character" w:customStyle="1" w:styleId="CommentSubjectChar">
    <w:name w:val="Comment Subject Char"/>
    <w:basedOn w:val="CommentTextChar"/>
    <w:link w:val="CommentSubject"/>
    <w:rsid w:val="006052EE"/>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6052EE"/>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6052EE"/>
    <w:rPr>
      <w:rFonts w:ascii="Tahoma" w:eastAsia="Times New Roman" w:hAnsi="Tahoma" w:cs="Tahoma"/>
      <w:sz w:val="16"/>
      <w:szCs w:val="16"/>
      <w:lang w:val="fr-FR" w:eastAsia="en-GB"/>
    </w:rPr>
  </w:style>
  <w:style w:type="paragraph" w:styleId="Caption">
    <w:name w:val="caption"/>
    <w:basedOn w:val="Normal"/>
    <w:next w:val="Normal"/>
    <w:qFormat/>
    <w:rsid w:val="006052EE"/>
    <w:rPr>
      <w:rFonts w:eastAsia="Times New Roman"/>
      <w:b/>
      <w:bCs/>
      <w:sz w:val="20"/>
      <w:szCs w:val="20"/>
      <w:lang w:val="fr-FR" w:eastAsia="en-GB"/>
    </w:rPr>
  </w:style>
  <w:style w:type="paragraph" w:styleId="TableofFigures">
    <w:name w:val="table of figures"/>
    <w:basedOn w:val="Normal"/>
    <w:next w:val="Normal"/>
    <w:rsid w:val="006052EE"/>
    <w:rPr>
      <w:rFonts w:eastAsia="Times New Roman"/>
      <w:lang w:val="fr-FR" w:eastAsia="en-GB"/>
    </w:rPr>
  </w:style>
  <w:style w:type="character" w:styleId="PageNumber">
    <w:name w:val="page number"/>
    <w:rsid w:val="006052EE"/>
  </w:style>
  <w:style w:type="character" w:customStyle="1" w:styleId="tw4winMark">
    <w:name w:val="tw4winMark"/>
    <w:rsid w:val="006052EE"/>
    <w:rPr>
      <w:vanish/>
      <w:color w:val="800080"/>
      <w:vertAlign w:val="subscript"/>
    </w:rPr>
  </w:style>
  <w:style w:type="character" w:styleId="FollowedHyperlink">
    <w:name w:val="FollowedHyperlink"/>
    <w:uiPriority w:val="99"/>
    <w:rsid w:val="006052EE"/>
    <w:rPr>
      <w:color w:val="800080"/>
      <w:u w:val="single"/>
    </w:rPr>
  </w:style>
  <w:style w:type="paragraph" w:customStyle="1" w:styleId="Sous-titreobjet">
    <w:name w:val="Sous-titre objet"/>
    <w:basedOn w:val="Normal"/>
    <w:rsid w:val="006052EE"/>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6052EE"/>
  </w:style>
  <w:style w:type="paragraph" w:styleId="Revision">
    <w:name w:val="Revision"/>
    <w:hidden/>
    <w:uiPriority w:val="99"/>
    <w:semiHidden/>
    <w:rsid w:val="006052EE"/>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6052EE"/>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6052EE"/>
    <w:rPr>
      <w:rFonts w:ascii="Times New Roman" w:hAnsi="Times New Roman" w:cs="Times New Roman"/>
      <w:b/>
      <w:sz w:val="28"/>
      <w:lang w:val="en-GB"/>
    </w:rPr>
  </w:style>
  <w:style w:type="character" w:customStyle="1" w:styleId="FooterCoverPageChar">
    <w:name w:val="Footer Cover Page Char"/>
    <w:link w:val="FooterCoverPage"/>
    <w:rsid w:val="006052E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6052EE"/>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6052EE"/>
    <w:rPr>
      <w:rFonts w:ascii="Times New Roman" w:eastAsia="Calibri" w:hAnsi="Times New Roman" w:cs="Times New Roman"/>
      <w:sz w:val="24"/>
      <w:lang w:val="en-GB" w:eastAsia="en-GB"/>
    </w:rPr>
  </w:style>
  <w:style w:type="character" w:customStyle="1" w:styleId="FooterSensitivityChar">
    <w:name w:val="Footer Sensitivity Char"/>
    <w:rsid w:val="006052EE"/>
    <w:rPr>
      <w:rFonts w:ascii="Times New Roman" w:hAnsi="Times New Roman" w:cs="Times New Roman"/>
      <w:b/>
      <w:sz w:val="32"/>
      <w:lang w:val="en-GB"/>
    </w:rPr>
  </w:style>
  <w:style w:type="character" w:customStyle="1" w:styleId="HeaderSensitivityChar">
    <w:name w:val="Header Sensitivity Char"/>
    <w:rsid w:val="006052EE"/>
    <w:rPr>
      <w:rFonts w:ascii="Times New Roman" w:hAnsi="Times New Roman" w:cs="Times New Roman"/>
      <w:b/>
      <w:sz w:val="32"/>
      <w:lang w:val="en-GB"/>
    </w:rPr>
  </w:style>
  <w:style w:type="character" w:customStyle="1" w:styleId="HeaderSensitivityRightChar">
    <w:name w:val="Header Sensitivity Right Char"/>
    <w:rsid w:val="006052EE"/>
    <w:rPr>
      <w:rFonts w:ascii="Times New Roman" w:hAnsi="Times New Roman" w:cs="Times New Roman"/>
      <w:sz w:val="28"/>
      <w:lang w:val="en-GB"/>
    </w:rPr>
  </w:style>
  <w:style w:type="paragraph" w:customStyle="1" w:styleId="LegalNumPar">
    <w:name w:val="LegalNumPar"/>
    <w:basedOn w:val="Normal"/>
    <w:rsid w:val="00F90D41"/>
    <w:pPr>
      <w:numPr>
        <w:numId w:val="15"/>
      </w:numPr>
      <w:spacing w:line="360" w:lineRule="auto"/>
    </w:pPr>
    <w:rPr>
      <w:rFonts w:eastAsia="Times New Roman"/>
      <w:lang w:eastAsia="en-GB"/>
    </w:rPr>
  </w:style>
  <w:style w:type="paragraph" w:customStyle="1" w:styleId="LegalNumPar2">
    <w:name w:val="LegalNumPar2"/>
    <w:basedOn w:val="Normal"/>
    <w:rsid w:val="006052EE"/>
    <w:pPr>
      <w:numPr>
        <w:ilvl w:val="1"/>
        <w:numId w:val="15"/>
      </w:numPr>
      <w:spacing w:line="360" w:lineRule="auto"/>
      <w:ind w:left="0" w:firstLine="0"/>
    </w:pPr>
    <w:rPr>
      <w:rFonts w:eastAsia="Times New Roman"/>
      <w:lang w:eastAsia="en-GB"/>
    </w:rPr>
  </w:style>
  <w:style w:type="paragraph" w:customStyle="1" w:styleId="LegalNumPar3">
    <w:name w:val="LegalNumPar3"/>
    <w:basedOn w:val="Normal"/>
    <w:rsid w:val="006052EE"/>
    <w:pPr>
      <w:numPr>
        <w:ilvl w:val="2"/>
        <w:numId w:val="15"/>
      </w:numPr>
      <w:spacing w:line="360" w:lineRule="auto"/>
      <w:ind w:left="0" w:firstLine="0"/>
    </w:pPr>
    <w:rPr>
      <w:rFonts w:eastAsia="Times New Roman"/>
      <w:lang w:eastAsia="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L"/>
    <w:basedOn w:val="Normal"/>
    <w:link w:val="ListParagraphChar"/>
    <w:uiPriority w:val="34"/>
    <w:qFormat/>
    <w:rsid w:val="006052EE"/>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6052EE"/>
    <w:rPr>
      <w:color w:val="605E5C"/>
      <w:shd w:val="clear" w:color="auto" w:fill="E1DFDD"/>
    </w:rPr>
  </w:style>
  <w:style w:type="character" w:styleId="Strong">
    <w:name w:val="Strong"/>
    <w:basedOn w:val="DefaultParagraphFont"/>
    <w:qFormat/>
    <w:rsid w:val="006052EE"/>
    <w:rPr>
      <w:b/>
      <w:bCs/>
    </w:rPr>
  </w:style>
  <w:style w:type="character" w:styleId="Emphasis">
    <w:name w:val="Emphasis"/>
    <w:basedOn w:val="DefaultParagraphFont"/>
    <w:qFormat/>
    <w:rsid w:val="006052EE"/>
    <w:rPr>
      <w:i/>
      <w:iCs/>
    </w:rPr>
  </w:style>
  <w:style w:type="character" w:customStyle="1" w:styleId="Mention1">
    <w:name w:val="Mention1"/>
    <w:basedOn w:val="DefaultParagraphFont"/>
    <w:uiPriority w:val="99"/>
    <w:unhideWhenUsed/>
    <w:rsid w:val="006052EE"/>
    <w:rPr>
      <w:color w:val="2B579A"/>
      <w:shd w:val="clear" w:color="auto" w:fill="E1DFDD"/>
    </w:rPr>
  </w:style>
  <w:style w:type="character" w:customStyle="1" w:styleId="normaltextrun">
    <w:name w:val="normaltextrun"/>
    <w:basedOn w:val="DefaultParagraphFont"/>
    <w:rsid w:val="006052EE"/>
  </w:style>
  <w:style w:type="character" w:customStyle="1" w:styleId="eop">
    <w:name w:val="eop"/>
    <w:basedOn w:val="DefaultParagraphFont"/>
    <w:rsid w:val="006052EE"/>
  </w:style>
  <w:style w:type="paragraph" w:styleId="NormalWeb">
    <w:name w:val="Normal (Web)"/>
    <w:basedOn w:val="Normal"/>
    <w:uiPriority w:val="99"/>
    <w:unhideWhenUsed/>
    <w:rsid w:val="00426D17"/>
    <w:pPr>
      <w:spacing w:before="100" w:beforeAutospacing="1" w:after="100" w:afterAutospacing="1"/>
      <w:jc w:val="left"/>
    </w:pPr>
    <w:rPr>
      <w:rFonts w:eastAsia="Times New Roman"/>
      <w:szCs w:val="20"/>
      <w:lang w:eastAsia="en-GB"/>
    </w:rPr>
  </w:style>
  <w:style w:type="paragraph" w:customStyle="1" w:styleId="xl65">
    <w:name w:val="xl65"/>
    <w:basedOn w:val="Normal"/>
    <w:rsid w:val="00426D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0"/>
      <w:lang w:eastAsia="en-GB"/>
    </w:rPr>
  </w:style>
  <w:style w:type="paragraph" w:customStyle="1" w:styleId="xl66">
    <w:name w:val="xl66"/>
    <w:basedOn w:val="Normal"/>
    <w:rsid w:val="00426D1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xl67">
    <w:name w:val="xl67"/>
    <w:basedOn w:val="Normal"/>
    <w:rsid w:val="00426D1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CM3">
    <w:name w:val="CM3"/>
    <w:basedOn w:val="Normal"/>
    <w:uiPriority w:val="99"/>
    <w:rsid w:val="00426D17"/>
    <w:pPr>
      <w:autoSpaceDE w:val="0"/>
      <w:autoSpaceDN w:val="0"/>
      <w:spacing w:before="0" w:after="0"/>
      <w:jc w:val="left"/>
    </w:pPr>
    <w:rPr>
      <w:rFonts w:ascii="EUAlbertina" w:eastAsia="Calibri" w:hAnsi="EUAlbertina"/>
      <w:szCs w:val="20"/>
      <w:lang w:eastAsia="en-GB"/>
    </w:rPr>
  </w:style>
  <w:style w:type="paragraph" w:styleId="NoSpacing">
    <w:name w:val="No Spacing"/>
    <w:uiPriority w:val="1"/>
    <w:qFormat/>
    <w:rsid w:val="00426D17"/>
    <w:pPr>
      <w:spacing w:after="0" w:line="240" w:lineRule="auto"/>
    </w:pPr>
    <w:rPr>
      <w:kern w:val="2"/>
      <w:sz w:val="24"/>
      <w:szCs w:val="24"/>
      <w:lang w:val="en-IE"/>
      <w14:ligatures w14:val="standardContextual"/>
    </w:rPr>
  </w:style>
  <w:style w:type="character" w:customStyle="1" w:styleId="TOC211">
    <w:name w:val="TOC 211"/>
    <w:uiPriority w:val="99"/>
    <w:unhideWhenUsed/>
    <w:qFormat/>
    <w:rsid w:val="00426D17"/>
    <w:rPr>
      <w:color w:val="0000FF"/>
      <w:u w:val="single"/>
    </w:rPr>
  </w:style>
  <w:style w:type="paragraph" w:customStyle="1" w:styleId="1letter">
    <w:name w:val="'1 (letter)"/>
    <w:basedOn w:val="Point1letter"/>
    <w:rsid w:val="00426D17"/>
    <w:pPr>
      <w:tabs>
        <w:tab w:val="clear" w:pos="1417"/>
      </w:tabs>
      <w:ind w:firstLine="0"/>
    </w:pPr>
  </w:style>
  <w:style w:type="paragraph" w:customStyle="1" w:styleId="paragraph">
    <w:name w:val="paragraph"/>
    <w:basedOn w:val="Normal"/>
    <w:rsid w:val="00426D17"/>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rsid w:val="00426D17"/>
  </w:style>
  <w:style w:type="paragraph" w:customStyle="1" w:styleId="oj-normal">
    <w:name w:val="oj-normal"/>
    <w:basedOn w:val="Normal"/>
    <w:rsid w:val="00426D17"/>
    <w:pPr>
      <w:spacing w:before="100" w:beforeAutospacing="1" w:after="100" w:afterAutospacing="1"/>
      <w:jc w:val="left"/>
    </w:pPr>
    <w:rPr>
      <w:rFonts w:eastAsia="Times New Roman"/>
      <w:szCs w:val="24"/>
      <w:lang w:val="en-IE" w:eastAsia="en-I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link w:val="ListParagraph"/>
    <w:uiPriority w:val="34"/>
    <w:qFormat/>
    <w:rsid w:val="00426D17"/>
    <w:rPr>
      <w:rFonts w:ascii="Times New Roman" w:eastAsia="Times New Roman" w:hAnsi="Times New Roman" w:cs="Times New Roman"/>
      <w:sz w:val="24"/>
      <w:lang w:val="en-GB" w:eastAsia="en-GB"/>
    </w:rPr>
  </w:style>
  <w:style w:type="character" w:customStyle="1" w:styleId="no-parag">
    <w:name w:val="no-parag"/>
    <w:basedOn w:val="DefaultParagraphFont"/>
    <w:rsid w:val="00426D17"/>
  </w:style>
  <w:style w:type="paragraph" w:customStyle="1" w:styleId="norm">
    <w:name w:val="norm"/>
    <w:basedOn w:val="Normal"/>
    <w:rsid w:val="00426D17"/>
    <w:pPr>
      <w:spacing w:before="100" w:beforeAutospacing="1" w:after="100" w:afterAutospacing="1"/>
      <w:jc w:val="left"/>
    </w:pPr>
    <w:rPr>
      <w:rFonts w:eastAsia="Times New Roman"/>
      <w:szCs w:val="24"/>
      <w:lang w:val="en-IE" w:eastAsia="en-IE"/>
    </w:rPr>
  </w:style>
  <w:style w:type="character" w:customStyle="1" w:styleId="boldface">
    <w:name w:val="boldface"/>
    <w:basedOn w:val="DefaultParagraphFont"/>
    <w:rsid w:val="00426D17"/>
  </w:style>
  <w:style w:type="paragraph" w:customStyle="1" w:styleId="modref">
    <w:name w:val="modref"/>
    <w:basedOn w:val="Normal"/>
    <w:rsid w:val="00426D17"/>
    <w:pPr>
      <w:spacing w:before="100" w:beforeAutospacing="1" w:after="100" w:afterAutospacing="1"/>
      <w:jc w:val="left"/>
    </w:pPr>
    <w:rPr>
      <w:rFonts w:eastAsia="Times New Roman"/>
      <w:szCs w:val="24"/>
      <w:lang w:val="en-IE" w:eastAsia="en-IE"/>
    </w:rPr>
  </w:style>
  <w:style w:type="paragraph" w:customStyle="1" w:styleId="Point">
    <w:name w:val="Point"/>
    <w:basedOn w:val="Point0number"/>
    <w:rsid w:val="00426D17"/>
    <w:pPr>
      <w:numPr>
        <w:numId w:val="0"/>
      </w:numPr>
    </w:pPr>
  </w:style>
  <w:style w:type="character" w:customStyle="1" w:styleId="CommentReference1">
    <w:name w:val="Comment Reference1"/>
    <w:basedOn w:val="DefaultParagraphFont"/>
    <w:uiPriority w:val="99"/>
    <w:unhideWhenUsed/>
    <w:rsid w:val="00426D17"/>
    <w:rPr>
      <w:sz w:val="16"/>
      <w:szCs w:val="16"/>
    </w:rPr>
  </w:style>
  <w:style w:type="paragraph" w:customStyle="1" w:styleId="Considrant1">
    <w:name w:val="Considérant (1)"/>
    <w:basedOn w:val="Considrant"/>
    <w:rsid w:val="00426D17"/>
    <w:pPr>
      <w:numPr>
        <w:numId w:val="16"/>
      </w:numPr>
      <w:ind w:left="0" w:firstLine="0"/>
    </w:pPr>
    <w:rPr>
      <w:iCs/>
    </w:rPr>
  </w:style>
  <w:style w:type="character" w:customStyle="1" w:styleId="CommentTextChar1">
    <w:name w:val="Comment Text Char1"/>
    <w:basedOn w:val="DefaultParagraphFont"/>
    <w:uiPriority w:val="99"/>
    <w:rsid w:val="00426D17"/>
    <w:rPr>
      <w:rFonts w:ascii="Times New Roman" w:hAnsi="Times New Roman" w:cs="Times New Roman"/>
      <w:sz w:val="20"/>
      <w:szCs w:val="20"/>
      <w:lang w:val="en-GB"/>
    </w:rPr>
  </w:style>
  <w:style w:type="paragraph" w:customStyle="1" w:styleId="Point00">
    <w:name w:val="Point 00"/>
    <w:basedOn w:val="Normal"/>
    <w:pPr>
      <w:ind w:left="850" w:hanging="850"/>
    </w:pPr>
  </w:style>
  <w:style w:type="paragraph" w:customStyle="1" w:styleId="Point1letter0">
    <w:name w:val="Point 1 (letter)0"/>
    <w:basedOn w:val="Normal"/>
    <w:pPr>
      <w:tabs>
        <w:tab w:val="num" w:pos="1417"/>
      </w:tabs>
      <w:ind w:left="1417" w:hanging="567"/>
    </w:pPr>
  </w:style>
  <w:style w:type="paragraph" w:customStyle="1" w:styleId="Text">
    <w:name w:val="Text"/>
    <w:basedOn w:val="Text2"/>
    <w:rsid w:val="00895C9F"/>
    <w:rPr>
      <w:lang w:val="en-IE"/>
    </w:rPr>
  </w:style>
  <w:style w:type="character" w:customStyle="1" w:styleId="UnresolvedMention2">
    <w:name w:val="Unresolved Mention2"/>
    <w:basedOn w:val="DefaultParagraphFont"/>
    <w:uiPriority w:val="99"/>
    <w:semiHidden/>
    <w:unhideWhenUsed/>
    <w:rsid w:val="00B82130"/>
    <w:rPr>
      <w:color w:val="605E5C"/>
      <w:shd w:val="clear" w:color="auto" w:fill="E1DFDD"/>
    </w:rPr>
  </w:style>
  <w:style w:type="paragraph" w:customStyle="1" w:styleId="p1">
    <w:name w:val="p1"/>
    <w:basedOn w:val="Normal"/>
    <w:rsid w:val="007B71AC"/>
    <w:pPr>
      <w:spacing w:before="100" w:beforeAutospacing="1" w:after="100" w:afterAutospacing="1"/>
      <w:jc w:val="left"/>
    </w:pPr>
    <w:rPr>
      <w:rFonts w:ascii="Aptos" w:hAnsi="Aptos" w:cs="Aptos"/>
      <w:szCs w:val="24"/>
      <w:lang w:val="fr-BE" w:eastAsia="fr-BE"/>
    </w:rPr>
  </w:style>
  <w:style w:type="character" w:customStyle="1" w:styleId="s1">
    <w:name w:val="s1"/>
    <w:basedOn w:val="DefaultParagraphFont"/>
    <w:rsid w:val="007B71AC"/>
  </w:style>
  <w:style w:type="paragraph" w:customStyle="1" w:styleId="Point2letter0">
    <w:name w:val="Point 2 (letter)0"/>
    <w:basedOn w:val="Point1letter0"/>
    <w:rsid w:val="008E0D94"/>
    <w:pPr>
      <w:numPr>
        <w:numId w:val="21"/>
      </w:numPr>
    </w:pPr>
    <w:rPr>
      <w:noProof/>
      <w:lang w:val="en-IE"/>
    </w:rPr>
  </w:style>
  <w:style w:type="character" w:styleId="UnresolvedMention">
    <w:name w:val="Unresolved Mention"/>
    <w:basedOn w:val="DefaultParagraphFont"/>
    <w:uiPriority w:val="99"/>
    <w:semiHidden/>
    <w:unhideWhenUsed/>
    <w:rsid w:val="000541BD"/>
    <w:rPr>
      <w:color w:val="605E5C"/>
      <w:shd w:val="clear" w:color="auto" w:fill="E1DFDD"/>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42"/>
      </w:numPr>
    </w:pPr>
  </w:style>
  <w:style w:type="paragraph" w:customStyle="1" w:styleId="Tiret1">
    <w:name w:val="Tiret 1"/>
    <w:basedOn w:val="Point1"/>
    <w:pPr>
      <w:numPr>
        <w:numId w:val="43"/>
      </w:numPr>
    </w:pPr>
  </w:style>
  <w:style w:type="paragraph" w:customStyle="1" w:styleId="Tiret2">
    <w:name w:val="Tiret 2"/>
    <w:basedOn w:val="Point2"/>
    <w:pPr>
      <w:numPr>
        <w:numId w:val="44"/>
      </w:numPr>
    </w:pPr>
  </w:style>
  <w:style w:type="paragraph" w:customStyle="1" w:styleId="Tiret3">
    <w:name w:val="Tiret 3"/>
    <w:basedOn w:val="Point3"/>
    <w:pPr>
      <w:numPr>
        <w:numId w:val="45"/>
      </w:numPr>
    </w:pPr>
  </w:style>
  <w:style w:type="paragraph" w:customStyle="1" w:styleId="Tiret4">
    <w:name w:val="Tiret 4"/>
    <w:basedOn w:val="Point4"/>
    <w:pPr>
      <w:numPr>
        <w:numId w:val="46"/>
      </w:numPr>
    </w:pPr>
  </w:style>
  <w:style w:type="paragraph" w:customStyle="1" w:styleId="Tiret5">
    <w:name w:val="Tiret 5"/>
    <w:basedOn w:val="Point5"/>
    <w:pPr>
      <w:numPr>
        <w:numId w:val="4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8"/>
      </w:numPr>
    </w:pPr>
  </w:style>
  <w:style w:type="paragraph" w:customStyle="1" w:styleId="NumPar2">
    <w:name w:val="NumPar 2"/>
    <w:basedOn w:val="Normal"/>
    <w:next w:val="Text1"/>
    <w:pPr>
      <w:numPr>
        <w:ilvl w:val="1"/>
        <w:numId w:val="48"/>
      </w:numPr>
    </w:pPr>
  </w:style>
  <w:style w:type="paragraph" w:customStyle="1" w:styleId="NumPar3">
    <w:name w:val="NumPar 3"/>
    <w:basedOn w:val="Normal"/>
    <w:next w:val="Text1"/>
    <w:pPr>
      <w:numPr>
        <w:ilvl w:val="2"/>
        <w:numId w:val="48"/>
      </w:numPr>
    </w:pPr>
  </w:style>
  <w:style w:type="paragraph" w:customStyle="1" w:styleId="NumPar4">
    <w:name w:val="NumPar 4"/>
    <w:basedOn w:val="Normal"/>
    <w:next w:val="Text1"/>
    <w:pPr>
      <w:numPr>
        <w:ilvl w:val="3"/>
        <w:numId w:val="48"/>
      </w:numPr>
    </w:pPr>
  </w:style>
  <w:style w:type="paragraph" w:customStyle="1" w:styleId="NumPar5">
    <w:name w:val="NumPar 5"/>
    <w:basedOn w:val="Normal"/>
    <w:next w:val="Text2"/>
    <w:pPr>
      <w:numPr>
        <w:ilvl w:val="4"/>
        <w:numId w:val="48"/>
      </w:numPr>
    </w:pPr>
  </w:style>
  <w:style w:type="paragraph" w:customStyle="1" w:styleId="NumPar6">
    <w:name w:val="NumPar 6"/>
    <w:basedOn w:val="Normal"/>
    <w:next w:val="Text2"/>
    <w:pPr>
      <w:numPr>
        <w:ilvl w:val="5"/>
        <w:numId w:val="48"/>
      </w:numPr>
    </w:pPr>
  </w:style>
  <w:style w:type="paragraph" w:customStyle="1" w:styleId="NumPar7">
    <w:name w:val="NumPar 7"/>
    <w:basedOn w:val="Normal"/>
    <w:next w:val="Text2"/>
    <w:pPr>
      <w:numPr>
        <w:ilvl w:val="6"/>
        <w:numId w:val="4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0"/>
      </w:numPr>
    </w:pPr>
  </w:style>
  <w:style w:type="paragraph" w:customStyle="1" w:styleId="Point1number">
    <w:name w:val="Point 1 (number)"/>
    <w:basedOn w:val="Normal"/>
    <w:pPr>
      <w:numPr>
        <w:ilvl w:val="2"/>
        <w:numId w:val="50"/>
      </w:numPr>
    </w:pPr>
  </w:style>
  <w:style w:type="paragraph" w:customStyle="1" w:styleId="Point2number">
    <w:name w:val="Point 2 (number)"/>
    <w:basedOn w:val="Normal"/>
    <w:pPr>
      <w:numPr>
        <w:ilvl w:val="4"/>
        <w:numId w:val="50"/>
      </w:numPr>
    </w:pPr>
  </w:style>
  <w:style w:type="paragraph" w:customStyle="1" w:styleId="Point3number">
    <w:name w:val="Point 3 (number)"/>
    <w:basedOn w:val="Normal"/>
    <w:pPr>
      <w:numPr>
        <w:ilvl w:val="6"/>
        <w:numId w:val="50"/>
      </w:numPr>
    </w:pPr>
  </w:style>
  <w:style w:type="paragraph" w:customStyle="1" w:styleId="Point0letter">
    <w:name w:val="Point 0 (letter)"/>
    <w:basedOn w:val="Normal"/>
    <w:pPr>
      <w:numPr>
        <w:ilvl w:val="1"/>
        <w:numId w:val="50"/>
      </w:numPr>
    </w:pPr>
  </w:style>
  <w:style w:type="paragraph" w:customStyle="1" w:styleId="Point1letter">
    <w:name w:val="Point 1 (letter)"/>
    <w:basedOn w:val="Normal"/>
    <w:pPr>
      <w:numPr>
        <w:ilvl w:val="3"/>
        <w:numId w:val="50"/>
      </w:numPr>
    </w:pPr>
  </w:style>
  <w:style w:type="paragraph" w:customStyle="1" w:styleId="Point2letter">
    <w:name w:val="Point 2 (letter)"/>
    <w:basedOn w:val="Normal"/>
    <w:pPr>
      <w:numPr>
        <w:ilvl w:val="5"/>
        <w:numId w:val="50"/>
      </w:numPr>
    </w:pPr>
  </w:style>
  <w:style w:type="paragraph" w:customStyle="1" w:styleId="Point3letter">
    <w:name w:val="Point 3 (letter)"/>
    <w:basedOn w:val="Normal"/>
    <w:pPr>
      <w:numPr>
        <w:ilvl w:val="7"/>
        <w:numId w:val="50"/>
      </w:numPr>
    </w:pPr>
  </w:style>
  <w:style w:type="paragraph" w:customStyle="1" w:styleId="Point4letter">
    <w:name w:val="Point 4 (letter)"/>
    <w:basedOn w:val="Normal"/>
    <w:pPr>
      <w:numPr>
        <w:ilvl w:val="8"/>
        <w:numId w:val="50"/>
      </w:numPr>
    </w:pPr>
  </w:style>
  <w:style w:type="paragraph" w:customStyle="1" w:styleId="Bullet0">
    <w:name w:val="Bullet 0"/>
    <w:basedOn w:val="Normal"/>
    <w:pPr>
      <w:numPr>
        <w:numId w:val="51"/>
      </w:numPr>
    </w:pPr>
  </w:style>
  <w:style w:type="paragraph" w:customStyle="1" w:styleId="Bullet1">
    <w:name w:val="Bullet 1"/>
    <w:basedOn w:val="Normal"/>
    <w:pPr>
      <w:numPr>
        <w:numId w:val="52"/>
      </w:numPr>
    </w:pPr>
  </w:style>
  <w:style w:type="paragraph" w:customStyle="1" w:styleId="Bullet2">
    <w:name w:val="Bullet 2"/>
    <w:basedOn w:val="Normal"/>
    <w:pPr>
      <w:numPr>
        <w:numId w:val="53"/>
      </w:numPr>
    </w:pPr>
  </w:style>
  <w:style w:type="paragraph" w:customStyle="1" w:styleId="Bullet3">
    <w:name w:val="Bullet 3"/>
    <w:basedOn w:val="Normal"/>
    <w:pPr>
      <w:numPr>
        <w:numId w:val="54"/>
      </w:numPr>
    </w:pPr>
  </w:style>
  <w:style w:type="paragraph" w:customStyle="1" w:styleId="Bullet4">
    <w:name w:val="Bullet 4"/>
    <w:basedOn w:val="Normal"/>
    <w:pPr>
      <w:numPr>
        <w:numId w:val="5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0241">
      <w:bodyDiv w:val="1"/>
      <w:marLeft w:val="0"/>
      <w:marRight w:val="0"/>
      <w:marTop w:val="0"/>
      <w:marBottom w:val="0"/>
      <w:divBdr>
        <w:top w:val="none" w:sz="0" w:space="0" w:color="auto"/>
        <w:left w:val="none" w:sz="0" w:space="0" w:color="auto"/>
        <w:bottom w:val="none" w:sz="0" w:space="0" w:color="auto"/>
        <w:right w:val="none" w:sz="0" w:space="0" w:color="auto"/>
      </w:divBdr>
    </w:div>
    <w:div w:id="33163367">
      <w:bodyDiv w:val="1"/>
      <w:marLeft w:val="0"/>
      <w:marRight w:val="0"/>
      <w:marTop w:val="0"/>
      <w:marBottom w:val="0"/>
      <w:divBdr>
        <w:top w:val="none" w:sz="0" w:space="0" w:color="auto"/>
        <w:left w:val="none" w:sz="0" w:space="0" w:color="auto"/>
        <w:bottom w:val="none" w:sz="0" w:space="0" w:color="auto"/>
        <w:right w:val="none" w:sz="0" w:space="0" w:color="auto"/>
      </w:divBdr>
    </w:div>
    <w:div w:id="49152539">
      <w:bodyDiv w:val="1"/>
      <w:marLeft w:val="0"/>
      <w:marRight w:val="0"/>
      <w:marTop w:val="0"/>
      <w:marBottom w:val="0"/>
      <w:divBdr>
        <w:top w:val="none" w:sz="0" w:space="0" w:color="auto"/>
        <w:left w:val="none" w:sz="0" w:space="0" w:color="auto"/>
        <w:bottom w:val="none" w:sz="0" w:space="0" w:color="auto"/>
        <w:right w:val="none" w:sz="0" w:space="0" w:color="auto"/>
      </w:divBdr>
    </w:div>
    <w:div w:id="133720750">
      <w:bodyDiv w:val="1"/>
      <w:marLeft w:val="0"/>
      <w:marRight w:val="0"/>
      <w:marTop w:val="0"/>
      <w:marBottom w:val="0"/>
      <w:divBdr>
        <w:top w:val="none" w:sz="0" w:space="0" w:color="auto"/>
        <w:left w:val="none" w:sz="0" w:space="0" w:color="auto"/>
        <w:bottom w:val="none" w:sz="0" w:space="0" w:color="auto"/>
        <w:right w:val="none" w:sz="0" w:space="0" w:color="auto"/>
      </w:divBdr>
    </w:div>
    <w:div w:id="188952335">
      <w:bodyDiv w:val="1"/>
      <w:marLeft w:val="0"/>
      <w:marRight w:val="0"/>
      <w:marTop w:val="0"/>
      <w:marBottom w:val="0"/>
      <w:divBdr>
        <w:top w:val="none" w:sz="0" w:space="0" w:color="auto"/>
        <w:left w:val="none" w:sz="0" w:space="0" w:color="auto"/>
        <w:bottom w:val="none" w:sz="0" w:space="0" w:color="auto"/>
        <w:right w:val="none" w:sz="0" w:space="0" w:color="auto"/>
      </w:divBdr>
    </w:div>
    <w:div w:id="211692904">
      <w:bodyDiv w:val="1"/>
      <w:marLeft w:val="0"/>
      <w:marRight w:val="0"/>
      <w:marTop w:val="0"/>
      <w:marBottom w:val="0"/>
      <w:divBdr>
        <w:top w:val="none" w:sz="0" w:space="0" w:color="auto"/>
        <w:left w:val="none" w:sz="0" w:space="0" w:color="auto"/>
        <w:bottom w:val="none" w:sz="0" w:space="0" w:color="auto"/>
        <w:right w:val="none" w:sz="0" w:space="0" w:color="auto"/>
      </w:divBdr>
    </w:div>
    <w:div w:id="227965106">
      <w:bodyDiv w:val="1"/>
      <w:marLeft w:val="0"/>
      <w:marRight w:val="0"/>
      <w:marTop w:val="0"/>
      <w:marBottom w:val="0"/>
      <w:divBdr>
        <w:top w:val="none" w:sz="0" w:space="0" w:color="auto"/>
        <w:left w:val="none" w:sz="0" w:space="0" w:color="auto"/>
        <w:bottom w:val="none" w:sz="0" w:space="0" w:color="auto"/>
        <w:right w:val="none" w:sz="0" w:space="0" w:color="auto"/>
      </w:divBdr>
    </w:div>
    <w:div w:id="259222207">
      <w:bodyDiv w:val="1"/>
      <w:marLeft w:val="0"/>
      <w:marRight w:val="0"/>
      <w:marTop w:val="0"/>
      <w:marBottom w:val="0"/>
      <w:divBdr>
        <w:top w:val="none" w:sz="0" w:space="0" w:color="auto"/>
        <w:left w:val="none" w:sz="0" w:space="0" w:color="auto"/>
        <w:bottom w:val="none" w:sz="0" w:space="0" w:color="auto"/>
        <w:right w:val="none" w:sz="0" w:space="0" w:color="auto"/>
      </w:divBdr>
    </w:div>
    <w:div w:id="260987746">
      <w:bodyDiv w:val="1"/>
      <w:marLeft w:val="0"/>
      <w:marRight w:val="0"/>
      <w:marTop w:val="0"/>
      <w:marBottom w:val="0"/>
      <w:divBdr>
        <w:top w:val="none" w:sz="0" w:space="0" w:color="auto"/>
        <w:left w:val="none" w:sz="0" w:space="0" w:color="auto"/>
        <w:bottom w:val="none" w:sz="0" w:space="0" w:color="auto"/>
        <w:right w:val="none" w:sz="0" w:space="0" w:color="auto"/>
      </w:divBdr>
    </w:div>
    <w:div w:id="266163211">
      <w:bodyDiv w:val="1"/>
      <w:marLeft w:val="0"/>
      <w:marRight w:val="0"/>
      <w:marTop w:val="0"/>
      <w:marBottom w:val="0"/>
      <w:divBdr>
        <w:top w:val="none" w:sz="0" w:space="0" w:color="auto"/>
        <w:left w:val="none" w:sz="0" w:space="0" w:color="auto"/>
        <w:bottom w:val="none" w:sz="0" w:space="0" w:color="auto"/>
        <w:right w:val="none" w:sz="0" w:space="0" w:color="auto"/>
      </w:divBdr>
    </w:div>
    <w:div w:id="283582805">
      <w:bodyDiv w:val="1"/>
      <w:marLeft w:val="0"/>
      <w:marRight w:val="0"/>
      <w:marTop w:val="0"/>
      <w:marBottom w:val="0"/>
      <w:divBdr>
        <w:top w:val="none" w:sz="0" w:space="0" w:color="auto"/>
        <w:left w:val="none" w:sz="0" w:space="0" w:color="auto"/>
        <w:bottom w:val="none" w:sz="0" w:space="0" w:color="auto"/>
        <w:right w:val="none" w:sz="0" w:space="0" w:color="auto"/>
      </w:divBdr>
    </w:div>
    <w:div w:id="373359097">
      <w:bodyDiv w:val="1"/>
      <w:marLeft w:val="0"/>
      <w:marRight w:val="0"/>
      <w:marTop w:val="0"/>
      <w:marBottom w:val="0"/>
      <w:divBdr>
        <w:top w:val="none" w:sz="0" w:space="0" w:color="auto"/>
        <w:left w:val="none" w:sz="0" w:space="0" w:color="auto"/>
        <w:bottom w:val="none" w:sz="0" w:space="0" w:color="auto"/>
        <w:right w:val="none" w:sz="0" w:space="0" w:color="auto"/>
      </w:divBdr>
    </w:div>
    <w:div w:id="387729747">
      <w:bodyDiv w:val="1"/>
      <w:marLeft w:val="0"/>
      <w:marRight w:val="0"/>
      <w:marTop w:val="0"/>
      <w:marBottom w:val="0"/>
      <w:divBdr>
        <w:top w:val="none" w:sz="0" w:space="0" w:color="auto"/>
        <w:left w:val="none" w:sz="0" w:space="0" w:color="auto"/>
        <w:bottom w:val="none" w:sz="0" w:space="0" w:color="auto"/>
        <w:right w:val="none" w:sz="0" w:space="0" w:color="auto"/>
      </w:divBdr>
    </w:div>
    <w:div w:id="424497339">
      <w:bodyDiv w:val="1"/>
      <w:marLeft w:val="0"/>
      <w:marRight w:val="0"/>
      <w:marTop w:val="0"/>
      <w:marBottom w:val="0"/>
      <w:divBdr>
        <w:top w:val="none" w:sz="0" w:space="0" w:color="auto"/>
        <w:left w:val="none" w:sz="0" w:space="0" w:color="auto"/>
        <w:bottom w:val="none" w:sz="0" w:space="0" w:color="auto"/>
        <w:right w:val="none" w:sz="0" w:space="0" w:color="auto"/>
      </w:divBdr>
    </w:div>
    <w:div w:id="470102160">
      <w:bodyDiv w:val="1"/>
      <w:marLeft w:val="0"/>
      <w:marRight w:val="0"/>
      <w:marTop w:val="0"/>
      <w:marBottom w:val="0"/>
      <w:divBdr>
        <w:top w:val="none" w:sz="0" w:space="0" w:color="auto"/>
        <w:left w:val="none" w:sz="0" w:space="0" w:color="auto"/>
        <w:bottom w:val="none" w:sz="0" w:space="0" w:color="auto"/>
        <w:right w:val="none" w:sz="0" w:space="0" w:color="auto"/>
      </w:divBdr>
    </w:div>
    <w:div w:id="502085583">
      <w:bodyDiv w:val="1"/>
      <w:marLeft w:val="0"/>
      <w:marRight w:val="0"/>
      <w:marTop w:val="0"/>
      <w:marBottom w:val="0"/>
      <w:divBdr>
        <w:top w:val="none" w:sz="0" w:space="0" w:color="auto"/>
        <w:left w:val="none" w:sz="0" w:space="0" w:color="auto"/>
        <w:bottom w:val="none" w:sz="0" w:space="0" w:color="auto"/>
        <w:right w:val="none" w:sz="0" w:space="0" w:color="auto"/>
      </w:divBdr>
    </w:div>
    <w:div w:id="502934290">
      <w:bodyDiv w:val="1"/>
      <w:marLeft w:val="0"/>
      <w:marRight w:val="0"/>
      <w:marTop w:val="0"/>
      <w:marBottom w:val="0"/>
      <w:divBdr>
        <w:top w:val="none" w:sz="0" w:space="0" w:color="auto"/>
        <w:left w:val="none" w:sz="0" w:space="0" w:color="auto"/>
        <w:bottom w:val="none" w:sz="0" w:space="0" w:color="auto"/>
        <w:right w:val="none" w:sz="0" w:space="0" w:color="auto"/>
      </w:divBdr>
    </w:div>
    <w:div w:id="545219447">
      <w:bodyDiv w:val="1"/>
      <w:marLeft w:val="0"/>
      <w:marRight w:val="0"/>
      <w:marTop w:val="0"/>
      <w:marBottom w:val="0"/>
      <w:divBdr>
        <w:top w:val="none" w:sz="0" w:space="0" w:color="auto"/>
        <w:left w:val="none" w:sz="0" w:space="0" w:color="auto"/>
        <w:bottom w:val="none" w:sz="0" w:space="0" w:color="auto"/>
        <w:right w:val="none" w:sz="0" w:space="0" w:color="auto"/>
      </w:divBdr>
    </w:div>
    <w:div w:id="548538899">
      <w:bodyDiv w:val="1"/>
      <w:marLeft w:val="0"/>
      <w:marRight w:val="0"/>
      <w:marTop w:val="0"/>
      <w:marBottom w:val="0"/>
      <w:divBdr>
        <w:top w:val="none" w:sz="0" w:space="0" w:color="auto"/>
        <w:left w:val="none" w:sz="0" w:space="0" w:color="auto"/>
        <w:bottom w:val="none" w:sz="0" w:space="0" w:color="auto"/>
        <w:right w:val="none" w:sz="0" w:space="0" w:color="auto"/>
      </w:divBdr>
    </w:div>
    <w:div w:id="598678629">
      <w:bodyDiv w:val="1"/>
      <w:marLeft w:val="0"/>
      <w:marRight w:val="0"/>
      <w:marTop w:val="0"/>
      <w:marBottom w:val="0"/>
      <w:divBdr>
        <w:top w:val="none" w:sz="0" w:space="0" w:color="auto"/>
        <w:left w:val="none" w:sz="0" w:space="0" w:color="auto"/>
        <w:bottom w:val="none" w:sz="0" w:space="0" w:color="auto"/>
        <w:right w:val="none" w:sz="0" w:space="0" w:color="auto"/>
      </w:divBdr>
    </w:div>
    <w:div w:id="616641206">
      <w:bodyDiv w:val="1"/>
      <w:marLeft w:val="0"/>
      <w:marRight w:val="0"/>
      <w:marTop w:val="0"/>
      <w:marBottom w:val="0"/>
      <w:divBdr>
        <w:top w:val="none" w:sz="0" w:space="0" w:color="auto"/>
        <w:left w:val="none" w:sz="0" w:space="0" w:color="auto"/>
        <w:bottom w:val="none" w:sz="0" w:space="0" w:color="auto"/>
        <w:right w:val="none" w:sz="0" w:space="0" w:color="auto"/>
      </w:divBdr>
    </w:div>
    <w:div w:id="635840226">
      <w:bodyDiv w:val="1"/>
      <w:marLeft w:val="0"/>
      <w:marRight w:val="0"/>
      <w:marTop w:val="0"/>
      <w:marBottom w:val="0"/>
      <w:divBdr>
        <w:top w:val="none" w:sz="0" w:space="0" w:color="auto"/>
        <w:left w:val="none" w:sz="0" w:space="0" w:color="auto"/>
        <w:bottom w:val="none" w:sz="0" w:space="0" w:color="auto"/>
        <w:right w:val="none" w:sz="0" w:space="0" w:color="auto"/>
      </w:divBdr>
      <w:divsChild>
        <w:div w:id="729890849">
          <w:marLeft w:val="0"/>
          <w:marRight w:val="0"/>
          <w:marTop w:val="120"/>
          <w:marBottom w:val="0"/>
          <w:divBdr>
            <w:top w:val="none" w:sz="0" w:space="0" w:color="auto"/>
            <w:left w:val="none" w:sz="0" w:space="0" w:color="auto"/>
            <w:bottom w:val="none" w:sz="0" w:space="0" w:color="auto"/>
            <w:right w:val="none" w:sz="0" w:space="0" w:color="auto"/>
          </w:divBdr>
        </w:div>
        <w:div w:id="1091046171">
          <w:marLeft w:val="0"/>
          <w:marRight w:val="0"/>
          <w:marTop w:val="0"/>
          <w:marBottom w:val="0"/>
          <w:divBdr>
            <w:top w:val="none" w:sz="0" w:space="0" w:color="auto"/>
            <w:left w:val="none" w:sz="0" w:space="0" w:color="auto"/>
            <w:bottom w:val="none" w:sz="0" w:space="0" w:color="auto"/>
            <w:right w:val="none" w:sz="0" w:space="0" w:color="auto"/>
          </w:divBdr>
        </w:div>
      </w:divsChild>
    </w:div>
    <w:div w:id="664363421">
      <w:bodyDiv w:val="1"/>
      <w:marLeft w:val="0"/>
      <w:marRight w:val="0"/>
      <w:marTop w:val="0"/>
      <w:marBottom w:val="0"/>
      <w:divBdr>
        <w:top w:val="none" w:sz="0" w:space="0" w:color="auto"/>
        <w:left w:val="none" w:sz="0" w:space="0" w:color="auto"/>
        <w:bottom w:val="none" w:sz="0" w:space="0" w:color="auto"/>
        <w:right w:val="none" w:sz="0" w:space="0" w:color="auto"/>
      </w:divBdr>
    </w:div>
    <w:div w:id="704015212">
      <w:bodyDiv w:val="1"/>
      <w:marLeft w:val="0"/>
      <w:marRight w:val="0"/>
      <w:marTop w:val="0"/>
      <w:marBottom w:val="0"/>
      <w:divBdr>
        <w:top w:val="none" w:sz="0" w:space="0" w:color="auto"/>
        <w:left w:val="none" w:sz="0" w:space="0" w:color="auto"/>
        <w:bottom w:val="none" w:sz="0" w:space="0" w:color="auto"/>
        <w:right w:val="none" w:sz="0" w:space="0" w:color="auto"/>
      </w:divBdr>
    </w:div>
    <w:div w:id="740834013">
      <w:bodyDiv w:val="1"/>
      <w:marLeft w:val="0"/>
      <w:marRight w:val="0"/>
      <w:marTop w:val="0"/>
      <w:marBottom w:val="0"/>
      <w:divBdr>
        <w:top w:val="none" w:sz="0" w:space="0" w:color="auto"/>
        <w:left w:val="none" w:sz="0" w:space="0" w:color="auto"/>
        <w:bottom w:val="none" w:sz="0" w:space="0" w:color="auto"/>
        <w:right w:val="none" w:sz="0" w:space="0" w:color="auto"/>
      </w:divBdr>
    </w:div>
    <w:div w:id="807746995">
      <w:bodyDiv w:val="1"/>
      <w:marLeft w:val="0"/>
      <w:marRight w:val="0"/>
      <w:marTop w:val="0"/>
      <w:marBottom w:val="0"/>
      <w:divBdr>
        <w:top w:val="none" w:sz="0" w:space="0" w:color="auto"/>
        <w:left w:val="none" w:sz="0" w:space="0" w:color="auto"/>
        <w:bottom w:val="none" w:sz="0" w:space="0" w:color="auto"/>
        <w:right w:val="none" w:sz="0" w:space="0" w:color="auto"/>
      </w:divBdr>
    </w:div>
    <w:div w:id="813761060">
      <w:bodyDiv w:val="1"/>
      <w:marLeft w:val="0"/>
      <w:marRight w:val="0"/>
      <w:marTop w:val="0"/>
      <w:marBottom w:val="0"/>
      <w:divBdr>
        <w:top w:val="none" w:sz="0" w:space="0" w:color="auto"/>
        <w:left w:val="none" w:sz="0" w:space="0" w:color="auto"/>
        <w:bottom w:val="none" w:sz="0" w:space="0" w:color="auto"/>
        <w:right w:val="none" w:sz="0" w:space="0" w:color="auto"/>
      </w:divBdr>
      <w:divsChild>
        <w:div w:id="431438139">
          <w:marLeft w:val="0"/>
          <w:marRight w:val="0"/>
          <w:marTop w:val="0"/>
          <w:marBottom w:val="0"/>
          <w:divBdr>
            <w:top w:val="none" w:sz="0" w:space="0" w:color="auto"/>
            <w:left w:val="none" w:sz="0" w:space="0" w:color="auto"/>
            <w:bottom w:val="none" w:sz="0" w:space="0" w:color="auto"/>
            <w:right w:val="none" w:sz="0" w:space="0" w:color="auto"/>
          </w:divBdr>
        </w:div>
        <w:div w:id="771823198">
          <w:marLeft w:val="0"/>
          <w:marRight w:val="0"/>
          <w:marTop w:val="0"/>
          <w:marBottom w:val="0"/>
          <w:divBdr>
            <w:top w:val="none" w:sz="0" w:space="0" w:color="auto"/>
            <w:left w:val="none" w:sz="0" w:space="0" w:color="auto"/>
            <w:bottom w:val="none" w:sz="0" w:space="0" w:color="auto"/>
            <w:right w:val="none" w:sz="0" w:space="0" w:color="auto"/>
          </w:divBdr>
        </w:div>
        <w:div w:id="789394032">
          <w:marLeft w:val="0"/>
          <w:marRight w:val="0"/>
          <w:marTop w:val="0"/>
          <w:marBottom w:val="0"/>
          <w:divBdr>
            <w:top w:val="none" w:sz="0" w:space="0" w:color="auto"/>
            <w:left w:val="none" w:sz="0" w:space="0" w:color="auto"/>
            <w:bottom w:val="none" w:sz="0" w:space="0" w:color="auto"/>
            <w:right w:val="none" w:sz="0" w:space="0" w:color="auto"/>
          </w:divBdr>
        </w:div>
      </w:divsChild>
    </w:div>
    <w:div w:id="865748459">
      <w:bodyDiv w:val="1"/>
      <w:marLeft w:val="0"/>
      <w:marRight w:val="0"/>
      <w:marTop w:val="0"/>
      <w:marBottom w:val="0"/>
      <w:divBdr>
        <w:top w:val="none" w:sz="0" w:space="0" w:color="auto"/>
        <w:left w:val="none" w:sz="0" w:space="0" w:color="auto"/>
        <w:bottom w:val="none" w:sz="0" w:space="0" w:color="auto"/>
        <w:right w:val="none" w:sz="0" w:space="0" w:color="auto"/>
      </w:divBdr>
    </w:div>
    <w:div w:id="892274074">
      <w:bodyDiv w:val="1"/>
      <w:marLeft w:val="0"/>
      <w:marRight w:val="0"/>
      <w:marTop w:val="0"/>
      <w:marBottom w:val="0"/>
      <w:divBdr>
        <w:top w:val="none" w:sz="0" w:space="0" w:color="auto"/>
        <w:left w:val="none" w:sz="0" w:space="0" w:color="auto"/>
        <w:bottom w:val="none" w:sz="0" w:space="0" w:color="auto"/>
        <w:right w:val="none" w:sz="0" w:space="0" w:color="auto"/>
      </w:divBdr>
    </w:div>
    <w:div w:id="903566216">
      <w:bodyDiv w:val="1"/>
      <w:marLeft w:val="0"/>
      <w:marRight w:val="0"/>
      <w:marTop w:val="0"/>
      <w:marBottom w:val="0"/>
      <w:divBdr>
        <w:top w:val="none" w:sz="0" w:space="0" w:color="auto"/>
        <w:left w:val="none" w:sz="0" w:space="0" w:color="auto"/>
        <w:bottom w:val="none" w:sz="0" w:space="0" w:color="auto"/>
        <w:right w:val="none" w:sz="0" w:space="0" w:color="auto"/>
      </w:divBdr>
      <w:divsChild>
        <w:div w:id="992950437">
          <w:marLeft w:val="0"/>
          <w:marRight w:val="0"/>
          <w:marTop w:val="0"/>
          <w:marBottom w:val="0"/>
          <w:divBdr>
            <w:top w:val="none" w:sz="0" w:space="0" w:color="auto"/>
            <w:left w:val="none" w:sz="0" w:space="0" w:color="auto"/>
            <w:bottom w:val="none" w:sz="0" w:space="0" w:color="auto"/>
            <w:right w:val="none" w:sz="0" w:space="0" w:color="auto"/>
          </w:divBdr>
        </w:div>
      </w:divsChild>
    </w:div>
    <w:div w:id="905532937">
      <w:bodyDiv w:val="1"/>
      <w:marLeft w:val="0"/>
      <w:marRight w:val="0"/>
      <w:marTop w:val="0"/>
      <w:marBottom w:val="0"/>
      <w:divBdr>
        <w:top w:val="none" w:sz="0" w:space="0" w:color="auto"/>
        <w:left w:val="none" w:sz="0" w:space="0" w:color="auto"/>
        <w:bottom w:val="none" w:sz="0" w:space="0" w:color="auto"/>
        <w:right w:val="none" w:sz="0" w:space="0" w:color="auto"/>
      </w:divBdr>
    </w:div>
    <w:div w:id="959071852">
      <w:bodyDiv w:val="1"/>
      <w:marLeft w:val="0"/>
      <w:marRight w:val="0"/>
      <w:marTop w:val="0"/>
      <w:marBottom w:val="0"/>
      <w:divBdr>
        <w:top w:val="none" w:sz="0" w:space="0" w:color="auto"/>
        <w:left w:val="none" w:sz="0" w:space="0" w:color="auto"/>
        <w:bottom w:val="none" w:sz="0" w:space="0" w:color="auto"/>
        <w:right w:val="none" w:sz="0" w:space="0" w:color="auto"/>
      </w:divBdr>
    </w:div>
    <w:div w:id="993031024">
      <w:bodyDiv w:val="1"/>
      <w:marLeft w:val="0"/>
      <w:marRight w:val="0"/>
      <w:marTop w:val="0"/>
      <w:marBottom w:val="0"/>
      <w:divBdr>
        <w:top w:val="none" w:sz="0" w:space="0" w:color="auto"/>
        <w:left w:val="none" w:sz="0" w:space="0" w:color="auto"/>
        <w:bottom w:val="none" w:sz="0" w:space="0" w:color="auto"/>
        <w:right w:val="none" w:sz="0" w:space="0" w:color="auto"/>
      </w:divBdr>
    </w:div>
    <w:div w:id="1008289521">
      <w:bodyDiv w:val="1"/>
      <w:marLeft w:val="0"/>
      <w:marRight w:val="0"/>
      <w:marTop w:val="0"/>
      <w:marBottom w:val="0"/>
      <w:divBdr>
        <w:top w:val="none" w:sz="0" w:space="0" w:color="auto"/>
        <w:left w:val="none" w:sz="0" w:space="0" w:color="auto"/>
        <w:bottom w:val="none" w:sz="0" w:space="0" w:color="auto"/>
        <w:right w:val="none" w:sz="0" w:space="0" w:color="auto"/>
      </w:divBdr>
    </w:div>
    <w:div w:id="1074082205">
      <w:bodyDiv w:val="1"/>
      <w:marLeft w:val="0"/>
      <w:marRight w:val="0"/>
      <w:marTop w:val="0"/>
      <w:marBottom w:val="0"/>
      <w:divBdr>
        <w:top w:val="none" w:sz="0" w:space="0" w:color="auto"/>
        <w:left w:val="none" w:sz="0" w:space="0" w:color="auto"/>
        <w:bottom w:val="none" w:sz="0" w:space="0" w:color="auto"/>
        <w:right w:val="none" w:sz="0" w:space="0" w:color="auto"/>
      </w:divBdr>
    </w:div>
    <w:div w:id="1092773994">
      <w:bodyDiv w:val="1"/>
      <w:marLeft w:val="0"/>
      <w:marRight w:val="0"/>
      <w:marTop w:val="0"/>
      <w:marBottom w:val="0"/>
      <w:divBdr>
        <w:top w:val="none" w:sz="0" w:space="0" w:color="auto"/>
        <w:left w:val="none" w:sz="0" w:space="0" w:color="auto"/>
        <w:bottom w:val="none" w:sz="0" w:space="0" w:color="auto"/>
        <w:right w:val="none" w:sz="0" w:space="0" w:color="auto"/>
      </w:divBdr>
    </w:div>
    <w:div w:id="1116800053">
      <w:bodyDiv w:val="1"/>
      <w:marLeft w:val="0"/>
      <w:marRight w:val="0"/>
      <w:marTop w:val="0"/>
      <w:marBottom w:val="0"/>
      <w:divBdr>
        <w:top w:val="none" w:sz="0" w:space="0" w:color="auto"/>
        <w:left w:val="none" w:sz="0" w:space="0" w:color="auto"/>
        <w:bottom w:val="none" w:sz="0" w:space="0" w:color="auto"/>
        <w:right w:val="none" w:sz="0" w:space="0" w:color="auto"/>
      </w:divBdr>
    </w:div>
    <w:div w:id="1199201203">
      <w:bodyDiv w:val="1"/>
      <w:marLeft w:val="0"/>
      <w:marRight w:val="0"/>
      <w:marTop w:val="0"/>
      <w:marBottom w:val="0"/>
      <w:divBdr>
        <w:top w:val="none" w:sz="0" w:space="0" w:color="auto"/>
        <w:left w:val="none" w:sz="0" w:space="0" w:color="auto"/>
        <w:bottom w:val="none" w:sz="0" w:space="0" w:color="auto"/>
        <w:right w:val="none" w:sz="0" w:space="0" w:color="auto"/>
      </w:divBdr>
      <w:divsChild>
        <w:div w:id="2041929082">
          <w:marLeft w:val="0"/>
          <w:marRight w:val="0"/>
          <w:marTop w:val="0"/>
          <w:marBottom w:val="0"/>
          <w:divBdr>
            <w:top w:val="none" w:sz="0" w:space="0" w:color="auto"/>
            <w:left w:val="none" w:sz="0" w:space="0" w:color="auto"/>
            <w:bottom w:val="none" w:sz="0" w:space="0" w:color="auto"/>
            <w:right w:val="none" w:sz="0" w:space="0" w:color="auto"/>
          </w:divBdr>
          <w:divsChild>
            <w:div w:id="184674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29933">
      <w:bodyDiv w:val="1"/>
      <w:marLeft w:val="0"/>
      <w:marRight w:val="0"/>
      <w:marTop w:val="0"/>
      <w:marBottom w:val="0"/>
      <w:divBdr>
        <w:top w:val="none" w:sz="0" w:space="0" w:color="auto"/>
        <w:left w:val="none" w:sz="0" w:space="0" w:color="auto"/>
        <w:bottom w:val="none" w:sz="0" w:space="0" w:color="auto"/>
        <w:right w:val="none" w:sz="0" w:space="0" w:color="auto"/>
      </w:divBdr>
    </w:div>
    <w:div w:id="1223758401">
      <w:bodyDiv w:val="1"/>
      <w:marLeft w:val="0"/>
      <w:marRight w:val="0"/>
      <w:marTop w:val="0"/>
      <w:marBottom w:val="0"/>
      <w:divBdr>
        <w:top w:val="none" w:sz="0" w:space="0" w:color="auto"/>
        <w:left w:val="none" w:sz="0" w:space="0" w:color="auto"/>
        <w:bottom w:val="none" w:sz="0" w:space="0" w:color="auto"/>
        <w:right w:val="none" w:sz="0" w:space="0" w:color="auto"/>
      </w:divBdr>
      <w:divsChild>
        <w:div w:id="95252119">
          <w:marLeft w:val="0"/>
          <w:marRight w:val="0"/>
          <w:marTop w:val="0"/>
          <w:marBottom w:val="0"/>
          <w:divBdr>
            <w:top w:val="none" w:sz="0" w:space="0" w:color="auto"/>
            <w:left w:val="none" w:sz="0" w:space="0" w:color="auto"/>
            <w:bottom w:val="none" w:sz="0" w:space="0" w:color="auto"/>
            <w:right w:val="none" w:sz="0" w:space="0" w:color="auto"/>
          </w:divBdr>
        </w:div>
        <w:div w:id="512377222">
          <w:marLeft w:val="0"/>
          <w:marRight w:val="0"/>
          <w:marTop w:val="0"/>
          <w:marBottom w:val="0"/>
          <w:divBdr>
            <w:top w:val="none" w:sz="0" w:space="0" w:color="auto"/>
            <w:left w:val="none" w:sz="0" w:space="0" w:color="auto"/>
            <w:bottom w:val="none" w:sz="0" w:space="0" w:color="auto"/>
            <w:right w:val="none" w:sz="0" w:space="0" w:color="auto"/>
          </w:divBdr>
        </w:div>
        <w:div w:id="1364132204">
          <w:marLeft w:val="0"/>
          <w:marRight w:val="0"/>
          <w:marTop w:val="0"/>
          <w:marBottom w:val="0"/>
          <w:divBdr>
            <w:top w:val="none" w:sz="0" w:space="0" w:color="auto"/>
            <w:left w:val="none" w:sz="0" w:space="0" w:color="auto"/>
            <w:bottom w:val="none" w:sz="0" w:space="0" w:color="auto"/>
            <w:right w:val="none" w:sz="0" w:space="0" w:color="auto"/>
          </w:divBdr>
        </w:div>
      </w:divsChild>
    </w:div>
    <w:div w:id="1263105744">
      <w:bodyDiv w:val="1"/>
      <w:marLeft w:val="0"/>
      <w:marRight w:val="0"/>
      <w:marTop w:val="0"/>
      <w:marBottom w:val="0"/>
      <w:divBdr>
        <w:top w:val="none" w:sz="0" w:space="0" w:color="auto"/>
        <w:left w:val="none" w:sz="0" w:space="0" w:color="auto"/>
        <w:bottom w:val="none" w:sz="0" w:space="0" w:color="auto"/>
        <w:right w:val="none" w:sz="0" w:space="0" w:color="auto"/>
      </w:divBdr>
    </w:div>
    <w:div w:id="1292588873">
      <w:bodyDiv w:val="1"/>
      <w:marLeft w:val="0"/>
      <w:marRight w:val="0"/>
      <w:marTop w:val="0"/>
      <w:marBottom w:val="0"/>
      <w:divBdr>
        <w:top w:val="none" w:sz="0" w:space="0" w:color="auto"/>
        <w:left w:val="none" w:sz="0" w:space="0" w:color="auto"/>
        <w:bottom w:val="none" w:sz="0" w:space="0" w:color="auto"/>
        <w:right w:val="none" w:sz="0" w:space="0" w:color="auto"/>
      </w:divBdr>
    </w:div>
    <w:div w:id="1348948729">
      <w:bodyDiv w:val="1"/>
      <w:marLeft w:val="0"/>
      <w:marRight w:val="0"/>
      <w:marTop w:val="0"/>
      <w:marBottom w:val="0"/>
      <w:divBdr>
        <w:top w:val="none" w:sz="0" w:space="0" w:color="auto"/>
        <w:left w:val="none" w:sz="0" w:space="0" w:color="auto"/>
        <w:bottom w:val="none" w:sz="0" w:space="0" w:color="auto"/>
        <w:right w:val="none" w:sz="0" w:space="0" w:color="auto"/>
      </w:divBdr>
    </w:div>
    <w:div w:id="1389954549">
      <w:bodyDiv w:val="1"/>
      <w:marLeft w:val="0"/>
      <w:marRight w:val="0"/>
      <w:marTop w:val="0"/>
      <w:marBottom w:val="0"/>
      <w:divBdr>
        <w:top w:val="none" w:sz="0" w:space="0" w:color="auto"/>
        <w:left w:val="none" w:sz="0" w:space="0" w:color="auto"/>
        <w:bottom w:val="none" w:sz="0" w:space="0" w:color="auto"/>
        <w:right w:val="none" w:sz="0" w:space="0" w:color="auto"/>
      </w:divBdr>
    </w:div>
    <w:div w:id="1399593261">
      <w:bodyDiv w:val="1"/>
      <w:marLeft w:val="0"/>
      <w:marRight w:val="0"/>
      <w:marTop w:val="0"/>
      <w:marBottom w:val="0"/>
      <w:divBdr>
        <w:top w:val="none" w:sz="0" w:space="0" w:color="auto"/>
        <w:left w:val="none" w:sz="0" w:space="0" w:color="auto"/>
        <w:bottom w:val="none" w:sz="0" w:space="0" w:color="auto"/>
        <w:right w:val="none" w:sz="0" w:space="0" w:color="auto"/>
      </w:divBdr>
    </w:div>
    <w:div w:id="1452092960">
      <w:bodyDiv w:val="1"/>
      <w:marLeft w:val="0"/>
      <w:marRight w:val="0"/>
      <w:marTop w:val="0"/>
      <w:marBottom w:val="0"/>
      <w:divBdr>
        <w:top w:val="none" w:sz="0" w:space="0" w:color="auto"/>
        <w:left w:val="none" w:sz="0" w:space="0" w:color="auto"/>
        <w:bottom w:val="none" w:sz="0" w:space="0" w:color="auto"/>
        <w:right w:val="none" w:sz="0" w:space="0" w:color="auto"/>
      </w:divBdr>
    </w:div>
    <w:div w:id="1529903858">
      <w:bodyDiv w:val="1"/>
      <w:marLeft w:val="0"/>
      <w:marRight w:val="0"/>
      <w:marTop w:val="0"/>
      <w:marBottom w:val="0"/>
      <w:divBdr>
        <w:top w:val="none" w:sz="0" w:space="0" w:color="auto"/>
        <w:left w:val="none" w:sz="0" w:space="0" w:color="auto"/>
        <w:bottom w:val="none" w:sz="0" w:space="0" w:color="auto"/>
        <w:right w:val="none" w:sz="0" w:space="0" w:color="auto"/>
      </w:divBdr>
    </w:div>
    <w:div w:id="1531646831">
      <w:bodyDiv w:val="1"/>
      <w:marLeft w:val="0"/>
      <w:marRight w:val="0"/>
      <w:marTop w:val="0"/>
      <w:marBottom w:val="0"/>
      <w:divBdr>
        <w:top w:val="none" w:sz="0" w:space="0" w:color="auto"/>
        <w:left w:val="none" w:sz="0" w:space="0" w:color="auto"/>
        <w:bottom w:val="none" w:sz="0" w:space="0" w:color="auto"/>
        <w:right w:val="none" w:sz="0" w:space="0" w:color="auto"/>
      </w:divBdr>
    </w:div>
    <w:div w:id="1537162792">
      <w:bodyDiv w:val="1"/>
      <w:marLeft w:val="0"/>
      <w:marRight w:val="0"/>
      <w:marTop w:val="0"/>
      <w:marBottom w:val="0"/>
      <w:divBdr>
        <w:top w:val="none" w:sz="0" w:space="0" w:color="auto"/>
        <w:left w:val="none" w:sz="0" w:space="0" w:color="auto"/>
        <w:bottom w:val="none" w:sz="0" w:space="0" w:color="auto"/>
        <w:right w:val="none" w:sz="0" w:space="0" w:color="auto"/>
      </w:divBdr>
    </w:div>
    <w:div w:id="1596984075">
      <w:bodyDiv w:val="1"/>
      <w:marLeft w:val="0"/>
      <w:marRight w:val="0"/>
      <w:marTop w:val="0"/>
      <w:marBottom w:val="0"/>
      <w:divBdr>
        <w:top w:val="none" w:sz="0" w:space="0" w:color="auto"/>
        <w:left w:val="none" w:sz="0" w:space="0" w:color="auto"/>
        <w:bottom w:val="none" w:sz="0" w:space="0" w:color="auto"/>
        <w:right w:val="none" w:sz="0" w:space="0" w:color="auto"/>
      </w:divBdr>
      <w:divsChild>
        <w:div w:id="184172037">
          <w:marLeft w:val="0"/>
          <w:marRight w:val="0"/>
          <w:marTop w:val="0"/>
          <w:marBottom w:val="0"/>
          <w:divBdr>
            <w:top w:val="none" w:sz="0" w:space="0" w:color="auto"/>
            <w:left w:val="none" w:sz="0" w:space="0" w:color="auto"/>
            <w:bottom w:val="none" w:sz="0" w:space="0" w:color="auto"/>
            <w:right w:val="none" w:sz="0" w:space="0" w:color="auto"/>
          </w:divBdr>
        </w:div>
      </w:divsChild>
    </w:div>
    <w:div w:id="1610429150">
      <w:bodyDiv w:val="1"/>
      <w:marLeft w:val="0"/>
      <w:marRight w:val="0"/>
      <w:marTop w:val="0"/>
      <w:marBottom w:val="0"/>
      <w:divBdr>
        <w:top w:val="none" w:sz="0" w:space="0" w:color="auto"/>
        <w:left w:val="none" w:sz="0" w:space="0" w:color="auto"/>
        <w:bottom w:val="none" w:sz="0" w:space="0" w:color="auto"/>
        <w:right w:val="none" w:sz="0" w:space="0" w:color="auto"/>
      </w:divBdr>
    </w:div>
    <w:div w:id="1612201627">
      <w:bodyDiv w:val="1"/>
      <w:marLeft w:val="0"/>
      <w:marRight w:val="0"/>
      <w:marTop w:val="0"/>
      <w:marBottom w:val="0"/>
      <w:divBdr>
        <w:top w:val="none" w:sz="0" w:space="0" w:color="auto"/>
        <w:left w:val="none" w:sz="0" w:space="0" w:color="auto"/>
        <w:bottom w:val="none" w:sz="0" w:space="0" w:color="auto"/>
        <w:right w:val="none" w:sz="0" w:space="0" w:color="auto"/>
      </w:divBdr>
    </w:div>
    <w:div w:id="1631665875">
      <w:bodyDiv w:val="1"/>
      <w:marLeft w:val="0"/>
      <w:marRight w:val="0"/>
      <w:marTop w:val="0"/>
      <w:marBottom w:val="0"/>
      <w:divBdr>
        <w:top w:val="none" w:sz="0" w:space="0" w:color="auto"/>
        <w:left w:val="none" w:sz="0" w:space="0" w:color="auto"/>
        <w:bottom w:val="none" w:sz="0" w:space="0" w:color="auto"/>
        <w:right w:val="none" w:sz="0" w:space="0" w:color="auto"/>
      </w:divBdr>
    </w:div>
    <w:div w:id="1638489608">
      <w:bodyDiv w:val="1"/>
      <w:marLeft w:val="0"/>
      <w:marRight w:val="0"/>
      <w:marTop w:val="0"/>
      <w:marBottom w:val="0"/>
      <w:divBdr>
        <w:top w:val="none" w:sz="0" w:space="0" w:color="auto"/>
        <w:left w:val="none" w:sz="0" w:space="0" w:color="auto"/>
        <w:bottom w:val="none" w:sz="0" w:space="0" w:color="auto"/>
        <w:right w:val="none" w:sz="0" w:space="0" w:color="auto"/>
      </w:divBdr>
    </w:div>
    <w:div w:id="1660965285">
      <w:bodyDiv w:val="1"/>
      <w:marLeft w:val="0"/>
      <w:marRight w:val="0"/>
      <w:marTop w:val="0"/>
      <w:marBottom w:val="0"/>
      <w:divBdr>
        <w:top w:val="none" w:sz="0" w:space="0" w:color="auto"/>
        <w:left w:val="none" w:sz="0" w:space="0" w:color="auto"/>
        <w:bottom w:val="none" w:sz="0" w:space="0" w:color="auto"/>
        <w:right w:val="none" w:sz="0" w:space="0" w:color="auto"/>
      </w:divBdr>
    </w:div>
    <w:div w:id="1700619922">
      <w:bodyDiv w:val="1"/>
      <w:marLeft w:val="0"/>
      <w:marRight w:val="0"/>
      <w:marTop w:val="0"/>
      <w:marBottom w:val="0"/>
      <w:divBdr>
        <w:top w:val="none" w:sz="0" w:space="0" w:color="auto"/>
        <w:left w:val="none" w:sz="0" w:space="0" w:color="auto"/>
        <w:bottom w:val="none" w:sz="0" w:space="0" w:color="auto"/>
        <w:right w:val="none" w:sz="0" w:space="0" w:color="auto"/>
      </w:divBdr>
    </w:div>
    <w:div w:id="1785542808">
      <w:bodyDiv w:val="1"/>
      <w:marLeft w:val="0"/>
      <w:marRight w:val="0"/>
      <w:marTop w:val="0"/>
      <w:marBottom w:val="0"/>
      <w:divBdr>
        <w:top w:val="none" w:sz="0" w:space="0" w:color="auto"/>
        <w:left w:val="none" w:sz="0" w:space="0" w:color="auto"/>
        <w:bottom w:val="none" w:sz="0" w:space="0" w:color="auto"/>
        <w:right w:val="none" w:sz="0" w:space="0" w:color="auto"/>
      </w:divBdr>
    </w:div>
    <w:div w:id="1796831010">
      <w:bodyDiv w:val="1"/>
      <w:marLeft w:val="0"/>
      <w:marRight w:val="0"/>
      <w:marTop w:val="0"/>
      <w:marBottom w:val="0"/>
      <w:divBdr>
        <w:top w:val="none" w:sz="0" w:space="0" w:color="auto"/>
        <w:left w:val="none" w:sz="0" w:space="0" w:color="auto"/>
        <w:bottom w:val="none" w:sz="0" w:space="0" w:color="auto"/>
        <w:right w:val="none" w:sz="0" w:space="0" w:color="auto"/>
      </w:divBdr>
    </w:div>
    <w:div w:id="1819876345">
      <w:bodyDiv w:val="1"/>
      <w:marLeft w:val="0"/>
      <w:marRight w:val="0"/>
      <w:marTop w:val="0"/>
      <w:marBottom w:val="0"/>
      <w:divBdr>
        <w:top w:val="none" w:sz="0" w:space="0" w:color="auto"/>
        <w:left w:val="none" w:sz="0" w:space="0" w:color="auto"/>
        <w:bottom w:val="none" w:sz="0" w:space="0" w:color="auto"/>
        <w:right w:val="none" w:sz="0" w:space="0" w:color="auto"/>
      </w:divBdr>
    </w:div>
    <w:div w:id="1843541991">
      <w:bodyDiv w:val="1"/>
      <w:marLeft w:val="0"/>
      <w:marRight w:val="0"/>
      <w:marTop w:val="0"/>
      <w:marBottom w:val="0"/>
      <w:divBdr>
        <w:top w:val="none" w:sz="0" w:space="0" w:color="auto"/>
        <w:left w:val="none" w:sz="0" w:space="0" w:color="auto"/>
        <w:bottom w:val="none" w:sz="0" w:space="0" w:color="auto"/>
        <w:right w:val="none" w:sz="0" w:space="0" w:color="auto"/>
      </w:divBdr>
    </w:div>
    <w:div w:id="1869021339">
      <w:bodyDiv w:val="1"/>
      <w:marLeft w:val="0"/>
      <w:marRight w:val="0"/>
      <w:marTop w:val="0"/>
      <w:marBottom w:val="0"/>
      <w:divBdr>
        <w:top w:val="none" w:sz="0" w:space="0" w:color="auto"/>
        <w:left w:val="none" w:sz="0" w:space="0" w:color="auto"/>
        <w:bottom w:val="none" w:sz="0" w:space="0" w:color="auto"/>
        <w:right w:val="none" w:sz="0" w:space="0" w:color="auto"/>
      </w:divBdr>
    </w:div>
    <w:div w:id="1888377428">
      <w:bodyDiv w:val="1"/>
      <w:marLeft w:val="0"/>
      <w:marRight w:val="0"/>
      <w:marTop w:val="0"/>
      <w:marBottom w:val="0"/>
      <w:divBdr>
        <w:top w:val="none" w:sz="0" w:space="0" w:color="auto"/>
        <w:left w:val="none" w:sz="0" w:space="0" w:color="auto"/>
        <w:bottom w:val="none" w:sz="0" w:space="0" w:color="auto"/>
        <w:right w:val="none" w:sz="0" w:space="0" w:color="auto"/>
      </w:divBdr>
    </w:div>
    <w:div w:id="1893074159">
      <w:bodyDiv w:val="1"/>
      <w:marLeft w:val="0"/>
      <w:marRight w:val="0"/>
      <w:marTop w:val="0"/>
      <w:marBottom w:val="0"/>
      <w:divBdr>
        <w:top w:val="none" w:sz="0" w:space="0" w:color="auto"/>
        <w:left w:val="none" w:sz="0" w:space="0" w:color="auto"/>
        <w:bottom w:val="none" w:sz="0" w:space="0" w:color="auto"/>
        <w:right w:val="none" w:sz="0" w:space="0" w:color="auto"/>
      </w:divBdr>
    </w:div>
    <w:div w:id="1966042961">
      <w:bodyDiv w:val="1"/>
      <w:marLeft w:val="0"/>
      <w:marRight w:val="0"/>
      <w:marTop w:val="0"/>
      <w:marBottom w:val="0"/>
      <w:divBdr>
        <w:top w:val="none" w:sz="0" w:space="0" w:color="auto"/>
        <w:left w:val="none" w:sz="0" w:space="0" w:color="auto"/>
        <w:bottom w:val="none" w:sz="0" w:space="0" w:color="auto"/>
        <w:right w:val="none" w:sz="0" w:space="0" w:color="auto"/>
      </w:divBdr>
    </w:div>
    <w:div w:id="1972402170">
      <w:bodyDiv w:val="1"/>
      <w:marLeft w:val="0"/>
      <w:marRight w:val="0"/>
      <w:marTop w:val="0"/>
      <w:marBottom w:val="0"/>
      <w:divBdr>
        <w:top w:val="none" w:sz="0" w:space="0" w:color="auto"/>
        <w:left w:val="none" w:sz="0" w:space="0" w:color="auto"/>
        <w:bottom w:val="none" w:sz="0" w:space="0" w:color="auto"/>
        <w:right w:val="none" w:sz="0" w:space="0" w:color="auto"/>
      </w:divBdr>
      <w:divsChild>
        <w:div w:id="232353829">
          <w:marLeft w:val="0"/>
          <w:marRight w:val="0"/>
          <w:marTop w:val="120"/>
          <w:marBottom w:val="0"/>
          <w:divBdr>
            <w:top w:val="none" w:sz="0" w:space="0" w:color="auto"/>
            <w:left w:val="none" w:sz="0" w:space="0" w:color="auto"/>
            <w:bottom w:val="none" w:sz="0" w:space="0" w:color="auto"/>
            <w:right w:val="none" w:sz="0" w:space="0" w:color="auto"/>
          </w:divBdr>
        </w:div>
        <w:div w:id="1854104019">
          <w:marLeft w:val="0"/>
          <w:marRight w:val="0"/>
          <w:marTop w:val="0"/>
          <w:marBottom w:val="0"/>
          <w:divBdr>
            <w:top w:val="none" w:sz="0" w:space="0" w:color="auto"/>
            <w:left w:val="none" w:sz="0" w:space="0" w:color="auto"/>
            <w:bottom w:val="none" w:sz="0" w:space="0" w:color="auto"/>
            <w:right w:val="none" w:sz="0" w:space="0" w:color="auto"/>
          </w:divBdr>
        </w:div>
      </w:divsChild>
    </w:div>
    <w:div w:id="1983847987">
      <w:bodyDiv w:val="1"/>
      <w:marLeft w:val="0"/>
      <w:marRight w:val="0"/>
      <w:marTop w:val="0"/>
      <w:marBottom w:val="0"/>
      <w:divBdr>
        <w:top w:val="none" w:sz="0" w:space="0" w:color="auto"/>
        <w:left w:val="none" w:sz="0" w:space="0" w:color="auto"/>
        <w:bottom w:val="none" w:sz="0" w:space="0" w:color="auto"/>
        <w:right w:val="none" w:sz="0" w:space="0" w:color="auto"/>
      </w:divBdr>
    </w:div>
    <w:div w:id="1988775049">
      <w:bodyDiv w:val="1"/>
      <w:marLeft w:val="0"/>
      <w:marRight w:val="0"/>
      <w:marTop w:val="0"/>
      <w:marBottom w:val="0"/>
      <w:divBdr>
        <w:top w:val="none" w:sz="0" w:space="0" w:color="auto"/>
        <w:left w:val="none" w:sz="0" w:space="0" w:color="auto"/>
        <w:bottom w:val="none" w:sz="0" w:space="0" w:color="auto"/>
        <w:right w:val="none" w:sz="0" w:space="0" w:color="auto"/>
      </w:divBdr>
    </w:div>
    <w:div w:id="2023820817">
      <w:bodyDiv w:val="1"/>
      <w:marLeft w:val="0"/>
      <w:marRight w:val="0"/>
      <w:marTop w:val="0"/>
      <w:marBottom w:val="0"/>
      <w:divBdr>
        <w:top w:val="none" w:sz="0" w:space="0" w:color="auto"/>
        <w:left w:val="none" w:sz="0" w:space="0" w:color="auto"/>
        <w:bottom w:val="none" w:sz="0" w:space="0" w:color="auto"/>
        <w:right w:val="none" w:sz="0" w:space="0" w:color="auto"/>
      </w:divBdr>
    </w:div>
    <w:div w:id="2032369402">
      <w:bodyDiv w:val="1"/>
      <w:marLeft w:val="0"/>
      <w:marRight w:val="0"/>
      <w:marTop w:val="0"/>
      <w:marBottom w:val="0"/>
      <w:divBdr>
        <w:top w:val="none" w:sz="0" w:space="0" w:color="auto"/>
        <w:left w:val="none" w:sz="0" w:space="0" w:color="auto"/>
        <w:bottom w:val="none" w:sz="0" w:space="0" w:color="auto"/>
        <w:right w:val="none" w:sz="0" w:space="0" w:color="auto"/>
      </w:divBdr>
      <w:divsChild>
        <w:div w:id="1555848635">
          <w:marLeft w:val="0"/>
          <w:marRight w:val="0"/>
          <w:marTop w:val="0"/>
          <w:marBottom w:val="0"/>
          <w:divBdr>
            <w:top w:val="none" w:sz="0" w:space="0" w:color="auto"/>
            <w:left w:val="none" w:sz="0" w:space="0" w:color="auto"/>
            <w:bottom w:val="none" w:sz="0" w:space="0" w:color="auto"/>
            <w:right w:val="none" w:sz="0" w:space="0" w:color="auto"/>
          </w:divBdr>
        </w:div>
      </w:divsChild>
    </w:div>
    <w:div w:id="2088264425">
      <w:bodyDiv w:val="1"/>
      <w:marLeft w:val="0"/>
      <w:marRight w:val="0"/>
      <w:marTop w:val="0"/>
      <w:marBottom w:val="0"/>
      <w:divBdr>
        <w:top w:val="none" w:sz="0" w:space="0" w:color="auto"/>
        <w:left w:val="none" w:sz="0" w:space="0" w:color="auto"/>
        <w:bottom w:val="none" w:sz="0" w:space="0" w:color="auto"/>
        <w:right w:val="none" w:sz="0" w:space="0" w:color="auto"/>
      </w:divBdr>
    </w:div>
    <w:div w:id="2114519706">
      <w:bodyDiv w:val="1"/>
      <w:marLeft w:val="0"/>
      <w:marRight w:val="0"/>
      <w:marTop w:val="0"/>
      <w:marBottom w:val="0"/>
      <w:divBdr>
        <w:top w:val="none" w:sz="0" w:space="0" w:color="auto"/>
        <w:left w:val="none" w:sz="0" w:space="0" w:color="auto"/>
        <w:bottom w:val="none" w:sz="0" w:space="0" w:color="auto"/>
        <w:right w:val="none" w:sz="0" w:space="0" w:color="auto"/>
      </w:divBdr>
    </w:div>
    <w:div w:id="213281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data.europa.eu/eli/dir/2008/98/oj" TargetMode="External"/><Relationship Id="rId21" Type="http://schemas.openxmlformats.org/officeDocument/2006/relationships/footer" Target="footer5.xml"/><Relationship Id="rId34" Type="http://schemas.openxmlformats.org/officeDocument/2006/relationships/footer" Target="footer7.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yperlink" Target="http://data.europa.eu/eli/reg/2024/2803/oj" TargetMode="External"/><Relationship Id="rId33" Type="http://schemas.openxmlformats.org/officeDocument/2006/relationships/header" Target="header6.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yperlink" Target="http://data.europa.eu/eli/dir/2018/2001/oj)"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data.europa.eu/eli/reg/2024/1735/oj" TargetMode="External"/><Relationship Id="rId32" Type="http://schemas.openxmlformats.org/officeDocument/2006/relationships/hyperlink" Target="http://data.europa.eu/eli/reg/2010/606/oj"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yperlink" Target="http://data.europa.eu/eli/reg/2023/2405/oj" TargetMode="External"/><Relationship Id="rId36"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hyperlink" Target="http://data.europa.eu/eli/reg/2024/2509/oj"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yperlink" Target="http://data.europa.eu/eli/dir/2024/1788/oj" TargetMode="External"/><Relationship Id="rId30" Type="http://schemas.openxmlformats.org/officeDocument/2006/relationships/hyperlink" Target="http://data.europa.eu/eli/reg/2024/3012/oj)." TargetMode="External"/><Relationship Id="rId35" Type="http://schemas.openxmlformats.org/officeDocument/2006/relationships/header" Target="header7.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law/better-regulation/have-your-say/initiatives/14549-EU-emissions-trading-system-for-maritime-aviation-and-stationary-installations-and-market-stability-reserve-review_en" TargetMode="External"/><Relationship Id="rId18" Type="http://schemas.openxmlformats.org/officeDocument/2006/relationships/hyperlink" Target="http://data.europa.eu/eli/reg_del/2019/331/oj" TargetMode="External"/><Relationship Id="rId26" Type="http://schemas.openxmlformats.org/officeDocument/2006/relationships/hyperlink" Target="http://data.europa.eu/eli/reg/2024/3012/oj" TargetMode="External"/><Relationship Id="rId3" Type="http://schemas.openxmlformats.org/officeDocument/2006/relationships/hyperlink" Target="http://data.europa.eu/eli/reg/2021/1119/oj" TargetMode="External"/><Relationship Id="rId21" Type="http://schemas.openxmlformats.org/officeDocument/2006/relationships/hyperlink" Target="http://data.europa.eu/eli/reg/2023/2405/oj" TargetMode="External"/><Relationship Id="rId7" Type="http://schemas.openxmlformats.org/officeDocument/2006/relationships/hyperlink" Target="https://www.easa.europa.eu/en/domains/environment/eaer/downloads" TargetMode="External"/><Relationship Id="rId12" Type="http://schemas.openxmlformats.org/officeDocument/2006/relationships/hyperlink" Target="http://data.europa.eu/eli/dir/2023/1791/oj" TargetMode="External"/><Relationship Id="rId17" Type="http://schemas.openxmlformats.org/officeDocument/2006/relationships/hyperlink" Target="http://data.europa.eu/eli/reg/2018/1999/oj" TargetMode="External"/><Relationship Id="rId25" Type="http://schemas.openxmlformats.org/officeDocument/2006/relationships/hyperlink" Target="http://data.europa.eu/eli/dir/2023/959/oj" TargetMode="External"/><Relationship Id="rId33" Type="http://schemas.openxmlformats.org/officeDocument/2006/relationships/hyperlink" Target="http://data.europa.eu/eli/agree_interinstit/2016/512/oj" TargetMode="External"/><Relationship Id="rId2" Type="http://schemas.openxmlformats.org/officeDocument/2006/relationships/hyperlink" Target="http://data.europa.eu/eli/reg/2015/757/oj" TargetMode="External"/><Relationship Id="rId16" Type="http://schemas.openxmlformats.org/officeDocument/2006/relationships/hyperlink" Target="http://data.europa.eu/eli/reg_impl/2018/2067/oj" TargetMode="External"/><Relationship Id="rId20" Type="http://schemas.openxmlformats.org/officeDocument/2006/relationships/hyperlink" Target="http://data.europa.eu/eli/reg/2026/667/oj" TargetMode="External"/><Relationship Id="rId29" Type="http://schemas.openxmlformats.org/officeDocument/2006/relationships/hyperlink" Target="http://data.europa.eu/eli/reg/2024/1735/oj" TargetMode="External"/><Relationship Id="rId1" Type="http://schemas.openxmlformats.org/officeDocument/2006/relationships/hyperlink" Target="http://data.europa.eu/eli/dec/2015/1814/oj" TargetMode="External"/><Relationship Id="rId6" Type="http://schemas.openxmlformats.org/officeDocument/2006/relationships/hyperlink" Target="http://data.europa.eu/eli/reg/2026/667/oj" TargetMode="External"/><Relationship Id="rId11" Type="http://schemas.openxmlformats.org/officeDocument/2006/relationships/hyperlink" Target="http://data.europa.eu/eli/dir/2023/2413/oj" TargetMode="External"/><Relationship Id="rId24" Type="http://schemas.openxmlformats.org/officeDocument/2006/relationships/hyperlink" Target="https://data.europa.eu/doi/10.2834/7505429" TargetMode="External"/><Relationship Id="rId32" Type="http://schemas.openxmlformats.org/officeDocument/2006/relationships/hyperlink" Target="http://data.europa.eu/eli/dir/2018/2001/oj" TargetMode="External"/><Relationship Id="rId5" Type="http://schemas.openxmlformats.org/officeDocument/2006/relationships/hyperlink" Target="http://data.europa.eu/eli/dir/2023/959/oj" TargetMode="External"/><Relationship Id="rId15" Type="http://schemas.openxmlformats.org/officeDocument/2006/relationships/hyperlink" Target="http://data.europa.eu/eli/reg/2018/1999/oj" TargetMode="External"/><Relationship Id="rId23" Type="http://schemas.openxmlformats.org/officeDocument/2006/relationships/hyperlink" Target="http://data.europa.eu/eli/reg_del/2019/331/oj" TargetMode="External"/><Relationship Id="rId28" Type="http://schemas.openxmlformats.org/officeDocument/2006/relationships/hyperlink" Target="http://data.europa.eu/eli/reg/2018/1999/oj" TargetMode="External"/><Relationship Id="rId10" Type="http://schemas.openxmlformats.org/officeDocument/2006/relationships/hyperlink" Target="http://data.europa.eu/eli/reg/2024/1735/oj" TargetMode="External"/><Relationship Id="rId19" Type="http://schemas.openxmlformats.org/officeDocument/2006/relationships/hyperlink" Target="http://data.europa.eu/eli/reg/2021/1119/oj" TargetMode="External"/><Relationship Id="rId31" Type="http://schemas.openxmlformats.org/officeDocument/2006/relationships/hyperlink" Target="http://data.europa.eu/eli/dir/2018/2001/oj" TargetMode="External"/><Relationship Id="rId4" Type="http://schemas.openxmlformats.org/officeDocument/2006/relationships/hyperlink" Target="http://data.europa.eu/eli/dir/2023/958/oj" TargetMode="External"/><Relationship Id="rId9" Type="http://schemas.openxmlformats.org/officeDocument/2006/relationships/hyperlink" Target="https://www.icao.int/sites/default/files/Meetings/a42/Documents/WP/wp_028_en.pdf" TargetMode="External"/><Relationship Id="rId14" Type="http://schemas.openxmlformats.org/officeDocument/2006/relationships/hyperlink" Target="http://data.europa.eu/eli/reg_impl/2018/2066/oj" TargetMode="External"/><Relationship Id="rId22" Type="http://schemas.openxmlformats.org/officeDocument/2006/relationships/hyperlink" Target="http://data.europa.eu/eli/reg/2011/182/oj" TargetMode="External"/><Relationship Id="rId27" Type="http://schemas.openxmlformats.org/officeDocument/2006/relationships/hyperlink" Target="http://data.europa.eu/eli/reg/2024/3012/oj" TargetMode="External"/><Relationship Id="rId30" Type="http://schemas.openxmlformats.org/officeDocument/2006/relationships/hyperlink" Target="https://climate.ec.europa.eu/document/edc93136-82a0-482c-bf47-39ecaf13b318_en" TargetMode="External"/><Relationship Id="rId8" Type="http://schemas.openxmlformats.org/officeDocument/2006/relationships/hyperlink" Target="https://eur-lex.europa.eu/resource.html?uri=cellar:6c154426-c5a6-11ee-95d9-01aa75ed71a1.0001.02/DOC_3&amp;form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8B9D831894C8B1499FBAEF2F1AA460BE003253F1546890064BAC12A2CD1C71CFAE" ma:contentTypeVersion="43" ma:contentTypeDescription="Create a new document in this library." ma:contentTypeScope="" ma:versionID="e2e1ca6d2d26aeb2044c58b5faf20f41">
  <xsd:schema xmlns:xsd="http://www.w3.org/2001/XMLSchema" xmlns:xs="http://www.w3.org/2001/XMLSchema" xmlns:p="http://schemas.microsoft.com/office/2006/metadata/properties" xmlns:ns1="http://schemas.microsoft.com/sharepoint/v3" xmlns:ns2="http://schemas.microsoft.com/sharepoint/v3/fields" xmlns:ns3="e1a78ac4-7176-4dde-ad25-36245d50a152" xmlns:ns4="e454a234-126e-4e9d-9424-56879817f6db" xmlns:ns5="http://schemas.microsoft.com/sharepoint/v4" targetNamespace="http://schemas.microsoft.com/office/2006/metadata/properties" ma:root="true" ma:fieldsID="e6a0bb9761c2d01f0b90c79e6fe17b70" ns1:_="" ns2:_="" ns3:_="" ns4:_="" ns5:_="">
    <xsd:import namespace="http://schemas.microsoft.com/sharepoint/v3"/>
    <xsd:import namespace="http://schemas.microsoft.com/sharepoint/v3/fields"/>
    <xsd:import namespace="e1a78ac4-7176-4dde-ad25-36245d50a152"/>
    <xsd:import namespace="e454a234-126e-4e9d-9424-56879817f6db"/>
    <xsd:import namespace="http://schemas.microsoft.com/sharepoint/v4"/>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2:_DCDateModified"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Person" minOccurs="0"/>
                <xsd:element ref="ns4:Time" minOccurs="0"/>
                <xsd:element ref="ns4:MediaServiceLocation" minOccurs="0"/>
                <xsd:element ref="ns3:EC_ARES_NUMBER" minOccurs="0"/>
                <xsd:element ref="ns3:EC_ARES_DATE_TRANSFERRED" minOccurs="0"/>
                <xsd:element ref="ns3:EC_ARES_TRANSFERRED_BY" minOccurs="0"/>
                <xsd:element ref="ns5:IconOverlay" minOccurs="0"/>
                <xsd:element ref="ns1:_vti_ItemDeclaredRecord" minOccurs="0"/>
                <xsd:element ref="ns1:_vti_ItemHoldRecordStatus" minOccurs="0"/>
                <xsd:element ref="ns4:Topic" minOccurs="0"/>
                <xsd:element ref="ns4:_ApprovalAssignedTo" minOccurs="0"/>
                <xsd:element ref="ns4:_ApprovalRespondedBy" minOccurs="0"/>
                <xsd:element ref="ns4:_ApprovalSentBy" minOccurs="0"/>
                <xsd:element ref="ns4: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8" nillable="true" ma:displayName="Declared Record" ma:hidden="true" ma:internalName="_vti_ItemDeclaredRecord" ma:readOnly="true">
      <xsd:simpleType>
        <xsd:restriction base="dms:DateTime"/>
      </xsd:simpleType>
    </xsd:element>
    <xsd:element name="_vti_ItemHoldRecordStatus" ma:index="39"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element name="_DCDateModified" ma:index="16" nillable="true" ma:displayName="Date Modified" ma:description="The date on which this resource was last modified" ma:format="DateTime" ma:internalName="_DCDateModifi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1a78ac4-7176-4dde-ad25-36245d50a15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d0b7d13-719b-4003-a7dc-61b8783e7929}" ma:internalName="TaxCatchAll" ma:showField="CatchAllData" ma:web="e1a78ac4-7176-4dde-ad25-36245d50a152">
      <xsd:complexType>
        <xsd:complexContent>
          <xsd:extension base="dms:MultiChoiceLookup">
            <xsd:sequence>
              <xsd:element name="Value" type="dms:Lookup" maxOccurs="unbounded" minOccurs="0" nillable="true"/>
            </xsd:sequence>
          </xsd:extension>
        </xsd:complexContent>
      </xsd:complexType>
    </xsd:element>
    <xsd:element name="EC_ARES_NUMBER" ma:index="3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35" nillable="true" ma:displayName="Transferred to Ares" ma:format="DateTime" ma:hidden="true" ma:internalName="EC_ARES_DATE_TRANSFERRED">
      <xsd:simpleType>
        <xsd:restriction base="dms:DateTime"/>
      </xsd:simpleType>
    </xsd:element>
    <xsd:element name="EC_ARES_TRANSFERRED_BY" ma:index="36"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4a234-126e-4e9d-9424-56879817f6d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descriptio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Person" ma:index="3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me" ma:index="32" nillable="true" ma:displayName="Time" ma:format="DateOnly" ma:internalName="Time">
      <xsd:simpleType>
        <xsd:restriction base="dms:DateTime"/>
      </xsd:simpleType>
    </xsd:element>
    <xsd:element name="MediaServiceLocation" ma:index="33" nillable="true" ma:displayName="Location" ma:description="" ma:indexed="true" ma:internalName="MediaServiceLocation" ma:readOnly="true">
      <xsd:simpleType>
        <xsd:restriction base="dms:Text"/>
      </xsd:simpleType>
    </xsd:element>
    <xsd:element name="Topic" ma:index="40" nillable="true" ma:displayName="Topic" ma:format="Dropdown" ma:internalName="Topic">
      <xsd:simpleType>
        <xsd:restriction base="dms:Note">
          <xsd:maxLength value="255"/>
        </xsd:restriction>
      </xsd:simpleType>
    </xsd:element>
    <xsd:element name="_ApprovalAssignedTo" ma:index="4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4"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17" ma:contentTypeDescription="Create a new document." ma:contentTypeScope="" ma:versionID="59ff5651a4f3a1a5cb8238938fd3299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f35b6c5cbc38fcaa39852b720d769a3f"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a683dc-7c89-45b8-ab9d-480aec8b90de}"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454a234-126e-4e9d-9424-56879817f6db">
      <Terms xmlns="http://schemas.microsoft.com/office/infopath/2007/PartnerControls"/>
    </lcf76f155ced4ddcb4097134ff3c332f>
    <TaxCatchAll xmlns="e1a78ac4-7176-4dde-ad25-36245d50a152" xsi:nil="true"/>
    <EC_ARES_TRANSFERRED_BY xmlns="e1a78ac4-7176-4dde-ad25-36245d50a152" xsi:nil="true"/>
    <EC_ARES_NUMBER xmlns="e1a78ac4-7176-4dde-ad25-36245d50a152">
      <Url xsi:nil="true"/>
      <Description xsi:nil="true"/>
    </EC_ARES_NUMBER>
    <EC_Collab_DocumentLanguage xmlns="e1a78ac4-7176-4dde-ad25-36245d50a152">EN</EC_Collab_DocumentLanguage>
    <_DCDateModified xmlns="http://schemas.microsoft.com/sharepoint/v3/fields" xsi:nil="true"/>
    <Time xmlns="e454a234-126e-4e9d-9424-56879817f6db" xsi:nil="true"/>
    <EC_ARES_DATE_TRANSFERRED xmlns="e1a78ac4-7176-4dde-ad25-36245d50a152" xsi:nil="true"/>
    <EC_Collab_Reference xmlns="e1a78ac4-7176-4dde-ad25-36245d50a152" xsi:nil="true"/>
    <_Status xmlns="http://schemas.microsoft.com/sharepoint/v3/fields">Not Started</_Status>
    <IconOverlay xmlns="http://schemas.microsoft.com/sharepoint/v4" xsi:nil="true"/>
    <Topic xmlns="e454a234-126e-4e9d-9424-56879817f6db" xsi:nil="true"/>
    <EC_Collab_Status xmlns="e1a78ac4-7176-4dde-ad25-36245d50a152">Not Started</EC_Collab_Status>
    <Person xmlns="e454a234-126e-4e9d-9424-56879817f6db">
      <UserInfo>
        <DisplayName/>
        <AccountId xsi:nil="true"/>
        <AccountType/>
      </UserInfo>
    </Person>
    <_ApprovalAssignedTo xmlns="e454a234-126e-4e9d-9424-56879817f6db">
      <UserInfo>
        <DisplayName/>
        <AccountId xsi:nil="true"/>
        <AccountType/>
      </UserInfo>
    </_ApprovalAssignedTo>
    <_ApprovalStatus xmlns="e454a234-126e-4e9d-9424-56879817f6db">0</_ApprovalStatus>
    <_ApprovalRespondedBy xmlns="e454a234-126e-4e9d-9424-56879817f6db">
      <UserInfo>
        <DisplayName/>
        <AccountId xsi:nil="true"/>
        <AccountType/>
      </UserInfo>
    </_ApprovalRespondedBy>
    <_ApprovalSentBy xmlns="e454a234-126e-4e9d-9424-56879817f6db">
      <UserInfo>
        <DisplayName/>
        <AccountId xsi:nil="true"/>
        <AccountType/>
      </UserInfo>
    </_ApprovalSentBy>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B7639-CA22-4828-817D-BCA2A40F1531}">
  <ds:schemaRefs>
    <ds:schemaRef ds:uri="http://schemas.microsoft.com/sharepoint/v3/contenttype/forms"/>
  </ds:schemaRefs>
</ds:datastoreItem>
</file>

<file path=customXml/itemProps2.xml><?xml version="1.0" encoding="utf-8"?>
<ds:datastoreItem xmlns:ds="http://schemas.openxmlformats.org/officeDocument/2006/customXml" ds:itemID="{FC4EC3C1-C455-474C-A55B-30631B62E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e1a78ac4-7176-4dde-ad25-36245d50a152"/>
    <ds:schemaRef ds:uri="e454a234-126e-4e9d-9424-56879817f6d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BAED32-01A9-4ADE-8D70-00554F8529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AAC5AC-EE3B-4133-BC65-21FD1C8E4BF3}">
  <ds:schemaRefs>
    <ds:schemaRef ds:uri="http://purl.org/dc/elements/1.1/"/>
    <ds:schemaRef ds:uri="http://schemas.microsoft.com/office/2006/documentManagement/types"/>
    <ds:schemaRef ds:uri="http://schemas.microsoft.com/sharepoint/v3"/>
    <ds:schemaRef ds:uri="e1a78ac4-7176-4dde-ad25-36245d50a152"/>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purl.org/dc/dcmitype/"/>
    <ds:schemaRef ds:uri="http://schemas.microsoft.com/sharepoint/v4"/>
    <ds:schemaRef ds:uri="e454a234-126e-4e9d-9424-56879817f6db"/>
    <ds:schemaRef ds:uri="http://schemas.microsoft.com/sharepoint/v3/fields"/>
    <ds:schemaRef ds:uri="http://purl.org/dc/terms/"/>
  </ds:schemaRefs>
</ds:datastoreItem>
</file>

<file path=customXml/itemProps5.xml><?xml version="1.0" encoding="utf-8"?>
<ds:datastoreItem xmlns:ds="http://schemas.openxmlformats.org/officeDocument/2006/customXml" ds:itemID="{0F34BD6E-227B-41B4-B6A1-20558FD0255E}">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1</Pages>
  <Words>62996</Words>
  <Characters>348998</Characters>
  <Application>Microsoft Office Word</Application>
  <DocSecurity>0</DocSecurity>
  <Lines>8309</Lines>
  <Paragraphs>3645</Paragraphs>
  <ScaleCrop>false</ScaleCrop>
  <Manager/>
  <Company/>
  <LinksUpToDate>false</LinksUpToDate>
  <CharactersWithSpaces>408349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2026-07-17T10:15:00Z</dcterms:created>
  <dcterms:modified xsi:type="dcterms:W3CDTF">2026-07-17T10:15:00Z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2026-07-15T17:58:35Z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c4be8f5f-af11-4bfc-86f6-c06690e4438e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0x0101008B9D831894C8B1499FBAEF2F1AA460BE003253F1546890064BAC12A2CD1C71CFAE</vt:lpwstr>
  </property>
  <property fmtid="{D5CDD505-2E9C-101B-9397-08002B2CF9AE}" pid="12" name="MediaServiceImageTags">
    <vt:lpwstr/>
  </property>
  <property fmtid="{D5CDD505-2E9C-101B-9397-08002B2CF9AE}" pid="13" name="Category">
    <vt:lpwstr>COM/PL/ORG</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SJ-024</vt:lpwstr>
  </property>
  <property fmtid="{D5CDD505-2E9C-101B-9397-08002B2CF9AE}" pid="18" name="DQCStatus">
    <vt:lpwstr>Green (DQC version 03)</vt:lpwstr>
  </property>
</Properties>
</file>