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213E62D-8899-4B80-9D26-665896937A09" style="width:455.25pt;height:402.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pBdr>
          <w:top w:val="nil"/>
          <w:left w:val="nil"/>
          <w:bottom w:val="nil"/>
          <w:right w:val="nil"/>
          <w:between w:val="nil"/>
          <w:bar w:val="nil"/>
        </w:pBdr>
        <w:spacing w:before="0" w:after="240"/>
        <w:rPr>
          <w:rFonts w:eastAsia="Arial Unicode MS"/>
          <w:noProof/>
        </w:rPr>
      </w:pPr>
      <w:r>
        <w:rPr>
          <w:noProof/>
        </w:rPr>
        <w:t>În considerentul 16 al Regulamentului de punere în aplicare (UE) 2026/1412 al Comisiei din 26 iunie 2026 de stabilire a valorilor de referință revizuite pentru alocarea cu titlu gratuit a certificatelor de emisii pentru perioada 2026-2030</w:t>
      </w:r>
      <w:r>
        <w:rPr>
          <w:rStyle w:val="FootnoteReference"/>
          <w:noProof/>
        </w:rPr>
        <w:footnoteReference w:id="1"/>
      </w:r>
      <w:r>
        <w:rPr>
          <w:noProof/>
        </w:rPr>
        <w:t>, Comisia s-a angajat să propună, în același timp cu propunerea sa de revizuire a Directivei EU ETS, o propunere de sine stătătoare exclusiv de creștere a nivelurilor de alocare cu titlu gratuit determinate de valorile de referință pentru căldură și combustibil („valori de referință alternative”) până în 2030, asigurându-se, în același timp, că creșterea nu declanșează aplicarea factorului de corecție transsectorial.</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existente în domeniul de politică vizat și cu alte politici ale Uniunii</w:t>
      </w:r>
    </w:p>
    <w:p>
      <w:pPr>
        <w:rPr>
          <w:noProof/>
        </w:rPr>
      </w:pPr>
      <w:r>
        <w:rPr>
          <w:noProof/>
        </w:rPr>
        <w:t>Toate sectoarele economiei ar trebui să contribuie la reducerea emisiilor de gaze cu efect de seră. Prezenta propunere se referă la alocarea cu titlu gratuit stabilită în funcție de valorile de referință pentru căldură și combustibil până în 2030 și vizează îmbunătățirea (fără a declanșa aplicarea factorului de corecție transsectorial) protecției împotriva relocării emisiilor de carbon printr-o creștere a nivelurilor corespunzătoare de alocare cu titlu gratuit pentru perioada 2026-2030.</w:t>
      </w:r>
    </w:p>
    <w:p>
      <w:pPr>
        <w:rPr>
          <w:noProof/>
        </w:rPr>
      </w:pPr>
      <w:r>
        <w:rPr>
          <w:noProof/>
        </w:rPr>
        <w:t>Modificările introduse se vor reflecta într-un regulament de punere în aplicare al Comisiei de modificare a Regulamentului de punere în aplicare al Comisiei privind valorile de referință revizuite pentru alocarea cu titlu gratuit a certificatelor de emisii, precum și într-o decizie a Comisiei de modificare a cantităților preliminare de alocare cu titlu gratuit stabilite pentru perioada 2026-2030.</w:t>
      </w:r>
    </w:p>
    <w:p>
      <w:pPr>
        <w:rPr>
          <w:noProof/>
        </w:rPr>
      </w:pPr>
      <w:r>
        <w:rPr>
          <w:noProof/>
        </w:rPr>
        <w:t>Prezenta propunere se referă exclusiv la nivelurile de alocare stabilite în funcție de valorile de referință pentru căldură și combustibil până în 2030, iar toate celelalte aspecte sunt abordate în propunerea mai amplă de modificare a Directivei EU ETS</w:t>
      </w:r>
      <w:r>
        <w:rPr>
          <w:rStyle w:val="FootnoteReference"/>
          <w:rFonts w:eastAsia="Arial Unicode MS"/>
          <w:noProof/>
        </w:rPr>
        <w:footnoteReference w:id="2"/>
      </w:r>
      <w:r>
        <w:rPr>
          <w:noProof/>
        </w:rPr>
        <w:t>, inclusiv normele privind valorile de referință pentru perioadele începând cu 2031. Expunerea de motive a propunerii respective și evaluarea impactului acesteia</w:t>
      </w:r>
      <w:r>
        <w:rPr>
          <w:rStyle w:val="FootnoteReference"/>
          <w:rFonts w:eastAsia="Arial Unicode MS"/>
          <w:noProof/>
        </w:rPr>
        <w:footnoteReference w:id="3"/>
      </w:r>
      <w:r>
        <w:rPr>
          <w:noProof/>
        </w:rPr>
        <w:t xml:space="preserve"> explică contextul mai larg.</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u w:color="000000"/>
          <w:bdr w:val="nil"/>
        </w:rPr>
        <w:t>•</w:t>
      </w:r>
      <w:r>
        <w:rPr>
          <w:noProof/>
        </w:rPr>
        <w:tab/>
      </w:r>
      <w:r>
        <w:rPr>
          <w:noProof/>
          <w:u w:color="000000"/>
          <w:bdr w:val="nil"/>
        </w:rPr>
        <w:t>Temeiul juridic</w:t>
      </w:r>
    </w:p>
    <w:p>
      <w:pPr>
        <w:rPr>
          <w:noProof/>
        </w:rPr>
      </w:pPr>
      <w:r>
        <w:rPr>
          <w:noProof/>
        </w:rPr>
        <w:t xml:space="preserve">Temeiul juridic este același [articolul 192 alineatul (1) din Tratatul privind funcționarea Uniunii Europene] ca și pentru propunerea principală privind ETS, COM(2026) 616, deoarece abordează un element al revizuirii generale. </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Subsidiaritatea (în cazul competențelor neexclusive) </w:t>
      </w:r>
    </w:p>
    <w:p>
      <w:pPr>
        <w:rPr>
          <w:noProof/>
        </w:rPr>
      </w:pPr>
      <w:r>
        <w:rPr>
          <w:noProof/>
        </w:rPr>
        <w:t>Alocarea cu titlu gratuit este armonizată în cadrul EU ETS și administrată la nivel național în temeiul unor norme armonizate la nivelul Uniunii.</w:t>
      </w:r>
    </w:p>
    <w:p>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Proporționalitatea</w:t>
      </w:r>
    </w:p>
    <w:p>
      <w:pPr>
        <w:rPr>
          <w:noProof/>
        </w:rPr>
      </w:pPr>
      <w:r>
        <w:rPr>
          <w:noProof/>
        </w:rPr>
        <w:t xml:space="preserve">Prezenta propunere majorează anumite niveluri de alocare cu titlu gratuit determinate de valorile de referință alternative până în 2030. Aceasta nu depășește ceea ce este necesar pentru a asigura un sprijin prompt și eficace pentru sectoarele în cauză și este concepută pentru a nu declanșa aplicarea factorului de corecție transsectorial, evitând astfel efectele negative de redistribuire asupra alocării cu titlu gratuit determinate pe baza produselor de referință. </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Alegerea instrumentului </w:t>
      </w:r>
    </w:p>
    <w:p>
      <w:pPr>
        <w:rPr>
          <w:noProof/>
        </w:rPr>
      </w:pPr>
      <w:r>
        <w:rPr>
          <w:noProof/>
        </w:rPr>
        <w:t>Obiectivele prezentei propuneri pot fi realizate cel mai bine printr-un regulament. Acesta este instrumentul juridic cel mai adecvat pentru a introduce modificări ale Directivei EU ETS existente în ceea ce privește normele privind actualizarea valorilor de referință, deoarece acestea nu necesită transpunerea de către statele membre. În plus, actualizarea valorilor de referință este pusă în aplicare direct de către Comisie, în conformitate cu împuternicirea prevăzută la articolul 10a alineatul (2) al treilea paragraf din Directiva EU ETS.</w:t>
      </w:r>
    </w:p>
    <w:p>
      <w:pPr>
        <w:rPr>
          <w:noProof/>
        </w:rPr>
      </w:pPr>
    </w:p>
    <w:p>
      <w:pPr>
        <w:pStyle w:val="ManualHeading1"/>
        <w:rPr>
          <w:noProof/>
        </w:rPr>
      </w:pPr>
      <w:r>
        <w:rPr>
          <w:noProof/>
        </w:rPr>
        <w:t>3.</w:t>
      </w:r>
      <w:r>
        <w:rPr>
          <w:noProof/>
        </w:rPr>
        <w:tab/>
        <w:t xml:space="preserve">REZULTATELE EVALUĂRILOR </w:t>
      </w:r>
      <w:r>
        <w:rPr>
          <w:i/>
          <w:noProof/>
        </w:rPr>
        <w:t>EX POST</w:t>
      </w:r>
      <w:r>
        <w:rPr>
          <w:noProof/>
        </w:rPr>
        <w: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Evaluările </w:t>
      </w:r>
      <w:r>
        <w:rPr>
          <w:i/>
          <w:noProof/>
          <w:u w:color="000000"/>
          <w:bdr w:val="nil"/>
        </w:rPr>
        <w:t>ex post</w:t>
      </w:r>
      <w:r>
        <w:rPr>
          <w:noProof/>
          <w:u w:color="000000"/>
          <w:bdr w:val="nil"/>
        </w:rPr>
        <w:t>/verificarea adecvării legislației existente</w:t>
      </w:r>
    </w:p>
    <w:p>
      <w:pPr>
        <w:rPr>
          <w:noProof/>
        </w:rPr>
      </w:pPr>
      <w:r>
        <w:rPr>
          <w:noProof/>
        </w:rPr>
        <w:t>Expunerea de motive a propunerii de modificare a Directivei EU ETS</w:t>
      </w:r>
      <w:r>
        <w:rPr>
          <w:rStyle w:val="FootnoteReference"/>
          <w:rFonts w:eastAsia="Arial Unicode MS"/>
          <w:noProof/>
        </w:rPr>
        <w:footnoteReference w:id="4"/>
      </w:r>
      <w:r>
        <w:rPr>
          <w:noProof/>
        </w:rPr>
        <w:t xml:space="preserve"> și evaluarea impactului</w:t>
      </w:r>
      <w:r>
        <w:rPr>
          <w:rStyle w:val="FootnoteReference"/>
          <w:rFonts w:eastAsia="Arial Unicode MS"/>
          <w:noProof/>
        </w:rPr>
        <w:footnoteReference w:id="5"/>
      </w:r>
      <w:r>
        <w:rPr>
          <w:noProof/>
        </w:rPr>
        <w:t xml:space="preserve"> acesteia explică contextul mai amplu, inclusiv evaluarea </w:t>
      </w:r>
      <w:r>
        <w:rPr>
          <w:i/>
          <w:noProof/>
        </w:rPr>
        <w:t xml:space="preserve">ex post </w:t>
      </w:r>
      <w:r>
        <w:rPr>
          <w:noProof/>
        </w:rPr>
        <w:t>și verificarea adecvării Directivei EU ETS.</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Consultarea cu părțile interesate</w:t>
      </w:r>
    </w:p>
    <w:p>
      <w:pPr>
        <w:pBdr>
          <w:top w:val="nil"/>
          <w:left w:val="nil"/>
          <w:bottom w:val="nil"/>
          <w:right w:val="nil"/>
          <w:between w:val="nil"/>
          <w:bar w:val="nil"/>
        </w:pBdr>
        <w:spacing w:before="0" w:after="240"/>
        <w:rPr>
          <w:rFonts w:eastAsia="Arial Unicode MS"/>
          <w:noProof/>
        </w:rPr>
      </w:pPr>
      <w:r>
        <w:rPr>
          <w:noProof/>
        </w:rPr>
        <w:t xml:space="preserve">Comisia a consultat grupul de experți privind alocarea cu titlu gratuit cu privire la valorile de referință pentru perioada 2026-2030 în diferite etape ale procesului care conduce la stabilirea acestora, rezultatele preliminare fiind prezentate la 5 noiembrie 2025, 15 decembrie 2025 și 21 ianuarie 2026. </w:t>
      </w:r>
    </w:p>
    <w:p>
      <w:pPr>
        <w:pBdr>
          <w:top w:val="nil"/>
          <w:left w:val="nil"/>
          <w:bottom w:val="nil"/>
          <w:right w:val="nil"/>
          <w:between w:val="nil"/>
        </w:pBdr>
        <w:spacing w:before="0" w:after="240"/>
        <w:rPr>
          <w:noProof/>
        </w:rPr>
      </w:pPr>
      <w:r>
        <w:rPr>
          <w:noProof/>
        </w:rPr>
        <w:t>Actualizarea valorilor de referință ETS pentru perioada 2026-2030 a fost publicată pentru feedback din partea publicului în perioada 11 mai-8 iunie 2026 și a primit peste 400 de răspunsuri. Peste 50 % din feedback a provenit de la întreprinderi și 38 % de la asociații de întreprinderi. În general, cea mai mare parte a feedbackului a vizat actualizarea valorilor de referință alternative și a solicitat stabilirea unor referințe alternative specifice sectorului. Unii respondenți au solicitat înghețarea referințelor și o mai mare transparență. Observații mai pozitive au salutat includerea emisiilor indirecte în valorile de referință care anterior făceau obiectul interschimbabilității și au îndemnat la adoptarea rapidă a regulamentului din motive de claritate. În cele din urmă, au fost prezentate propuneri pentru introducerea unei metodologii diferite, dar niciuna nu a putut fi pusă în aplicare în cadrul juridic existent stabilit de Directiva EU ETS.</w:t>
      </w:r>
    </w:p>
    <w:p>
      <w:pPr>
        <w:pBdr>
          <w:top w:val="nil"/>
          <w:left w:val="nil"/>
          <w:bottom w:val="nil"/>
          <w:right w:val="nil"/>
          <w:between w:val="nil"/>
          <w:bar w:val="nil"/>
        </w:pBdr>
        <w:spacing w:before="0" w:after="240"/>
        <w:rPr>
          <w:noProof/>
        </w:rPr>
      </w:pPr>
      <w:r>
        <w:rPr>
          <w:noProof/>
        </w:rPr>
        <w:t>La 3 iunie, au avut loc două reuniuni ale grupului de experți, una cu statele membre și una cu statele membre și cu reprezentanții industriei cu privire la actualizarea valorilor de referință ETS pentru perioada 2026-2030. Opțiunea pentru referințe alternative sectoriale a fost prezentată statelor membre și a fost evidențiată ca generând o creștere insuficientă a nivelurilor de alocare cu titlu gratuit până în 2030, calculată pe baza valorilor de referință alternative pentru sectoarele expuse unui risc mai mare de relocare a emisiilor de dioxid de carbon din cauza disponibilității limitate a tehnicilor și măsurilor de reducere a emisiilor. Prin urmare, prezenta propunere include o ajustare a ratei maxime de actualizare pentru valoarea de referință alternativă care să asigure cea mai mare creștere posibilă a alocării cu titlu gratuit stabilită pe baza valorilor de referință alternative până în 2030, fără a declanșa aplicarea factorului de corecție transsectorial, conform angajamentului din considerentul 16 din Regulamentul de punere în aplicare 2026/1412 și astfel cum a votat Comitetul privind schimbările climatice la 15 iunie 2026.</w:t>
      </w:r>
    </w:p>
    <w:p>
      <w:pPr>
        <w:pBdr>
          <w:top w:val="nil"/>
          <w:left w:val="nil"/>
          <w:bottom w:val="nil"/>
          <w:right w:val="nil"/>
          <w:between w:val="nil"/>
        </w:pBdr>
        <w:spacing w:before="0" w:after="240"/>
        <w:rPr>
          <w:rFonts w:eastAsia="Arial Unicode MS"/>
          <w:noProof/>
        </w:rPr>
      </w:pPr>
    </w:p>
    <w:p>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pPr>
        <w:rPr>
          <w:noProof/>
        </w:rPr>
      </w:pPr>
      <w:r>
        <w:rPr>
          <w:noProof/>
        </w:rPr>
        <w:t>O singură evaluare globală a impactului însoțește atât prezenta propunere, cât și propunerea paralelă a Comisiei de revizuire a Directivei EU ETS și a fost prezentată Comitetului de control normativ (CCN) la 23 martie 2026. Expunerea de motive a propunerii de revizuire a Directivei EU ETS explică contextul mai larg. Evaluarea impactului include verificarea coerenței articolului 6 alineatul (4) din Legea europeană a climei, care impune Comisiei să evalueze coerența oricărui proiect de măsură sau a oricărei propuneri legislative a UE cu obiectivele Legii climei, cum ar fi obiectivul UE de realizare a neutralității climatice.</w:t>
      </w:r>
    </w:p>
    <w:p>
      <w:pPr>
        <w:pBdr>
          <w:top w:val="nil"/>
          <w:left w:val="nil"/>
          <w:bottom w:val="nil"/>
          <w:right w:val="nil"/>
          <w:between w:val="nil"/>
          <w:bar w:val="nil"/>
        </w:pBdr>
        <w:spacing w:before="0" w:after="240"/>
        <w:rPr>
          <w:rFonts w:eastAsia="Arial Unicode MS"/>
          <w:noProof/>
        </w:rPr>
      </w:pPr>
      <w:r>
        <w:rPr>
          <w:noProof/>
        </w:rPr>
        <w:t>În anexa 12 la evaluarea impactului a fost evaluată o abordare actuală îmbunătățită privind alocarea cu titlu gratuit. În ceea ce privește indicii de referință, opțiunea de politică „CL1” din anexa respectivă prevedea următoarea abordare: Valorile de referință vor fi stabilite în continuare în funcție de performanța medie a 10 % dintre cele mai performante instalații, ținând seama de ratele minime și maxime de actualizare și de normele de extrapolare a tendinței până la mijlocul perioadei relevante de alocare de cinci ani. Cu toate acestea, pentru a răspunde principalelor preocupări exprimate de părțile interesate din industrie și de statele membre în cursul diferitelor etape de consultare a Regulamentului privind valorile de referință recent adoptat, valorile de referință alternative ar trebui diferențiate pentru a ține seama de particularitățile și de potențialul de reducere a emisiilor al diferitelor sectoare.</w:t>
      </w:r>
    </w:p>
    <w:p>
      <w:pPr>
        <w:pBdr>
          <w:top w:val="nil"/>
          <w:left w:val="nil"/>
          <w:bottom w:val="nil"/>
          <w:right w:val="nil"/>
          <w:between w:val="nil"/>
          <w:bar w:val="nil"/>
        </w:pBdr>
        <w:spacing w:before="0" w:after="240"/>
        <w:rPr>
          <w:rFonts w:eastAsia="Arial Unicode MS"/>
          <w:noProof/>
        </w:rPr>
      </w:pPr>
      <w:r>
        <w:rPr>
          <w:noProof/>
        </w:rPr>
        <w:t xml:space="preserve">Propunerea diferă de opțiunea de politică inclusă în evaluarea impactului în ceea ce privește valorile de referință alternative. Abordarea sectorială inclusă în evaluarea impactului ar duce la o creștere a alocării cu titlu gratuit numai pentru un număr limitat de sectoare, deoarece s-ar aplica în continuare aceeași rată maximă de actualizare. Discuțiile cu statele membre și cu părțile interesate din cadrul Grupului de experți privind schimbările climatice (CCEG) din 3 iunie 2026 cu privire la aspectele legate de alocarea cu titlu gratuit au confirmat că creșterea globală corespunzătoare a nivelurilor de alocare cu titlu gratuit până în 2030 a fost insuficientă pentru a aborda vulnerabilitatea mai mare la relocarea emisiilor de dioxid de carbon a anumitor sectoare în care se aplică valorile de referință alternative și în care sunt disponibile tehnici și măsuri de reducere limitate. În schimb, prezenta propunere asigură cea mai mare creștere posibilă a nivelurilor de alocare cu titlu gratuit stabilite pe baza unor criterii de referință alternative pentru perioada 2026-2030, fără a declanșa aplicarea factorului de corecție transsectorial în temeiul articolului 10a alineatul (5) din Directiva EU ETS. </w:t>
      </w:r>
    </w:p>
    <w:p>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pPr>
        <w:pBdr>
          <w:top w:val="nil"/>
          <w:left w:val="nil"/>
          <w:bottom w:val="nil"/>
          <w:right w:val="nil"/>
          <w:between w:val="nil"/>
          <w:bar w:val="nil"/>
        </w:pBdr>
        <w:spacing w:before="0" w:after="240"/>
        <w:rPr>
          <w:rFonts w:eastAsia="Arial Unicode MS"/>
          <w:noProof/>
        </w:rPr>
      </w:pPr>
      <w:r>
        <w:rPr>
          <w:noProof/>
        </w:rPr>
        <w:t>Prezenta propunere va genera o sarcină administrativă limitată. Propunerea se bazează exclusiv pe procesele existente, care implică atât autoritățile naționale competente, cât și Comisia, în vederea stabilirii nivelului alocării cu titlu gratuit care urmează să fie alocat în fiecare an instalațiilor din cadrul EU ETS, în conformitate cu articolul 11 din Directiva EU ETS. Aceasta implică o revizuire ulterioară a Regulamentului delegat (UE) 2019/331 al Comisiei din 19 decembrie 2018</w:t>
      </w:r>
      <w:r>
        <w:rPr>
          <w:rStyle w:val="FootnoteReference"/>
          <w:rFonts w:eastAsia="Arial Unicode MS"/>
          <w:noProof/>
        </w:rPr>
        <w:footnoteReference w:id="6"/>
      </w:r>
      <w:r>
        <w:rPr>
          <w:noProof/>
        </w:rPr>
        <w:t>. Modificările nu necesită transpunerea în legislația națională. În cele din urmă, nu va fi necesar niciun exercițiu suplimentar de colectare a datelor, deoarece setul de date relevant este deja disponibil. Astfel, în temeiul articolului 10a alineatul (2) al treilea paragraf litera (c) din Directiva EU ETS, informațiile transmise de statele membre pentru anii 2021 și 2022 în lista menționată la articolul 11 din Directiva EU ETS trebuie utilizate ca referință pentru actualizarea valorilor de referință pentru perioada 2026-2030.</w:t>
      </w:r>
    </w:p>
    <w:p>
      <w:pPr>
        <w:pStyle w:val="ManualHeading1"/>
        <w:rPr>
          <w:noProof/>
        </w:rPr>
      </w:pPr>
      <w:r>
        <w:rPr>
          <w:noProof/>
        </w:rPr>
        <w:t>4.</w:t>
      </w:r>
      <w:r>
        <w:rPr>
          <w:noProof/>
        </w:rPr>
        <w:tab/>
        <w:t>IMPLICAȚII BUGETARE</w:t>
      </w:r>
    </w:p>
    <w:p>
      <w:pPr>
        <w:pBdr>
          <w:bar w:val="nil"/>
        </w:pBdr>
        <w:spacing w:before="0" w:after="240"/>
        <w:rPr>
          <w:noProof/>
        </w:rPr>
      </w:pPr>
      <w:r>
        <w:rPr>
          <w:noProof/>
        </w:rPr>
        <w:t xml:space="preserve">Propunerea se bazează pe procesele existente, care implică atât autoritățile naționale competente, cât și Comisia, în vederea stabilirii nivelului alocării cu titlu gratuit care urmează să fie alocat în fiecare an instalațiilor din cadrul EU ETS, în conformitate cu articolul 11 din Directiva EU ETS. Pentru punerea în aplicare a propunerii, nu sunt colectate date suplimentare și nu sunt necesare resurse umane și administrative suplimentare. Alocarea suplimentară cu titlu gratuit care urmează să fie acordată în temeiul prezentei propuneri nu are niciun impact asupra bugetului, având în vedere că valoarea financiară a certificatelor care urmează să fie utilizate nu este atribuită bugetului Comisiei Europene. Prin urmare, prezenta propunere nu are implicații bugetare suplimentare. </w:t>
      </w:r>
    </w:p>
    <w:p>
      <w:pPr>
        <w:pBdr>
          <w:bar w:val="nil"/>
        </w:pBdr>
        <w:spacing w:before="0" w:after="240"/>
        <w:rPr>
          <w:noProof/>
        </w:rPr>
      </w:pPr>
      <w:r>
        <w:rPr>
          <w:noProof/>
        </w:rPr>
        <w:t>Propunerea nu îndeplinește criteriile care ar declanșa relevanța digitală. Aceasta nu impune cerințe obligatorii privind un serviciu public digital cu implicații pentru interoperabilitatea transfrontalieră și nu afectează proiectarea, dezvoltarea sau implementarea serviciilor publice digitale sau a rețelelor și a sistemelor informatice care le sprijină. De asemenea, aceasta nu impune instituirea unor sisteme informatice sau a unei infrastructuri digitale deținute în comun de Comisia Europeană și de statele membre. În plus, propunerea nu introduce procese de monitorizare, de raportare sau alte procese care nu țin de mediul de afaceri și care pot fi automatizate sau implementate digital.</w:t>
      </w:r>
    </w:p>
    <w:p>
      <w:pPr>
        <w:spacing w:before="0" w:after="240"/>
        <w:rPr>
          <w:rFonts w:eastAsia="Times New Roman"/>
          <w:noProof/>
          <w:szCs w:val="24"/>
        </w:rPr>
      </w:pPr>
      <w:r>
        <w:rPr>
          <w:noProof/>
        </w:rPr>
        <w:t xml:space="preserve">Având în vedere absența atât a implicațiilor financiare, cât și a relevanței digitale, pentru prezenta propunere nu este necesară o fișă financiară legislativă și digitală însoțitoare. </w:t>
      </w:r>
    </w:p>
    <w:p>
      <w:pPr>
        <w:pBdr>
          <w:top w:val="nil"/>
          <w:left w:val="nil"/>
          <w:bottom w:val="nil"/>
          <w:right w:val="nil"/>
          <w:between w:val="nil"/>
          <w:bar w:val="nil"/>
        </w:pBdr>
        <w:spacing w:before="0" w:after="240"/>
        <w:rPr>
          <w:b/>
          <w:noProof/>
        </w:rPr>
      </w:pPr>
      <w:r>
        <w:rPr>
          <w:b/>
          <w:noProof/>
        </w:rPr>
        <w:t>5.</w:t>
      </w:r>
      <w:r>
        <w:rPr>
          <w:noProof/>
        </w:rPr>
        <w:tab/>
      </w:r>
      <w:r>
        <w:rPr>
          <w:b/>
          <w:noProof/>
        </w:rPr>
        <w:t>ALTE ELEMENTE</w:t>
      </w:r>
    </w:p>
    <w:p>
      <w:pPr>
        <w:rPr>
          <w:rFonts w:eastAsia="Arial Unicode MS"/>
          <w:b/>
          <w:bCs/>
          <w:noProof/>
          <w:u w:color="000000"/>
          <w:bdr w:val="nil"/>
        </w:rPr>
      </w:pPr>
      <w:r>
        <w:rPr>
          <w:noProof/>
          <w:u w:color="000000"/>
          <w:bdr w:val="nil"/>
        </w:rPr>
        <w:t>•</w:t>
      </w:r>
      <w:r>
        <w:rPr>
          <w:noProof/>
        </w:rPr>
        <w:tab/>
      </w:r>
      <w:r>
        <w:rPr>
          <w:b/>
          <w:noProof/>
          <w:u w:color="000000"/>
          <w:bdr w:val="nil"/>
        </w:rPr>
        <w:t xml:space="preserve">Planurile de punere în aplicare și monitorizarea, evaluarea și raportarea </w:t>
      </w:r>
    </w:p>
    <w:p>
      <w:pPr>
        <w:rPr>
          <w:noProof/>
        </w:rPr>
      </w:pPr>
      <w:r>
        <w:rPr>
          <w:noProof/>
        </w:rPr>
        <w:t xml:space="preserve">Comisia va continua să monitorizeze și să evalueze funcționarea schemei de comercializare a certificatelor de emisii în raportul său anual privind piața carbonului, astfel cum se prevede la articolul 10 alineatul (5) din Directiva EU ETS. Aceasta va acoperi impactul actualei revizuiri a ETS. Raportul privind piața carbonului se bazează pe analiza evaluării progreselor înregistrate în ceea ce privește punerea în aplicare a Directivei EU ETS care este reglementată la articolul 21 din Directiva EU ETS, care impune statelor membre să prezinte Comisiei un raport privind aspecte precum alocarea certificatelor, funcționarea registrului, aplicarea monitorizării și raportării, verificarea și acreditarea, precum și aspectele legate de conformitate. Raportul anual privind piața carbonului și rapoartele statelor membre se aplică și sectoarelor în care se extinde comercializarea certificatelor de emisii. Datele de monitorizare, de raportare și de verificare obținute prin reglementarea noilor sectoare vor constitui o sursă esențială de informații pentru Comisie în vederea evaluării progreselor înregistrate în sectoarele în cauză. </w:t>
      </w:r>
    </w:p>
    <w:p>
      <w:pPr>
        <w:rPr>
          <w:noProof/>
        </w:rPr>
      </w:pPr>
      <w:r>
        <w:rPr>
          <w:noProof/>
        </w:rPr>
        <w:t xml:space="preserve">Se preconizează, de asemenea, că procesul integrat de guvernanță și monitorizare în temeiul Regulamentului privind guvernanța uniunii energetice și a acțiunilor climatice va asigura faptul că acțiunile legate de climă și energie la nivel european, precum și cele de la nivel regional, național și local, inclusiv ETS, contribuie la obiectivele UE privind neutralitatea climatică și uniunea energetică. Mai mulți analiști de piață urmăresc îndeaproape diverse aspecte ale pieței carbonului și ale funcționării acesteia, iar Comisia va continua să monitorizeze această activitate. </w:t>
      </w:r>
    </w:p>
    <w:p>
      <w:pPr>
        <w:rPr>
          <w:noProof/>
        </w:rPr>
      </w:pPr>
      <w:r>
        <w:rPr>
          <w:noProof/>
        </w:rPr>
        <w:t xml:space="preserve">Prin contacte periodice cu părțile interesate, Comisia este atentă la opiniile și preocupările acestora cu privire la funcționarea ETS. Aspectele legate de ETS sunt discutate în cadrul unui forum dedicat, Grupul de experți privind schimbările climatice (CCEG), care reunește autoritățile competente ale statelor membre, părțile interesate (asociații industriale și ONG-uri) și Comisia. În diferitele sale formațiuni, CCEG discută, printre alte aspecte, punerea în aplicare a alocării cu titlu gratuit, licitarea și aspecte legate de funcționarea registrului Uniunii. Actualizarea normelor privind indicii de referință a fost și va continua să fie prezentată și discutată în cadrul formațiunii CCEG dedicate alocării cu titlu gratuit. În plus, Forumul privind conformitatea cu ETS oferă autorităților competente din toate țările ETS (cele 27 de state membre, Norvegia, Islanda și Liechtenstein) o platformă pentru schimbul de informații, învățare și experiență, care conduce la punerea în aplicare eficace a ETS. Forumul organizează evenimente specifice, cum ar fi Conferința Forumului pentru conformitate, organizată anual și menită să facă schimb de experiență și să faciliteze dialogul între autoritățile competente ale statelor membre, precum și grupurile operative dedicate subiectelor specifice și evenimentelor de formare. Organismele naționale de acreditare și verificatorii sunt uneori invitați să participe la activitățile Forumului privind conformitatea cu ETS, după caz. </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Explicarea detaliată a dispozițiilor specifice ale propunerii</w:t>
      </w:r>
    </w:p>
    <w:p>
      <w:pPr>
        <w:pBdr>
          <w:top w:val="nil"/>
          <w:left w:val="nil"/>
          <w:bottom w:val="nil"/>
          <w:right w:val="nil"/>
          <w:between w:val="nil"/>
          <w:bar w:val="nil"/>
        </w:pBdr>
        <w:spacing w:before="0" w:after="240"/>
        <w:rPr>
          <w:noProof/>
        </w:rPr>
      </w:pPr>
      <w:r>
        <w:rPr>
          <w:noProof/>
        </w:rPr>
        <w:t xml:space="preserve">Prezenta propunere modifică articolul 10a în ceea ce privește stabilirea valorilor revizuite pentru valorile de referință pentru căldură și combustibil până în 2030. Principalele modificări introduse sunt următoarele: </w:t>
      </w:r>
    </w:p>
    <w:p>
      <w:pPr>
        <w:pBdr>
          <w:top w:val="nil"/>
          <w:left w:val="nil"/>
          <w:bottom w:val="nil"/>
          <w:right w:val="nil"/>
          <w:between w:val="nil"/>
          <w:bar w:val="nil"/>
        </w:pBdr>
        <w:spacing w:before="0" w:after="240"/>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r>
        <w:rPr>
          <w:noProof/>
        </w:rPr>
        <w:t>Propunerea prevede ajustarea ratei maxime anuale de actualizare care trebuie aplicată valorilor de referință pentru căldură și combustibil în vederea actualizării de către Comisie a acestor valori de referință până în 2030. În acest caz, valoarea ratei procentuale ajustate care urmează să fie aplicată va reflecta cea mai mare ajustare ascendentă posibilă a nivelurilor de alocare cu titlu gratuit determinate de valorile de referință pentru căldură și combustibil prin utilizarea integrală a certificatelor disponibile care pot fi alocate cu titlu gratuit pentru perioada 2026-2030, care se ridică la aproximativ 80 de milioane de certificate, fără a declanșa, în același timp, aplicarea factorului de corecție transsectorial. Rata minimă de actualizare rămâne neschimbată. Perioadele de referință, seturile de date și metodologia generală de actualizare a valorilor de referință rămân neschimbate. Valorile de referință vor fi ajustate pentru perioada 2027-2030. Ajustarea nivelurilor alocării cu titlu gratuit pentru anul 2026 va fi pusă în aplicare printr-o actualizare a valorilor de referință pentru anul 2027, aplicând o valoare maximă a ratei procentuale actualizate care utilizează 40 % din cuantumul suplimentar menționat la articolul 10a alineatul (5a) și garantează că nu se aplică nicio reducere în temeiul articolului 10a alineatul (5).</w:t>
      </w:r>
      <w:r>
        <w:rPr>
          <w:noProof/>
        </w:rPr>
        <w:tab/>
        <w:t xml:space="preserve"> </w:t>
      </w:r>
    </w:p>
    <w:p>
      <w:pPr>
        <w:pStyle w:val="Rfrenceinterinstitutionnelle"/>
        <w:rPr>
          <w:noProof/>
        </w:rPr>
      </w:pPr>
      <w:r>
        <w:rPr>
          <w:noProof/>
        </w:rPr>
        <w:t>2026/0211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r>
        <w:rPr>
          <w:noProof/>
        </w:rPr>
        <w:t>de modificare a Directivei 2003/87/CE în ceea ce privește valorile de referință revizuite pentru căldura și combustibilul de referință pentru perioada 2026-2030</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192 alineatul (1),</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7"/>
      </w:r>
      <w:r>
        <w:rPr>
          <w:noProof/>
        </w:rPr>
        <w:t xml:space="preserve">, </w:t>
      </w:r>
    </w:p>
    <w:p>
      <w:pPr>
        <w:rPr>
          <w:noProof/>
        </w:rPr>
      </w:pPr>
      <w:r>
        <w:rPr>
          <w:noProof/>
        </w:rPr>
        <w:t>având în vedere avizul Comitetului Regiunilor</w:t>
      </w:r>
      <w:r>
        <w:rPr>
          <w:rStyle w:val="FootnoteReference"/>
          <w:noProof/>
        </w:rPr>
        <w:footnoteReference w:id="8"/>
      </w:r>
      <w:r>
        <w:rPr>
          <w:noProof/>
        </w:rPr>
        <w:t xml:space="preserve">, </w:t>
      </w:r>
    </w:p>
    <w:p>
      <w:pPr>
        <w:rPr>
          <w:noProof/>
        </w:rPr>
      </w:pPr>
      <w:r>
        <w:rPr>
          <w:noProof/>
        </w:rPr>
        <w:t>hotărând în conformitate cu procedura legislativă ordinară,</w:t>
      </w:r>
    </w:p>
    <w:p>
      <w:pPr>
        <w:rPr>
          <w:noProof/>
        </w:rPr>
      </w:pPr>
      <w:r>
        <w:rPr>
          <w:noProof/>
        </w:rPr>
        <w:t>întrucât:</w:t>
      </w:r>
    </w:p>
    <w:p>
      <w:pPr>
        <w:pStyle w:val="ManualConsidrant"/>
        <w:rPr>
          <w:noProof/>
        </w:rPr>
      </w:pPr>
      <w:r>
        <w:rPr>
          <w:noProof/>
        </w:rPr>
        <w:t>(1)</w:t>
      </w:r>
      <w:r>
        <w:rPr>
          <w:noProof/>
        </w:rPr>
        <w:tab/>
        <w:t xml:space="preserve">Alocarea cu titlu gratuit pentru instalațiile din schema de comercializare a certificatelor de emisii de gaze cu efect de seră în cadrul Uniunii (EU ETS) se stabilește pe baza unor valori de referință armonizate la nivelul Uniunii, care reflectă performanța celor mai eficiente instalații. Referințele </w:t>
      </w:r>
      <w:r>
        <w:rPr>
          <w:i/>
          <w:noProof/>
        </w:rPr>
        <w:t xml:space="preserve">ex ante </w:t>
      </w:r>
      <w:r>
        <w:rPr>
          <w:noProof/>
        </w:rPr>
        <w:t>la nivelul Uniunii sunt stabilite în anexa I la Regulamentul delegat (UE) 2019/331 al Comisiei</w:t>
      </w:r>
      <w:r>
        <w:rPr>
          <w:rStyle w:val="FootnoteReference"/>
          <w:noProof/>
        </w:rPr>
        <w:footnoteReference w:id="9"/>
      </w:r>
      <w:r>
        <w:rPr>
          <w:noProof/>
        </w:rPr>
        <w:t>. Comisia actualizează valorile de referință pentru fiecare perioadă de cinci ani pentru alocarea cu titlu gratuit menționată la articolul 11 din Directiva 2003/87/CE în conformitate cu normele prevăzute la articolul 10a din directiva respectivă.</w:t>
      </w:r>
    </w:p>
    <w:p>
      <w:pPr>
        <w:pStyle w:val="ManualConsidrant"/>
        <w:rPr>
          <w:noProof/>
        </w:rPr>
      </w:pPr>
      <w:r>
        <w:rPr>
          <w:noProof/>
        </w:rPr>
        <w:t>(2)</w:t>
      </w:r>
      <w:r>
        <w:rPr>
          <w:noProof/>
        </w:rPr>
        <w:tab/>
        <w:t>Pentru a răspunde preocupărilor exprimate de anumite sectoare industriale în contextul actualizării valorilor de referință până în 2030 și pentru a oferi o protecție suplimentară împotriva riscului de relocare a emisiilor de dioxid de carbon, ar trebui majorată cantitatea de certificate care urmează să fie alocate cu titlu gratuit pentru perioada 2026-2030, determinată pe baza referințelor pentru căldură și combustibil („valori de referință alternative”). În acest scop, este oportun să se ajusteze rata maximă anuală de actualizare aplicată pentru valorile de referință alternative prin utilizarea tuturor certificatelor disponibile pentru alocarea cu titlu gratuit în perioada 2026-2030, astfel cum se prevede în Decizia XXX a Comisiei</w:t>
      </w:r>
      <w:r>
        <w:rPr>
          <w:rStyle w:val="FootnoteReference"/>
          <w:noProof/>
        </w:rPr>
        <w:footnoteReference w:id="10"/>
      </w:r>
      <w:r>
        <w:rPr>
          <w:noProof/>
        </w:rPr>
        <w:t xml:space="preserve"> [Decizia CSCF], care se ridică la aproximativ 80 de milioane de certificate. În conformitate cu caracterul specific al acestei ajustări și cu normele prevăzute în Regulamentul delegat (UE) 2019/331 al Comisiei privind stabilirea cantității anuale de certificate alocate cu titlu gratuit instalațiilor, alocarea suplimentară cu titlu gratuit care rezultă din ajustare ar trebui să vizeze numai cantitățile determinate de valorile de referință alternative. </w:t>
      </w:r>
    </w:p>
    <w:p>
      <w:pPr>
        <w:pStyle w:val="ManualConsidrant"/>
        <w:rPr>
          <w:noProof/>
        </w:rPr>
      </w:pPr>
      <w:r>
        <w:rPr>
          <w:noProof/>
        </w:rPr>
        <w:t>(3)</w:t>
      </w:r>
      <w:r>
        <w:rPr>
          <w:noProof/>
        </w:rPr>
        <w:tab/>
        <w:t>Pentru a evita o sarcină administrativă inutilă pentru operatori și autoritățile publice legată de ajustările deciziilor de alocare cu titlu gratuit și de transferul certificatelor în conturile operatorilor, valorile de referință ar trebui ajustate pentru perioada 2027-2030, în timp ce cantitățile suplimentare de alocări cu titlu gratuit pentru anul 2026 ar trebui să fie puse la dispoziție împreună cu alocarea cu titlu gratuit pentru anul 2027. Pentru a se asigura că se acordă suficient timp pentru a reflecta această ajustare în contextul Regulamentului (UE) 2023/956 al Parlamentului European și al Consiliului</w:t>
      </w:r>
      <w:r>
        <w:rPr>
          <w:rStyle w:val="FootnoteReference"/>
          <w:noProof/>
        </w:rPr>
        <w:footnoteReference w:id="11"/>
      </w:r>
      <w:r>
        <w:rPr>
          <w:noProof/>
        </w:rPr>
        <w:t>, ajustarea rezultată a nivelurilor de alocare cu titlu gratuit pentru anul 2026 ar trebui pusă în aplicare prin actualizarea corespunzătoare a valorilor de referință pentru anul 2027.</w:t>
      </w:r>
    </w:p>
    <w:p>
      <w:pPr>
        <w:pStyle w:val="ManualConsidrant"/>
        <w:rPr>
          <w:noProof/>
        </w:rPr>
      </w:pPr>
      <w:r>
        <w:rPr>
          <w:noProof/>
        </w:rPr>
        <w:t>(4)</w:t>
      </w:r>
      <w:r>
        <w:rPr>
          <w:noProof/>
        </w:rPr>
        <w:tab/>
        <w:t xml:space="preserve">Pentru a menține condiții de concurență echitabile și a preveni efectele negative asupra alocării cu titlu gratuit determinate pe baza valorilor de referință pentru produse, este necesar să se asigure că valoarea ratei procentuale ajustate pentru rata maximă anuală de actualizare utilizată pentru a determina valorile de referință alternative până în 2030 nu declanșează aplicarea factorului de corecție transsectorial în temeiul articolului 10a alineatul (5) din Directiva 2003/87/CE. </w:t>
      </w:r>
    </w:p>
    <w:p>
      <w:pPr>
        <w:pStyle w:val="ManualConsidrant"/>
        <w:rPr>
          <w:noProof/>
        </w:rPr>
      </w:pPr>
      <w:r>
        <w:rPr>
          <w:noProof/>
        </w:rPr>
        <w:t>(5)</w:t>
      </w:r>
      <w:r>
        <w:rPr>
          <w:noProof/>
        </w:rPr>
        <w:tab/>
        <w:t xml:space="preserve">Pentru a stimula și mai mult decarbonizarea, este oportun ca rata maximă de actualizare existentă pentru valorile de referință alternative stabilite în temeiul articolului 10a alineatul (2) al treilea paragraf litera (d) din Directiva 2003/87/CE pentru perioada 2026-2030 să se aplice în continuare </w:t>
      </w:r>
      <w:r>
        <w:rPr>
          <w:noProof/>
          <w:color w:val="000000" w:themeColor="text1"/>
        </w:rPr>
        <w:t>instalațiilor care desfășoară activități petroliere și gaziere, inclusiv în ceea ce privește cantitățile de certificate alocate cu titlu gratuit stabilite pe baza valorilor de referință alternative</w:t>
      </w:r>
      <w:r>
        <w:rPr>
          <w:noProof/>
        </w:rPr>
        <w:t xml:space="preserve">. Pentru a operaționaliza în continuare tratamentul diferențiat între activitățile petroliere și gaziere și alte activități cărora li se aplică valorile de referință alternative, Comisia ar trebui să stabilească subcriteriile de referință sectoriale corespunzătoare în cadrul referințelor </w:t>
      </w:r>
      <w:r>
        <w:rPr>
          <w:i/>
          <w:noProof/>
        </w:rPr>
        <w:t xml:space="preserve">ex ante </w:t>
      </w:r>
      <w:r>
        <w:rPr>
          <w:noProof/>
        </w:rPr>
        <w:t>pentru căldură și combustibil pentru activitățile încadrate la codurile NACE 0610, 0620, 1920 și 4950 prevăzute în anexa I la Regulamentul (CE) nr. 1893/2006 al Parlamentului European și al Consiliului</w:t>
      </w:r>
      <w:r>
        <w:rPr>
          <w:rStyle w:val="FootnoteReference"/>
          <w:noProof/>
        </w:rPr>
        <w:footnoteReference w:id="12"/>
      </w:r>
      <w:r>
        <w:rPr>
          <w:noProof/>
        </w:rPr>
        <w:t>.</w:t>
      </w:r>
    </w:p>
    <w:p>
      <w:pPr>
        <w:pStyle w:val="ManualConsidrant"/>
        <w:rPr>
          <w:noProof/>
        </w:rPr>
      </w:pPr>
      <w:r>
        <w:rPr>
          <w:noProof/>
        </w:rPr>
        <w:t>(6)</w:t>
      </w:r>
      <w:r>
        <w:rPr>
          <w:noProof/>
        </w:rPr>
        <w:tab/>
        <w:t xml:space="preserve">Prin urmare, Directiva 2003/87/CE ar trebui să fie modificată în consecință. </w:t>
      </w:r>
    </w:p>
    <w:p>
      <w:pPr>
        <w:pStyle w:val="ManualConsidrant"/>
        <w:rPr>
          <w:noProof/>
          <w:color w:val="000000" w:themeColor="text1"/>
        </w:rPr>
      </w:pPr>
      <w:r>
        <w:rPr>
          <w:noProof/>
        </w:rPr>
        <w:t>(7)</w:t>
      </w:r>
      <w:r>
        <w:rPr>
          <w:noProof/>
        </w:rPr>
        <w:tab/>
      </w:r>
      <w:r>
        <w:rPr>
          <w:noProof/>
          <w:color w:val="000000" w:themeColor="text1"/>
        </w:rPr>
        <w:t>Pentru a asigura o creștere rapidă a nivelurilor de alocare cu titlu gratuit stabilite pe baza valorilor de referință alternative care reflectă valoarea revizuită a ratei maxime anuale de actualizare și pentru a se asigura că respectivele cantități suplimentare sunt puse la dispoziție începând cu stabilirea alocării cu titlu gratuit pentru anul 2027, prezentul regulament ar trebui să abordeze exclusiv alocările în cadrul acestor criterii de referință în limita cantității de certificate disponibile și să intre în vigoare în a treia zi de la data publicării sale,</w:t>
      </w:r>
    </w:p>
    <w:p>
      <w:pPr>
        <w:pStyle w:val="Formuledadoption"/>
        <w:rPr>
          <w:noProof/>
        </w:rPr>
      </w:pPr>
      <w:r>
        <w:rPr>
          <w:noProof/>
        </w:rPr>
        <w:t>ADOPTĂ PREZENTA DIRECTIVĂ:</w:t>
      </w:r>
    </w:p>
    <w:p>
      <w:pPr>
        <w:pStyle w:val="Titrearticle"/>
        <w:rPr>
          <w:noProof/>
        </w:rPr>
      </w:pPr>
      <w:r>
        <w:rPr>
          <w:noProof/>
        </w:rPr>
        <w:t>Articolul 1</w:t>
      </w:r>
    </w:p>
    <w:p>
      <w:pPr>
        <w:jc w:val="center"/>
        <w:rPr>
          <w:b/>
          <w:bCs/>
          <w:noProof/>
        </w:rPr>
      </w:pPr>
      <w:r>
        <w:rPr>
          <w:b/>
          <w:noProof/>
        </w:rPr>
        <w:t>Modificarea Directivei 2003/87/CE</w:t>
      </w:r>
    </w:p>
    <w:p>
      <w:pPr>
        <w:rPr>
          <w:noProof/>
        </w:rPr>
      </w:pPr>
      <w:r>
        <w:rPr>
          <w:noProof/>
        </w:rPr>
        <w:t>Directiva 2003/87/CE se modifică după cum urmează:</w:t>
      </w:r>
    </w:p>
    <w:p>
      <w:pPr>
        <w:pStyle w:val="Point0"/>
        <w:rPr>
          <w:noProof/>
        </w:rPr>
      </w:pPr>
      <w:r>
        <w:rPr>
          <w:noProof/>
        </w:rPr>
        <w:t>(1)</w:t>
      </w:r>
      <w:r>
        <w:rPr>
          <w:noProof/>
        </w:rPr>
        <w:tab/>
        <w:t xml:space="preserve">la articolul 10a, după alineatul (2) se introduc următoarele alineate (2a) și (2b): </w:t>
      </w:r>
    </w:p>
    <w:p>
      <w:pPr>
        <w:pStyle w:val="Text1"/>
        <w:rPr>
          <w:noProof/>
        </w:rPr>
      </w:pPr>
      <w:r>
        <w:rPr>
          <w:noProof/>
        </w:rPr>
        <w:t xml:space="preserve">„(2a) Prin derogare de la alineatul (2) al treilea paragraf litera (d) de la prezentul articol, rata maximă anuală de reducere care urmează să fie aplicată pentru actualizarea valorilor de referință pentru căldură și combustibil pentru perioada 2027-2030 se reduce la o valoare procentuală care utilizează pe deplin cuantumul suplimentar menționat la articolul 10a alineatul (5a) și garantează că nu se aplică nicio reducere în temeiul articolului 10a alineatul (5). </w:t>
      </w:r>
    </w:p>
    <w:p>
      <w:pPr>
        <w:pStyle w:val="Text1"/>
        <w:rPr>
          <w:noProof/>
        </w:rPr>
      </w:pPr>
      <w:r>
        <w:rPr>
          <w:noProof/>
        </w:rPr>
        <w:t>În ceea ce privește actualizarea valorilor de referință pentru căldură și combustibil pentru anul 2027, rata maximă anuală de reducere care urmează să fie aplicată se reduce la o valoare procentuală care utilizează 40 % din ajustare în temeiul primului paragraf și garantează că nu se aplică nicio reducere în temeiul articolului 10a alineatul (5).</w:t>
      </w:r>
    </w:p>
    <w:p>
      <w:pPr>
        <w:pStyle w:val="Text1"/>
        <w:rPr>
          <w:noProof/>
        </w:rPr>
      </w:pPr>
      <w:r>
        <w:rPr>
          <w:noProof/>
        </w:rPr>
        <w:t>(2b) Alineatul (2a) nu se aplică alocărilor cu titlu gratuit pentru instalațiile care desfășoară activități economice încadrate la codurile NACE 0610, 0620, 1920 și 4950 prevăzute în anexa I la Regulamentul (CE) nr. 1893/2006 al Parlamentului European și al Consiliului*.</w:t>
      </w:r>
    </w:p>
    <w:p>
      <w:pPr>
        <w:pStyle w:val="Text1"/>
        <w:rPr>
          <w:noProof/>
        </w:rPr>
      </w:pPr>
      <w:r>
        <w:rPr>
          <w:noProof/>
        </w:rPr>
        <w:t>______</w:t>
      </w:r>
    </w:p>
    <w:p>
      <w:pPr>
        <w:pStyle w:val="Text1"/>
        <w:rPr>
          <w:noProof/>
        </w:rPr>
      </w:pPr>
      <w:r>
        <w:rPr>
          <w:noProof/>
        </w:rPr>
        <w:t>* Regulamentul (CE) nr. 1893/2006 al Parlamentului European și al Consiliului din 20 decembrie 2006 de stabilire a Nomenclatorului statistic al activităților economice NACE a doua revizuire și de modificare a Regulamentului (CEE) nr. 3037/90 al Consiliului, precum și a anumitor regulamente CE privind domenii statistice specifice (JO L 393, 30.12.2006, p. 1, ELI: http://data.europa.eu/eli/reg/2006/1893/oj).”.</w:t>
      </w:r>
    </w:p>
    <w:p>
      <w:pPr>
        <w:pStyle w:val="Titrearticle"/>
        <w:rPr>
          <w:noProof/>
        </w:rPr>
      </w:pPr>
      <w:r>
        <w:rPr>
          <w:noProof/>
        </w:rPr>
        <w:t>Articolul 2</w:t>
      </w:r>
    </w:p>
    <w:p>
      <w:pPr>
        <w:rPr>
          <w:noProof/>
        </w:rPr>
      </w:pPr>
      <w:r>
        <w:rPr>
          <w:noProof/>
        </w:rPr>
        <w:t xml:space="preserve">Prezentul regulament intră în vigoare în a treia zi de la data publicării în </w:t>
      </w:r>
      <w:r>
        <w:rPr>
          <w:i/>
          <w:noProof/>
        </w:rPr>
        <w:t>Jurnalul Oficial al Uniunii Europene</w:t>
      </w:r>
      <w:r>
        <w:rPr>
          <w:noProof/>
        </w:rPr>
        <w:t>.</w:t>
      </w:r>
    </w:p>
    <w:p>
      <w:pPr>
        <w:pStyle w:val="Applicationdirecte"/>
        <w:rPr>
          <w:noProof/>
        </w:rPr>
      </w:pPr>
      <w:r>
        <w:rPr>
          <w:noProof/>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i w:val="0"/>
          <w:noProof/>
        </w:rPr>
      </w:pPr>
      <w:r>
        <w:rPr>
          <w:noProof/>
        </w:rPr>
        <w:t>Președinta</w:t>
      </w:r>
      <w:r>
        <w:rPr>
          <w:noProof/>
        </w:rPr>
        <w:tab/>
        <w:t>Președintele</w:t>
      </w:r>
    </w:p>
    <w:sectPr>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Regulamentul de punere în aplicare (UE) 2026/1412 al Comisiei din 26 iunie 2026 de stabilire a valorilor de referință revizuite pentru alocarea cu titlu gratuit a certificatelor de emisii pentru perioada 2026-2030, în temeiul articolului 10a alineatul (2) din Directiva 2003/87/CE a Parlamentului European și a Consiliului, C/2026/4372 (JO L, 2026/1412, 29.6.2026, ELI: </w:t>
      </w:r>
      <w:hyperlink r:id="rId1" w:tgtFrame="_blank" w:tooltip="Oferă acces la acest document prin identificatorul său uniform de resurse ELI." w:history="1">
        <w:r>
          <w:rPr>
            <w:rStyle w:val="Hyperlink"/>
          </w:rPr>
          <w:t>http://data.europa.eu/eli/reg_impl/2026/1412/oj</w:t>
        </w:r>
      </w:hyperlink>
      <w:r>
        <w:t xml:space="preserve">). </w:t>
      </w:r>
    </w:p>
  </w:footnote>
  <w:footnote w:id="2">
    <w:p>
      <w:pPr>
        <w:pStyle w:val="FootnoteText"/>
      </w:pPr>
      <w:r>
        <w:rPr>
          <w:rStyle w:val="FootnoteReference"/>
        </w:rPr>
        <w:footnoteRef/>
      </w:r>
      <w:r>
        <w:tab/>
        <w:t>COM(2026) 616.</w:t>
      </w:r>
    </w:p>
  </w:footnote>
  <w:footnote w:id="3">
    <w:p>
      <w:pPr>
        <w:pStyle w:val="FootnoteText"/>
      </w:pPr>
      <w:r>
        <w:rPr>
          <w:rStyle w:val="FootnoteReference"/>
        </w:rPr>
        <w:footnoteRef/>
      </w:r>
      <w:r>
        <w:tab/>
        <w:t>SWD(2026) 616.</w:t>
      </w:r>
    </w:p>
  </w:footnote>
  <w:footnote w:id="4">
    <w:p>
      <w:pPr>
        <w:pStyle w:val="FootnoteText"/>
      </w:pPr>
      <w:r>
        <w:rPr>
          <w:rStyle w:val="FootnoteReference"/>
        </w:rPr>
        <w:footnoteRef/>
      </w:r>
      <w:r>
        <w:tab/>
        <w:t>COM(2026) 616.</w:t>
      </w:r>
    </w:p>
  </w:footnote>
  <w:footnote w:id="5">
    <w:p>
      <w:pPr>
        <w:pStyle w:val="FootnoteText"/>
      </w:pPr>
      <w:r>
        <w:rPr>
          <w:rStyle w:val="FootnoteReference"/>
        </w:rPr>
        <w:footnoteRef/>
      </w:r>
      <w:r>
        <w:tab/>
        <w:t>SWD(2026) 616.</w:t>
      </w:r>
    </w:p>
  </w:footnote>
  <w:footnote w:id="6">
    <w:p>
      <w:pPr>
        <w:pStyle w:val="FootnoteText"/>
      </w:pPr>
      <w:r>
        <w:rPr>
          <w:rStyle w:val="FootnoteReference"/>
        </w:rPr>
        <w:footnoteRef/>
      </w:r>
      <w:r>
        <w:tab/>
        <w:t>Regulamentul delegat (UE) 2019/331 al Comisiei din 19 decembrie 2018 de stabilire a normelor tranzitorii pentru întreaga Uniune privind alocarea armonizată și cu titlu gratuit a certificatelor de emisii în temeiul articolului 10a din Directiva 2003/87/CE a Parlamentului European și a Consiliului (JO L 59, 27.2.2019, p. 8).</w:t>
      </w:r>
    </w:p>
  </w:footnote>
  <w:footnote w:id="7">
    <w:p>
      <w:pPr>
        <w:pStyle w:val="FootnoteText"/>
      </w:pPr>
      <w:r>
        <w:rPr>
          <w:rStyle w:val="FootnoteReference"/>
        </w:rPr>
        <w:footnoteRef/>
      </w:r>
      <w:r>
        <w:tab/>
        <w:t>JO C , , p. .</w:t>
      </w:r>
    </w:p>
  </w:footnote>
  <w:footnote w:id="8">
    <w:p>
      <w:pPr>
        <w:pStyle w:val="FootnoteText"/>
      </w:pPr>
      <w:r>
        <w:rPr>
          <w:rStyle w:val="FootnoteReference"/>
        </w:rPr>
        <w:footnoteRef/>
      </w:r>
      <w:r>
        <w:tab/>
        <w:t>JO C , , p. .</w:t>
      </w:r>
    </w:p>
  </w:footnote>
  <w:footnote w:id="9">
    <w:p>
      <w:pPr>
        <w:pStyle w:val="FootnoteText"/>
      </w:pPr>
      <w:r>
        <w:rPr>
          <w:rStyle w:val="FootnoteReference"/>
        </w:rPr>
        <w:footnoteRef/>
      </w:r>
      <w:r>
        <w:tab/>
        <w:t>Regulamentul delegat (UE) 2019/331 al Comisiei din 19 decembrie 2018 de stabilire a normelor tranzitorii pentru întreaga Uniune privind alocarea armonizată și cu titlu gratuit a certificatelor de emisii în temeiul articolului 10a din Directiva 2003/87/CE a Parlamentului European și a Consiliului (JO L 59, 27.2.2019, p. 8, ELI: http://data.europa.eu/eli/reg_del/2019/331/oj).</w:t>
      </w:r>
    </w:p>
  </w:footnote>
  <w:footnote w:id="10">
    <w:p>
      <w:pPr>
        <w:pStyle w:val="FootnoteText"/>
      </w:pPr>
      <w:r>
        <w:rPr>
          <w:rStyle w:val="FootnoteReference"/>
        </w:rPr>
        <w:footnoteRef/>
      </w:r>
      <w:r>
        <w:tab/>
        <w:t>[</w:t>
      </w:r>
      <w:r>
        <w:rPr>
          <w:i/>
        </w:rPr>
        <w:t>a se introduce referința completă de îndată ce va fi disponibilă – Decizia CSCF</w:t>
      </w:r>
      <w:r>
        <w:t>].</w:t>
      </w:r>
    </w:p>
  </w:footnote>
  <w:footnote w:id="11">
    <w:p>
      <w:pPr>
        <w:pStyle w:val="FootnoteText"/>
      </w:pPr>
      <w:r>
        <w:rPr>
          <w:rStyle w:val="FootnoteReference"/>
        </w:rPr>
        <w:footnoteRef/>
      </w:r>
      <w:r>
        <w:tab/>
        <w:t>Regulamentul (UE) 2023/956 al Parlamentului European și al Consiliului din 10 mai 2023 privind instituirea unui mecanism de ajustare a carbonului la frontieră (JO L 130, 16.5.2023, p. 52).</w:t>
      </w:r>
    </w:p>
  </w:footnote>
  <w:footnote w:id="12">
    <w:p>
      <w:pPr>
        <w:pStyle w:val="FootnoteText"/>
        <w:rPr>
          <w:lang w:val="fr-FR"/>
        </w:rPr>
      </w:pPr>
      <w:r>
        <w:rPr>
          <w:rStyle w:val="FootnoteReference"/>
        </w:rPr>
        <w:footnoteRef/>
      </w:r>
      <w:r>
        <w:tab/>
        <w:t>Regulamentul (CE) nr. 1893/2006 al Parlamentului European și al Consiliului din 20 decembrie 2006 de stabilire a Nomenclatorului statistic al activităților economice NACE a doua revizuire și de modificare a Regulamentului (CEE) nr. 3037/90 al Consiliului, precum și a anumitor regulamente CE privind domenii statistice specifice (JO L 393, 30.12.2006, p. 1, ELI: http://data.europa.eu/eli/reg/2006/1893/oj).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3"/>
  </w:num>
  <w:num w:numId="18">
    <w:abstractNumId w:val="12"/>
  </w:num>
  <w:num w:numId="19">
    <w:abstractNumId w:val="26"/>
  </w:num>
  <w:num w:numId="20">
    <w:abstractNumId w:val="6"/>
  </w:num>
  <w:num w:numId="21">
    <w:abstractNumId w:val="13"/>
  </w:num>
  <w:num w:numId="22">
    <w:abstractNumId w:val="14"/>
  </w:num>
  <w:num w:numId="23">
    <w:abstractNumId w:val="4"/>
  </w:num>
  <w:num w:numId="24">
    <w:abstractNumId w:val="25"/>
  </w:num>
  <w:num w:numId="25">
    <w:abstractNumId w:val="3"/>
  </w:num>
  <w:num w:numId="26">
    <w:abstractNumId w:val="15"/>
  </w:num>
  <w:num w:numId="27">
    <w:abstractNumId w:val="21"/>
  </w:num>
  <w:num w:numId="28">
    <w:abstractNumId w:val="22"/>
  </w:num>
  <w:num w:numId="29">
    <w:abstractNumId w:val="5"/>
  </w:num>
  <w:num w:numId="30">
    <w:abstractNumId w:val="19"/>
  </w:num>
  <w:num w:numId="31">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8 15:08: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213E62D-8899-4B80-9D26-665896937A09"/>
    <w:docVar w:name="LW_COVERPAGE_TYPE" w:val="1"/>
    <w:docVar w:name="LW_CreatedUtc" w:val="2026-06-18T13:58:22.9200986Z"/>
    <w:docVar w:name="LW_CROSSREFERENCE" w:val="{SEC(2026) 616 final} - {SWD(2026) 616 final} - {SWD(2026) 617 final} - {SWD(2026) 618 final}"/>
    <w:docVar w:name="LW_DocType" w:val="COM"/>
    <w:docVar w:name="LW_EMISSION" w:val="17.7.2026"/>
    <w:docVar w:name="LW_EMISSION_ISODATE" w:val="2026-07-17"/>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11"/>
    <w:docVar w:name="LW_REF.II.NEW.CP_YEAR" w:val="2026"/>
    <w:docVar w:name="LW_REF.INST.NEW" w:val="COM"/>
    <w:docVar w:name="LW_REF.INST.NEW_ADOPTED" w:val="final"/>
    <w:docVar w:name="LW_REF.INST.NEW_TEXT" w:val="(2026) 61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irectivei 2003/87/CE în ceea ce prive\u537?te valorile de referin\u539?\u259? revizuite pentru c\u259?ldura \u537?i combustibilul de referin\u539?\u259? pentru perioada 2026-2030"/>
    <w:docVar w:name="LW_TYPE.DOC.CP" w:val="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A311CB1-5894-4B5A-9744-89475F52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ind w:left="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Text0">
    <w:name w:val="Text 0"/>
    <w:basedOn w:val="Fait"/>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7"/>
      </w:numPr>
    </w:pPr>
  </w:style>
  <w:style w:type="paragraph" w:customStyle="1" w:styleId="Tiret1">
    <w:name w:val="Tiret 1"/>
    <w:basedOn w:val="Point1"/>
    <w:pPr>
      <w:numPr>
        <w:numId w:val="18"/>
      </w:numPr>
    </w:pPr>
  </w:style>
  <w:style w:type="paragraph" w:customStyle="1" w:styleId="Tiret2">
    <w:name w:val="Tiret 2"/>
    <w:basedOn w:val="Point2"/>
    <w:pPr>
      <w:numPr>
        <w:numId w:val="19"/>
      </w:numPr>
    </w:pPr>
  </w:style>
  <w:style w:type="paragraph" w:customStyle="1" w:styleId="Tiret3">
    <w:name w:val="Tiret 3"/>
    <w:basedOn w:val="Point3"/>
    <w:pPr>
      <w:numPr>
        <w:numId w:val="20"/>
      </w:numPr>
    </w:pPr>
  </w:style>
  <w:style w:type="paragraph" w:customStyle="1" w:styleId="Tiret4">
    <w:name w:val="Tiret 4"/>
    <w:basedOn w:val="Point4"/>
    <w:pPr>
      <w:numPr>
        <w:numId w:val="21"/>
      </w:numPr>
    </w:pPr>
  </w:style>
  <w:style w:type="paragraph" w:customStyle="1" w:styleId="Tiret5">
    <w:name w:val="Tiret 5"/>
    <w:basedOn w:val="Point5"/>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NumPar5">
    <w:name w:val="NumPar 5"/>
    <w:basedOn w:val="Normal"/>
    <w:next w:val="Text2"/>
    <w:pPr>
      <w:numPr>
        <w:ilvl w:val="4"/>
        <w:numId w:val="23"/>
      </w:numPr>
    </w:pPr>
  </w:style>
  <w:style w:type="paragraph" w:customStyle="1" w:styleId="NumPar6">
    <w:name w:val="NumPar 6"/>
    <w:basedOn w:val="Normal"/>
    <w:next w:val="Text2"/>
    <w:pPr>
      <w:numPr>
        <w:ilvl w:val="5"/>
        <w:numId w:val="23"/>
      </w:numPr>
    </w:pPr>
  </w:style>
  <w:style w:type="paragraph" w:customStyle="1" w:styleId="NumPar7">
    <w:name w:val="NumPar 7"/>
    <w:basedOn w:val="Normal"/>
    <w:next w:val="Text2"/>
    <w:pPr>
      <w:numPr>
        <w:ilvl w:val="6"/>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32255">
      <w:bodyDiv w:val="1"/>
      <w:marLeft w:val="0"/>
      <w:marRight w:val="0"/>
      <w:marTop w:val="0"/>
      <w:marBottom w:val="0"/>
      <w:divBdr>
        <w:top w:val="none" w:sz="0" w:space="0" w:color="auto"/>
        <w:left w:val="none" w:sz="0" w:space="0" w:color="auto"/>
        <w:bottom w:val="none" w:sz="0" w:space="0" w:color="auto"/>
        <w:right w:val="none" w:sz="0" w:space="0" w:color="auto"/>
      </w:divBdr>
      <w:divsChild>
        <w:div w:id="580220229">
          <w:marLeft w:val="0"/>
          <w:marRight w:val="0"/>
          <w:marTop w:val="0"/>
          <w:marBottom w:val="0"/>
          <w:divBdr>
            <w:top w:val="none" w:sz="0" w:space="0" w:color="auto"/>
            <w:left w:val="none" w:sz="0" w:space="0" w:color="auto"/>
            <w:bottom w:val="none" w:sz="0" w:space="0" w:color="auto"/>
            <w:right w:val="none" w:sz="0" w:space="0" w:color="auto"/>
          </w:divBdr>
        </w:div>
      </w:divsChild>
    </w:div>
    <w:div w:id="742140336">
      <w:bodyDiv w:val="1"/>
      <w:marLeft w:val="0"/>
      <w:marRight w:val="0"/>
      <w:marTop w:val="0"/>
      <w:marBottom w:val="0"/>
      <w:divBdr>
        <w:top w:val="none" w:sz="0" w:space="0" w:color="auto"/>
        <w:left w:val="none" w:sz="0" w:space="0" w:color="auto"/>
        <w:bottom w:val="none" w:sz="0" w:space="0" w:color="auto"/>
        <w:right w:val="none" w:sz="0" w:space="0" w:color="auto"/>
      </w:divBdr>
    </w:div>
    <w:div w:id="1012495198">
      <w:bodyDiv w:val="1"/>
      <w:marLeft w:val="0"/>
      <w:marRight w:val="0"/>
      <w:marTop w:val="0"/>
      <w:marBottom w:val="0"/>
      <w:divBdr>
        <w:top w:val="none" w:sz="0" w:space="0" w:color="auto"/>
        <w:left w:val="none" w:sz="0" w:space="0" w:color="auto"/>
        <w:bottom w:val="none" w:sz="0" w:space="0" w:color="auto"/>
        <w:right w:val="none" w:sz="0" w:space="0" w:color="auto"/>
      </w:divBdr>
      <w:divsChild>
        <w:div w:id="626547887">
          <w:marLeft w:val="0"/>
          <w:marRight w:val="0"/>
          <w:marTop w:val="0"/>
          <w:marBottom w:val="0"/>
          <w:divBdr>
            <w:top w:val="none" w:sz="0" w:space="0" w:color="auto"/>
            <w:left w:val="none" w:sz="0" w:space="0" w:color="auto"/>
            <w:bottom w:val="none" w:sz="0" w:space="0" w:color="auto"/>
            <w:right w:val="none" w:sz="0" w:space="0" w:color="auto"/>
          </w:divBdr>
        </w:div>
      </w:divsChild>
    </w:div>
    <w:div w:id="158729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6/14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6" ma:contentTypeDescription="Create a new document." ma:contentTypeScope="" ma:versionID="470d8f5a0e2649bc1ba8d1eaacf771f3">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21aa949f1cab36095077bc5b72d4f6ab"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0e140be-f9b6-4bd6-b388-7ba915c0e24f}"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F5CC5A-29E4-4851-BB97-88D950D4B440}">
  <ds:schemaRefs>
    <ds:schemaRef ds:uri="http://schemas.openxmlformats.org/officeDocument/2006/bibliography"/>
  </ds:schemaRefs>
</ds:datastoreItem>
</file>

<file path=customXml/itemProps2.xml><?xml version="1.0" encoding="utf-8"?>
<ds:datastoreItem xmlns:ds="http://schemas.openxmlformats.org/officeDocument/2006/customXml" ds:itemID="{FE446957-9607-4C0E-9482-4C9EC44BF41E}">
  <ds:schemaRefs>
    <ds:schemaRef ds:uri="http://schemas.microsoft.com/office/2006/metadata/properties"/>
    <ds:schemaRef ds:uri="http://schemas.microsoft.com/office/infopath/2007/PartnerControls"/>
    <ds:schemaRef ds:uri="541a8a8b-b856-4d35-a5c7-7f2c0ec3d499"/>
    <ds:schemaRef ds:uri="e0757b53-df10-4b98-9811-094c4c3e23a8"/>
  </ds:schemaRefs>
</ds:datastoreItem>
</file>

<file path=customXml/itemProps3.xml><?xml version="1.0" encoding="utf-8"?>
<ds:datastoreItem xmlns:ds="http://schemas.openxmlformats.org/officeDocument/2006/customXml" ds:itemID="{D542E686-54F7-4FA8-8656-693606BC4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29C51B-BB6A-4E27-8F74-4D5912C5093D}">
  <ds:schemaRefs>
    <ds:schemaRef ds:uri="http://schemas.microsoft.com/sharepoint/v3/contenttype/forms"/>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26</TotalTime>
  <Pages>5</Pages>
  <Words>3679</Words>
  <Characters>20974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24604</CharactersWithSpaces>
  <SharedDoc>false</SharedDoc>
  <HLinks>
    <vt:vector size="24" baseType="variant">
      <vt:variant>
        <vt:i4>1703987</vt:i4>
      </vt:variant>
      <vt:variant>
        <vt:i4>0</vt:i4>
      </vt:variant>
      <vt:variant>
        <vt:i4>0</vt:i4>
      </vt:variant>
      <vt:variant>
        <vt:i4>5</vt:i4>
      </vt:variant>
      <vt:variant>
        <vt:lpwstr>http://data.europa.eu/eli/reg_impl/2026/1412/oj</vt:lpwstr>
      </vt:variant>
      <vt:variant>
        <vt:lpwstr/>
      </vt:variant>
      <vt:variant>
        <vt:i4>2031633</vt:i4>
      </vt:variant>
      <vt:variant>
        <vt:i4>6</vt:i4>
      </vt:variant>
      <vt:variant>
        <vt:i4>0</vt:i4>
      </vt:variant>
      <vt:variant>
        <vt:i4>5</vt:i4>
      </vt:variant>
      <vt:variant>
        <vt:lpwstr>https://webgate.ec.europa.eu/fpfis/wikis/spaces/dap/pages/343284622/Date+of+entry+into+force</vt:lpwstr>
      </vt:variant>
      <vt:variant>
        <vt:lpwstr/>
      </vt:variant>
      <vt:variant>
        <vt:i4>2031633</vt:i4>
      </vt:variant>
      <vt:variant>
        <vt:i4>3</vt:i4>
      </vt:variant>
      <vt:variant>
        <vt:i4>0</vt:i4>
      </vt:variant>
      <vt:variant>
        <vt:i4>5</vt:i4>
      </vt:variant>
      <vt:variant>
        <vt:lpwstr>https://webgate.ec.europa.eu/fpfis/wikis/spaces/dap/pages/343284622/Date+of+entry+into+force</vt:lpwstr>
      </vt:variant>
      <vt:variant>
        <vt:lpwstr/>
      </vt:variant>
      <vt:variant>
        <vt:i4>3145758</vt:i4>
      </vt:variant>
      <vt:variant>
        <vt:i4>0</vt:i4>
      </vt:variant>
      <vt:variant>
        <vt:i4>0</vt:i4>
      </vt:variant>
      <vt:variant>
        <vt:i4>5</vt:i4>
      </vt:variant>
      <vt:variant>
        <vt:lpwstr>mailto:Claire.FABRE@ec.europa.eu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24</cp:revision>
  <dcterms:created xsi:type="dcterms:W3CDTF">2026-07-17T09:58:00Z</dcterms:created>
  <dcterms:modified xsi:type="dcterms:W3CDTF">2026-09-08T13:08:00Z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2026-06-18T22:17:24Z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850f71ae-7c57-4b5b-a5a9-7549caec9f4b</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0x010100087E4EC354ADFB40AC5D4FC129E379BA</vt:lpwstr>
  </property>
  <property fmtid="{D5CDD505-2E9C-101B-9397-08002B2CF9AE}" pid="19" name="MediaServiceImageTags">
    <vt:lpwstr/>
  </property>
  <property fmtid="{D5CDD505-2E9C-101B-9397-08002B2CF9AE}" pid="20" name="DQCStatus">
    <vt:lpwstr>Green (DQC version 03)</vt:lpwstr>
  </property>
</Properties>
</file>