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ADC76" w14:textId="65BBB5EC" w:rsidR="00545584" w:rsidRDefault="007F5918" w:rsidP="007F5918">
      <w:pPr>
        <w:pStyle w:val="Pagedecouverture"/>
        <w:rPr>
          <w:noProof/>
        </w:rPr>
      </w:pPr>
      <w:bookmarkStart w:id="0" w:name="LW_BM_COVERPAGE"/>
      <w:r>
        <w:rPr>
          <w:noProof/>
        </w:rPr>
        <w:pict w14:anchorId="56855F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F4E9C8-3AD4-4D66-962C-E61B08795B43" style="width:455.25pt;height:300pt">
            <v:imagedata r:id="rId7" o:title=""/>
          </v:shape>
        </w:pict>
      </w:r>
    </w:p>
    <w:bookmarkEnd w:id="0"/>
    <w:p w14:paraId="1144649B" w14:textId="77777777" w:rsidR="00545584" w:rsidRDefault="00545584" w:rsidP="00545584">
      <w:pPr>
        <w:rPr>
          <w:noProof/>
        </w:rPr>
        <w:sectPr w:rsidR="00545584" w:rsidSect="007F591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22558F5C" w14:textId="77777777" w:rsidR="006519A5" w:rsidRPr="00F44479" w:rsidRDefault="006519A5" w:rsidP="006519A5">
      <w:pPr>
        <w:jc w:val="both"/>
        <w:rPr>
          <w:rFonts w:ascii="Times New Roman" w:hAnsi="Times New Roman" w:cs="Times New Roman"/>
          <w:b/>
          <w:bCs/>
          <w:noProof/>
        </w:rPr>
      </w:pPr>
      <w:bookmarkStart w:id="1" w:name="_GoBack"/>
      <w:bookmarkEnd w:id="1"/>
      <w:r w:rsidRPr="00617DD8">
        <w:rPr>
          <w:rFonts w:ascii="Times New Roman" w:hAnsi="Times New Roman"/>
          <w:b/>
          <w:noProof/>
        </w:rPr>
        <w:lastRenderedPageBreak/>
        <w:t>1</w:t>
      </w:r>
      <w:r>
        <w:rPr>
          <w:rFonts w:ascii="Times New Roman" w:hAnsi="Times New Roman"/>
          <w:b/>
          <w:noProof/>
        </w:rPr>
        <w:t>. Introducere</w:t>
      </w:r>
    </w:p>
    <w:p w14:paraId="47698494" w14:textId="48DE8B9F" w:rsidR="006519A5" w:rsidRPr="000A244F" w:rsidRDefault="006519A5" w:rsidP="006519A5">
      <w:pPr>
        <w:jc w:val="both"/>
        <w:rPr>
          <w:rFonts w:ascii="Times New Roman" w:hAnsi="Times New Roman" w:cs="Times New Roman"/>
          <w:noProof/>
        </w:rPr>
      </w:pPr>
      <w:r>
        <w:rPr>
          <w:rFonts w:ascii="Times New Roman" w:hAnsi="Times New Roman"/>
          <w:noProof/>
        </w:rPr>
        <w:t xml:space="preserve">Directiva </w:t>
      </w:r>
      <w:r w:rsidRPr="00617DD8">
        <w:rPr>
          <w:rFonts w:ascii="Times New Roman" w:hAnsi="Times New Roman"/>
          <w:noProof/>
        </w:rPr>
        <w:t>2006</w:t>
      </w:r>
      <w:r>
        <w:rPr>
          <w:rFonts w:ascii="Times New Roman" w:hAnsi="Times New Roman"/>
          <w:noProof/>
        </w:rPr>
        <w:t>/</w:t>
      </w:r>
      <w:r w:rsidRPr="00617DD8">
        <w:rPr>
          <w:rFonts w:ascii="Times New Roman" w:hAnsi="Times New Roman"/>
          <w:noProof/>
        </w:rPr>
        <w:t>22</w:t>
      </w:r>
      <w:r>
        <w:rPr>
          <w:rFonts w:ascii="Times New Roman" w:hAnsi="Times New Roman"/>
          <w:noProof/>
        </w:rPr>
        <w:t>/CE (denumită în continuare „directiva”)</w:t>
      </w:r>
      <w:r>
        <w:rPr>
          <w:rFonts w:ascii="Times New Roman" w:hAnsi="Times New Roman" w:cs="Times New Roman"/>
          <w:noProof/>
          <w:vertAlign w:val="superscript"/>
        </w:rPr>
        <w:footnoteReference w:id="1"/>
      </w:r>
      <w:r>
        <w:rPr>
          <w:rFonts w:ascii="Times New Roman" w:hAnsi="Times New Roman"/>
          <w:noProof/>
        </w:rPr>
        <w:t xml:space="preserve"> a fost adoptată pentru a stabili condițiile minime pentru punerea în aplicare a Regulamentelor (CE) nr. </w:t>
      </w:r>
      <w:r w:rsidRPr="00617DD8">
        <w:rPr>
          <w:rFonts w:ascii="Times New Roman" w:hAnsi="Times New Roman"/>
          <w:noProof/>
        </w:rPr>
        <w:t>561</w:t>
      </w:r>
      <w:r>
        <w:rPr>
          <w:rFonts w:ascii="Times New Roman" w:hAnsi="Times New Roman"/>
          <w:noProof/>
        </w:rPr>
        <w:t>/</w:t>
      </w:r>
      <w:r w:rsidRPr="00617DD8">
        <w:rPr>
          <w:rFonts w:ascii="Times New Roman" w:hAnsi="Times New Roman"/>
          <w:noProof/>
        </w:rPr>
        <w:t>2006</w:t>
      </w:r>
      <w:r>
        <w:rPr>
          <w:rFonts w:ascii="Times New Roman" w:hAnsi="Times New Roman" w:cs="Times New Roman"/>
          <w:noProof/>
          <w:vertAlign w:val="superscript"/>
        </w:rPr>
        <w:footnoteReference w:id="2"/>
      </w:r>
      <w:r>
        <w:rPr>
          <w:rFonts w:ascii="Times New Roman" w:hAnsi="Times New Roman"/>
          <w:noProof/>
        </w:rPr>
        <w:t xml:space="preserve"> și (UE) nr. </w:t>
      </w:r>
      <w:r w:rsidRPr="00617DD8">
        <w:rPr>
          <w:rFonts w:ascii="Times New Roman" w:hAnsi="Times New Roman"/>
          <w:noProof/>
        </w:rPr>
        <w:t>165</w:t>
      </w:r>
      <w:r>
        <w:rPr>
          <w:rFonts w:ascii="Times New Roman" w:hAnsi="Times New Roman"/>
          <w:noProof/>
        </w:rPr>
        <w:t>/</w:t>
      </w:r>
      <w:r w:rsidRPr="00617DD8">
        <w:rPr>
          <w:rFonts w:ascii="Times New Roman" w:hAnsi="Times New Roman"/>
          <w:noProof/>
        </w:rPr>
        <w:t>2014</w:t>
      </w:r>
      <w:r>
        <w:rPr>
          <w:rFonts w:ascii="Times New Roman" w:hAnsi="Times New Roman" w:cs="Times New Roman"/>
          <w:noProof/>
          <w:vertAlign w:val="superscript"/>
        </w:rPr>
        <w:footnoteReference w:id="3"/>
      </w:r>
      <w:r>
        <w:rPr>
          <w:rFonts w:ascii="Times New Roman" w:hAnsi="Times New Roman"/>
          <w:noProof/>
        </w:rPr>
        <w:t xml:space="preserve"> și a Directivei </w:t>
      </w:r>
      <w:r w:rsidRPr="00617DD8">
        <w:rPr>
          <w:rFonts w:ascii="Times New Roman" w:hAnsi="Times New Roman"/>
          <w:noProof/>
        </w:rPr>
        <w:t>2002</w:t>
      </w:r>
      <w:r>
        <w:rPr>
          <w:rFonts w:ascii="Times New Roman" w:hAnsi="Times New Roman"/>
          <w:noProof/>
        </w:rPr>
        <w:t>/</w:t>
      </w:r>
      <w:r w:rsidRPr="00617DD8">
        <w:rPr>
          <w:rFonts w:ascii="Times New Roman" w:hAnsi="Times New Roman"/>
          <w:noProof/>
        </w:rPr>
        <w:t>15</w:t>
      </w:r>
      <w:r>
        <w:rPr>
          <w:rFonts w:ascii="Times New Roman" w:hAnsi="Times New Roman"/>
          <w:noProof/>
        </w:rPr>
        <w:t>/CE</w:t>
      </w:r>
      <w:r>
        <w:rPr>
          <w:rFonts w:ascii="Times New Roman" w:hAnsi="Times New Roman" w:cs="Times New Roman"/>
          <w:noProof/>
          <w:vertAlign w:val="superscript"/>
        </w:rPr>
        <w:footnoteReference w:id="4"/>
      </w:r>
      <w:r>
        <w:rPr>
          <w:rFonts w:ascii="Times New Roman" w:hAnsi="Times New Roman"/>
          <w:noProof/>
        </w:rPr>
        <w:t>. Aceasta prevede controalele minime care trebuie efectuate în trafic și la sediile întreprinderilor de transport pentru a verifica dacă conducătorii auto și întreprinderile respectă legislația socială aplicabilă activităților de transport rutier. Principalele elemente care trebuie verificate în timpul controalelor efectuate în trafic și la sediile întreprinderilor sunt enumerate în anexa I. Echipamentele standard care trebuie să se afle la dispoziția unităților de control sunt enumerate în anexa II. Directiva impune, de asemenea, statelor membre să instituie un sistem de clasificare în funcție de gradul de risc pentru întreprinderi, pe baza numărului relativ și a gravității încălcărilor. Anexa III enumeră încălcările celor două regulamente și gradul de gravitate.</w:t>
      </w:r>
    </w:p>
    <w:p w14:paraId="360FF889" w14:textId="439E6E49" w:rsidR="006519A5" w:rsidRPr="000A244F" w:rsidRDefault="00F740E1" w:rsidP="006519A5">
      <w:pPr>
        <w:jc w:val="both"/>
        <w:rPr>
          <w:rFonts w:ascii="Times New Roman" w:hAnsi="Times New Roman" w:cs="Times New Roman"/>
          <w:noProof/>
        </w:rPr>
      </w:pPr>
      <w:r>
        <w:rPr>
          <w:rFonts w:ascii="Times New Roman" w:hAnsi="Times New Roman"/>
          <w:noProof/>
        </w:rPr>
        <w:t xml:space="preserve">Directiva împuternicește Comisia să adopte acte delegate pentru a modifica anexele I și II, astfel încât să poată fi efectuate ajustări pentru a reflecta evoluțiile celor mai bune practici de asigurare a respectării legislației. Comisia poate adopta, de asemenea, acte delegate de modificare a anexei III pentru a ține cont de evoluțiile în materie de reglementare și de aspectele de siguranță rutieră. </w:t>
      </w:r>
    </w:p>
    <w:p w14:paraId="1DBE6049" w14:textId="77777777" w:rsidR="006519A5" w:rsidRPr="00F44479" w:rsidRDefault="006519A5" w:rsidP="006519A5">
      <w:pPr>
        <w:jc w:val="both"/>
        <w:rPr>
          <w:rFonts w:ascii="Times New Roman" w:hAnsi="Times New Roman" w:cs="Times New Roman"/>
          <w:b/>
          <w:bCs/>
          <w:noProof/>
        </w:rPr>
      </w:pPr>
      <w:r w:rsidRPr="00617DD8">
        <w:rPr>
          <w:rFonts w:ascii="Times New Roman" w:hAnsi="Times New Roman"/>
          <w:b/>
          <w:noProof/>
        </w:rPr>
        <w:t>2</w:t>
      </w:r>
      <w:r>
        <w:rPr>
          <w:rFonts w:ascii="Times New Roman" w:hAnsi="Times New Roman"/>
          <w:b/>
          <w:noProof/>
        </w:rPr>
        <w:t>. Temeiul juridic al raportului</w:t>
      </w:r>
    </w:p>
    <w:p w14:paraId="2B80930F" w14:textId="03FFB9E8" w:rsidR="006519A5" w:rsidRDefault="006519A5" w:rsidP="006519A5">
      <w:pPr>
        <w:jc w:val="both"/>
        <w:rPr>
          <w:rFonts w:ascii="Times New Roman" w:hAnsi="Times New Roman" w:cs="Times New Roman"/>
          <w:noProof/>
        </w:rPr>
      </w:pPr>
      <w:r>
        <w:rPr>
          <w:rFonts w:ascii="Times New Roman" w:hAnsi="Times New Roman"/>
          <w:noProof/>
        </w:rPr>
        <w:t xml:space="preserve">Prezentul raport este obligatoriu în temeiul articolului </w:t>
      </w:r>
      <w:r w:rsidRPr="00617DD8">
        <w:rPr>
          <w:rFonts w:ascii="Times New Roman" w:hAnsi="Times New Roman"/>
          <w:noProof/>
        </w:rPr>
        <w:t>15</w:t>
      </w:r>
      <w:r>
        <w:rPr>
          <w:rFonts w:ascii="Times New Roman" w:hAnsi="Times New Roman"/>
          <w:noProof/>
        </w:rPr>
        <w:t>a alineatul (</w:t>
      </w:r>
      <w:r w:rsidRPr="00617DD8">
        <w:rPr>
          <w:rFonts w:ascii="Times New Roman" w:hAnsi="Times New Roman"/>
          <w:noProof/>
        </w:rPr>
        <w:t>2</w:t>
      </w:r>
      <w:r>
        <w:rPr>
          <w:rFonts w:ascii="Times New Roman" w:hAnsi="Times New Roman"/>
          <w:noProof/>
        </w:rPr>
        <w:t xml:space="preserve">) din directivă, care împuternicește Comisia să adopte acte delegate pentru o perioadă de cinci ani începând de la </w:t>
      </w:r>
      <w:r w:rsidRPr="00617DD8">
        <w:rPr>
          <w:rFonts w:ascii="Times New Roman" w:hAnsi="Times New Roman"/>
          <w:noProof/>
        </w:rPr>
        <w:t>1</w:t>
      </w:r>
      <w:r w:rsidR="00617DD8">
        <w:rPr>
          <w:rFonts w:ascii="Times New Roman" w:hAnsi="Times New Roman"/>
          <w:noProof/>
        </w:rPr>
        <w:t> </w:t>
      </w:r>
      <w:r>
        <w:rPr>
          <w:rFonts w:ascii="Times New Roman" w:hAnsi="Times New Roman"/>
          <w:noProof/>
        </w:rPr>
        <w:t xml:space="preserve">august </w:t>
      </w:r>
      <w:r w:rsidRPr="00617DD8">
        <w:rPr>
          <w:rFonts w:ascii="Times New Roman" w:hAnsi="Times New Roman"/>
          <w:noProof/>
        </w:rPr>
        <w:t>2020</w:t>
      </w:r>
      <w:r>
        <w:rPr>
          <w:rFonts w:ascii="Times New Roman" w:hAnsi="Times New Roman"/>
          <w:noProof/>
        </w:rPr>
        <w:t xml:space="preserve">. Această competență se prelungește tacit cu perioade de timp identice, cu excepția cazului în care Parlamentul European sau Consiliul se opune cel târziu cu trei luni înainte de încheierea fiecărei perioade. </w:t>
      </w:r>
    </w:p>
    <w:p w14:paraId="59770FCF" w14:textId="6E2E1A7C" w:rsidR="00AB3F68" w:rsidRDefault="00BE7D33" w:rsidP="00AB3F68">
      <w:pPr>
        <w:jc w:val="both"/>
        <w:rPr>
          <w:rFonts w:ascii="Times New Roman" w:hAnsi="Times New Roman" w:cs="Times New Roman"/>
          <w:noProof/>
        </w:rPr>
      </w:pPr>
      <w:r>
        <w:rPr>
          <w:rFonts w:ascii="Times New Roman" w:hAnsi="Times New Roman"/>
          <w:noProof/>
        </w:rPr>
        <w:t xml:space="preserve">Întrucât Parlamentul European și Consiliul nu s-au opus prelungirii delegării de competențe în temeiul articolului </w:t>
      </w:r>
      <w:r w:rsidRPr="00617DD8">
        <w:rPr>
          <w:rFonts w:ascii="Times New Roman" w:hAnsi="Times New Roman"/>
          <w:noProof/>
        </w:rPr>
        <w:t>15</w:t>
      </w:r>
      <w:r>
        <w:rPr>
          <w:rFonts w:ascii="Times New Roman" w:hAnsi="Times New Roman"/>
          <w:noProof/>
        </w:rPr>
        <w:t>a alineatul (</w:t>
      </w:r>
      <w:r w:rsidRPr="00617DD8">
        <w:rPr>
          <w:rFonts w:ascii="Times New Roman" w:hAnsi="Times New Roman"/>
          <w:noProof/>
        </w:rPr>
        <w:t>2</w:t>
      </w:r>
      <w:r>
        <w:rPr>
          <w:rFonts w:ascii="Times New Roman" w:hAnsi="Times New Roman"/>
          <w:noProof/>
        </w:rPr>
        <w:t xml:space="preserve">) din directivă și nu au revocat-o în temeiul articolului </w:t>
      </w:r>
      <w:r w:rsidRPr="00617DD8">
        <w:rPr>
          <w:rFonts w:ascii="Times New Roman" w:hAnsi="Times New Roman"/>
          <w:noProof/>
        </w:rPr>
        <w:t>15</w:t>
      </w:r>
      <w:r>
        <w:rPr>
          <w:rFonts w:ascii="Times New Roman" w:hAnsi="Times New Roman"/>
          <w:noProof/>
        </w:rPr>
        <w:t>a alineatul (</w:t>
      </w:r>
      <w:r w:rsidRPr="00617DD8">
        <w:rPr>
          <w:rFonts w:ascii="Times New Roman" w:hAnsi="Times New Roman"/>
          <w:noProof/>
        </w:rPr>
        <w:t>3</w:t>
      </w:r>
      <w:r>
        <w:rPr>
          <w:rFonts w:ascii="Times New Roman" w:hAnsi="Times New Roman"/>
          <w:noProof/>
        </w:rPr>
        <w:t xml:space="preserve">), prezentul raport acoperă perioada de cinci ani cuprinsă între </w:t>
      </w:r>
      <w:r w:rsidRPr="00617DD8">
        <w:rPr>
          <w:rFonts w:ascii="Times New Roman" w:hAnsi="Times New Roman"/>
          <w:noProof/>
        </w:rPr>
        <w:t>1</w:t>
      </w:r>
      <w:r>
        <w:rPr>
          <w:rFonts w:ascii="Times New Roman" w:hAnsi="Times New Roman"/>
          <w:noProof/>
        </w:rPr>
        <w:t xml:space="preserve"> august </w:t>
      </w:r>
      <w:r w:rsidRPr="00617DD8">
        <w:rPr>
          <w:rFonts w:ascii="Times New Roman" w:hAnsi="Times New Roman"/>
          <w:noProof/>
        </w:rPr>
        <w:t>2020</w:t>
      </w:r>
      <w:r>
        <w:rPr>
          <w:rFonts w:ascii="Times New Roman" w:hAnsi="Times New Roman"/>
          <w:noProof/>
        </w:rPr>
        <w:t xml:space="preserve"> și </w:t>
      </w:r>
      <w:r w:rsidRPr="00617DD8">
        <w:rPr>
          <w:rFonts w:ascii="Times New Roman" w:hAnsi="Times New Roman"/>
          <w:noProof/>
        </w:rPr>
        <w:t>31</w:t>
      </w:r>
      <w:r w:rsidR="00617DD8">
        <w:rPr>
          <w:rFonts w:ascii="Times New Roman" w:hAnsi="Times New Roman"/>
          <w:noProof/>
        </w:rPr>
        <w:t> </w:t>
      </w:r>
      <w:r>
        <w:rPr>
          <w:rFonts w:ascii="Times New Roman" w:hAnsi="Times New Roman"/>
          <w:noProof/>
        </w:rPr>
        <w:t>iulie</w:t>
      </w:r>
      <w:r w:rsidR="00617DD8">
        <w:rPr>
          <w:rFonts w:ascii="Times New Roman" w:hAnsi="Times New Roman"/>
          <w:noProof/>
        </w:rPr>
        <w:t> </w:t>
      </w:r>
      <w:r w:rsidRPr="00617DD8">
        <w:rPr>
          <w:rFonts w:ascii="Times New Roman" w:hAnsi="Times New Roman"/>
          <w:noProof/>
        </w:rPr>
        <w:t>2025</w:t>
      </w:r>
      <w:r>
        <w:rPr>
          <w:rFonts w:ascii="Times New Roman" w:hAnsi="Times New Roman"/>
          <w:noProof/>
        </w:rPr>
        <w:t xml:space="preserve">. </w:t>
      </w:r>
    </w:p>
    <w:p w14:paraId="614B6C92" w14:textId="77777777" w:rsidR="00AB3F68" w:rsidRDefault="00AB3F68" w:rsidP="006519A5">
      <w:pPr>
        <w:jc w:val="both"/>
        <w:rPr>
          <w:rFonts w:ascii="Times New Roman" w:hAnsi="Times New Roman" w:cs="Times New Roman"/>
          <w:noProof/>
        </w:rPr>
      </w:pPr>
    </w:p>
    <w:p w14:paraId="34577CCF" w14:textId="77777777" w:rsidR="00F66F99" w:rsidRDefault="00F66F99" w:rsidP="006519A5">
      <w:pPr>
        <w:jc w:val="both"/>
        <w:rPr>
          <w:rFonts w:ascii="Times New Roman" w:hAnsi="Times New Roman" w:cs="Times New Roman"/>
          <w:noProof/>
        </w:rPr>
      </w:pPr>
    </w:p>
    <w:p w14:paraId="3191FF10" w14:textId="77777777" w:rsidR="00526E67" w:rsidRDefault="00526E67" w:rsidP="006519A5">
      <w:pPr>
        <w:jc w:val="both"/>
        <w:rPr>
          <w:rFonts w:ascii="Times New Roman" w:hAnsi="Times New Roman" w:cs="Times New Roman"/>
          <w:noProof/>
        </w:rPr>
      </w:pPr>
    </w:p>
    <w:p w14:paraId="7E966550" w14:textId="713E1BA5" w:rsidR="006519A5" w:rsidRPr="00F44479" w:rsidRDefault="006519A5" w:rsidP="006519A5">
      <w:pPr>
        <w:jc w:val="both"/>
        <w:rPr>
          <w:rFonts w:ascii="Times New Roman" w:hAnsi="Times New Roman" w:cs="Times New Roman"/>
          <w:b/>
          <w:bCs/>
          <w:noProof/>
        </w:rPr>
      </w:pPr>
      <w:r w:rsidRPr="00617DD8">
        <w:rPr>
          <w:rFonts w:ascii="Times New Roman" w:hAnsi="Times New Roman"/>
          <w:b/>
          <w:noProof/>
        </w:rPr>
        <w:t>3</w:t>
      </w:r>
      <w:r>
        <w:rPr>
          <w:rFonts w:ascii="Times New Roman" w:hAnsi="Times New Roman"/>
          <w:b/>
          <w:noProof/>
        </w:rPr>
        <w:t>. Exercitarea delegării de competențe</w:t>
      </w:r>
    </w:p>
    <w:p w14:paraId="6AB9971C" w14:textId="53C7886C" w:rsidR="006519A5" w:rsidRPr="003A5A67" w:rsidRDefault="00EB3EC0" w:rsidP="006519A5">
      <w:pPr>
        <w:jc w:val="both"/>
        <w:rPr>
          <w:rFonts w:ascii="Times New Roman" w:hAnsi="Times New Roman" w:cs="Times New Roman"/>
          <w:noProof/>
        </w:rPr>
      </w:pPr>
      <w:r>
        <w:rPr>
          <w:rFonts w:ascii="Times New Roman" w:hAnsi="Times New Roman"/>
          <w:noProof/>
        </w:rPr>
        <w:t xml:space="preserve">Delegarea de competențe a fost utilizată în temeiul articolului </w:t>
      </w:r>
      <w:r w:rsidRPr="00617DD8">
        <w:rPr>
          <w:rFonts w:ascii="Times New Roman" w:hAnsi="Times New Roman"/>
          <w:noProof/>
        </w:rPr>
        <w:t>15</w:t>
      </w:r>
      <w:r>
        <w:rPr>
          <w:rFonts w:ascii="Times New Roman" w:hAnsi="Times New Roman"/>
          <w:noProof/>
        </w:rPr>
        <w:t xml:space="preserve">a din directivă pentru a adopta Directiva (UE) </w:t>
      </w:r>
      <w:r w:rsidRPr="00617DD8">
        <w:rPr>
          <w:rFonts w:ascii="Times New Roman" w:hAnsi="Times New Roman"/>
          <w:noProof/>
        </w:rPr>
        <w:t>2024</w:t>
      </w:r>
      <w:r>
        <w:rPr>
          <w:rFonts w:ascii="Times New Roman" w:hAnsi="Times New Roman"/>
          <w:noProof/>
        </w:rPr>
        <w:t>/</w:t>
      </w:r>
      <w:r w:rsidRPr="00617DD8">
        <w:rPr>
          <w:rFonts w:ascii="Times New Roman" w:hAnsi="Times New Roman"/>
          <w:noProof/>
        </w:rPr>
        <w:t>846</w:t>
      </w:r>
      <w:r>
        <w:rPr>
          <w:rStyle w:val="FootnoteReference"/>
          <w:rFonts w:ascii="Times New Roman" w:hAnsi="Times New Roman" w:cs="Times New Roman"/>
          <w:noProof/>
        </w:rPr>
        <w:footnoteReference w:id="5"/>
      </w:r>
      <w:r>
        <w:rPr>
          <w:rFonts w:ascii="Times New Roman" w:hAnsi="Times New Roman"/>
          <w:noProof/>
        </w:rPr>
        <w:t xml:space="preserve">. Această directivă delegată a actualizat lista încălcărilor din anexa III la Directiva </w:t>
      </w:r>
      <w:r w:rsidRPr="00617DD8">
        <w:rPr>
          <w:rFonts w:ascii="Times New Roman" w:hAnsi="Times New Roman"/>
          <w:noProof/>
        </w:rPr>
        <w:t>2006</w:t>
      </w:r>
      <w:r>
        <w:rPr>
          <w:rFonts w:ascii="Times New Roman" w:hAnsi="Times New Roman"/>
          <w:noProof/>
        </w:rPr>
        <w:t>/</w:t>
      </w:r>
      <w:r w:rsidRPr="00617DD8">
        <w:rPr>
          <w:rFonts w:ascii="Times New Roman" w:hAnsi="Times New Roman"/>
          <w:noProof/>
        </w:rPr>
        <w:t>22</w:t>
      </w:r>
      <w:r>
        <w:rPr>
          <w:rFonts w:ascii="Times New Roman" w:hAnsi="Times New Roman"/>
          <w:noProof/>
        </w:rPr>
        <w:t xml:space="preserve">/CE în urma adoptării Regulamentului (UE) </w:t>
      </w:r>
      <w:r w:rsidRPr="00617DD8">
        <w:rPr>
          <w:rFonts w:ascii="Times New Roman" w:hAnsi="Times New Roman"/>
          <w:noProof/>
        </w:rPr>
        <w:t>2020</w:t>
      </w:r>
      <w:r>
        <w:rPr>
          <w:rFonts w:ascii="Times New Roman" w:hAnsi="Times New Roman"/>
          <w:noProof/>
        </w:rPr>
        <w:t>/</w:t>
      </w:r>
      <w:r w:rsidRPr="00617DD8">
        <w:rPr>
          <w:rFonts w:ascii="Times New Roman" w:hAnsi="Times New Roman"/>
          <w:noProof/>
        </w:rPr>
        <w:t>1054</w:t>
      </w:r>
      <w:r>
        <w:rPr>
          <w:rStyle w:val="FootnoteReference"/>
          <w:rFonts w:ascii="Times New Roman" w:hAnsi="Times New Roman" w:cs="Times New Roman"/>
          <w:noProof/>
        </w:rPr>
        <w:footnoteReference w:id="6"/>
      </w:r>
      <w:r>
        <w:rPr>
          <w:rFonts w:ascii="Times New Roman" w:hAnsi="Times New Roman"/>
          <w:noProof/>
        </w:rPr>
        <w:t xml:space="preserve"> (care a adăugat noi dispoziții privind încălcările). </w:t>
      </w:r>
    </w:p>
    <w:p w14:paraId="6CE7007C" w14:textId="7AA5B48D" w:rsidR="006519A5" w:rsidRPr="002A642E" w:rsidRDefault="006519A5" w:rsidP="006519A5">
      <w:pPr>
        <w:jc w:val="both"/>
        <w:rPr>
          <w:rFonts w:ascii="Times New Roman" w:hAnsi="Times New Roman" w:cs="Times New Roman"/>
          <w:noProof/>
        </w:rPr>
      </w:pPr>
      <w:r>
        <w:rPr>
          <w:rFonts w:ascii="Times New Roman" w:hAnsi="Times New Roman"/>
          <w:noProof/>
        </w:rPr>
        <w:t xml:space="preserve">Printre părțile consultate cu privire la proiectul de directivă delegată s-au numărat experți din statele membre și din industrie, precum și alte grupuri afectate. De asemenea, în cadrul unei reuniuni a Grupului de lucru pentru asigurarea respectării legislației care a avut loc la </w:t>
      </w:r>
      <w:r w:rsidRPr="00617DD8">
        <w:rPr>
          <w:rFonts w:ascii="Times New Roman" w:hAnsi="Times New Roman"/>
          <w:noProof/>
        </w:rPr>
        <w:t>2</w:t>
      </w:r>
      <w:r w:rsidR="00617DD8">
        <w:rPr>
          <w:rFonts w:ascii="Times New Roman" w:hAnsi="Times New Roman"/>
          <w:noProof/>
        </w:rPr>
        <w:t> </w:t>
      </w:r>
      <w:r>
        <w:rPr>
          <w:rFonts w:ascii="Times New Roman" w:hAnsi="Times New Roman"/>
          <w:noProof/>
        </w:rPr>
        <w:t>iunie</w:t>
      </w:r>
      <w:r w:rsidR="00617DD8">
        <w:rPr>
          <w:rFonts w:ascii="Times New Roman" w:hAnsi="Times New Roman"/>
          <w:noProof/>
        </w:rPr>
        <w:t> </w:t>
      </w:r>
      <w:r w:rsidRPr="00617DD8">
        <w:rPr>
          <w:rFonts w:ascii="Times New Roman" w:hAnsi="Times New Roman"/>
          <w:noProof/>
        </w:rPr>
        <w:t>2022</w:t>
      </w:r>
      <w:r>
        <w:rPr>
          <w:rFonts w:ascii="Times New Roman" w:hAnsi="Times New Roman"/>
          <w:noProof/>
        </w:rPr>
        <w:t xml:space="preserve">, au fost invitați experți ai Parlamentului European. Comisia a adoptat directiva delegată la </w:t>
      </w:r>
      <w:r w:rsidRPr="00617DD8">
        <w:rPr>
          <w:rFonts w:ascii="Times New Roman" w:hAnsi="Times New Roman"/>
          <w:noProof/>
        </w:rPr>
        <w:t>14</w:t>
      </w:r>
      <w:r>
        <w:rPr>
          <w:rFonts w:ascii="Times New Roman" w:hAnsi="Times New Roman"/>
          <w:noProof/>
        </w:rPr>
        <w:t xml:space="preserve"> martie </w:t>
      </w:r>
      <w:r w:rsidRPr="00617DD8">
        <w:rPr>
          <w:rFonts w:ascii="Times New Roman" w:hAnsi="Times New Roman"/>
          <w:noProof/>
        </w:rPr>
        <w:t>2024</w:t>
      </w:r>
      <w:r>
        <w:rPr>
          <w:rFonts w:ascii="Times New Roman" w:hAnsi="Times New Roman"/>
          <w:noProof/>
        </w:rPr>
        <w:t xml:space="preserve"> și a informat Parlamentul European și Consiliul în consecință. Niciuna dintre cele două instituții nu a formulat obiecții la actul delegat în termenul de două luni. Directiva delegată a fost publicată în </w:t>
      </w:r>
      <w:r>
        <w:rPr>
          <w:rFonts w:ascii="Times New Roman" w:hAnsi="Times New Roman"/>
          <w:i/>
          <w:noProof/>
        </w:rPr>
        <w:t>Jurnalul Oficial al Uniunii Europene</w:t>
      </w:r>
      <w:r>
        <w:rPr>
          <w:rFonts w:ascii="Times New Roman" w:hAnsi="Times New Roman"/>
          <w:noProof/>
        </w:rPr>
        <w:t xml:space="preserve"> la </w:t>
      </w:r>
      <w:r w:rsidRPr="00617DD8">
        <w:rPr>
          <w:rFonts w:ascii="Times New Roman" w:hAnsi="Times New Roman"/>
          <w:noProof/>
        </w:rPr>
        <w:t>31</w:t>
      </w:r>
      <w:r>
        <w:rPr>
          <w:rFonts w:ascii="Times New Roman" w:hAnsi="Times New Roman"/>
          <w:noProof/>
        </w:rPr>
        <w:t xml:space="preserve"> mai </w:t>
      </w:r>
      <w:r w:rsidRPr="00617DD8">
        <w:rPr>
          <w:rFonts w:ascii="Times New Roman" w:hAnsi="Times New Roman"/>
          <w:noProof/>
        </w:rPr>
        <w:t>2024</w:t>
      </w:r>
      <w:r>
        <w:rPr>
          <w:rStyle w:val="FootnoteReference"/>
          <w:rFonts w:ascii="Times New Roman" w:hAnsi="Times New Roman" w:cs="Times New Roman"/>
          <w:noProof/>
        </w:rPr>
        <w:footnoteReference w:id="7"/>
      </w:r>
      <w:r>
        <w:rPr>
          <w:rFonts w:ascii="Times New Roman" w:hAnsi="Times New Roman"/>
          <w:noProof/>
        </w:rPr>
        <w:t xml:space="preserve"> și a intrat în vigoare la </w:t>
      </w:r>
      <w:r w:rsidRPr="00617DD8">
        <w:rPr>
          <w:rFonts w:ascii="Times New Roman" w:hAnsi="Times New Roman"/>
          <w:noProof/>
        </w:rPr>
        <w:t>20</w:t>
      </w:r>
      <w:r>
        <w:rPr>
          <w:rFonts w:ascii="Times New Roman" w:hAnsi="Times New Roman"/>
          <w:noProof/>
        </w:rPr>
        <w:t xml:space="preserve"> iunie </w:t>
      </w:r>
      <w:r w:rsidRPr="00617DD8">
        <w:rPr>
          <w:rFonts w:ascii="Times New Roman" w:hAnsi="Times New Roman"/>
          <w:noProof/>
        </w:rPr>
        <w:t>2024</w:t>
      </w:r>
      <w:r>
        <w:rPr>
          <w:rFonts w:ascii="Times New Roman" w:hAnsi="Times New Roman"/>
          <w:noProof/>
        </w:rPr>
        <w:t xml:space="preserve">. Statele membre trebuiau să o transpună în legislațiile naționale până la </w:t>
      </w:r>
      <w:r w:rsidRPr="00617DD8">
        <w:rPr>
          <w:rFonts w:ascii="Times New Roman" w:hAnsi="Times New Roman"/>
          <w:noProof/>
        </w:rPr>
        <w:t>14</w:t>
      </w:r>
      <w:r>
        <w:rPr>
          <w:rFonts w:ascii="Times New Roman" w:hAnsi="Times New Roman"/>
          <w:noProof/>
        </w:rPr>
        <w:t xml:space="preserve"> februarie </w:t>
      </w:r>
      <w:r w:rsidRPr="00617DD8">
        <w:rPr>
          <w:rFonts w:ascii="Times New Roman" w:hAnsi="Times New Roman"/>
          <w:noProof/>
        </w:rPr>
        <w:t>2025</w:t>
      </w:r>
      <w:r>
        <w:rPr>
          <w:rFonts w:ascii="Times New Roman" w:hAnsi="Times New Roman"/>
          <w:noProof/>
        </w:rPr>
        <w:t xml:space="preserve">. </w:t>
      </w:r>
    </w:p>
    <w:p w14:paraId="750A83CA" w14:textId="47632F61" w:rsidR="006519A5" w:rsidRPr="002A642E" w:rsidRDefault="006519A5" w:rsidP="006519A5">
      <w:pPr>
        <w:jc w:val="both"/>
        <w:rPr>
          <w:rFonts w:ascii="Times New Roman" w:hAnsi="Times New Roman" w:cs="Times New Roman"/>
          <w:noProof/>
        </w:rPr>
      </w:pPr>
      <w:r>
        <w:rPr>
          <w:rFonts w:ascii="Times New Roman" w:hAnsi="Times New Roman"/>
          <w:noProof/>
        </w:rPr>
        <w:t xml:space="preserve">Delegarea de competențe nu a fost utilizată până în prezent pentru a modifica anexele I și II la Directiva </w:t>
      </w:r>
      <w:r w:rsidRPr="00617DD8">
        <w:rPr>
          <w:rFonts w:ascii="Times New Roman" w:hAnsi="Times New Roman"/>
          <w:noProof/>
        </w:rPr>
        <w:t>2006</w:t>
      </w:r>
      <w:r>
        <w:rPr>
          <w:rFonts w:ascii="Times New Roman" w:hAnsi="Times New Roman"/>
          <w:noProof/>
        </w:rPr>
        <w:t>/</w:t>
      </w:r>
      <w:r w:rsidRPr="00617DD8">
        <w:rPr>
          <w:rFonts w:ascii="Times New Roman" w:hAnsi="Times New Roman"/>
          <w:noProof/>
        </w:rPr>
        <w:t>22</w:t>
      </w:r>
      <w:r>
        <w:rPr>
          <w:rFonts w:ascii="Times New Roman" w:hAnsi="Times New Roman"/>
          <w:noProof/>
        </w:rPr>
        <w:t xml:space="preserve">/CE pentru aplicarea articolelor </w:t>
      </w:r>
      <w:r w:rsidRPr="00617DD8">
        <w:rPr>
          <w:rFonts w:ascii="Times New Roman" w:hAnsi="Times New Roman"/>
          <w:noProof/>
        </w:rPr>
        <w:t>4</w:t>
      </w:r>
      <w:r>
        <w:rPr>
          <w:rFonts w:ascii="Times New Roman" w:hAnsi="Times New Roman"/>
          <w:noProof/>
        </w:rPr>
        <w:t xml:space="preserve"> și </w:t>
      </w:r>
      <w:r w:rsidRPr="00617DD8">
        <w:rPr>
          <w:rFonts w:ascii="Times New Roman" w:hAnsi="Times New Roman"/>
          <w:noProof/>
        </w:rPr>
        <w:t>6</w:t>
      </w:r>
      <w:r>
        <w:rPr>
          <w:rFonts w:ascii="Times New Roman" w:hAnsi="Times New Roman"/>
          <w:noProof/>
        </w:rPr>
        <w:t>, întrucât niciun stat membru nu a prezentat nicio cerere relevantă de modificare a elementelor care trebuie verificate în timpul controalelor în trafic și la sediile întreprinderilor, iar Comisia nu a considerat că sunt necesare modificări.</w:t>
      </w:r>
    </w:p>
    <w:p w14:paraId="2F6EC835" w14:textId="77777777" w:rsidR="006519A5" w:rsidRPr="00F44479" w:rsidRDefault="006519A5" w:rsidP="006519A5">
      <w:pPr>
        <w:jc w:val="both"/>
        <w:rPr>
          <w:rFonts w:ascii="Times New Roman" w:hAnsi="Times New Roman" w:cs="Times New Roman"/>
          <w:b/>
          <w:bCs/>
          <w:noProof/>
        </w:rPr>
      </w:pPr>
      <w:r w:rsidRPr="00617DD8">
        <w:rPr>
          <w:rFonts w:ascii="Times New Roman" w:hAnsi="Times New Roman"/>
          <w:b/>
          <w:noProof/>
        </w:rPr>
        <w:t>4</w:t>
      </w:r>
      <w:r>
        <w:rPr>
          <w:rFonts w:ascii="Times New Roman" w:hAnsi="Times New Roman"/>
          <w:b/>
          <w:noProof/>
        </w:rPr>
        <w:t>. Concluzie</w:t>
      </w:r>
    </w:p>
    <w:p w14:paraId="155B687D" w14:textId="2B985AC8" w:rsidR="00AB3F68" w:rsidRDefault="00AB3F68" w:rsidP="00AB3F68">
      <w:pPr>
        <w:jc w:val="both"/>
        <w:rPr>
          <w:rFonts w:ascii="Times New Roman" w:hAnsi="Times New Roman" w:cs="Times New Roman"/>
          <w:noProof/>
        </w:rPr>
      </w:pPr>
      <w:r>
        <w:rPr>
          <w:rFonts w:ascii="Times New Roman" w:hAnsi="Times New Roman"/>
          <w:noProof/>
        </w:rPr>
        <w:t xml:space="preserve">Comisia salută prelungirea tacită a delegării de competențe, care este necesară pentru ca Directiva </w:t>
      </w:r>
      <w:r w:rsidRPr="00617DD8">
        <w:rPr>
          <w:rFonts w:ascii="Times New Roman" w:hAnsi="Times New Roman"/>
          <w:noProof/>
        </w:rPr>
        <w:t>2006</w:t>
      </w:r>
      <w:r>
        <w:rPr>
          <w:rFonts w:ascii="Times New Roman" w:hAnsi="Times New Roman"/>
          <w:noProof/>
        </w:rPr>
        <w:t>/</w:t>
      </w:r>
      <w:r w:rsidRPr="00617DD8">
        <w:rPr>
          <w:rFonts w:ascii="Times New Roman" w:hAnsi="Times New Roman"/>
          <w:noProof/>
        </w:rPr>
        <w:t>22</w:t>
      </w:r>
      <w:r>
        <w:rPr>
          <w:rFonts w:ascii="Times New Roman" w:hAnsi="Times New Roman"/>
          <w:noProof/>
        </w:rPr>
        <w:t xml:space="preserve">/CE să își atingă obiectivele și să funcționeze în mod corespunzător. </w:t>
      </w:r>
    </w:p>
    <w:p w14:paraId="46281A70" w14:textId="7E1C026C" w:rsidR="00AB3F68" w:rsidRPr="00494694" w:rsidRDefault="00AB3F68" w:rsidP="00AB3F68">
      <w:pPr>
        <w:jc w:val="both"/>
        <w:rPr>
          <w:rFonts w:ascii="Times New Roman" w:hAnsi="Times New Roman" w:cs="Times New Roman"/>
          <w:noProof/>
        </w:rPr>
      </w:pPr>
      <w:r>
        <w:rPr>
          <w:rFonts w:ascii="Times New Roman" w:hAnsi="Times New Roman"/>
          <w:noProof/>
        </w:rPr>
        <w:t xml:space="preserve">Comisia invită Parlamentul European și Consiliul să ia act de prezentul raport. </w:t>
      </w:r>
    </w:p>
    <w:p w14:paraId="247FED45" w14:textId="0B8B06E5" w:rsidR="006519A5" w:rsidRPr="002A642E" w:rsidRDefault="006519A5" w:rsidP="006519A5">
      <w:pPr>
        <w:jc w:val="both"/>
        <w:rPr>
          <w:rFonts w:ascii="Times New Roman" w:hAnsi="Times New Roman" w:cs="Times New Roman"/>
          <w:noProof/>
        </w:rPr>
      </w:pPr>
    </w:p>
    <w:p w14:paraId="05027E29" w14:textId="4D9FCD23" w:rsidR="006519A5" w:rsidRDefault="006519A5" w:rsidP="006519A5">
      <w:pPr>
        <w:jc w:val="both"/>
        <w:rPr>
          <w:noProof/>
        </w:rPr>
      </w:pPr>
    </w:p>
    <w:sectPr w:rsidR="006519A5" w:rsidSect="006519A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5120C" w14:textId="77777777" w:rsidR="00CC4573" w:rsidRDefault="00CC4573" w:rsidP="006519A5">
      <w:pPr>
        <w:spacing w:after="0" w:line="240" w:lineRule="auto"/>
      </w:pPr>
      <w:r>
        <w:separator/>
      </w:r>
    </w:p>
  </w:endnote>
  <w:endnote w:type="continuationSeparator" w:id="0">
    <w:p w14:paraId="6FBC2EAD" w14:textId="77777777" w:rsidR="00CC4573" w:rsidRDefault="00CC4573" w:rsidP="00651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A72EF" w14:textId="6CCB1590" w:rsidR="007F5918" w:rsidRPr="007F5918" w:rsidRDefault="007F5918" w:rsidP="007F5918">
    <w:pPr>
      <w:pStyle w:val="FooterCoverPage"/>
      <w:rPr>
        <w:rFonts w:ascii="Arial" w:hAnsi="Arial" w:cs="Arial"/>
        <w:b/>
        <w:sz w:val="48"/>
      </w:rPr>
    </w:pPr>
    <w:r w:rsidRPr="007F5918">
      <w:rPr>
        <w:rFonts w:ascii="Arial" w:hAnsi="Arial" w:cs="Arial"/>
        <w:b/>
        <w:sz w:val="48"/>
      </w:rPr>
      <w:t>RO</w:t>
    </w:r>
    <w:r w:rsidRPr="007F5918">
      <w:rPr>
        <w:rFonts w:ascii="Arial" w:hAnsi="Arial" w:cs="Arial"/>
        <w:b/>
        <w:sz w:val="48"/>
      </w:rPr>
      <w:tab/>
    </w:r>
    <w:r w:rsidRPr="007F5918">
      <w:rPr>
        <w:rFonts w:ascii="Arial" w:hAnsi="Arial" w:cs="Arial"/>
        <w:b/>
        <w:sz w:val="48"/>
      </w:rPr>
      <w:tab/>
    </w:r>
    <w:r w:rsidRPr="007F5918">
      <w:tab/>
    </w:r>
    <w:r w:rsidRPr="007F591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30475" w14:textId="0A07E425" w:rsidR="007F5918" w:rsidRPr="007F5918" w:rsidRDefault="007F5918" w:rsidP="007F5918">
    <w:pPr>
      <w:pStyle w:val="FooterCoverPage"/>
      <w:rPr>
        <w:rFonts w:ascii="Arial" w:hAnsi="Arial" w:cs="Arial"/>
        <w:b/>
        <w:sz w:val="48"/>
      </w:rPr>
    </w:pPr>
    <w:r w:rsidRPr="007F5918">
      <w:rPr>
        <w:rFonts w:ascii="Arial" w:hAnsi="Arial" w:cs="Arial"/>
        <w:b/>
        <w:sz w:val="48"/>
      </w:rPr>
      <w:t>RO</w:t>
    </w:r>
    <w:r w:rsidRPr="007F5918">
      <w:rPr>
        <w:rFonts w:ascii="Arial" w:hAnsi="Arial" w:cs="Arial"/>
        <w:b/>
        <w:sz w:val="48"/>
      </w:rPr>
      <w:tab/>
    </w:r>
    <w:r w:rsidRPr="007F5918">
      <w:rPr>
        <w:rFonts w:ascii="Arial" w:hAnsi="Arial" w:cs="Arial"/>
        <w:b/>
        <w:sz w:val="48"/>
      </w:rPr>
      <w:tab/>
    </w:r>
    <w:r w:rsidRPr="007F5918">
      <w:tab/>
    </w:r>
    <w:r w:rsidRPr="007F591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8C6C0" w14:textId="77777777" w:rsidR="007F5918" w:rsidRPr="007F5918" w:rsidRDefault="007F5918" w:rsidP="007F591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06F90" w14:textId="77777777" w:rsidR="00EE3FE4" w:rsidRPr="006519A5" w:rsidRDefault="00EE3FE4" w:rsidP="006519A5">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679756"/>
      <w:docPartObj>
        <w:docPartGallery w:val="Page Numbers (Bottom of Page)"/>
        <w:docPartUnique/>
      </w:docPartObj>
    </w:sdtPr>
    <w:sdtEndPr>
      <w:rPr>
        <w:noProof/>
      </w:rPr>
    </w:sdtEndPr>
    <w:sdtContent>
      <w:p w14:paraId="7C8CCD28" w14:textId="6AAD11D7" w:rsidR="00F33457" w:rsidRDefault="00F33457">
        <w:pPr>
          <w:pStyle w:val="Footer"/>
          <w:jc w:val="center"/>
        </w:pPr>
        <w:r>
          <w:fldChar w:fldCharType="begin"/>
        </w:r>
        <w:r>
          <w:instrText xml:space="preserve"> PAGE   \* MERGEFORMAT </w:instrText>
        </w:r>
        <w:r>
          <w:fldChar w:fldCharType="separate"/>
        </w:r>
        <w:r w:rsidR="007F5918">
          <w:rPr>
            <w:noProof/>
          </w:rPr>
          <w:t>2</w:t>
        </w:r>
        <w:r>
          <w:fldChar w:fldCharType="end"/>
        </w:r>
      </w:p>
    </w:sdtContent>
  </w:sdt>
  <w:p w14:paraId="5019E012" w14:textId="44C2B454" w:rsidR="00EE3FE4" w:rsidRPr="006519A5" w:rsidRDefault="00EE3FE4" w:rsidP="006519A5">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FC31A" w14:textId="77777777" w:rsidR="00EE3FE4" w:rsidRDefault="00EE3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EB8BD" w14:textId="77777777" w:rsidR="00CC4573" w:rsidRDefault="00CC4573" w:rsidP="006519A5">
      <w:pPr>
        <w:spacing w:after="0" w:line="240" w:lineRule="auto"/>
      </w:pPr>
      <w:r>
        <w:separator/>
      </w:r>
    </w:p>
  </w:footnote>
  <w:footnote w:type="continuationSeparator" w:id="0">
    <w:p w14:paraId="3CAA32D3" w14:textId="77777777" w:rsidR="00CC4573" w:rsidRDefault="00CC4573" w:rsidP="006519A5">
      <w:pPr>
        <w:spacing w:after="0" w:line="240" w:lineRule="auto"/>
      </w:pPr>
      <w:r>
        <w:continuationSeparator/>
      </w:r>
    </w:p>
  </w:footnote>
  <w:footnote w:id="1">
    <w:p w14:paraId="05288BCB" w14:textId="79BB05BF" w:rsidR="006519A5" w:rsidRPr="00E27B73" w:rsidRDefault="006519A5" w:rsidP="006519A5">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sidR="00617DD8">
        <w:rPr>
          <w:rFonts w:ascii="Times New Roman" w:hAnsi="Times New Roman"/>
          <w:sz w:val="20"/>
        </w:rPr>
        <w:t xml:space="preserve"> </w:t>
      </w:r>
      <w:r>
        <w:rPr>
          <w:rFonts w:ascii="Times New Roman" w:hAnsi="Times New Roman"/>
          <w:sz w:val="20"/>
        </w:rPr>
        <w:t xml:space="preserve">Directiva </w:t>
      </w:r>
      <w:r w:rsidRPr="00617DD8">
        <w:rPr>
          <w:rFonts w:ascii="Times New Roman" w:hAnsi="Times New Roman"/>
          <w:sz w:val="20"/>
        </w:rPr>
        <w:t>2006</w:t>
      </w:r>
      <w:r>
        <w:rPr>
          <w:rFonts w:ascii="Times New Roman" w:hAnsi="Times New Roman"/>
          <w:sz w:val="20"/>
        </w:rPr>
        <w:t>/</w:t>
      </w:r>
      <w:r w:rsidRPr="00617DD8">
        <w:rPr>
          <w:rFonts w:ascii="Times New Roman" w:hAnsi="Times New Roman"/>
          <w:sz w:val="20"/>
        </w:rPr>
        <w:t>22</w:t>
      </w:r>
      <w:r>
        <w:rPr>
          <w:rFonts w:ascii="Times New Roman" w:hAnsi="Times New Roman"/>
          <w:sz w:val="20"/>
        </w:rPr>
        <w:t xml:space="preserve">/CE a Parlamentului European și a Consiliului din </w:t>
      </w:r>
      <w:r w:rsidRPr="00617DD8">
        <w:rPr>
          <w:rFonts w:ascii="Times New Roman" w:hAnsi="Times New Roman"/>
          <w:sz w:val="20"/>
        </w:rPr>
        <w:t>15</w:t>
      </w:r>
      <w:r>
        <w:rPr>
          <w:rFonts w:ascii="Times New Roman" w:hAnsi="Times New Roman"/>
          <w:sz w:val="20"/>
        </w:rPr>
        <w:t xml:space="preserve"> martie </w:t>
      </w:r>
      <w:r w:rsidRPr="00617DD8">
        <w:rPr>
          <w:rFonts w:ascii="Times New Roman" w:hAnsi="Times New Roman"/>
          <w:sz w:val="20"/>
        </w:rPr>
        <w:t>2006</w:t>
      </w:r>
      <w:r>
        <w:rPr>
          <w:rFonts w:ascii="Times New Roman" w:hAnsi="Times New Roman"/>
          <w:sz w:val="20"/>
        </w:rPr>
        <w:t xml:space="preserve"> privind condițiile minime pentru punerea în aplicare a Regulamentelor (CE) nr. </w:t>
      </w:r>
      <w:r w:rsidRPr="00617DD8">
        <w:rPr>
          <w:rFonts w:ascii="Times New Roman" w:hAnsi="Times New Roman"/>
          <w:sz w:val="20"/>
        </w:rPr>
        <w:t>561</w:t>
      </w:r>
      <w:r>
        <w:rPr>
          <w:rFonts w:ascii="Times New Roman" w:hAnsi="Times New Roman"/>
          <w:sz w:val="20"/>
        </w:rPr>
        <w:t>/</w:t>
      </w:r>
      <w:r w:rsidRPr="00617DD8">
        <w:rPr>
          <w:rFonts w:ascii="Times New Roman" w:hAnsi="Times New Roman"/>
          <w:sz w:val="20"/>
        </w:rPr>
        <w:t>2006</w:t>
      </w:r>
      <w:r>
        <w:rPr>
          <w:rFonts w:ascii="Times New Roman" w:hAnsi="Times New Roman"/>
          <w:sz w:val="20"/>
        </w:rPr>
        <w:t xml:space="preserve"> și (UE) nr. </w:t>
      </w:r>
      <w:r w:rsidRPr="00617DD8">
        <w:rPr>
          <w:rFonts w:ascii="Times New Roman" w:hAnsi="Times New Roman"/>
          <w:sz w:val="20"/>
        </w:rPr>
        <w:t>165</w:t>
      </w:r>
      <w:r>
        <w:rPr>
          <w:rFonts w:ascii="Times New Roman" w:hAnsi="Times New Roman"/>
          <w:sz w:val="20"/>
        </w:rPr>
        <w:t>/</w:t>
      </w:r>
      <w:r w:rsidRPr="00617DD8">
        <w:rPr>
          <w:rFonts w:ascii="Times New Roman" w:hAnsi="Times New Roman"/>
          <w:sz w:val="20"/>
        </w:rPr>
        <w:t>2014</w:t>
      </w:r>
      <w:r>
        <w:rPr>
          <w:rFonts w:ascii="Times New Roman" w:hAnsi="Times New Roman"/>
          <w:sz w:val="20"/>
        </w:rPr>
        <w:t xml:space="preserve"> și a Directivei </w:t>
      </w:r>
      <w:r w:rsidRPr="00617DD8">
        <w:rPr>
          <w:rFonts w:ascii="Times New Roman" w:hAnsi="Times New Roman"/>
          <w:sz w:val="20"/>
        </w:rPr>
        <w:t>2002</w:t>
      </w:r>
      <w:r>
        <w:rPr>
          <w:rFonts w:ascii="Times New Roman" w:hAnsi="Times New Roman"/>
          <w:sz w:val="20"/>
        </w:rPr>
        <w:t>/</w:t>
      </w:r>
      <w:r w:rsidRPr="00617DD8">
        <w:rPr>
          <w:rFonts w:ascii="Times New Roman" w:hAnsi="Times New Roman"/>
          <w:sz w:val="20"/>
        </w:rPr>
        <w:t>15</w:t>
      </w:r>
      <w:r>
        <w:rPr>
          <w:rFonts w:ascii="Times New Roman" w:hAnsi="Times New Roman"/>
          <w:sz w:val="20"/>
        </w:rPr>
        <w:t xml:space="preserve">/CE în ceea ce privește legislația socială referitoare la activitățile de transport rutier și de abrogare a Directivei </w:t>
      </w:r>
      <w:r w:rsidRPr="00617DD8">
        <w:rPr>
          <w:rFonts w:ascii="Times New Roman" w:hAnsi="Times New Roman"/>
          <w:sz w:val="20"/>
        </w:rPr>
        <w:t>88</w:t>
      </w:r>
      <w:r>
        <w:rPr>
          <w:rFonts w:ascii="Times New Roman" w:hAnsi="Times New Roman"/>
          <w:sz w:val="20"/>
        </w:rPr>
        <w:t>/</w:t>
      </w:r>
      <w:r w:rsidRPr="00617DD8">
        <w:rPr>
          <w:rFonts w:ascii="Times New Roman" w:hAnsi="Times New Roman"/>
          <w:sz w:val="20"/>
        </w:rPr>
        <w:t>599</w:t>
      </w:r>
      <w:r>
        <w:rPr>
          <w:rFonts w:ascii="Times New Roman" w:hAnsi="Times New Roman"/>
          <w:sz w:val="20"/>
        </w:rPr>
        <w:t xml:space="preserve">/CEE a Consiliului (JO L </w:t>
      </w:r>
      <w:r w:rsidRPr="00617DD8">
        <w:rPr>
          <w:rFonts w:ascii="Times New Roman" w:hAnsi="Times New Roman"/>
          <w:sz w:val="20"/>
        </w:rPr>
        <w:t>102</w:t>
      </w:r>
      <w:r>
        <w:rPr>
          <w:rFonts w:ascii="Times New Roman" w:hAnsi="Times New Roman"/>
          <w:sz w:val="20"/>
        </w:rPr>
        <w:t xml:space="preserve">, </w:t>
      </w:r>
      <w:r w:rsidRPr="00617DD8">
        <w:rPr>
          <w:rFonts w:ascii="Times New Roman" w:hAnsi="Times New Roman"/>
          <w:sz w:val="20"/>
        </w:rPr>
        <w:t>11</w:t>
      </w:r>
      <w:r>
        <w:rPr>
          <w:rFonts w:ascii="Times New Roman" w:hAnsi="Times New Roman"/>
          <w:sz w:val="20"/>
        </w:rPr>
        <w:t>.</w:t>
      </w:r>
      <w:r w:rsidRPr="00617DD8">
        <w:rPr>
          <w:rFonts w:ascii="Times New Roman" w:hAnsi="Times New Roman"/>
          <w:sz w:val="20"/>
        </w:rPr>
        <w:t>4</w:t>
      </w:r>
      <w:r>
        <w:rPr>
          <w:rFonts w:ascii="Times New Roman" w:hAnsi="Times New Roman"/>
          <w:sz w:val="20"/>
        </w:rPr>
        <w:t>.</w:t>
      </w:r>
      <w:r w:rsidRPr="00617DD8">
        <w:rPr>
          <w:rFonts w:ascii="Times New Roman" w:hAnsi="Times New Roman"/>
          <w:sz w:val="20"/>
        </w:rPr>
        <w:t>2006</w:t>
      </w:r>
      <w:r>
        <w:rPr>
          <w:rFonts w:ascii="Times New Roman" w:hAnsi="Times New Roman"/>
          <w:sz w:val="20"/>
        </w:rPr>
        <w:t xml:space="preserve">, p. </w:t>
      </w:r>
      <w:r w:rsidRPr="00617DD8">
        <w:rPr>
          <w:rFonts w:ascii="Times New Roman" w:hAnsi="Times New Roman"/>
          <w:sz w:val="20"/>
        </w:rPr>
        <w:t>35</w:t>
      </w:r>
      <w:r>
        <w:rPr>
          <w:rFonts w:ascii="Times New Roman" w:hAnsi="Times New Roman"/>
          <w:sz w:val="20"/>
        </w:rPr>
        <w:t>).</w:t>
      </w:r>
    </w:p>
  </w:footnote>
  <w:footnote w:id="2">
    <w:p w14:paraId="0F6392AD" w14:textId="45E695FC" w:rsidR="006519A5" w:rsidRPr="009A5479" w:rsidRDefault="006519A5" w:rsidP="00F740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2" w:name="_Hlk204256272"/>
      <w:r>
        <w:rPr>
          <w:rFonts w:ascii="Times New Roman" w:hAnsi="Times New Roman"/>
        </w:rPr>
        <w:t xml:space="preserve">Regulamentul (CE) nr. </w:t>
      </w:r>
      <w:r w:rsidRPr="00617DD8">
        <w:rPr>
          <w:rFonts w:ascii="Times New Roman" w:hAnsi="Times New Roman"/>
        </w:rPr>
        <w:t>561</w:t>
      </w:r>
      <w:r>
        <w:rPr>
          <w:rFonts w:ascii="Times New Roman" w:hAnsi="Times New Roman"/>
        </w:rPr>
        <w:t>/</w:t>
      </w:r>
      <w:r w:rsidRPr="00617DD8">
        <w:rPr>
          <w:rFonts w:ascii="Times New Roman" w:hAnsi="Times New Roman"/>
        </w:rPr>
        <w:t>2006</w:t>
      </w:r>
      <w:r>
        <w:rPr>
          <w:rFonts w:ascii="Times New Roman" w:hAnsi="Times New Roman"/>
        </w:rPr>
        <w:t xml:space="preserve"> al Parlamentului European și al Consiliului din </w:t>
      </w:r>
      <w:r w:rsidRPr="00617DD8">
        <w:rPr>
          <w:rFonts w:ascii="Times New Roman" w:hAnsi="Times New Roman"/>
        </w:rPr>
        <w:t>15</w:t>
      </w:r>
      <w:r>
        <w:rPr>
          <w:rFonts w:ascii="Times New Roman" w:hAnsi="Times New Roman"/>
        </w:rPr>
        <w:t xml:space="preserve"> martie </w:t>
      </w:r>
      <w:r w:rsidRPr="00617DD8">
        <w:rPr>
          <w:rFonts w:ascii="Times New Roman" w:hAnsi="Times New Roman"/>
        </w:rPr>
        <w:t>2006</w:t>
      </w:r>
      <w:r>
        <w:rPr>
          <w:rFonts w:ascii="Times New Roman" w:hAnsi="Times New Roman"/>
        </w:rPr>
        <w:t xml:space="preserve"> privind armonizarea anumitor dispoziții ale legislației sociale în domeniul transporturilor rutiere, de modificare a Regulamentelor (CEE) nr. </w:t>
      </w:r>
      <w:r w:rsidRPr="00617DD8">
        <w:rPr>
          <w:rFonts w:ascii="Times New Roman" w:hAnsi="Times New Roman"/>
        </w:rPr>
        <w:t>3821</w:t>
      </w:r>
      <w:r>
        <w:rPr>
          <w:rFonts w:ascii="Times New Roman" w:hAnsi="Times New Roman"/>
        </w:rPr>
        <w:t>/</w:t>
      </w:r>
      <w:r w:rsidRPr="00617DD8">
        <w:rPr>
          <w:rFonts w:ascii="Times New Roman" w:hAnsi="Times New Roman"/>
        </w:rPr>
        <w:t>85</w:t>
      </w:r>
      <w:r>
        <w:rPr>
          <w:rFonts w:ascii="Times New Roman" w:hAnsi="Times New Roman"/>
        </w:rPr>
        <w:t xml:space="preserve"> și (CE) nr. </w:t>
      </w:r>
      <w:r w:rsidRPr="00617DD8">
        <w:rPr>
          <w:rFonts w:ascii="Times New Roman" w:hAnsi="Times New Roman"/>
        </w:rPr>
        <w:t>2135</w:t>
      </w:r>
      <w:r>
        <w:rPr>
          <w:rFonts w:ascii="Times New Roman" w:hAnsi="Times New Roman"/>
        </w:rPr>
        <w:t>/</w:t>
      </w:r>
      <w:r w:rsidRPr="00617DD8">
        <w:rPr>
          <w:rFonts w:ascii="Times New Roman" w:hAnsi="Times New Roman"/>
        </w:rPr>
        <w:t>98</w:t>
      </w:r>
      <w:r>
        <w:rPr>
          <w:rFonts w:ascii="Times New Roman" w:hAnsi="Times New Roman"/>
        </w:rPr>
        <w:t xml:space="preserve"> ale Consiliului și de abrogare a Regulamentului (CEE) nr. </w:t>
      </w:r>
      <w:r w:rsidRPr="00617DD8">
        <w:rPr>
          <w:rFonts w:ascii="Times New Roman" w:hAnsi="Times New Roman"/>
        </w:rPr>
        <w:t>3820</w:t>
      </w:r>
      <w:r>
        <w:rPr>
          <w:rFonts w:ascii="Times New Roman" w:hAnsi="Times New Roman"/>
        </w:rPr>
        <w:t>/</w:t>
      </w:r>
      <w:r w:rsidRPr="00617DD8">
        <w:rPr>
          <w:rFonts w:ascii="Times New Roman" w:hAnsi="Times New Roman"/>
        </w:rPr>
        <w:t>85</w:t>
      </w:r>
      <w:r>
        <w:rPr>
          <w:rFonts w:ascii="Times New Roman" w:hAnsi="Times New Roman"/>
        </w:rPr>
        <w:t xml:space="preserve"> al Consiliului (JO L </w:t>
      </w:r>
      <w:r w:rsidRPr="00617DD8">
        <w:rPr>
          <w:rFonts w:ascii="Times New Roman" w:hAnsi="Times New Roman"/>
        </w:rPr>
        <w:t>102</w:t>
      </w:r>
      <w:r>
        <w:rPr>
          <w:rFonts w:ascii="Times New Roman" w:hAnsi="Times New Roman"/>
        </w:rPr>
        <w:t xml:space="preserve">, </w:t>
      </w:r>
      <w:r w:rsidRPr="00617DD8">
        <w:rPr>
          <w:rFonts w:ascii="Times New Roman" w:hAnsi="Times New Roman"/>
        </w:rPr>
        <w:t>11</w:t>
      </w:r>
      <w:r>
        <w:rPr>
          <w:rFonts w:ascii="Times New Roman" w:hAnsi="Times New Roman"/>
        </w:rPr>
        <w:t>.</w:t>
      </w:r>
      <w:r w:rsidRPr="00617DD8">
        <w:rPr>
          <w:rFonts w:ascii="Times New Roman" w:hAnsi="Times New Roman"/>
        </w:rPr>
        <w:t>4</w:t>
      </w:r>
      <w:r>
        <w:rPr>
          <w:rFonts w:ascii="Times New Roman" w:hAnsi="Times New Roman"/>
        </w:rPr>
        <w:t>.</w:t>
      </w:r>
      <w:r w:rsidRPr="00617DD8">
        <w:rPr>
          <w:rFonts w:ascii="Times New Roman" w:hAnsi="Times New Roman"/>
        </w:rPr>
        <w:t>2006</w:t>
      </w:r>
      <w:r>
        <w:rPr>
          <w:rFonts w:ascii="Times New Roman" w:hAnsi="Times New Roman"/>
        </w:rPr>
        <w:t xml:space="preserve">, p. </w:t>
      </w:r>
      <w:r w:rsidRPr="00617DD8">
        <w:rPr>
          <w:rFonts w:ascii="Times New Roman" w:hAnsi="Times New Roman"/>
        </w:rPr>
        <w:t>1</w:t>
      </w:r>
      <w:r>
        <w:rPr>
          <w:rFonts w:ascii="Times New Roman" w:hAnsi="Times New Roman"/>
        </w:rPr>
        <w:t>).</w:t>
      </w:r>
      <w:bookmarkEnd w:id="2"/>
    </w:p>
  </w:footnote>
  <w:footnote w:id="3">
    <w:p w14:paraId="79FEBE67" w14:textId="16D87696" w:rsidR="006519A5" w:rsidRPr="00E27B73" w:rsidRDefault="006519A5" w:rsidP="006519A5">
      <w:pPr>
        <w:pStyle w:val="FootnoteText"/>
        <w:jc w:val="both"/>
        <w:rPr>
          <w:rFonts w:ascii="Times New Roman" w:hAnsi="Times New Roman" w:cs="Times New Roman"/>
        </w:rPr>
      </w:pPr>
      <w:bookmarkStart w:id="3" w:name="_Hlk204258868"/>
      <w:r>
        <w:rPr>
          <w:rStyle w:val="FootnoteReference"/>
          <w:rFonts w:ascii="Times New Roman" w:hAnsi="Times New Roman" w:cs="Times New Roman"/>
        </w:rPr>
        <w:footnoteRef/>
      </w:r>
      <w:r w:rsidR="00617DD8">
        <w:rPr>
          <w:rFonts w:ascii="Times New Roman" w:hAnsi="Times New Roman"/>
        </w:rPr>
        <w:t xml:space="preserve"> </w:t>
      </w:r>
      <w:r>
        <w:rPr>
          <w:rFonts w:ascii="Times New Roman" w:hAnsi="Times New Roman"/>
        </w:rPr>
        <w:t xml:space="preserve">Regulamentul (UE) nr. </w:t>
      </w:r>
      <w:r w:rsidRPr="00617DD8">
        <w:rPr>
          <w:rFonts w:ascii="Times New Roman" w:hAnsi="Times New Roman"/>
        </w:rPr>
        <w:t>165</w:t>
      </w:r>
      <w:r>
        <w:rPr>
          <w:rFonts w:ascii="Times New Roman" w:hAnsi="Times New Roman"/>
        </w:rPr>
        <w:t>/</w:t>
      </w:r>
      <w:r w:rsidRPr="00617DD8">
        <w:rPr>
          <w:rFonts w:ascii="Times New Roman" w:hAnsi="Times New Roman"/>
        </w:rPr>
        <w:t>2014</w:t>
      </w:r>
      <w:r>
        <w:rPr>
          <w:rFonts w:ascii="Times New Roman" w:hAnsi="Times New Roman"/>
        </w:rPr>
        <w:t xml:space="preserve"> al Parlamentului European și al Consiliului din </w:t>
      </w:r>
      <w:r w:rsidRPr="00617DD8">
        <w:rPr>
          <w:rFonts w:ascii="Times New Roman" w:hAnsi="Times New Roman"/>
        </w:rPr>
        <w:t>4</w:t>
      </w:r>
      <w:r>
        <w:rPr>
          <w:rFonts w:ascii="Times New Roman" w:hAnsi="Times New Roman"/>
        </w:rPr>
        <w:t xml:space="preserve"> februarie </w:t>
      </w:r>
      <w:r w:rsidRPr="00617DD8">
        <w:rPr>
          <w:rFonts w:ascii="Times New Roman" w:hAnsi="Times New Roman"/>
        </w:rPr>
        <w:t>2014</w:t>
      </w:r>
      <w:r>
        <w:rPr>
          <w:rFonts w:ascii="Times New Roman" w:hAnsi="Times New Roman"/>
        </w:rPr>
        <w:t xml:space="preserve"> privind tahografele în transportul rutier, de abrogare a Regulamentului (CEE) nr. </w:t>
      </w:r>
      <w:r w:rsidRPr="00617DD8">
        <w:rPr>
          <w:rFonts w:ascii="Times New Roman" w:hAnsi="Times New Roman"/>
        </w:rPr>
        <w:t>3821</w:t>
      </w:r>
      <w:r>
        <w:rPr>
          <w:rFonts w:ascii="Times New Roman" w:hAnsi="Times New Roman"/>
        </w:rPr>
        <w:t>/</w:t>
      </w:r>
      <w:r w:rsidRPr="00617DD8">
        <w:rPr>
          <w:rFonts w:ascii="Times New Roman" w:hAnsi="Times New Roman"/>
        </w:rPr>
        <w:t>85</w:t>
      </w:r>
      <w:r>
        <w:rPr>
          <w:rFonts w:ascii="Times New Roman" w:hAnsi="Times New Roman"/>
        </w:rPr>
        <w:t xml:space="preserve"> al Consiliului privind aparatura de înregistrare în transportul rutier și de modificare a Regulamentului (CE) nr. </w:t>
      </w:r>
      <w:r w:rsidRPr="00617DD8">
        <w:rPr>
          <w:rFonts w:ascii="Times New Roman" w:hAnsi="Times New Roman"/>
        </w:rPr>
        <w:t>561</w:t>
      </w:r>
      <w:r>
        <w:rPr>
          <w:rFonts w:ascii="Times New Roman" w:hAnsi="Times New Roman"/>
        </w:rPr>
        <w:t>/</w:t>
      </w:r>
      <w:r w:rsidRPr="00617DD8">
        <w:rPr>
          <w:rFonts w:ascii="Times New Roman" w:hAnsi="Times New Roman"/>
        </w:rPr>
        <w:t>2006</w:t>
      </w:r>
      <w:r>
        <w:rPr>
          <w:rFonts w:ascii="Times New Roman" w:hAnsi="Times New Roman"/>
        </w:rPr>
        <w:t xml:space="preserve"> al Parlamentului European și al Consiliului privind armonizarea anumitor dispoziții ale legislației sociale în domeniul transporturilor rutiere (JO L </w:t>
      </w:r>
      <w:r w:rsidRPr="00617DD8">
        <w:rPr>
          <w:rFonts w:ascii="Times New Roman" w:hAnsi="Times New Roman"/>
        </w:rPr>
        <w:t>60</w:t>
      </w:r>
      <w:r>
        <w:rPr>
          <w:rFonts w:ascii="Times New Roman" w:hAnsi="Times New Roman"/>
        </w:rPr>
        <w:t xml:space="preserve">, </w:t>
      </w:r>
      <w:r w:rsidRPr="00617DD8">
        <w:rPr>
          <w:rFonts w:ascii="Times New Roman" w:hAnsi="Times New Roman"/>
        </w:rPr>
        <w:t>28</w:t>
      </w:r>
      <w:r>
        <w:rPr>
          <w:rFonts w:ascii="Times New Roman" w:hAnsi="Times New Roman"/>
        </w:rPr>
        <w:t>.</w:t>
      </w:r>
      <w:r w:rsidRPr="00617DD8">
        <w:rPr>
          <w:rFonts w:ascii="Times New Roman" w:hAnsi="Times New Roman"/>
        </w:rPr>
        <w:t>2</w:t>
      </w:r>
      <w:r>
        <w:rPr>
          <w:rFonts w:ascii="Times New Roman" w:hAnsi="Times New Roman"/>
        </w:rPr>
        <w:t>.</w:t>
      </w:r>
      <w:r w:rsidRPr="00617DD8">
        <w:rPr>
          <w:rFonts w:ascii="Times New Roman" w:hAnsi="Times New Roman"/>
        </w:rPr>
        <w:t>2014</w:t>
      </w:r>
      <w:r>
        <w:rPr>
          <w:rFonts w:ascii="Times New Roman" w:hAnsi="Times New Roman"/>
        </w:rPr>
        <w:t xml:space="preserve">, p. </w:t>
      </w:r>
      <w:r w:rsidRPr="00617DD8">
        <w:rPr>
          <w:rFonts w:ascii="Times New Roman" w:hAnsi="Times New Roman"/>
        </w:rPr>
        <w:t>1</w:t>
      </w:r>
      <w:r>
        <w:rPr>
          <w:rFonts w:ascii="Times New Roman" w:hAnsi="Times New Roman"/>
        </w:rPr>
        <w:t>).</w:t>
      </w:r>
    </w:p>
    <w:bookmarkEnd w:id="3"/>
  </w:footnote>
  <w:footnote w:id="4">
    <w:p w14:paraId="472B69E4" w14:textId="094A1843" w:rsidR="006519A5" w:rsidRPr="009A5479" w:rsidRDefault="006519A5" w:rsidP="009A5479">
      <w:pPr>
        <w:pStyle w:val="FootnoteText"/>
        <w:jc w:val="both"/>
        <w:rPr>
          <w:rFonts w:ascii="Times New Roman" w:hAnsi="Times New Roman" w:cs="Times New Roman"/>
        </w:rPr>
      </w:pPr>
      <w:r>
        <w:rPr>
          <w:rStyle w:val="FootnoteReference"/>
          <w:rFonts w:ascii="Times New Roman" w:hAnsi="Times New Roman" w:cs="Times New Roman"/>
        </w:rPr>
        <w:footnoteRef/>
      </w:r>
      <w:r w:rsidR="00617DD8">
        <w:rPr>
          <w:rFonts w:ascii="Times New Roman" w:hAnsi="Times New Roman"/>
        </w:rPr>
        <w:t xml:space="preserve"> </w:t>
      </w:r>
      <w:r>
        <w:rPr>
          <w:rFonts w:ascii="Times New Roman" w:hAnsi="Times New Roman"/>
        </w:rPr>
        <w:t xml:space="preserve">Directiva </w:t>
      </w:r>
      <w:r w:rsidRPr="00617DD8">
        <w:rPr>
          <w:rFonts w:ascii="Times New Roman" w:hAnsi="Times New Roman"/>
        </w:rPr>
        <w:t>2002</w:t>
      </w:r>
      <w:r>
        <w:rPr>
          <w:rFonts w:ascii="Times New Roman" w:hAnsi="Times New Roman"/>
        </w:rPr>
        <w:t>/</w:t>
      </w:r>
      <w:r w:rsidRPr="00617DD8">
        <w:rPr>
          <w:rFonts w:ascii="Times New Roman" w:hAnsi="Times New Roman"/>
        </w:rPr>
        <w:t>15</w:t>
      </w:r>
      <w:r>
        <w:rPr>
          <w:rFonts w:ascii="Times New Roman" w:hAnsi="Times New Roman"/>
        </w:rPr>
        <w:t xml:space="preserve">/CE a Parlamentului European și a Consiliului din </w:t>
      </w:r>
      <w:r w:rsidRPr="00617DD8">
        <w:rPr>
          <w:rFonts w:ascii="Times New Roman" w:hAnsi="Times New Roman"/>
        </w:rPr>
        <w:t>11</w:t>
      </w:r>
      <w:r>
        <w:rPr>
          <w:rFonts w:ascii="Times New Roman" w:hAnsi="Times New Roman"/>
        </w:rPr>
        <w:t xml:space="preserve"> martie </w:t>
      </w:r>
      <w:r w:rsidRPr="00617DD8">
        <w:rPr>
          <w:rFonts w:ascii="Times New Roman" w:hAnsi="Times New Roman"/>
        </w:rPr>
        <w:t>2002</w:t>
      </w:r>
      <w:r>
        <w:rPr>
          <w:rFonts w:ascii="Times New Roman" w:hAnsi="Times New Roman"/>
        </w:rPr>
        <w:t xml:space="preserve"> privind organizarea timpului de lucru al persoanelor care efectuează activități mobile de transport rutier (JO L </w:t>
      </w:r>
      <w:r w:rsidRPr="00617DD8">
        <w:rPr>
          <w:rFonts w:ascii="Times New Roman" w:hAnsi="Times New Roman"/>
        </w:rPr>
        <w:t>80</w:t>
      </w:r>
      <w:r>
        <w:rPr>
          <w:rFonts w:ascii="Times New Roman" w:hAnsi="Times New Roman"/>
        </w:rPr>
        <w:t xml:space="preserve">, </w:t>
      </w:r>
      <w:r w:rsidRPr="00617DD8">
        <w:rPr>
          <w:rFonts w:ascii="Times New Roman" w:hAnsi="Times New Roman"/>
        </w:rPr>
        <w:t>23</w:t>
      </w:r>
      <w:r>
        <w:rPr>
          <w:rFonts w:ascii="Times New Roman" w:hAnsi="Times New Roman"/>
        </w:rPr>
        <w:t>.</w:t>
      </w:r>
      <w:r w:rsidRPr="00617DD8">
        <w:rPr>
          <w:rFonts w:ascii="Times New Roman" w:hAnsi="Times New Roman"/>
        </w:rPr>
        <w:t>3</w:t>
      </w:r>
      <w:r>
        <w:rPr>
          <w:rFonts w:ascii="Times New Roman" w:hAnsi="Times New Roman"/>
        </w:rPr>
        <w:t>.</w:t>
      </w:r>
      <w:r w:rsidRPr="00617DD8">
        <w:rPr>
          <w:rFonts w:ascii="Times New Roman" w:hAnsi="Times New Roman"/>
        </w:rPr>
        <w:t>2002</w:t>
      </w:r>
      <w:r>
        <w:rPr>
          <w:rFonts w:ascii="Times New Roman" w:hAnsi="Times New Roman"/>
        </w:rPr>
        <w:t xml:space="preserve">, p. </w:t>
      </w:r>
      <w:r w:rsidRPr="00617DD8">
        <w:rPr>
          <w:rFonts w:ascii="Times New Roman" w:hAnsi="Times New Roman"/>
        </w:rPr>
        <w:t>35</w:t>
      </w:r>
      <w:r>
        <w:rPr>
          <w:rFonts w:ascii="Times New Roman" w:hAnsi="Times New Roman"/>
        </w:rPr>
        <w:t>).</w:t>
      </w:r>
    </w:p>
  </w:footnote>
  <w:footnote w:id="5">
    <w:p w14:paraId="678A1D4D" w14:textId="440AFD8D" w:rsidR="006519A5" w:rsidRPr="00AD51D5" w:rsidRDefault="006519A5" w:rsidP="006519A5">
      <w:pPr>
        <w:spacing w:after="0" w:line="240" w:lineRule="auto"/>
        <w:jc w:val="both"/>
      </w:pPr>
      <w:r>
        <w:rPr>
          <w:rStyle w:val="FootnoteReference"/>
          <w:rFonts w:ascii="Times New Roman" w:hAnsi="Times New Roman" w:cs="Times New Roman"/>
          <w:sz w:val="20"/>
          <w:szCs w:val="20"/>
        </w:rPr>
        <w:footnoteRef/>
      </w:r>
      <w:r>
        <w:rPr>
          <w:rFonts w:ascii="Times New Roman" w:hAnsi="Times New Roman"/>
          <w:sz w:val="20"/>
        </w:rPr>
        <w:t xml:space="preserve"> Directiva delegată (UE) </w:t>
      </w:r>
      <w:r w:rsidRPr="00617DD8">
        <w:rPr>
          <w:rFonts w:ascii="Times New Roman" w:hAnsi="Times New Roman"/>
          <w:sz w:val="20"/>
        </w:rPr>
        <w:t>2024</w:t>
      </w:r>
      <w:r>
        <w:rPr>
          <w:rFonts w:ascii="Times New Roman" w:hAnsi="Times New Roman"/>
          <w:sz w:val="20"/>
        </w:rPr>
        <w:t>/</w:t>
      </w:r>
      <w:r w:rsidRPr="00617DD8">
        <w:rPr>
          <w:rFonts w:ascii="Times New Roman" w:hAnsi="Times New Roman"/>
          <w:sz w:val="20"/>
        </w:rPr>
        <w:t>846</w:t>
      </w:r>
      <w:r>
        <w:rPr>
          <w:rFonts w:ascii="Times New Roman" w:hAnsi="Times New Roman"/>
          <w:sz w:val="20"/>
        </w:rPr>
        <w:t xml:space="preserve"> a Comisiei din </w:t>
      </w:r>
      <w:r w:rsidRPr="00617DD8">
        <w:rPr>
          <w:rFonts w:ascii="Times New Roman" w:hAnsi="Times New Roman"/>
          <w:sz w:val="20"/>
        </w:rPr>
        <w:t>14</w:t>
      </w:r>
      <w:r>
        <w:rPr>
          <w:rFonts w:ascii="Times New Roman" w:hAnsi="Times New Roman"/>
          <w:sz w:val="20"/>
        </w:rPr>
        <w:t xml:space="preserve"> martie </w:t>
      </w:r>
      <w:r w:rsidRPr="00617DD8">
        <w:rPr>
          <w:rFonts w:ascii="Times New Roman" w:hAnsi="Times New Roman"/>
          <w:sz w:val="20"/>
        </w:rPr>
        <w:t>2024</w:t>
      </w:r>
      <w:r>
        <w:rPr>
          <w:rFonts w:ascii="Times New Roman" w:hAnsi="Times New Roman"/>
          <w:sz w:val="20"/>
        </w:rPr>
        <w:t xml:space="preserve"> de modificare a Directivei </w:t>
      </w:r>
      <w:r w:rsidRPr="00617DD8">
        <w:rPr>
          <w:rFonts w:ascii="Times New Roman" w:hAnsi="Times New Roman"/>
          <w:sz w:val="20"/>
        </w:rPr>
        <w:t>2006</w:t>
      </w:r>
      <w:r>
        <w:rPr>
          <w:rFonts w:ascii="Times New Roman" w:hAnsi="Times New Roman"/>
          <w:sz w:val="20"/>
        </w:rPr>
        <w:t>/</w:t>
      </w:r>
      <w:r w:rsidRPr="00617DD8">
        <w:rPr>
          <w:rFonts w:ascii="Times New Roman" w:hAnsi="Times New Roman"/>
          <w:sz w:val="20"/>
        </w:rPr>
        <w:t>22</w:t>
      </w:r>
      <w:r>
        <w:rPr>
          <w:rFonts w:ascii="Times New Roman" w:hAnsi="Times New Roman"/>
          <w:sz w:val="20"/>
        </w:rPr>
        <w:t xml:space="preserve">/CE a Parlamentului European și a Consiliului privind condițiile minime pentru punerea în aplicare a Regulamentelor (CE) nr. </w:t>
      </w:r>
      <w:r w:rsidRPr="00617DD8">
        <w:rPr>
          <w:rFonts w:ascii="Times New Roman" w:hAnsi="Times New Roman"/>
          <w:sz w:val="20"/>
        </w:rPr>
        <w:t>561</w:t>
      </w:r>
      <w:r>
        <w:rPr>
          <w:rFonts w:ascii="Times New Roman" w:hAnsi="Times New Roman"/>
          <w:sz w:val="20"/>
        </w:rPr>
        <w:t>/</w:t>
      </w:r>
      <w:r w:rsidRPr="00617DD8">
        <w:rPr>
          <w:rFonts w:ascii="Times New Roman" w:hAnsi="Times New Roman"/>
          <w:sz w:val="20"/>
        </w:rPr>
        <w:t>2006</w:t>
      </w:r>
      <w:r>
        <w:rPr>
          <w:rFonts w:ascii="Times New Roman" w:hAnsi="Times New Roman"/>
          <w:sz w:val="20"/>
        </w:rPr>
        <w:t xml:space="preserve"> și (UE) nr. </w:t>
      </w:r>
      <w:r w:rsidRPr="00617DD8">
        <w:rPr>
          <w:rFonts w:ascii="Times New Roman" w:hAnsi="Times New Roman"/>
          <w:sz w:val="20"/>
        </w:rPr>
        <w:t>165</w:t>
      </w:r>
      <w:r>
        <w:rPr>
          <w:rFonts w:ascii="Times New Roman" w:hAnsi="Times New Roman"/>
          <w:sz w:val="20"/>
        </w:rPr>
        <w:t>/</w:t>
      </w:r>
      <w:r w:rsidRPr="00617DD8">
        <w:rPr>
          <w:rFonts w:ascii="Times New Roman" w:hAnsi="Times New Roman"/>
          <w:sz w:val="20"/>
        </w:rPr>
        <w:t>2014</w:t>
      </w:r>
      <w:r>
        <w:rPr>
          <w:rFonts w:ascii="Times New Roman" w:hAnsi="Times New Roman"/>
          <w:sz w:val="20"/>
        </w:rPr>
        <w:t xml:space="preserve"> și a Directivei </w:t>
      </w:r>
      <w:r w:rsidRPr="00617DD8">
        <w:rPr>
          <w:rFonts w:ascii="Times New Roman" w:hAnsi="Times New Roman"/>
          <w:sz w:val="20"/>
        </w:rPr>
        <w:t>2002</w:t>
      </w:r>
      <w:r>
        <w:rPr>
          <w:rFonts w:ascii="Times New Roman" w:hAnsi="Times New Roman"/>
          <w:sz w:val="20"/>
        </w:rPr>
        <w:t>/</w:t>
      </w:r>
      <w:r w:rsidRPr="00617DD8">
        <w:rPr>
          <w:rFonts w:ascii="Times New Roman" w:hAnsi="Times New Roman"/>
          <w:sz w:val="20"/>
        </w:rPr>
        <w:t>15</w:t>
      </w:r>
      <w:r>
        <w:rPr>
          <w:rFonts w:ascii="Times New Roman" w:hAnsi="Times New Roman"/>
          <w:sz w:val="20"/>
        </w:rPr>
        <w:t xml:space="preserve">/CE în ceea ce privește legislația socială referitoare la activitățile de transport rutier (JO L, </w:t>
      </w:r>
      <w:r w:rsidRPr="00617DD8">
        <w:rPr>
          <w:rFonts w:ascii="Times New Roman" w:hAnsi="Times New Roman"/>
          <w:sz w:val="20"/>
        </w:rPr>
        <w:t>2024</w:t>
      </w:r>
      <w:r>
        <w:rPr>
          <w:rFonts w:ascii="Times New Roman" w:hAnsi="Times New Roman"/>
          <w:sz w:val="20"/>
        </w:rPr>
        <w:t>/</w:t>
      </w:r>
      <w:r w:rsidRPr="00617DD8">
        <w:rPr>
          <w:rFonts w:ascii="Times New Roman" w:hAnsi="Times New Roman"/>
          <w:sz w:val="20"/>
        </w:rPr>
        <w:t>846</w:t>
      </w:r>
      <w:r>
        <w:rPr>
          <w:rFonts w:ascii="Times New Roman" w:hAnsi="Times New Roman"/>
          <w:sz w:val="20"/>
        </w:rPr>
        <w:t xml:space="preserve">, </w:t>
      </w:r>
      <w:r w:rsidRPr="00617DD8">
        <w:rPr>
          <w:rFonts w:ascii="Times New Roman" w:hAnsi="Times New Roman"/>
          <w:sz w:val="20"/>
        </w:rPr>
        <w:t>31</w:t>
      </w:r>
      <w:r>
        <w:rPr>
          <w:rFonts w:ascii="Times New Roman" w:hAnsi="Times New Roman"/>
          <w:sz w:val="20"/>
        </w:rPr>
        <w:t>.</w:t>
      </w:r>
      <w:r w:rsidRPr="00617DD8">
        <w:rPr>
          <w:rFonts w:ascii="Times New Roman" w:hAnsi="Times New Roman"/>
          <w:sz w:val="20"/>
        </w:rPr>
        <w:t>5</w:t>
      </w:r>
      <w:r>
        <w:rPr>
          <w:rFonts w:ascii="Times New Roman" w:hAnsi="Times New Roman"/>
          <w:sz w:val="20"/>
        </w:rPr>
        <w:t>.</w:t>
      </w:r>
      <w:r w:rsidRPr="00617DD8">
        <w:rPr>
          <w:rFonts w:ascii="Times New Roman" w:hAnsi="Times New Roman"/>
          <w:sz w:val="20"/>
        </w:rPr>
        <w:t>2024</w:t>
      </w:r>
      <w:r>
        <w:rPr>
          <w:rFonts w:ascii="Times New Roman" w:hAnsi="Times New Roman"/>
          <w:sz w:val="20"/>
        </w:rPr>
        <w:t>).</w:t>
      </w:r>
    </w:p>
  </w:footnote>
  <w:footnote w:id="6">
    <w:p w14:paraId="38930C22" w14:textId="4D2A35F6" w:rsidR="006519A5" w:rsidRPr="009C3087" w:rsidRDefault="006519A5" w:rsidP="006519A5">
      <w:pPr>
        <w:pStyle w:val="FootnoteText"/>
      </w:pPr>
      <w:r>
        <w:rPr>
          <w:rStyle w:val="FootnoteReference"/>
        </w:rPr>
        <w:footnoteRef/>
      </w:r>
      <w:r>
        <w:rPr>
          <w:rFonts w:ascii="Arial" w:hAnsi="Arial"/>
        </w:rPr>
        <w:t xml:space="preserve"> </w:t>
      </w:r>
      <w:r>
        <w:rPr>
          <w:rFonts w:ascii="Times New Roman" w:hAnsi="Times New Roman"/>
        </w:rPr>
        <w:t xml:space="preserve">Regulamentul (UE) </w:t>
      </w:r>
      <w:r w:rsidRPr="00617DD8">
        <w:rPr>
          <w:rFonts w:ascii="Times New Roman" w:hAnsi="Times New Roman"/>
        </w:rPr>
        <w:t>2020</w:t>
      </w:r>
      <w:r>
        <w:rPr>
          <w:rFonts w:ascii="Times New Roman" w:hAnsi="Times New Roman"/>
        </w:rPr>
        <w:t>/</w:t>
      </w:r>
      <w:r w:rsidRPr="00617DD8">
        <w:rPr>
          <w:rFonts w:ascii="Times New Roman" w:hAnsi="Times New Roman"/>
        </w:rPr>
        <w:t>1054</w:t>
      </w:r>
      <w:r>
        <w:rPr>
          <w:rFonts w:ascii="Times New Roman" w:hAnsi="Times New Roman"/>
        </w:rPr>
        <w:t xml:space="preserve"> al Parlamentului European și al Consiliului din </w:t>
      </w:r>
      <w:r w:rsidRPr="00617DD8">
        <w:rPr>
          <w:rFonts w:ascii="Times New Roman" w:hAnsi="Times New Roman"/>
        </w:rPr>
        <w:t>15</w:t>
      </w:r>
      <w:r>
        <w:rPr>
          <w:rFonts w:ascii="Times New Roman" w:hAnsi="Times New Roman"/>
        </w:rPr>
        <w:t xml:space="preserve"> iulie </w:t>
      </w:r>
      <w:r w:rsidRPr="00617DD8">
        <w:rPr>
          <w:rFonts w:ascii="Times New Roman" w:hAnsi="Times New Roman"/>
        </w:rPr>
        <w:t>2020</w:t>
      </w:r>
      <w:r>
        <w:rPr>
          <w:rFonts w:ascii="Times New Roman" w:hAnsi="Times New Roman"/>
        </w:rPr>
        <w:t xml:space="preserve"> de modificare a Regulamentului (CE) nr. </w:t>
      </w:r>
      <w:r w:rsidRPr="00617DD8">
        <w:rPr>
          <w:rFonts w:ascii="Times New Roman" w:hAnsi="Times New Roman"/>
        </w:rPr>
        <w:t>561</w:t>
      </w:r>
      <w:r>
        <w:rPr>
          <w:rFonts w:ascii="Times New Roman" w:hAnsi="Times New Roman"/>
        </w:rPr>
        <w:t>/</w:t>
      </w:r>
      <w:r w:rsidRPr="00617DD8">
        <w:rPr>
          <w:rFonts w:ascii="Times New Roman" w:hAnsi="Times New Roman"/>
        </w:rPr>
        <w:t>2006</w:t>
      </w:r>
      <w:r>
        <w:rPr>
          <w:rFonts w:ascii="Times New Roman" w:hAnsi="Times New Roman"/>
        </w:rPr>
        <w:t xml:space="preserve"> în ceea ce privește cerințele minime referitoare la duratele de conducere zilnice și săptămânale maxime, pauzele minime și perioadele de repaus zilnic și săptămânal și a Regulamentului (UE) nr. </w:t>
      </w:r>
      <w:r w:rsidRPr="00617DD8">
        <w:rPr>
          <w:rFonts w:ascii="Times New Roman" w:hAnsi="Times New Roman"/>
        </w:rPr>
        <w:t>165</w:t>
      </w:r>
      <w:r>
        <w:rPr>
          <w:rFonts w:ascii="Times New Roman" w:hAnsi="Times New Roman"/>
        </w:rPr>
        <w:t>/</w:t>
      </w:r>
      <w:r w:rsidRPr="00617DD8">
        <w:rPr>
          <w:rFonts w:ascii="Times New Roman" w:hAnsi="Times New Roman"/>
        </w:rPr>
        <w:t>2014</w:t>
      </w:r>
      <w:r>
        <w:rPr>
          <w:rFonts w:ascii="Times New Roman" w:hAnsi="Times New Roman"/>
        </w:rPr>
        <w:t xml:space="preserve"> în ceea ce privește poziționarea prin intermediul tahografelor (JO L </w:t>
      </w:r>
      <w:r w:rsidRPr="00617DD8">
        <w:rPr>
          <w:rFonts w:ascii="Times New Roman" w:hAnsi="Times New Roman"/>
        </w:rPr>
        <w:t>249</w:t>
      </w:r>
      <w:r>
        <w:rPr>
          <w:rFonts w:ascii="Times New Roman" w:hAnsi="Times New Roman"/>
        </w:rPr>
        <w:t xml:space="preserve">, </w:t>
      </w:r>
      <w:r w:rsidRPr="00617DD8">
        <w:rPr>
          <w:rFonts w:ascii="Times New Roman" w:hAnsi="Times New Roman"/>
        </w:rPr>
        <w:t>31</w:t>
      </w:r>
      <w:r>
        <w:rPr>
          <w:rFonts w:ascii="Times New Roman" w:hAnsi="Times New Roman"/>
        </w:rPr>
        <w:t>.</w:t>
      </w:r>
      <w:r w:rsidRPr="00617DD8">
        <w:rPr>
          <w:rFonts w:ascii="Times New Roman" w:hAnsi="Times New Roman"/>
        </w:rPr>
        <w:t>7</w:t>
      </w:r>
      <w:r>
        <w:rPr>
          <w:rFonts w:ascii="Times New Roman" w:hAnsi="Times New Roman"/>
        </w:rPr>
        <w:t>.</w:t>
      </w:r>
      <w:r w:rsidRPr="00617DD8">
        <w:rPr>
          <w:rFonts w:ascii="Times New Roman" w:hAnsi="Times New Roman"/>
        </w:rPr>
        <w:t>2020</w:t>
      </w:r>
      <w:r>
        <w:rPr>
          <w:rFonts w:ascii="Times New Roman" w:hAnsi="Times New Roman"/>
        </w:rPr>
        <w:t xml:space="preserve">, p. </w:t>
      </w:r>
      <w:r w:rsidRPr="00617DD8">
        <w:rPr>
          <w:rFonts w:ascii="Times New Roman" w:hAnsi="Times New Roman"/>
        </w:rPr>
        <w:t>1</w:t>
      </w:r>
      <w:r>
        <w:rPr>
          <w:rFonts w:ascii="Times New Roman" w:hAnsi="Times New Roman"/>
        </w:rPr>
        <w:t>).</w:t>
      </w:r>
    </w:p>
  </w:footnote>
  <w:footnote w:id="7">
    <w:p w14:paraId="090AF4A9" w14:textId="420C7025" w:rsidR="009B396F" w:rsidRPr="000D4CAB" w:rsidRDefault="009B396F">
      <w:pPr>
        <w:pStyle w:val="FootnoteText"/>
      </w:pPr>
      <w:r>
        <w:rPr>
          <w:rStyle w:val="FootnoteReference"/>
        </w:rPr>
        <w:footnoteRef/>
      </w:r>
      <w:r>
        <w:rPr>
          <w:rFonts w:ascii="Arial" w:hAnsi="Arial"/>
        </w:rPr>
        <w:t xml:space="preserve"> </w:t>
      </w:r>
      <w:r>
        <w:t>[Vă rugăm să menționați referința JO]</w:t>
      </w:r>
      <w:r w:rsidR="00617DD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5F64E" w14:textId="77777777" w:rsidR="007F5918" w:rsidRPr="007F5918" w:rsidRDefault="007F5918" w:rsidP="007F591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BA851" w14:textId="77777777" w:rsidR="007F5918" w:rsidRPr="007F5918" w:rsidRDefault="007F5918" w:rsidP="007F591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FFFCA" w14:textId="77777777" w:rsidR="007F5918" w:rsidRPr="007F5918" w:rsidRDefault="007F5918" w:rsidP="007F591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B5885" w14:textId="77777777" w:rsidR="00EE3FE4" w:rsidRDefault="00EE3F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2E46B" w14:textId="77777777" w:rsidR="00EE3FE4" w:rsidRDefault="00EE3F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887E4" w14:textId="77777777" w:rsidR="00EE3FE4" w:rsidRDefault="00EE3F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9F4E9C8-3AD4-4D66-962C-E61B08795B43"/>
    <w:docVar w:name="LW_COVERPAGE_TYPE" w:val="1"/>
    <w:docVar w:name="LW_CROSSREFERENCE" w:val="&lt;UNUSED&gt;"/>
    <w:docVar w:name="LW_DocType" w:val="NORMAL"/>
    <w:docVar w:name="LW_EMISSION" w:val="9.2.2026"/>
    <w:docVar w:name="LW_EMISSION_ISODATE" w:val="2026-02-0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competen\u539?ei de a adopta acte delegate conferite Comisiei în temeiul Directivei 2006/22/CE_x000d__x000d__x000d__x000d__x000d__x000d__x000d__x000d__x000b_"/>
    <w:docVar w:name="LW_TYPE.DOC.CP" w:val="RAPORT AL COMISIEI C\u258?TRE PARLAMENTUL EUROPEAN \u536?I CONSILIU"/>
    <w:docVar w:name="LwApiVersions" w:val="LW4CoDe 1.24.5.0; LW 9.2, Build 20251112"/>
  </w:docVars>
  <w:rsids>
    <w:rsidRoot w:val="006519A5"/>
    <w:rsid w:val="000143D3"/>
    <w:rsid w:val="00014DB9"/>
    <w:rsid w:val="0003098C"/>
    <w:rsid w:val="00040EA7"/>
    <w:rsid w:val="000D4CAB"/>
    <w:rsid w:val="000D7D23"/>
    <w:rsid w:val="00120923"/>
    <w:rsid w:val="00157959"/>
    <w:rsid w:val="00167E4F"/>
    <w:rsid w:val="001A3683"/>
    <w:rsid w:val="001E11B0"/>
    <w:rsid w:val="001F4589"/>
    <w:rsid w:val="002273AC"/>
    <w:rsid w:val="0023333B"/>
    <w:rsid w:val="002644EF"/>
    <w:rsid w:val="00272BA5"/>
    <w:rsid w:val="00273BBB"/>
    <w:rsid w:val="002744AF"/>
    <w:rsid w:val="002860BD"/>
    <w:rsid w:val="00297709"/>
    <w:rsid w:val="002B0FD2"/>
    <w:rsid w:val="002B302C"/>
    <w:rsid w:val="002D4915"/>
    <w:rsid w:val="002E6C90"/>
    <w:rsid w:val="002F6CAA"/>
    <w:rsid w:val="00314F1D"/>
    <w:rsid w:val="00317D1A"/>
    <w:rsid w:val="00331DD9"/>
    <w:rsid w:val="0033459C"/>
    <w:rsid w:val="004060EC"/>
    <w:rsid w:val="00411DCD"/>
    <w:rsid w:val="004144D0"/>
    <w:rsid w:val="00414793"/>
    <w:rsid w:val="004457E5"/>
    <w:rsid w:val="005245C9"/>
    <w:rsid w:val="00526E67"/>
    <w:rsid w:val="00545584"/>
    <w:rsid w:val="005969D4"/>
    <w:rsid w:val="005A5027"/>
    <w:rsid w:val="00617DD8"/>
    <w:rsid w:val="006519A5"/>
    <w:rsid w:val="0067741A"/>
    <w:rsid w:val="00682FC4"/>
    <w:rsid w:val="00691E0B"/>
    <w:rsid w:val="00694BAF"/>
    <w:rsid w:val="006D40EF"/>
    <w:rsid w:val="006F1506"/>
    <w:rsid w:val="006F79F2"/>
    <w:rsid w:val="00755F09"/>
    <w:rsid w:val="00756677"/>
    <w:rsid w:val="007B24BB"/>
    <w:rsid w:val="007F5918"/>
    <w:rsid w:val="00811B51"/>
    <w:rsid w:val="00815281"/>
    <w:rsid w:val="008254E4"/>
    <w:rsid w:val="00851DE9"/>
    <w:rsid w:val="008611EA"/>
    <w:rsid w:val="00896E0A"/>
    <w:rsid w:val="008A4DA1"/>
    <w:rsid w:val="008D7ABE"/>
    <w:rsid w:val="008E1FB4"/>
    <w:rsid w:val="008F0610"/>
    <w:rsid w:val="0090307F"/>
    <w:rsid w:val="00912D6E"/>
    <w:rsid w:val="00912F7D"/>
    <w:rsid w:val="00924823"/>
    <w:rsid w:val="009412EE"/>
    <w:rsid w:val="00966887"/>
    <w:rsid w:val="009A5479"/>
    <w:rsid w:val="009B396F"/>
    <w:rsid w:val="009B6CAD"/>
    <w:rsid w:val="009D0464"/>
    <w:rsid w:val="00A05389"/>
    <w:rsid w:val="00A34AC0"/>
    <w:rsid w:val="00A41B74"/>
    <w:rsid w:val="00A44B49"/>
    <w:rsid w:val="00A700C1"/>
    <w:rsid w:val="00AB19B4"/>
    <w:rsid w:val="00AB3F68"/>
    <w:rsid w:val="00AE2C35"/>
    <w:rsid w:val="00AF2AE0"/>
    <w:rsid w:val="00B054DF"/>
    <w:rsid w:val="00B53650"/>
    <w:rsid w:val="00B750FB"/>
    <w:rsid w:val="00B86553"/>
    <w:rsid w:val="00B9743E"/>
    <w:rsid w:val="00BE7D33"/>
    <w:rsid w:val="00C06D57"/>
    <w:rsid w:val="00C24C87"/>
    <w:rsid w:val="00C4427F"/>
    <w:rsid w:val="00C45F3C"/>
    <w:rsid w:val="00C941EC"/>
    <w:rsid w:val="00CB53B4"/>
    <w:rsid w:val="00CC4573"/>
    <w:rsid w:val="00CC689D"/>
    <w:rsid w:val="00CD5231"/>
    <w:rsid w:val="00D03E04"/>
    <w:rsid w:val="00D06971"/>
    <w:rsid w:val="00D13FCD"/>
    <w:rsid w:val="00D14812"/>
    <w:rsid w:val="00D501E5"/>
    <w:rsid w:val="00D75B4D"/>
    <w:rsid w:val="00D83A8D"/>
    <w:rsid w:val="00DB0E69"/>
    <w:rsid w:val="00DF54FD"/>
    <w:rsid w:val="00E011D9"/>
    <w:rsid w:val="00E21D77"/>
    <w:rsid w:val="00E675FA"/>
    <w:rsid w:val="00E804A7"/>
    <w:rsid w:val="00EB3EC0"/>
    <w:rsid w:val="00EE3FE4"/>
    <w:rsid w:val="00EE5062"/>
    <w:rsid w:val="00F13C3D"/>
    <w:rsid w:val="00F33457"/>
    <w:rsid w:val="00F66F99"/>
    <w:rsid w:val="00F700AE"/>
    <w:rsid w:val="00F72759"/>
    <w:rsid w:val="00F740E1"/>
    <w:rsid w:val="00F951D3"/>
    <w:rsid w:val="00F963D4"/>
    <w:rsid w:val="00FA2964"/>
    <w:rsid w:val="00FD4BA2"/>
    <w:rsid w:val="00FF47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60C78A"/>
  <w15:chartTrackingRefBased/>
  <w15:docId w15:val="{9547285A-2B24-46E9-9EDE-F777D08A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51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9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9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9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9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9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9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9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9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9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9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9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9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9A5"/>
    <w:rPr>
      <w:rFonts w:eastAsiaTheme="majorEastAsia" w:cstheme="majorBidi"/>
      <w:color w:val="272727" w:themeColor="text1" w:themeTint="D8"/>
    </w:rPr>
  </w:style>
  <w:style w:type="paragraph" w:styleId="Title">
    <w:name w:val="Title"/>
    <w:basedOn w:val="Normal"/>
    <w:next w:val="Normal"/>
    <w:link w:val="TitleChar"/>
    <w:uiPriority w:val="10"/>
    <w:qFormat/>
    <w:rsid w:val="00651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9A5"/>
    <w:pPr>
      <w:spacing w:before="160"/>
      <w:jc w:val="center"/>
    </w:pPr>
    <w:rPr>
      <w:i/>
      <w:iCs/>
      <w:color w:val="404040" w:themeColor="text1" w:themeTint="BF"/>
    </w:rPr>
  </w:style>
  <w:style w:type="character" w:customStyle="1" w:styleId="QuoteChar">
    <w:name w:val="Quote Char"/>
    <w:basedOn w:val="DefaultParagraphFont"/>
    <w:link w:val="Quote"/>
    <w:uiPriority w:val="29"/>
    <w:rsid w:val="006519A5"/>
    <w:rPr>
      <w:i/>
      <w:iCs/>
      <w:color w:val="404040" w:themeColor="text1" w:themeTint="BF"/>
    </w:rPr>
  </w:style>
  <w:style w:type="paragraph" w:styleId="ListParagraph">
    <w:name w:val="List Paragraph"/>
    <w:basedOn w:val="Normal"/>
    <w:uiPriority w:val="34"/>
    <w:qFormat/>
    <w:rsid w:val="006519A5"/>
    <w:pPr>
      <w:ind w:left="720"/>
      <w:contextualSpacing/>
    </w:pPr>
  </w:style>
  <w:style w:type="character" w:styleId="IntenseEmphasis">
    <w:name w:val="Intense Emphasis"/>
    <w:basedOn w:val="DefaultParagraphFont"/>
    <w:uiPriority w:val="21"/>
    <w:qFormat/>
    <w:rsid w:val="006519A5"/>
    <w:rPr>
      <w:i/>
      <w:iCs/>
      <w:color w:val="0F4761" w:themeColor="accent1" w:themeShade="BF"/>
    </w:rPr>
  </w:style>
  <w:style w:type="paragraph" w:styleId="IntenseQuote">
    <w:name w:val="Intense Quote"/>
    <w:basedOn w:val="Normal"/>
    <w:next w:val="Normal"/>
    <w:link w:val="IntenseQuoteChar"/>
    <w:uiPriority w:val="30"/>
    <w:qFormat/>
    <w:rsid w:val="00651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9A5"/>
    <w:rPr>
      <w:i/>
      <w:iCs/>
      <w:color w:val="0F4761" w:themeColor="accent1" w:themeShade="BF"/>
    </w:rPr>
  </w:style>
  <w:style w:type="character" w:styleId="IntenseReference">
    <w:name w:val="Intense Reference"/>
    <w:basedOn w:val="DefaultParagraphFont"/>
    <w:uiPriority w:val="32"/>
    <w:qFormat/>
    <w:rsid w:val="006519A5"/>
    <w:rPr>
      <w:b/>
      <w:bCs/>
      <w:smallCaps/>
      <w:color w:val="0F4761" w:themeColor="accent1" w:themeShade="BF"/>
      <w:spacing w:val="5"/>
    </w:rPr>
  </w:style>
  <w:style w:type="character" w:customStyle="1" w:styleId="Marker">
    <w:name w:val="Marker"/>
    <w:basedOn w:val="DefaultParagraphFont"/>
    <w:rsid w:val="006519A5"/>
    <w:rPr>
      <w:color w:val="0000FF"/>
      <w:shd w:val="clear" w:color="auto" w:fill="auto"/>
    </w:rPr>
  </w:style>
  <w:style w:type="paragraph" w:styleId="Header">
    <w:name w:val="header"/>
    <w:basedOn w:val="Normal"/>
    <w:link w:val="HeaderChar"/>
    <w:uiPriority w:val="99"/>
    <w:unhideWhenUsed/>
    <w:rsid w:val="00651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9A5"/>
  </w:style>
  <w:style w:type="paragraph" w:styleId="Footer">
    <w:name w:val="footer"/>
    <w:basedOn w:val="Normal"/>
    <w:link w:val="FooterChar"/>
    <w:uiPriority w:val="99"/>
    <w:unhideWhenUsed/>
    <w:rsid w:val="00651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9A5"/>
  </w:style>
  <w:style w:type="paragraph" w:customStyle="1" w:styleId="Pagedecouverture">
    <w:name w:val="Page de couverture"/>
    <w:basedOn w:val="Normal"/>
    <w:next w:val="Normal"/>
    <w:rsid w:val="006519A5"/>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6519A5"/>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6519A5"/>
    <w:rPr>
      <w:rFonts w:ascii="Times New Roman" w:hAnsi="Times New Roman" w:cs="Times New Roman"/>
    </w:rPr>
  </w:style>
  <w:style w:type="paragraph" w:customStyle="1" w:styleId="FooterSensitivity">
    <w:name w:val="Footer Sensitivity"/>
    <w:basedOn w:val="Normal"/>
    <w:link w:val="FooterSensitivityChar"/>
    <w:rsid w:val="006519A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519A5"/>
    <w:rPr>
      <w:rFonts w:ascii="Times New Roman" w:hAnsi="Times New Roman" w:cs="Times New Roman"/>
      <w:b/>
      <w:sz w:val="32"/>
    </w:rPr>
  </w:style>
  <w:style w:type="paragraph" w:customStyle="1" w:styleId="HeaderCoverPage">
    <w:name w:val="Header Cover Page"/>
    <w:basedOn w:val="Normal"/>
    <w:link w:val="HeaderCoverPageChar"/>
    <w:rsid w:val="006519A5"/>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6519A5"/>
    <w:rPr>
      <w:rFonts w:ascii="Times New Roman" w:hAnsi="Times New Roman" w:cs="Times New Roman"/>
    </w:rPr>
  </w:style>
  <w:style w:type="paragraph" w:customStyle="1" w:styleId="HeaderSensitivity">
    <w:name w:val="Header Sensitivity"/>
    <w:basedOn w:val="Normal"/>
    <w:link w:val="HeaderSensitivityChar"/>
    <w:rsid w:val="006519A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519A5"/>
    <w:rPr>
      <w:rFonts w:ascii="Times New Roman" w:hAnsi="Times New Roman" w:cs="Times New Roman"/>
      <w:b/>
      <w:sz w:val="32"/>
    </w:rPr>
  </w:style>
  <w:style w:type="paragraph" w:customStyle="1" w:styleId="HeaderSensitivityRight">
    <w:name w:val="Header Sensitivity Right"/>
    <w:basedOn w:val="Normal"/>
    <w:link w:val="HeaderSensitivityRightChar"/>
    <w:rsid w:val="006519A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519A5"/>
    <w:rPr>
      <w:rFonts w:ascii="Times New Roman" w:hAnsi="Times New Roman" w:cs="Times New Roman"/>
      <w:sz w:val="28"/>
    </w:rPr>
  </w:style>
  <w:style w:type="paragraph" w:styleId="FootnoteText">
    <w:name w:val="footnote text"/>
    <w:basedOn w:val="Normal"/>
    <w:link w:val="FootnoteTextChar"/>
    <w:uiPriority w:val="99"/>
    <w:unhideWhenUsed/>
    <w:rsid w:val="006519A5"/>
    <w:pPr>
      <w:spacing w:after="0" w:line="240" w:lineRule="auto"/>
    </w:pPr>
    <w:rPr>
      <w:sz w:val="20"/>
      <w:szCs w:val="20"/>
    </w:rPr>
  </w:style>
  <w:style w:type="character" w:customStyle="1" w:styleId="FootnoteTextChar">
    <w:name w:val="Footnote Text Char"/>
    <w:basedOn w:val="DefaultParagraphFont"/>
    <w:link w:val="FootnoteText"/>
    <w:uiPriority w:val="99"/>
    <w:rsid w:val="006519A5"/>
    <w:rPr>
      <w:sz w:val="20"/>
      <w:szCs w:val="20"/>
    </w:rPr>
  </w:style>
  <w:style w:type="character" w:styleId="FootnoteReference">
    <w:name w:val="footnote reference"/>
    <w:basedOn w:val="DefaultParagraphFont"/>
    <w:uiPriority w:val="99"/>
    <w:semiHidden/>
    <w:unhideWhenUsed/>
    <w:rsid w:val="006519A5"/>
    <w:rPr>
      <w:vertAlign w:val="superscript"/>
    </w:rPr>
  </w:style>
  <w:style w:type="paragraph" w:styleId="Revision">
    <w:name w:val="Revision"/>
    <w:hidden/>
    <w:uiPriority w:val="99"/>
    <w:semiHidden/>
    <w:rsid w:val="002B0FD2"/>
    <w:pPr>
      <w:spacing w:after="0" w:line="240" w:lineRule="auto"/>
    </w:pPr>
  </w:style>
  <w:style w:type="character" w:styleId="CommentReference">
    <w:name w:val="annotation reference"/>
    <w:basedOn w:val="DefaultParagraphFont"/>
    <w:uiPriority w:val="99"/>
    <w:semiHidden/>
    <w:unhideWhenUsed/>
    <w:rsid w:val="002B0FD2"/>
    <w:rPr>
      <w:sz w:val="16"/>
      <w:szCs w:val="16"/>
    </w:rPr>
  </w:style>
  <w:style w:type="paragraph" w:styleId="CommentText">
    <w:name w:val="annotation text"/>
    <w:basedOn w:val="Normal"/>
    <w:link w:val="CommentTextChar"/>
    <w:uiPriority w:val="99"/>
    <w:unhideWhenUsed/>
    <w:rsid w:val="002B0FD2"/>
    <w:pPr>
      <w:spacing w:line="240" w:lineRule="auto"/>
    </w:pPr>
    <w:rPr>
      <w:sz w:val="20"/>
      <w:szCs w:val="20"/>
    </w:rPr>
  </w:style>
  <w:style w:type="character" w:customStyle="1" w:styleId="CommentTextChar">
    <w:name w:val="Comment Text Char"/>
    <w:basedOn w:val="DefaultParagraphFont"/>
    <w:link w:val="CommentText"/>
    <w:uiPriority w:val="99"/>
    <w:rsid w:val="002B0FD2"/>
    <w:rPr>
      <w:sz w:val="20"/>
      <w:szCs w:val="20"/>
    </w:rPr>
  </w:style>
  <w:style w:type="paragraph" w:styleId="CommentSubject">
    <w:name w:val="annotation subject"/>
    <w:basedOn w:val="CommentText"/>
    <w:next w:val="CommentText"/>
    <w:link w:val="CommentSubjectChar"/>
    <w:uiPriority w:val="99"/>
    <w:semiHidden/>
    <w:unhideWhenUsed/>
    <w:rsid w:val="002B0FD2"/>
    <w:rPr>
      <w:b/>
      <w:bCs/>
    </w:rPr>
  </w:style>
  <w:style w:type="character" w:customStyle="1" w:styleId="CommentSubjectChar">
    <w:name w:val="Comment Subject Char"/>
    <w:basedOn w:val="CommentTextChar"/>
    <w:link w:val="CommentSubject"/>
    <w:uiPriority w:val="99"/>
    <w:semiHidden/>
    <w:rsid w:val="002B0FD2"/>
    <w:rPr>
      <w:b/>
      <w:bCs/>
      <w:sz w:val="20"/>
      <w:szCs w:val="20"/>
    </w:rPr>
  </w:style>
  <w:style w:type="paragraph" w:customStyle="1" w:styleId="Languesfaisantfoi">
    <w:name w:val="Langues faisant foi"/>
    <w:basedOn w:val="Normal"/>
    <w:next w:val="Normal"/>
    <w:rsid w:val="00EE3FE4"/>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EE3FE4"/>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EE3FE4"/>
    <w:pPr>
      <w:spacing w:after="0"/>
    </w:pPr>
  </w:style>
  <w:style w:type="paragraph" w:customStyle="1" w:styleId="IntrtEEEPagedecouverture">
    <w:name w:val="Intérêt EEE (Page de couverture)"/>
    <w:basedOn w:val="IntrtEEE"/>
    <w:next w:val="Normal"/>
    <w:rsid w:val="00EE3FE4"/>
  </w:style>
  <w:style w:type="character" w:styleId="Hyperlink">
    <w:name w:val="Hyperlink"/>
    <w:basedOn w:val="DefaultParagraphFont"/>
    <w:uiPriority w:val="99"/>
    <w:unhideWhenUsed/>
    <w:rsid w:val="00FF47E4"/>
    <w:rPr>
      <w:color w:val="467886" w:themeColor="hyperlink"/>
      <w:u w:val="single"/>
    </w:rPr>
  </w:style>
  <w:style w:type="character" w:customStyle="1" w:styleId="UnresolvedMention">
    <w:name w:val="Unresolved Mention"/>
    <w:basedOn w:val="DefaultParagraphFont"/>
    <w:uiPriority w:val="99"/>
    <w:semiHidden/>
    <w:unhideWhenUsed/>
    <w:rsid w:val="00FF4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B8BA6-6DFA-4BFB-896E-5964BFD9E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2026-01-28T08:58:00Z</dcterms:created>
  <dcterms:modified xsi:type="dcterms:W3CDTF">2026-02-02T10:35:00Z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2025-12-08T19:51:55Z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9cd18ed1-74b9-42af-bcd8-1521979cab0e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