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10437C9-980F-45B2-8BFF-256F7531A6B8" style="width:455.25pt;height:409.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ANNEXE </w:t>
      </w:r>
    </w:p>
    <w:p>
      <w:pPr>
        <w:rPr>
          <w:noProof/>
        </w:rPr>
      </w:pPr>
      <w:r>
        <w:rPr>
          <w:noProof/>
        </w:rPr>
        <w:t xml:space="preserve">L’annexe I du règlement (UE) 2015/757 est modifiée comme suit: </w:t>
      </w:r>
    </w:p>
    <w:p>
      <w:pPr>
        <w:pStyle w:val="Point0number"/>
        <w:numPr>
          <w:ilvl w:val="0"/>
          <w:numId w:val="18"/>
        </w:numPr>
        <w:rPr>
          <w:noProof/>
        </w:rPr>
      </w:pPr>
      <w:r>
        <w:rPr>
          <w:noProof/>
        </w:rPr>
        <w:t xml:space="preserve">Le titre de l’annexe I est remplacé par le titre suivant: </w:t>
      </w:r>
    </w:p>
    <w:p>
      <w:pPr>
        <w:pStyle w:val="Text1"/>
        <w:rPr>
          <w:noProof/>
        </w:rPr>
      </w:pPr>
      <w:r>
        <w:rPr>
          <w:noProof/>
        </w:rPr>
        <w:t>«</w:t>
      </w:r>
      <w:r>
        <w:rPr>
          <w:b/>
          <w:bCs/>
          <w:noProof/>
        </w:rPr>
        <w:t>Méthodes de surveillance des émissions de gaz à effet de serre et de l’énergie utilisée</w:t>
      </w:r>
      <w:r>
        <w:rPr>
          <w:noProof/>
        </w:rPr>
        <w:t>».</w:t>
      </w:r>
    </w:p>
    <w:p>
      <w:pPr>
        <w:pStyle w:val="Point0number"/>
        <w:rPr>
          <w:noProof/>
        </w:rPr>
      </w:pPr>
      <w:r>
        <w:rPr>
          <w:noProof/>
        </w:rPr>
        <w:t xml:space="preserve">La partie A est modifiée comme suit: </w:t>
      </w:r>
    </w:p>
    <w:p>
      <w:pPr>
        <w:pStyle w:val="Point1letter"/>
        <w:rPr>
          <w:noProof/>
        </w:rPr>
      </w:pPr>
      <w:r>
        <w:rPr>
          <w:noProof/>
        </w:rPr>
        <w:t xml:space="preserve">le titre de la partie A est remplacé par le texte suivant: </w:t>
      </w:r>
    </w:p>
    <w:p>
      <w:pPr>
        <w:rPr>
          <w:noProof/>
        </w:rPr>
      </w:pPr>
      <w:r>
        <w:rPr>
          <w:b/>
          <w:i/>
          <w:noProof/>
        </w:rPr>
        <w:t>«CALCUL DES ÉMISSIONS DE GAZ À EFFET DE SERRE ET DE L’ÉNERGIE UTILISÉE (ARTICLE 9)»</w:t>
      </w:r>
      <w:r>
        <w:rPr>
          <w:noProof/>
        </w:rPr>
        <w:t>;</w:t>
      </w:r>
    </w:p>
    <w:p>
      <w:pPr>
        <w:pStyle w:val="Point1letter"/>
        <w:rPr>
          <w:noProof/>
        </w:rPr>
      </w:pPr>
      <w:r>
        <w:rPr>
          <w:noProof/>
        </w:rPr>
        <w:t xml:space="preserve">le point 1 est remplacé par le texte suivant: </w:t>
      </w:r>
    </w:p>
    <w:p>
      <w:pPr>
        <w:rPr>
          <w:b/>
          <w:noProof/>
        </w:rPr>
      </w:pPr>
      <w:bookmarkStart w:id="0" w:name="_Hlk230033787"/>
      <w:r>
        <w:rPr>
          <w:b/>
          <w:noProof/>
        </w:rPr>
        <w:t>«1. Formules de calcul des émissions de gaz à effet de serre</w:t>
      </w:r>
    </w:p>
    <w:p>
      <w:pPr>
        <w:rPr>
          <w:noProof/>
        </w:rPr>
      </w:pPr>
      <w:r>
        <w:rPr>
          <w:noProof/>
        </w:rPr>
        <w:t>Aux fins du calcul des émissions de gaz à effet de serre, les compagnies appliquent la formule suivante:</w:t>
      </w:r>
    </w:p>
    <w:p>
      <w:pPr>
        <w:rPr>
          <w:noProof/>
          <w:vertAlign w:val="subscript"/>
          <w:lang w:val="en-US"/>
        </w:rPr>
      </w:pPr>
      <w:r>
        <w:rPr>
          <w:noProof/>
          <w:lang w:val="en-US"/>
        </w:rPr>
        <w:t>GHG</w:t>
      </w:r>
      <w:r>
        <w:rPr>
          <w:noProof/>
          <w:vertAlign w:val="subscript"/>
          <w:lang w:val="en-US"/>
        </w:rPr>
        <w:t xml:space="preserve">MRV </w:t>
      </w:r>
      <w:r>
        <w:rPr>
          <w:noProof/>
          <w:lang w:val="en-US"/>
        </w:rPr>
        <w:t xml:space="preserve">= GHG WtT </w:t>
      </w:r>
      <w:r>
        <w:rPr>
          <w:noProof/>
          <w:vertAlign w:val="subscript"/>
          <w:lang w:val="en-US"/>
        </w:rPr>
        <w:t xml:space="preserve">MRV </w:t>
      </w:r>
      <w:r>
        <w:rPr>
          <w:noProof/>
          <w:lang w:val="en-US"/>
        </w:rPr>
        <w:t xml:space="preserve">+ GHG TtW </w:t>
      </w:r>
      <w:r>
        <w:rPr>
          <w:noProof/>
          <w:vertAlign w:val="subscript"/>
          <w:lang w:val="en-US"/>
        </w:rPr>
        <w:t>MRV</w:t>
      </w:r>
    </w:p>
    <w:p>
      <w:pPr>
        <w:rPr>
          <w:noProof/>
        </w:rPr>
      </w:pPr>
      <w:r>
        <w:rPr>
          <w:noProof/>
        </w:rPr>
        <w:t xml:space="preserve">où  GHG WtT </w:t>
      </w:r>
      <w:r>
        <w:rPr>
          <w:noProof/>
          <w:vertAlign w:val="subscript"/>
        </w:rPr>
        <w:t xml:space="preserve">MRV </w:t>
      </w:r>
      <w:r>
        <w:rPr>
          <w:noProof/>
        </w:rPr>
        <w:t xml:space="preserve">= </w:t>
      </w:r>
    </w:p>
    <w:p>
      <w:pPr>
        <w:rPr>
          <w:noProof/>
        </w:rPr>
      </w:pPr>
      <m:oMathPara>
        <m:oMath>
          <m:nary>
            <m:naryPr>
              <m:chr m:val="∑"/>
              <m:limLoc m:val="subSup"/>
              <m:grow m:val="1"/>
              <m:ctrlPr>
                <w:rPr>
                  <w:rFonts w:ascii="Cambria Math" w:hAnsi="Cambria Math"/>
                  <w:i/>
                  <w:noProof/>
                </w:rPr>
              </m:ctrlPr>
            </m:naryPr>
            <m:sub>
              <m:r>
                <w:rPr>
                  <w:rFonts w:ascii="Cambria Math" w:hAnsi="Cambria Math"/>
                  <w:noProof/>
                </w:rPr>
                <m:t>i</m:t>
              </m:r>
            </m:sub>
            <m:sup>
              <m:r>
                <w:rPr>
                  <w:rFonts w:ascii="Cambria Math" w:hAnsi="Cambria Math"/>
                  <w:noProof/>
                </w:rPr>
                <m:t>n fuel</m:t>
              </m:r>
            </m:sup>
            <m:e>
              <m:sSub>
                <m:sSubPr>
                  <m:ctrlPr>
                    <w:rPr>
                      <w:rFonts w:ascii="Cambria Math" w:hAnsi="Cambria Math"/>
                      <w:i/>
                      <w:noProof/>
                    </w:rPr>
                  </m:ctrlPr>
                </m:sSubPr>
                <m:e>
                  <m:r>
                    <w:rPr>
                      <w:rFonts w:ascii="Cambria Math" w:hAnsi="Cambria Math"/>
                      <w:noProof/>
                    </w:rPr>
                    <m:t>M</m:t>
                  </m:r>
                </m:e>
                <m:sub>
                  <m:r>
                    <w:rPr>
                      <w:rFonts w:ascii="Cambria Math" w:hAnsi="Cambria Math"/>
                      <w:noProof/>
                    </w:rPr>
                    <m:t>i</m:t>
                  </m:r>
                </m:sub>
              </m:sSub>
            </m:e>
          </m:nary>
          <m:r>
            <w:rPr>
              <w:rFonts w:ascii="Cambria Math" w:hAnsi="Cambria Math"/>
              <w:noProof/>
            </w:rPr>
            <m:t>×</m:t>
          </m:r>
          <m:sSub>
            <m:sSubPr>
              <m:ctrlPr>
                <w:rPr>
                  <w:rFonts w:ascii="Cambria Math" w:hAnsi="Cambria Math"/>
                  <w:i/>
                  <w:noProof/>
                </w:rPr>
              </m:ctrlPr>
            </m:sSubPr>
            <m:e>
              <m:r>
                <w:rPr>
                  <w:rFonts w:ascii="Cambria Math" w:hAnsi="Cambria Math"/>
                  <w:noProof/>
                </w:rPr>
                <m:t>CO</m:t>
              </m:r>
            </m:e>
            <m:sub>
              <m:r>
                <w:rPr>
                  <w:rFonts w:ascii="Cambria Math" w:hAnsi="Cambria Math"/>
                  <w:noProof/>
                </w:rPr>
                <m:t>2eq WtT, i</m:t>
              </m:r>
            </m:sub>
          </m:sSub>
          <m:r>
            <w:rPr>
              <w:rFonts w:ascii="Cambria Math" w:hAnsi="Cambria Math"/>
              <w:noProof/>
            </w:rPr>
            <m:t>×</m:t>
          </m:r>
          <m:sSub>
            <m:sSubPr>
              <m:ctrlPr>
                <w:rPr>
                  <w:rFonts w:ascii="Cambria Math" w:hAnsi="Cambria Math"/>
                  <w:i/>
                  <w:noProof/>
                </w:rPr>
              </m:ctrlPr>
            </m:sSubPr>
            <m:e>
              <m:r>
                <w:rPr>
                  <w:rFonts w:ascii="Cambria Math" w:hAnsi="Cambria Math"/>
                  <w:noProof/>
                </w:rPr>
                <m:t>LCV</m:t>
              </m:r>
            </m:e>
            <m:sub>
              <m:r>
                <w:rPr>
                  <w:rFonts w:ascii="Cambria Math" w:hAnsi="Cambria Math"/>
                  <w:noProof/>
                </w:rPr>
                <m:t>i</m:t>
              </m:r>
            </m:sub>
          </m:sSub>
          <m:r>
            <w:rPr>
              <w:rFonts w:ascii="Cambria Math" w:hAnsi="Cambria Math"/>
              <w:noProof/>
            </w:rPr>
            <m:t>+</m:t>
          </m:r>
          <m:nary>
            <m:naryPr>
              <m:chr m:val="∑"/>
              <m:limLoc m:val="subSup"/>
              <m:ctrlPr>
                <w:rPr>
                  <w:rFonts w:ascii="Cambria Math" w:hAnsi="Cambria Math"/>
                  <w:i/>
                  <w:noProof/>
                </w:rPr>
              </m:ctrlPr>
            </m:naryPr>
            <m:sub>
              <m:r>
                <w:rPr>
                  <w:rFonts w:ascii="Cambria Math" w:hAnsi="Cambria Math"/>
                  <w:noProof/>
                </w:rPr>
                <m:t>k</m:t>
              </m:r>
            </m:sub>
            <m:sup>
              <m:r>
                <w:rPr>
                  <w:rFonts w:ascii="Cambria Math" w:hAnsi="Cambria Math"/>
                  <w:noProof/>
                </w:rPr>
                <m:t>c</m:t>
              </m:r>
            </m:sup>
            <m:e>
              <m:sSub>
                <m:sSubPr>
                  <m:ctrlPr>
                    <w:rPr>
                      <w:rFonts w:ascii="Cambria Math" w:hAnsi="Cambria Math"/>
                      <w:i/>
                      <w:noProof/>
                    </w:rPr>
                  </m:ctrlPr>
                </m:sSubPr>
                <m:e>
                  <m:r>
                    <w:rPr>
                      <w:rFonts w:ascii="Cambria Math" w:hAnsi="Cambria Math"/>
                      <w:noProof/>
                    </w:rPr>
                    <m:t>E</m:t>
                  </m:r>
                </m:e>
                <m:sub>
                  <m:r>
                    <w:rPr>
                      <w:rFonts w:ascii="Cambria Math" w:hAnsi="Cambria Math"/>
                      <w:noProof/>
                    </w:rPr>
                    <m:t>k</m:t>
                  </m:r>
                </m:sub>
              </m:sSub>
            </m:e>
          </m:nary>
          <m:r>
            <w:rPr>
              <w:rFonts w:ascii="Cambria Math" w:hAnsi="Cambria Math"/>
              <w:noProof/>
            </w:rPr>
            <m:t>×</m:t>
          </m:r>
          <m:sSub>
            <m:sSubPr>
              <m:ctrlPr>
                <w:rPr>
                  <w:rFonts w:ascii="Cambria Math" w:hAnsi="Cambria Math"/>
                  <w:i/>
                  <w:noProof/>
                </w:rPr>
              </m:ctrlPr>
            </m:sSubPr>
            <m:e>
              <m:r>
                <w:rPr>
                  <w:rFonts w:ascii="Cambria Math" w:hAnsi="Cambria Math"/>
                  <w:noProof/>
                </w:rPr>
                <m:t>CO</m:t>
              </m:r>
            </m:e>
            <m:sub>
              <m:r>
                <w:rPr>
                  <w:rFonts w:ascii="Cambria Math" w:hAnsi="Cambria Math"/>
                  <w:noProof/>
                </w:rPr>
                <m:t>2eq electricity, k</m:t>
              </m:r>
            </m:sub>
          </m:sSub>
        </m:oMath>
      </m:oMathPara>
    </w:p>
    <w:p>
      <w:pPr>
        <w:jc w:val="left"/>
        <w:rPr>
          <w:noProof/>
        </w:rPr>
      </w:pPr>
      <w:r>
        <w:rPr>
          <w:noProof/>
        </w:rPr>
        <w:t xml:space="preserve">et GHG TtW </w:t>
      </w:r>
      <w:r>
        <w:rPr>
          <w:noProof/>
          <w:vertAlign w:val="subscript"/>
        </w:rPr>
        <w:t xml:space="preserve">MRV </w:t>
      </w:r>
      <w:r>
        <w:rPr>
          <w:noProof/>
        </w:rPr>
        <w:t xml:space="preserve">= </w:t>
      </w:r>
    </w:p>
    <w:p>
      <w:pPr>
        <w:spacing w:before="0" w:after="200" w:line="276" w:lineRule="auto"/>
        <w:jc w:val="left"/>
        <w:rPr>
          <w:rFonts w:eastAsia="MS PMincho"/>
          <w:noProof/>
          <w:kern w:val="2"/>
          <w:sz w:val="22"/>
          <w14:ligatures w14:val="standardContextual"/>
        </w:rPr>
      </w:pPr>
      <m:oMathPara>
        <m:oMath>
          <m:nary>
            <m:naryPr>
              <m:chr m:val="∑"/>
              <m:limLoc m:val="subSup"/>
              <m:ctrlPr>
                <w:rPr>
                  <w:rFonts w:ascii="Cambria Math" w:eastAsia="MS PMincho" w:hAnsi="Cambria Math"/>
                  <w:i/>
                  <w:noProof/>
                  <w:kern w:val="2"/>
                  <w:sz w:val="22"/>
                  <w14:ligatures w14:val="standardContextual"/>
                </w:rPr>
              </m:ctrlPr>
            </m:naryPr>
            <m:sub>
              <m:r>
                <w:rPr>
                  <w:rFonts w:ascii="Cambria Math" w:eastAsia="MS PMincho" w:hAnsi="Cambria Math"/>
                  <w:noProof/>
                  <w:kern w:val="2"/>
                  <w:sz w:val="22"/>
                  <w14:ligatures w14:val="standardContextual"/>
                </w:rPr>
                <m:t>i</m:t>
              </m:r>
            </m:sub>
            <m:sup>
              <m:r>
                <w:rPr>
                  <w:rFonts w:ascii="Cambria Math" w:eastAsia="MS PMincho" w:hAnsi="Cambria Math"/>
                  <w:noProof/>
                  <w:kern w:val="2"/>
                  <w:sz w:val="22"/>
                  <w14:ligatures w14:val="standardContextual"/>
                </w:rPr>
                <m:t>n fuel</m:t>
              </m:r>
            </m:sup>
            <m:e>
              <m:nary>
                <m:naryPr>
                  <m:chr m:val="∑"/>
                  <m:limLoc m:val="subSup"/>
                  <m:ctrlPr>
                    <w:rPr>
                      <w:rFonts w:ascii="Cambria Math" w:eastAsia="MS PMincho" w:hAnsi="Cambria Math"/>
                      <w:i/>
                      <w:noProof/>
                      <w:kern w:val="2"/>
                      <w:sz w:val="22"/>
                      <w14:ligatures w14:val="standardContextual"/>
                    </w:rPr>
                  </m:ctrlPr>
                </m:naryPr>
                <m:sub>
                  <m:r>
                    <w:rPr>
                      <w:rFonts w:ascii="Cambria Math" w:eastAsia="MS PMincho" w:hAnsi="Cambria Math"/>
                      <w:noProof/>
                      <w:kern w:val="2"/>
                      <w:sz w:val="22"/>
                      <w14:ligatures w14:val="standardContextual"/>
                    </w:rPr>
                    <m:t>j</m:t>
                  </m:r>
                </m:sub>
                <m:sup>
                  <m:r>
                    <w:rPr>
                      <w:rFonts w:ascii="Cambria Math" w:eastAsia="MS PMincho" w:hAnsi="Cambria Math"/>
                      <w:noProof/>
                      <w:kern w:val="2"/>
                      <w:sz w:val="22"/>
                      <w14:ligatures w14:val="standardContextual"/>
                    </w:rPr>
                    <m:t xml:space="preserve">m </m:t>
                  </m:r>
                </m:sup>
                <m:e>
                  <m:sSub>
                    <m:sSubPr>
                      <m:ctrlPr>
                        <w:rPr>
                          <w:rFonts w:ascii="Cambria Math" w:eastAsia="MS PMincho" w:hAnsi="Cambria Math"/>
                          <w:i/>
                          <w:noProof/>
                          <w:kern w:val="2"/>
                          <w:sz w:val="22"/>
                          <w14:ligatures w14:val="standardContextual"/>
                        </w:rPr>
                      </m:ctrlPr>
                    </m:sSubPr>
                    <m:e>
                      <m:r>
                        <w:rPr>
                          <w:rFonts w:ascii="Cambria Math" w:eastAsia="MS PMincho" w:hAnsi="Cambria Math"/>
                          <w:noProof/>
                          <w:kern w:val="2"/>
                          <w:sz w:val="22"/>
                          <w14:ligatures w14:val="standardContextual"/>
                        </w:rPr>
                        <m:t>M</m:t>
                      </m:r>
                    </m:e>
                    <m:sub>
                      <m:r>
                        <w:rPr>
                          <w:rFonts w:ascii="Cambria Math" w:eastAsia="MS PMincho" w:hAnsi="Cambria Math"/>
                          <w:noProof/>
                          <w:kern w:val="2"/>
                          <w:sz w:val="22"/>
                          <w14:ligatures w14:val="standardContextual"/>
                        </w:rPr>
                        <m:t>i,j</m:t>
                      </m:r>
                    </m:sub>
                  </m:sSub>
                </m:e>
              </m:nary>
            </m:e>
          </m:nary>
          <m:r>
            <w:rPr>
              <w:rFonts w:ascii="Cambria Math" w:eastAsia="MS PMincho" w:hAnsi="Cambria Math"/>
              <w:noProof/>
              <w:kern w:val="2"/>
              <w:sz w:val="22"/>
              <w14:ligatures w14:val="standardContextual"/>
            </w:rPr>
            <m:t>×</m:t>
          </m:r>
          <m:d>
            <m:dPr>
              <m:begChr m:val="["/>
              <m:endChr m:val="]"/>
              <m:ctrlPr>
                <w:rPr>
                  <w:rFonts w:ascii="Cambria Math" w:eastAsia="MS PMincho" w:hAnsi="Cambria Math"/>
                  <w:i/>
                  <w:noProof/>
                  <w:kern w:val="2"/>
                  <w:sz w:val="22"/>
                  <w14:ligatures w14:val="standardContextual"/>
                </w:rPr>
              </m:ctrlPr>
            </m:dPr>
            <m:e>
              <m:d>
                <m:dPr>
                  <m:ctrlPr>
                    <w:rPr>
                      <w:rFonts w:ascii="Cambria Math" w:eastAsia="MS PMincho" w:hAnsi="Cambria Math"/>
                      <w:i/>
                      <w:noProof/>
                      <w:kern w:val="2"/>
                      <w:sz w:val="22"/>
                      <w14:ligatures w14:val="standardContextual"/>
                    </w:rPr>
                  </m:ctrlPr>
                </m:dPr>
                <m:e>
                  <m:r>
                    <w:rPr>
                      <w:rFonts w:ascii="Cambria Math" w:eastAsia="MS PMincho" w:hAnsi="Cambria Math"/>
                      <w:noProof/>
                      <w:kern w:val="2"/>
                      <w:sz w:val="22"/>
                      <w14:ligatures w14:val="standardContextual"/>
                    </w:rPr>
                    <m:t>1-</m:t>
                  </m:r>
                  <m:f>
                    <m:fPr>
                      <m:ctrlPr>
                        <w:rPr>
                          <w:rFonts w:ascii="Cambria Math" w:eastAsia="MS PMincho" w:hAnsi="Cambria Math"/>
                          <w:i/>
                          <w:noProof/>
                          <w:kern w:val="2"/>
                          <w:sz w:val="22"/>
                          <w14:ligatures w14:val="standardContextual"/>
                        </w:rPr>
                      </m:ctrlPr>
                    </m:fPr>
                    <m:num>
                      <m:r>
                        <w:rPr>
                          <w:rFonts w:ascii="Cambria Math" w:eastAsia="MS PMincho" w:hAnsi="Cambria Math"/>
                          <w:noProof/>
                          <w:kern w:val="2"/>
                          <w:sz w:val="22"/>
                          <w14:ligatures w14:val="standardContextual"/>
                        </w:rPr>
                        <m:t>1</m:t>
                      </m:r>
                    </m:num>
                    <m:den>
                      <m:r>
                        <w:rPr>
                          <w:rFonts w:ascii="Cambria Math" w:eastAsia="MS PMincho" w:hAnsi="Cambria Math"/>
                          <w:noProof/>
                          <w:kern w:val="2"/>
                          <w:sz w:val="22"/>
                          <w14:ligatures w14:val="standardContextual"/>
                        </w:rPr>
                        <m:t>100</m:t>
                      </m:r>
                    </m:den>
                  </m:f>
                  <m:sSub>
                    <m:sSubPr>
                      <m:ctrlPr>
                        <w:rPr>
                          <w:rFonts w:ascii="Cambria Math" w:eastAsia="MS PMincho" w:hAnsi="Cambria Math"/>
                          <w:i/>
                          <w:noProof/>
                          <w:kern w:val="2"/>
                          <w:sz w:val="22"/>
                          <w14:ligatures w14:val="standardContextual"/>
                        </w:rPr>
                      </m:ctrlPr>
                    </m:sSubPr>
                    <m:e>
                      <m:r>
                        <w:rPr>
                          <w:rFonts w:ascii="Cambria Math" w:eastAsia="MS PMincho" w:hAnsi="Cambria Math"/>
                          <w:noProof/>
                          <w:kern w:val="2"/>
                          <w:sz w:val="22"/>
                          <w14:ligatures w14:val="standardContextual"/>
                        </w:rPr>
                        <m:t>C</m:t>
                      </m:r>
                    </m:e>
                    <m:sub>
                      <m:r>
                        <w:rPr>
                          <w:rFonts w:ascii="Cambria Math" w:eastAsia="MS PMincho" w:hAnsi="Cambria Math"/>
                          <w:noProof/>
                          <w:kern w:val="2"/>
                          <w:sz w:val="22"/>
                          <w14:ligatures w14:val="standardContextual"/>
                        </w:rPr>
                        <m:t>slip j</m:t>
                      </m:r>
                    </m:sub>
                  </m:sSub>
                </m:e>
              </m:d>
              <m:r>
                <w:rPr>
                  <w:rFonts w:ascii="Cambria Math" w:eastAsia="MS PMincho" w:hAnsi="Cambria Math"/>
                  <w:noProof/>
                  <w:kern w:val="2"/>
                  <w:sz w:val="22"/>
                  <w14:ligatures w14:val="standardContextual"/>
                </w:rPr>
                <m:t>×</m:t>
              </m:r>
              <m:d>
                <m:dPr>
                  <m:ctrlPr>
                    <w:rPr>
                      <w:rFonts w:ascii="Cambria Math" w:eastAsia="MS PMincho" w:hAnsi="Cambria Math"/>
                      <w:i/>
                      <w:noProof/>
                      <w:kern w:val="2"/>
                      <w:sz w:val="22"/>
                      <w14:ligatures w14:val="standardContextual"/>
                    </w:rPr>
                  </m:ctrlPr>
                </m:dPr>
                <m:e>
                  <m:sSub>
                    <m:sSubPr>
                      <m:ctrlPr>
                        <w:rPr>
                          <w:rFonts w:ascii="Cambria Math" w:eastAsia="MS PMincho" w:hAnsi="Cambria Math"/>
                          <w:i/>
                          <w:noProof/>
                          <w:kern w:val="2"/>
                          <w:sz w:val="22"/>
                          <w14:ligatures w14:val="standardContextual"/>
                        </w:rPr>
                      </m:ctrlPr>
                    </m:sSubPr>
                    <m:e>
                      <m:r>
                        <w:rPr>
                          <w:rFonts w:ascii="Cambria Math" w:eastAsia="MS PMincho" w:hAnsi="Cambria Math"/>
                          <w:noProof/>
                          <w:kern w:val="2"/>
                          <w:sz w:val="22"/>
                          <w14:ligatures w14:val="standardContextual"/>
                        </w:rPr>
                        <m:t>CO</m:t>
                      </m:r>
                    </m:e>
                    <m:sub>
                      <m:r>
                        <w:rPr>
                          <w:rFonts w:ascii="Cambria Math" w:eastAsia="MS PMincho" w:hAnsi="Cambria Math"/>
                          <w:noProof/>
                          <w:kern w:val="2"/>
                          <w:sz w:val="22"/>
                          <w14:ligatures w14:val="standardContextual"/>
                        </w:rPr>
                        <m:t>2eq, TtW,i,j</m:t>
                      </m:r>
                    </m:sub>
                  </m:sSub>
                </m:e>
              </m:d>
              <m:r>
                <w:rPr>
                  <w:rFonts w:ascii="Cambria Math" w:eastAsia="MS PMincho" w:hAnsi="Cambria Math"/>
                  <w:noProof/>
                  <w:kern w:val="2"/>
                  <w:sz w:val="22"/>
                  <w14:ligatures w14:val="standardContextual"/>
                </w:rPr>
                <m:t>+</m:t>
              </m:r>
              <m:d>
                <m:dPr>
                  <m:ctrlPr>
                    <w:rPr>
                      <w:rFonts w:ascii="Cambria Math" w:eastAsia="MS PMincho" w:hAnsi="Cambria Math"/>
                      <w:i/>
                      <w:noProof/>
                      <w:kern w:val="2"/>
                      <w:sz w:val="22"/>
                      <w14:ligatures w14:val="standardContextual"/>
                    </w:rPr>
                  </m:ctrlPr>
                </m:dPr>
                <m:e>
                  <m:f>
                    <m:fPr>
                      <m:ctrlPr>
                        <w:rPr>
                          <w:rFonts w:ascii="Cambria Math" w:eastAsia="MS PMincho" w:hAnsi="Cambria Math"/>
                          <w:i/>
                          <w:noProof/>
                          <w:kern w:val="2"/>
                          <w:sz w:val="22"/>
                          <w14:ligatures w14:val="standardContextual"/>
                        </w:rPr>
                      </m:ctrlPr>
                    </m:fPr>
                    <m:num>
                      <m:r>
                        <w:rPr>
                          <w:rFonts w:ascii="Cambria Math" w:eastAsia="MS PMincho" w:hAnsi="Cambria Math"/>
                          <w:noProof/>
                          <w:kern w:val="2"/>
                          <w:sz w:val="22"/>
                          <w14:ligatures w14:val="standardContextual"/>
                        </w:rPr>
                        <m:t>1</m:t>
                      </m:r>
                    </m:num>
                    <m:den>
                      <m:r>
                        <w:rPr>
                          <w:rFonts w:ascii="Cambria Math" w:eastAsia="MS PMincho" w:hAnsi="Cambria Math"/>
                          <w:noProof/>
                          <w:kern w:val="2"/>
                          <w:sz w:val="22"/>
                          <w14:ligatures w14:val="standardContextual"/>
                        </w:rPr>
                        <m:t>100</m:t>
                      </m:r>
                    </m:den>
                  </m:f>
                  <m:sSub>
                    <m:sSubPr>
                      <m:ctrlPr>
                        <w:rPr>
                          <w:rFonts w:ascii="Cambria Math" w:eastAsia="MS PMincho" w:hAnsi="Cambria Math"/>
                          <w:i/>
                          <w:noProof/>
                          <w:kern w:val="2"/>
                          <w:sz w:val="22"/>
                          <w14:ligatures w14:val="standardContextual"/>
                        </w:rPr>
                      </m:ctrlPr>
                    </m:sSubPr>
                    <m:e>
                      <m:r>
                        <w:rPr>
                          <w:rFonts w:ascii="Cambria Math" w:eastAsia="MS PMincho" w:hAnsi="Cambria Math"/>
                          <w:noProof/>
                          <w:kern w:val="2"/>
                          <w:sz w:val="22"/>
                          <w14:ligatures w14:val="standardContextual"/>
                        </w:rPr>
                        <m:t>C</m:t>
                      </m:r>
                    </m:e>
                    <m:sub>
                      <m:r>
                        <w:rPr>
                          <w:rFonts w:ascii="Cambria Math" w:eastAsia="MS PMincho" w:hAnsi="Cambria Math"/>
                          <w:noProof/>
                          <w:kern w:val="2"/>
                          <w:sz w:val="22"/>
                          <w14:ligatures w14:val="standardContextual"/>
                        </w:rPr>
                        <m:t>slip j</m:t>
                      </m:r>
                    </m:sub>
                  </m:sSub>
                  <m:r>
                    <w:rPr>
                      <w:rFonts w:ascii="Cambria Math" w:eastAsia="MS PMincho" w:hAnsi="Cambria Math"/>
                      <w:noProof/>
                      <w:kern w:val="2"/>
                      <w:sz w:val="22"/>
                      <w14:ligatures w14:val="standardContextual"/>
                    </w:rPr>
                    <m:t>×</m:t>
                  </m:r>
                  <m:sSub>
                    <m:sSubPr>
                      <m:ctrlPr>
                        <w:rPr>
                          <w:rFonts w:ascii="Cambria Math" w:eastAsia="MS PMincho" w:hAnsi="Cambria Math"/>
                          <w:i/>
                          <w:noProof/>
                          <w:kern w:val="2"/>
                          <w:sz w:val="22"/>
                          <w14:ligatures w14:val="standardContextual"/>
                        </w:rPr>
                      </m:ctrlPr>
                    </m:sSubPr>
                    <m:e>
                      <m:r>
                        <w:rPr>
                          <w:rFonts w:ascii="Cambria Math" w:eastAsia="MS PMincho" w:hAnsi="Cambria Math"/>
                          <w:noProof/>
                          <w:kern w:val="2"/>
                          <w:sz w:val="22"/>
                          <w14:ligatures w14:val="standardContextual"/>
                        </w:rPr>
                        <m:t>CO</m:t>
                      </m:r>
                    </m:e>
                    <m:sub>
                      <m:r>
                        <w:rPr>
                          <w:rFonts w:ascii="Cambria Math" w:eastAsia="MS PMincho" w:hAnsi="Cambria Math"/>
                          <w:noProof/>
                          <w:kern w:val="2"/>
                          <w:sz w:val="22"/>
                          <w14:ligatures w14:val="standardContextual"/>
                        </w:rPr>
                        <m:t>2eq TtW, slip,i,j</m:t>
                      </m:r>
                    </m:sub>
                  </m:sSub>
                </m:e>
              </m:d>
            </m:e>
          </m:d>
        </m:oMath>
      </m:oMathPara>
    </w:p>
    <w:p>
      <w:pPr>
        <w:rPr>
          <w:noProof/>
        </w:rPr>
      </w:pPr>
      <w:r>
        <w:rPr>
          <w:noProof/>
        </w:rPr>
        <w:t>La consommation de combustible est calculée séparément pour les émissions résultant de voyages effectués entre des ports relevant de la juridiction d’un État membre, de voyages effectués au départ de ports relevant de la juridiction d’un État membre et de voyages effectués à destination de ports relevant de la juridiction d’un État membre, et pour les émissions produites à l’intérieur de ports relevant de la juridiction d’un État membre. La consommation de combustible à l’intérieur de ports relevant de la juridiction d’un État membre alors que le navire est à quai est calculée séparément.</w:t>
      </w:r>
    </w:p>
    <w:tbl>
      <w:tblPr>
        <w:tblW w:w="9132"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727"/>
        <w:gridCol w:w="6405"/>
      </w:tblGrid>
      <w:tr>
        <w:trPr>
          <w:jc w:val="center"/>
        </w:trPr>
        <w:tc>
          <w:tcPr>
            <w:tcW w:w="2727" w:type="dxa"/>
            <w:tcBorders>
              <w:top w:val="outset" w:sz="6" w:space="0" w:color="auto"/>
              <w:left w:val="outset" w:sz="6" w:space="0" w:color="auto"/>
              <w:bottom w:val="outset" w:sz="6" w:space="0" w:color="auto"/>
              <w:right w:val="outset" w:sz="6" w:space="0" w:color="auto"/>
            </w:tcBorders>
            <w:hideMark/>
          </w:tcPr>
          <w:p>
            <w:pPr>
              <w:rPr>
                <w:b/>
                <w:noProof/>
                <w:szCs w:val="24"/>
              </w:rPr>
            </w:pPr>
            <w:r>
              <w:rPr>
                <w:b/>
                <w:noProof/>
                <w:szCs w:val="24"/>
              </w:rPr>
              <w:t>Terme</w:t>
            </w:r>
          </w:p>
        </w:tc>
        <w:tc>
          <w:tcPr>
            <w:tcW w:w="6405" w:type="dxa"/>
            <w:tcBorders>
              <w:top w:val="outset" w:sz="6" w:space="0" w:color="auto"/>
              <w:left w:val="outset" w:sz="6" w:space="0" w:color="auto"/>
              <w:bottom w:val="outset" w:sz="6" w:space="0" w:color="auto"/>
              <w:right w:val="outset" w:sz="6" w:space="0" w:color="auto"/>
            </w:tcBorders>
            <w:hideMark/>
          </w:tcPr>
          <w:p>
            <w:pPr>
              <w:rPr>
                <w:b/>
                <w:noProof/>
                <w:szCs w:val="24"/>
              </w:rPr>
            </w:pPr>
            <w:r>
              <w:rPr>
                <w:b/>
                <w:noProof/>
                <w:szCs w:val="24"/>
              </w:rPr>
              <w:t>Explication</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rPr>
                <w:noProof/>
                <w:szCs w:val="24"/>
              </w:rPr>
            </w:pPr>
            <w:r>
              <w:rPr>
                <w:noProof/>
                <w:szCs w:val="24"/>
              </w:rPr>
              <w:t>GHG</w:t>
            </w:r>
            <w:r>
              <w:rPr>
                <w:noProof/>
                <w:szCs w:val="24"/>
                <w:vertAlign w:val="subscript"/>
              </w:rPr>
              <w:t>MRV</w:t>
            </w:r>
          </w:p>
        </w:tc>
        <w:tc>
          <w:tcPr>
            <w:tcW w:w="6405" w:type="dxa"/>
            <w:tcBorders>
              <w:top w:val="outset" w:sz="6" w:space="0" w:color="auto"/>
              <w:left w:val="outset" w:sz="6" w:space="0" w:color="auto"/>
              <w:bottom w:val="outset" w:sz="6" w:space="0" w:color="auto"/>
              <w:right w:val="outset" w:sz="6" w:space="0" w:color="auto"/>
            </w:tcBorders>
            <w:hideMark/>
          </w:tcPr>
          <w:p>
            <w:pPr>
              <w:rPr>
                <w:noProof/>
                <w:szCs w:val="24"/>
              </w:rPr>
            </w:pPr>
            <w:r>
              <w:rPr>
                <w:noProof/>
                <w:szCs w:val="24"/>
              </w:rPr>
              <w:t>Émissions de gaz à effet de serre à déclarer en vertu du présent règlement, exprimées en tonnes équivalent CO</w:t>
            </w:r>
            <w:r>
              <w:rPr>
                <w:noProof/>
                <w:szCs w:val="24"/>
                <w:vertAlign w:val="subscript"/>
              </w:rPr>
              <w:t>2</w:t>
            </w:r>
            <w:r>
              <w:rPr>
                <w:noProof/>
                <w:szCs w:val="24"/>
              </w:rPr>
              <w:t>. On entend par “équivalent CO</w:t>
            </w:r>
            <w:r>
              <w:rPr>
                <w:noProof/>
                <w:szCs w:val="24"/>
                <w:vertAlign w:val="subscript"/>
              </w:rPr>
              <w:t>2</w:t>
            </w:r>
            <w:r>
              <w:rPr>
                <w:noProof/>
                <w:szCs w:val="24"/>
              </w:rPr>
              <w:t>” l’unité de mesure utilisée pour calculer les émissions de CO</w:t>
            </w:r>
            <w:r>
              <w:rPr>
                <w:noProof/>
                <w:szCs w:val="24"/>
                <w:vertAlign w:val="subscript"/>
              </w:rPr>
              <w:t>2</w:t>
            </w:r>
            <w:r>
              <w:rPr>
                <w:noProof/>
                <w:szCs w:val="24"/>
              </w:rPr>
              <w:t xml:space="preserve">, de </w:t>
            </w:r>
            <w:r>
              <w:rPr>
                <w:noProof/>
              </w:rPr>
              <w:t>CH</w:t>
            </w:r>
            <w:r>
              <w:rPr>
                <w:noProof/>
                <w:vertAlign w:val="subscript"/>
              </w:rPr>
              <w:t>4</w:t>
            </w:r>
            <w:r>
              <w:rPr>
                <w:noProof/>
                <w:szCs w:val="24"/>
              </w:rPr>
              <w:t xml:space="preserve"> et de N</w:t>
            </w:r>
            <w:r>
              <w:rPr>
                <w:noProof/>
                <w:szCs w:val="24"/>
                <w:vertAlign w:val="subscript"/>
              </w:rPr>
              <w:t>2</w:t>
            </w:r>
            <w:r>
              <w:rPr>
                <w:noProof/>
                <w:szCs w:val="24"/>
              </w:rPr>
              <w:t xml:space="preserve">O sur la base de leur potentiel de réchauffement planétaire, en convertissant des quantités de </w:t>
            </w:r>
            <w:r>
              <w:rPr>
                <w:noProof/>
              </w:rPr>
              <w:t>CH</w:t>
            </w:r>
            <w:r>
              <w:rPr>
                <w:noProof/>
                <w:vertAlign w:val="subscript"/>
              </w:rPr>
              <w:t>4</w:t>
            </w:r>
            <w:r>
              <w:rPr>
                <w:noProof/>
                <w:szCs w:val="24"/>
              </w:rPr>
              <w:t xml:space="preserve"> et de N</w:t>
            </w:r>
            <w:r>
              <w:rPr>
                <w:noProof/>
                <w:szCs w:val="24"/>
                <w:vertAlign w:val="subscript"/>
              </w:rPr>
              <w:t>2</w:t>
            </w:r>
            <w:r>
              <w:rPr>
                <w:noProof/>
                <w:szCs w:val="24"/>
              </w:rPr>
              <w:t>O en une quantité équivalente de dioxyde de carbone qui aurait le même potentiel de réchauffement planétaire.</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rPr>
                <w:noProof/>
                <w:szCs w:val="24"/>
                <w:vertAlign w:val="subscript"/>
              </w:rPr>
            </w:pPr>
            <w:r>
              <w:rPr>
                <w:noProof/>
                <w:szCs w:val="24"/>
              </w:rPr>
              <w:t xml:space="preserve">GHG WtT </w:t>
            </w:r>
            <w:r>
              <w:rPr>
                <w:noProof/>
                <w:szCs w:val="24"/>
                <w:vertAlign w:val="subscript"/>
              </w:rPr>
              <w:t>MRV</w:t>
            </w:r>
          </w:p>
        </w:tc>
        <w:tc>
          <w:tcPr>
            <w:tcW w:w="6405" w:type="dxa"/>
            <w:tcBorders>
              <w:top w:val="outset" w:sz="6" w:space="0" w:color="auto"/>
              <w:left w:val="outset" w:sz="6" w:space="0" w:color="auto"/>
              <w:bottom w:val="outset" w:sz="6" w:space="0" w:color="auto"/>
              <w:right w:val="outset" w:sz="6" w:space="0" w:color="auto"/>
            </w:tcBorders>
            <w:hideMark/>
          </w:tcPr>
          <w:p>
            <w:pPr>
              <w:rPr>
                <w:noProof/>
                <w:szCs w:val="24"/>
              </w:rPr>
            </w:pPr>
            <w:r>
              <w:rPr>
                <w:noProof/>
                <w:szCs w:val="24"/>
              </w:rPr>
              <w:t>Émissions de gaz à effet de serre du puits au réservoir à déclarer en vertu du présent règlement, exprimées en tonnes équivalent CO</w:t>
            </w:r>
            <w:r>
              <w:rPr>
                <w:noProof/>
                <w:szCs w:val="24"/>
                <w:vertAlign w:val="subscript"/>
              </w:rPr>
              <w:t>2</w:t>
            </w:r>
            <w:r>
              <w:rPr>
                <w:noProof/>
                <w:szCs w:val="24"/>
              </w:rPr>
              <w:t>. On entend par “équivalent CO</w:t>
            </w:r>
            <w:r>
              <w:rPr>
                <w:noProof/>
                <w:szCs w:val="24"/>
                <w:vertAlign w:val="subscript"/>
              </w:rPr>
              <w:t>2</w:t>
            </w:r>
            <w:r>
              <w:rPr>
                <w:noProof/>
                <w:szCs w:val="24"/>
              </w:rPr>
              <w:t>” l’unité de mesure utilisée pour calculer les émissions de CO</w:t>
            </w:r>
            <w:r>
              <w:rPr>
                <w:noProof/>
                <w:szCs w:val="24"/>
                <w:vertAlign w:val="subscript"/>
              </w:rPr>
              <w:t>2</w:t>
            </w:r>
            <w:r>
              <w:rPr>
                <w:noProof/>
                <w:szCs w:val="24"/>
              </w:rPr>
              <w:t xml:space="preserve">, de </w:t>
            </w:r>
            <w:r>
              <w:rPr>
                <w:noProof/>
              </w:rPr>
              <w:t>CH</w:t>
            </w:r>
            <w:r>
              <w:rPr>
                <w:noProof/>
                <w:vertAlign w:val="subscript"/>
              </w:rPr>
              <w:t>4</w:t>
            </w:r>
            <w:r>
              <w:rPr>
                <w:noProof/>
                <w:szCs w:val="24"/>
              </w:rPr>
              <w:t xml:space="preserve"> et de N</w:t>
            </w:r>
            <w:r>
              <w:rPr>
                <w:noProof/>
                <w:szCs w:val="24"/>
                <w:vertAlign w:val="subscript"/>
              </w:rPr>
              <w:t>2</w:t>
            </w:r>
            <w:r>
              <w:rPr>
                <w:noProof/>
                <w:szCs w:val="24"/>
              </w:rPr>
              <w:t xml:space="preserve">O sur la base de leur potentiel de réchauffement planétaire, en convertissant des quantités de </w:t>
            </w:r>
            <w:r>
              <w:rPr>
                <w:noProof/>
              </w:rPr>
              <w:t>CH</w:t>
            </w:r>
            <w:r>
              <w:rPr>
                <w:noProof/>
                <w:vertAlign w:val="subscript"/>
              </w:rPr>
              <w:t>4</w:t>
            </w:r>
            <w:r>
              <w:rPr>
                <w:noProof/>
                <w:szCs w:val="24"/>
              </w:rPr>
              <w:t xml:space="preserve"> et de N</w:t>
            </w:r>
            <w:r>
              <w:rPr>
                <w:noProof/>
                <w:szCs w:val="24"/>
                <w:vertAlign w:val="subscript"/>
              </w:rPr>
              <w:t>2</w:t>
            </w:r>
            <w:r>
              <w:rPr>
                <w:noProof/>
                <w:szCs w:val="24"/>
              </w:rPr>
              <w:t xml:space="preserve">O en une quantité équivalente de dioxyde de carbone qui aurait le même potentiel de </w:t>
            </w:r>
            <w:r>
              <w:rPr>
                <w:noProof/>
                <w:szCs w:val="24"/>
              </w:rPr>
              <w:lastRenderedPageBreak/>
              <w:t>réchauffement planétaire.</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rPr>
                <w:noProof/>
                <w:szCs w:val="24"/>
                <w:vertAlign w:val="subscript"/>
              </w:rPr>
            </w:pPr>
            <w:r>
              <w:rPr>
                <w:noProof/>
                <w:szCs w:val="24"/>
              </w:rPr>
              <w:lastRenderedPageBreak/>
              <w:t xml:space="preserve">GHG TtW </w:t>
            </w:r>
            <w:r>
              <w:rPr>
                <w:noProof/>
                <w:szCs w:val="24"/>
                <w:vertAlign w:val="subscript"/>
              </w:rPr>
              <w:t>MRV</w:t>
            </w:r>
          </w:p>
        </w:tc>
        <w:tc>
          <w:tcPr>
            <w:tcW w:w="6405" w:type="dxa"/>
            <w:tcBorders>
              <w:top w:val="outset" w:sz="6" w:space="0" w:color="auto"/>
              <w:left w:val="outset" w:sz="6" w:space="0" w:color="auto"/>
              <w:bottom w:val="outset" w:sz="6" w:space="0" w:color="auto"/>
              <w:right w:val="outset" w:sz="6" w:space="0" w:color="auto"/>
            </w:tcBorders>
            <w:hideMark/>
          </w:tcPr>
          <w:p>
            <w:pPr>
              <w:rPr>
                <w:noProof/>
                <w:szCs w:val="24"/>
              </w:rPr>
            </w:pPr>
            <w:r>
              <w:rPr>
                <w:noProof/>
                <w:szCs w:val="24"/>
              </w:rPr>
              <w:t>Émissions de gaz à effet de serre du réservoir au sillage à déclarer en vertu du présent règlement, exprimées en tonnes équivalent CO</w:t>
            </w:r>
            <w:r>
              <w:rPr>
                <w:noProof/>
                <w:szCs w:val="24"/>
                <w:vertAlign w:val="subscript"/>
              </w:rPr>
              <w:t>2</w:t>
            </w:r>
            <w:r>
              <w:rPr>
                <w:noProof/>
                <w:szCs w:val="24"/>
              </w:rPr>
              <w:t>. On entend par “équivalent CO</w:t>
            </w:r>
            <w:r>
              <w:rPr>
                <w:noProof/>
                <w:szCs w:val="24"/>
                <w:vertAlign w:val="subscript"/>
              </w:rPr>
              <w:t>2</w:t>
            </w:r>
            <w:r>
              <w:rPr>
                <w:noProof/>
                <w:szCs w:val="24"/>
              </w:rPr>
              <w:t>” l’unité de mesure utilisée pour calculer les émissions de CO</w:t>
            </w:r>
            <w:r>
              <w:rPr>
                <w:noProof/>
                <w:szCs w:val="24"/>
                <w:vertAlign w:val="subscript"/>
              </w:rPr>
              <w:t>2</w:t>
            </w:r>
            <w:r>
              <w:rPr>
                <w:noProof/>
                <w:szCs w:val="24"/>
              </w:rPr>
              <w:t xml:space="preserve">, de </w:t>
            </w:r>
            <w:r>
              <w:rPr>
                <w:noProof/>
              </w:rPr>
              <w:t>CH</w:t>
            </w:r>
            <w:r>
              <w:rPr>
                <w:noProof/>
                <w:vertAlign w:val="subscript"/>
              </w:rPr>
              <w:t xml:space="preserve">4 </w:t>
            </w:r>
            <w:r>
              <w:rPr>
                <w:noProof/>
                <w:szCs w:val="24"/>
              </w:rPr>
              <w:t>et de N</w:t>
            </w:r>
            <w:r>
              <w:rPr>
                <w:noProof/>
                <w:szCs w:val="24"/>
                <w:vertAlign w:val="subscript"/>
              </w:rPr>
              <w:t>2</w:t>
            </w:r>
            <w:r>
              <w:rPr>
                <w:noProof/>
                <w:szCs w:val="24"/>
              </w:rPr>
              <w:t xml:space="preserve">O sur la base de leur potentiel de réchauffement planétaire, en convertissant des quantités de </w:t>
            </w:r>
            <w:r>
              <w:rPr>
                <w:noProof/>
              </w:rPr>
              <w:t>CH</w:t>
            </w:r>
            <w:r>
              <w:rPr>
                <w:noProof/>
                <w:vertAlign w:val="subscript"/>
              </w:rPr>
              <w:t xml:space="preserve">4 </w:t>
            </w:r>
            <w:r>
              <w:rPr>
                <w:noProof/>
                <w:szCs w:val="24"/>
              </w:rPr>
              <w:t>et de N</w:t>
            </w:r>
            <w:r>
              <w:rPr>
                <w:noProof/>
                <w:szCs w:val="24"/>
                <w:vertAlign w:val="subscript"/>
              </w:rPr>
              <w:t>2</w:t>
            </w:r>
            <w:r>
              <w:rPr>
                <w:noProof/>
                <w:szCs w:val="24"/>
              </w:rPr>
              <w:t>O en une quantité équivalente de dioxyde de carbone qui aurait le même potentiel de réchauffement planétaire.</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before="60" w:after="60"/>
              <w:rPr>
                <w:rFonts w:eastAsia="Times New Roman"/>
                <w:noProof/>
                <w:szCs w:val="24"/>
                <w:vertAlign w:val="subscript"/>
              </w:rPr>
            </w:pPr>
            <w:r>
              <w:rPr>
                <w:rFonts w:eastAsia="Times New Roman"/>
                <w:noProof/>
                <w:szCs w:val="24"/>
              </w:rPr>
              <w:t>CO</w:t>
            </w:r>
            <w:r>
              <w:rPr>
                <w:rFonts w:eastAsia="Times New Roman"/>
                <w:noProof/>
                <w:szCs w:val="24"/>
                <w:vertAlign w:val="subscript"/>
              </w:rPr>
              <w:t>2eqWtT,i</w:t>
            </w:r>
          </w:p>
          <w:p>
            <w:pPr>
              <w:rPr>
                <w:noProof/>
                <w:szCs w:val="24"/>
              </w:rPr>
            </w:pPr>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rFonts w:eastAsia="Times New Roman"/>
                <w:noProof/>
                <w:szCs w:val="24"/>
              </w:rPr>
            </w:pPr>
            <w:r>
              <w:rPr>
                <w:rFonts w:eastAsia="Times New Roman"/>
                <w:noProof/>
                <w:szCs w:val="24"/>
              </w:rPr>
              <w:t>Facteur d’émission de GES WtT du combustible “i” [gCO</w:t>
            </w:r>
            <w:r>
              <w:rPr>
                <w:rFonts w:eastAsia="Times New Roman"/>
                <w:noProof/>
                <w:szCs w:val="24"/>
                <w:vertAlign w:val="subscript"/>
              </w:rPr>
              <w:t>2</w:t>
            </w:r>
            <w:r>
              <w:rPr>
                <w:rFonts w:eastAsia="Times New Roman"/>
                <w:noProof/>
                <w:szCs w:val="24"/>
              </w:rPr>
              <w:t>eq/MJ]</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szCs w:val="24"/>
              </w:rPr>
            </w:pPr>
            <m:oMathPara>
              <m:oMathParaPr>
                <m:jc m:val="left"/>
              </m:oMathParaPr>
              <m:oMath>
                <m:sSub>
                  <m:sSubPr>
                    <m:ctrlPr>
                      <w:rPr>
                        <w:rFonts w:ascii="Cambria Math" w:hAnsi="Cambria Math"/>
                        <w:noProof/>
                        <w:szCs w:val="24"/>
                      </w:rPr>
                    </m:ctrlPr>
                  </m:sSubPr>
                  <m:e>
                    <m:r>
                      <m:rPr>
                        <m:sty m:val="p"/>
                      </m:rPr>
                      <w:rPr>
                        <w:rFonts w:ascii="Cambria Math" w:hAnsi="Cambria Math"/>
                        <w:noProof/>
                        <w:szCs w:val="24"/>
                      </w:rPr>
                      <m:t>GWP</m:t>
                    </m:r>
                  </m:e>
                  <m:sub>
                    <m:sSub>
                      <m:sSubPr>
                        <m:ctrlPr>
                          <w:rPr>
                            <w:rFonts w:ascii="Cambria Math" w:hAnsi="Cambria Math"/>
                            <w:noProof/>
                            <w:szCs w:val="24"/>
                          </w:rPr>
                        </m:ctrlPr>
                      </m:sSubPr>
                      <m:e>
                        <m:r>
                          <m:rPr>
                            <m:sty m:val="p"/>
                          </m:rPr>
                          <w:rPr>
                            <w:rFonts w:ascii="Cambria Math" w:hAnsi="Cambria Math"/>
                            <w:noProof/>
                            <w:szCs w:val="24"/>
                          </w:rPr>
                          <m:t>CH</m:t>
                        </m:r>
                      </m:e>
                      <m:sub>
                        <m:r>
                          <m:rPr>
                            <m:sty m:val="p"/>
                          </m:rPr>
                          <w:rPr>
                            <w:rFonts w:ascii="Cambria Math" w:hAnsi="Cambria Math"/>
                            <w:noProof/>
                            <w:szCs w:val="24"/>
                          </w:rPr>
                          <m:t>4</m:t>
                        </m:r>
                      </m:sub>
                    </m:sSub>
                  </m:sub>
                </m:sSub>
              </m:oMath>
            </m:oMathPara>
          </w:p>
        </w:tc>
        <w:tc>
          <w:tcPr>
            <w:tcW w:w="6405" w:type="dxa"/>
            <w:tcBorders>
              <w:top w:val="outset" w:sz="6" w:space="0" w:color="auto"/>
              <w:left w:val="outset" w:sz="6" w:space="0" w:color="auto"/>
              <w:bottom w:val="outset" w:sz="6" w:space="0" w:color="auto"/>
              <w:right w:val="outset" w:sz="6" w:space="0" w:color="auto"/>
            </w:tcBorders>
            <w:hideMark/>
          </w:tcPr>
          <w:p>
            <w:pPr>
              <w:rPr>
                <w:noProof/>
                <w:szCs w:val="24"/>
              </w:rPr>
            </w:pPr>
            <w:r>
              <w:rPr>
                <w:noProof/>
                <w:szCs w:val="24"/>
              </w:rPr>
              <w:t xml:space="preserve">Potentiel de réchauffement planétaire du </w:t>
            </w:r>
            <w:r>
              <w:rPr>
                <w:noProof/>
              </w:rPr>
              <w:t>CH</w:t>
            </w:r>
            <w:r>
              <w:rPr>
                <w:noProof/>
                <w:vertAlign w:val="subscript"/>
              </w:rPr>
              <w:t xml:space="preserve">4 </w:t>
            </w:r>
            <w:r>
              <w:rPr>
                <w:noProof/>
                <w:szCs w:val="24"/>
              </w:rPr>
              <w:t>sur 100 ans comme indiqué à l’annexe du règlement délégué (UE) 2020/1044 de la Commission</w:t>
            </w:r>
            <w:hyperlink r:id="rId15" w:anchor="E0006" w:history="1">
              <w:r>
                <w:rPr>
                  <w:rStyle w:val="Hyperlink"/>
                  <w:noProof/>
                  <w:color w:val="auto"/>
                  <w:szCs w:val="24"/>
                </w:rPr>
                <w:t>(</w:t>
              </w:r>
              <w:r>
                <w:rPr>
                  <w:rStyle w:val="Hyperlink"/>
                  <w:noProof/>
                  <w:color w:val="auto"/>
                  <w:szCs w:val="24"/>
                  <w:vertAlign w:val="superscript"/>
                </w:rPr>
                <w:t>1</w:t>
              </w:r>
              <w:r>
                <w:rPr>
                  <w:rStyle w:val="Hyperlink"/>
                  <w:noProof/>
                  <w:color w:val="auto"/>
                  <w:szCs w:val="24"/>
                </w:rPr>
                <w:t>)</w:t>
              </w:r>
            </w:hyperlink>
            <w:r>
              <w:rPr>
                <w:noProof/>
                <w:szCs w:val="24"/>
              </w:rPr>
              <w:t>.</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szCs w:val="24"/>
              </w:rPr>
            </w:pPr>
            <m:oMathPara>
              <m:oMathParaPr>
                <m:jc m:val="left"/>
              </m:oMathParaPr>
              <m:oMath>
                <m:sSub>
                  <m:sSubPr>
                    <m:ctrlPr>
                      <w:rPr>
                        <w:rFonts w:ascii="Cambria Math" w:hAnsi="Cambria Math"/>
                        <w:noProof/>
                        <w:szCs w:val="24"/>
                      </w:rPr>
                    </m:ctrlPr>
                  </m:sSubPr>
                  <m:e>
                    <m:r>
                      <m:rPr>
                        <m:sty m:val="p"/>
                      </m:rPr>
                      <w:rPr>
                        <w:rFonts w:ascii="Cambria Math" w:hAnsi="Cambria Math"/>
                        <w:noProof/>
                        <w:szCs w:val="24"/>
                      </w:rPr>
                      <m:t>GWP</m:t>
                    </m:r>
                  </m:e>
                  <m:sub>
                    <m:sSub>
                      <m:sSubPr>
                        <m:ctrlPr>
                          <w:rPr>
                            <w:rFonts w:ascii="Cambria Math" w:hAnsi="Cambria Math"/>
                            <w:noProof/>
                            <w:szCs w:val="24"/>
                          </w:rPr>
                        </m:ctrlPr>
                      </m:sSubPr>
                      <m:e>
                        <m:r>
                          <m:rPr>
                            <m:sty m:val="p"/>
                          </m:rPr>
                          <w:rPr>
                            <w:rFonts w:ascii="Cambria Math" w:hAnsi="Cambria Math"/>
                            <w:noProof/>
                            <w:szCs w:val="24"/>
                          </w:rPr>
                          <m:t>N</m:t>
                        </m:r>
                      </m:e>
                      <m:sub>
                        <m:r>
                          <m:rPr>
                            <m:sty m:val="p"/>
                          </m:rPr>
                          <w:rPr>
                            <w:rFonts w:ascii="Cambria Math" w:hAnsi="Cambria Math"/>
                            <w:noProof/>
                            <w:szCs w:val="24"/>
                          </w:rPr>
                          <m:t>2</m:t>
                        </m:r>
                      </m:sub>
                    </m:sSub>
                    <m:r>
                      <m:rPr>
                        <m:sty m:val="p"/>
                      </m:rPr>
                      <w:rPr>
                        <w:rFonts w:ascii="Cambria Math" w:hAnsi="Cambria Math"/>
                        <w:noProof/>
                        <w:szCs w:val="24"/>
                      </w:rPr>
                      <m:t>O</m:t>
                    </m:r>
                  </m:sub>
                </m:sSub>
              </m:oMath>
            </m:oMathPara>
          </w:p>
        </w:tc>
        <w:tc>
          <w:tcPr>
            <w:tcW w:w="6405" w:type="dxa"/>
            <w:tcBorders>
              <w:top w:val="outset" w:sz="6" w:space="0" w:color="auto"/>
              <w:left w:val="outset" w:sz="6" w:space="0" w:color="auto"/>
              <w:bottom w:val="outset" w:sz="6" w:space="0" w:color="auto"/>
              <w:right w:val="outset" w:sz="6" w:space="0" w:color="auto"/>
            </w:tcBorders>
            <w:hideMark/>
          </w:tcPr>
          <w:p>
            <w:pPr>
              <w:rPr>
                <w:noProof/>
                <w:szCs w:val="24"/>
              </w:rPr>
            </w:pPr>
            <w:r>
              <w:rPr>
                <w:noProof/>
                <w:szCs w:val="24"/>
              </w:rPr>
              <w:t>Potentiel de réchauffement planétaire du N</w:t>
            </w:r>
            <w:r>
              <w:rPr>
                <w:noProof/>
                <w:szCs w:val="24"/>
                <w:vertAlign w:val="subscript"/>
              </w:rPr>
              <w:t>2</w:t>
            </w:r>
            <w:r>
              <w:rPr>
                <w:noProof/>
                <w:szCs w:val="24"/>
              </w:rPr>
              <w:t>O sur 100 ans comme indiqué à l’annexe du règlement délégué (UE) 2020/1044.</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szCs w:val="24"/>
              </w:rPr>
            </w:pPr>
            <m:oMathPara>
              <m:oMathParaPr>
                <m:jc m:val="left"/>
              </m:oMathParaPr>
              <m:oMath>
                <m:sSub>
                  <m:sSubPr>
                    <m:ctrlPr>
                      <w:rPr>
                        <w:rFonts w:ascii="Cambria Math" w:hAnsi="Cambria Math"/>
                        <w:noProof/>
                        <w:szCs w:val="24"/>
                      </w:rPr>
                    </m:ctrlPr>
                  </m:sSubPr>
                  <m:e>
                    <m:r>
                      <m:rPr>
                        <m:sty m:val="p"/>
                      </m:rPr>
                      <w:rPr>
                        <w:rFonts w:ascii="Cambria Math" w:hAnsi="Cambria Math"/>
                        <w:noProof/>
                        <w:szCs w:val="24"/>
                      </w:rPr>
                      <m:t>GWP</m:t>
                    </m:r>
                  </m:e>
                  <m:sub>
                    <m:sSub>
                      <m:sSubPr>
                        <m:ctrlPr>
                          <w:rPr>
                            <w:rFonts w:ascii="Cambria Math" w:hAnsi="Cambria Math"/>
                            <w:noProof/>
                            <w:szCs w:val="24"/>
                          </w:rPr>
                        </m:ctrlPr>
                      </m:sSubPr>
                      <m:e>
                        <m:r>
                          <m:rPr>
                            <m:sty m:val="p"/>
                          </m:rPr>
                          <w:rPr>
                            <w:rFonts w:ascii="Cambria Math" w:hAnsi="Cambria Math"/>
                            <w:noProof/>
                            <w:szCs w:val="24"/>
                          </w:rPr>
                          <m:t>CO</m:t>
                        </m:r>
                      </m:e>
                      <m:sub>
                        <m:r>
                          <m:rPr>
                            <m:sty m:val="p"/>
                          </m:rPr>
                          <w:rPr>
                            <w:rFonts w:ascii="Cambria Math" w:hAnsi="Cambria Math"/>
                            <w:noProof/>
                            <w:szCs w:val="24"/>
                          </w:rPr>
                          <m:t>2</m:t>
                        </m:r>
                      </m:sub>
                    </m:sSub>
                  </m:sub>
                </m:sSub>
              </m:oMath>
            </m:oMathPara>
          </w:p>
        </w:tc>
        <w:tc>
          <w:tcPr>
            <w:tcW w:w="6405" w:type="dxa"/>
            <w:tcBorders>
              <w:top w:val="outset" w:sz="6" w:space="0" w:color="auto"/>
              <w:left w:val="outset" w:sz="6" w:space="0" w:color="auto"/>
              <w:bottom w:val="outset" w:sz="6" w:space="0" w:color="auto"/>
              <w:right w:val="outset" w:sz="6" w:space="0" w:color="auto"/>
            </w:tcBorders>
            <w:hideMark/>
          </w:tcPr>
          <w:p>
            <w:pPr>
              <w:rPr>
                <w:noProof/>
                <w:szCs w:val="24"/>
              </w:rPr>
            </w:pPr>
            <w:r>
              <w:rPr>
                <w:noProof/>
                <w:szCs w:val="24"/>
              </w:rPr>
              <w:t>Potentiel de réchauffement planétaire du CO</w:t>
            </w:r>
            <w:r>
              <w:rPr>
                <w:noProof/>
                <w:szCs w:val="24"/>
                <w:vertAlign w:val="subscript"/>
              </w:rPr>
              <w:t xml:space="preserve">2 </w:t>
            </w:r>
            <w:r>
              <w:rPr>
                <w:noProof/>
                <w:szCs w:val="24"/>
              </w:rPr>
              <w:t>sur 100 ans comme indiqué à l’annexe du règlement délégué (UE) 2020/1044.</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szCs w:val="24"/>
              </w:rPr>
            </w:pPr>
            <w:r>
              <w:rPr>
                <w:noProof/>
                <w:szCs w:val="24"/>
              </w:rPr>
              <w:t>i</w:t>
            </w:r>
          </w:p>
        </w:tc>
        <w:tc>
          <w:tcPr>
            <w:tcW w:w="6405" w:type="dxa"/>
            <w:tcBorders>
              <w:top w:val="outset" w:sz="6" w:space="0" w:color="auto"/>
              <w:left w:val="outset" w:sz="6" w:space="0" w:color="auto"/>
              <w:bottom w:val="outset" w:sz="6" w:space="0" w:color="auto"/>
              <w:right w:val="outset" w:sz="6" w:space="0" w:color="auto"/>
            </w:tcBorders>
            <w:hideMark/>
          </w:tcPr>
          <w:p>
            <w:pPr>
              <w:rPr>
                <w:noProof/>
                <w:szCs w:val="24"/>
              </w:rPr>
            </w:pPr>
            <w:r>
              <w:rPr>
                <w:noProof/>
                <w:szCs w:val="24"/>
              </w:rPr>
              <w:t>Indice correspondant aux combustibles utilisés à bord du navire au cours de la période de déclaration.</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szCs w:val="24"/>
              </w:rPr>
            </w:pPr>
            <w:r>
              <w:rPr>
                <w:noProof/>
                <w:szCs w:val="24"/>
              </w:rPr>
              <w:t>j</w:t>
            </w:r>
          </w:p>
        </w:tc>
        <w:tc>
          <w:tcPr>
            <w:tcW w:w="6405" w:type="dxa"/>
            <w:tcBorders>
              <w:top w:val="outset" w:sz="6" w:space="0" w:color="auto"/>
              <w:left w:val="outset" w:sz="6" w:space="0" w:color="auto"/>
              <w:bottom w:val="outset" w:sz="6" w:space="0" w:color="auto"/>
              <w:right w:val="outset" w:sz="6" w:space="0" w:color="auto"/>
            </w:tcBorders>
            <w:hideMark/>
          </w:tcPr>
          <w:p>
            <w:pPr>
              <w:rPr>
                <w:noProof/>
                <w:szCs w:val="24"/>
              </w:rPr>
            </w:pPr>
            <w:r>
              <w:rPr>
                <w:noProof/>
                <w:szCs w:val="24"/>
              </w:rPr>
              <w:t>Indice correspondant aux sources d’émission et consommateurs de carburant à bord du navire.</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before="60" w:after="60"/>
              <w:jc w:val="left"/>
              <w:rPr>
                <w:noProof/>
                <w:szCs w:val="24"/>
              </w:rPr>
            </w:pPr>
            <w:r>
              <w:rPr>
                <w:noProof/>
                <w:szCs w:val="24"/>
              </w:rPr>
              <w:t>k</w:t>
            </w:r>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noProof/>
                <w:szCs w:val="24"/>
              </w:rPr>
            </w:pPr>
            <w:r>
              <w:rPr>
                <w:noProof/>
                <w:szCs w:val="24"/>
              </w:rPr>
              <w:t>Indice correspondant aux sources d’énergie de substitution et aux points de raccordement à l’alimentation en électricité à quai</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before="60" w:after="60"/>
              <w:jc w:val="left"/>
              <w:rPr>
                <w:noProof/>
                <w:szCs w:val="24"/>
              </w:rPr>
            </w:pPr>
            <w:r>
              <w:rPr>
                <w:noProof/>
                <w:szCs w:val="24"/>
              </w:rPr>
              <w:t>n</w:t>
            </w:r>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noProof/>
                <w:szCs w:val="24"/>
              </w:rPr>
            </w:pPr>
            <w:r>
              <w:rPr>
                <w:noProof/>
                <w:szCs w:val="24"/>
              </w:rPr>
              <w:t>Quantité totale de types de carburants livrés au navire au cours de la période de déclaration</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before="60" w:after="60"/>
              <w:jc w:val="left"/>
              <w:rPr>
                <w:noProof/>
                <w:szCs w:val="24"/>
              </w:rPr>
            </w:pPr>
            <w:r>
              <w:rPr>
                <w:noProof/>
                <w:szCs w:val="24"/>
              </w:rPr>
              <w:t>c</w:t>
            </w:r>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noProof/>
                <w:szCs w:val="24"/>
              </w:rPr>
            </w:pPr>
            <w:r>
              <w:rPr>
                <w:noProof/>
                <w:szCs w:val="24"/>
              </w:rPr>
              <w:t>Nombre total de points de raccordement à l’alimentation en électricité à quai</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before="60" w:after="60"/>
              <w:jc w:val="left"/>
              <w:rPr>
                <w:noProof/>
                <w:szCs w:val="24"/>
              </w:rPr>
            </w:pPr>
            <w:r>
              <w:rPr>
                <w:noProof/>
                <w:szCs w:val="24"/>
              </w:rPr>
              <w:t>m</w:t>
            </w:r>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noProof/>
                <w:szCs w:val="24"/>
              </w:rPr>
            </w:pPr>
            <w:r>
              <w:rPr>
                <w:noProof/>
                <w:szCs w:val="24"/>
              </w:rPr>
              <w:t>Nombre total d’unités de sources d’émission et de consommateurs de carburant</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before="60" w:after="60"/>
              <w:jc w:val="left"/>
              <w:rPr>
                <w:noProof/>
                <w:szCs w:val="24"/>
                <w:vertAlign w:val="subscript"/>
              </w:rPr>
            </w:pPr>
            <w:r>
              <w:rPr>
                <w:noProof/>
                <w:szCs w:val="24"/>
              </w:rPr>
              <w:t>E</w:t>
            </w:r>
            <w:r>
              <w:rPr>
                <w:noProof/>
                <w:szCs w:val="24"/>
                <w:vertAlign w:val="subscript"/>
              </w:rPr>
              <w:t>k</w:t>
            </w:r>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noProof/>
                <w:szCs w:val="24"/>
              </w:rPr>
            </w:pPr>
            <w:r>
              <w:rPr>
                <w:noProof/>
                <w:szCs w:val="24"/>
              </w:rPr>
              <w:t>Électricité livrée au navire par raccordement à l’alimentation en électricité à quai, ou énergie provenant de sources d’énergie de substitution, par point “k” [MJ]</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tcPr>
          <w:p>
            <w:pPr>
              <w:spacing w:before="60" w:after="60"/>
              <w:jc w:val="left"/>
              <w:rPr>
                <w:noProof/>
                <w:szCs w:val="24"/>
              </w:rPr>
            </w:pPr>
            <w:r>
              <w:rPr>
                <w:noProof/>
                <w:szCs w:val="24"/>
              </w:rPr>
              <w:t>W</w:t>
            </w:r>
          </w:p>
        </w:tc>
        <w:tc>
          <w:tcPr>
            <w:tcW w:w="6405" w:type="dxa"/>
            <w:tcBorders>
              <w:top w:val="outset" w:sz="6" w:space="0" w:color="auto"/>
              <w:left w:val="outset" w:sz="6" w:space="0" w:color="auto"/>
              <w:bottom w:val="outset" w:sz="6" w:space="0" w:color="auto"/>
              <w:right w:val="outset" w:sz="6" w:space="0" w:color="auto"/>
            </w:tcBorders>
          </w:tcPr>
          <w:p>
            <w:pPr>
              <w:spacing w:before="60" w:after="60"/>
              <w:rPr>
                <w:noProof/>
                <w:szCs w:val="24"/>
              </w:rPr>
            </w:pPr>
            <w:r>
              <w:rPr>
                <w:noProof/>
                <w:szCs w:val="24"/>
              </w:rPr>
              <w:t>Consommation d’énergie des systèmes de propulsion assistée par le vent installés à bord</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before="60" w:after="60"/>
              <w:jc w:val="left"/>
              <w:rPr>
                <w:noProof/>
                <w:szCs w:val="24"/>
                <w:vertAlign w:val="subscript"/>
              </w:rPr>
            </w:pPr>
            <w:r>
              <w:rPr>
                <w:noProof/>
                <w:szCs w:val="24"/>
              </w:rPr>
              <w:t>CO</w:t>
            </w:r>
            <w:r>
              <w:rPr>
                <w:noProof/>
                <w:szCs w:val="24"/>
                <w:vertAlign w:val="subscript"/>
              </w:rPr>
              <w:t>2eqWtT,i</w:t>
            </w:r>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noProof/>
                <w:szCs w:val="24"/>
              </w:rPr>
            </w:pPr>
            <w:r>
              <w:rPr>
                <w:noProof/>
                <w:szCs w:val="24"/>
              </w:rPr>
              <w:t>Facteur d’émission de GES WtT du combustible “i” [gCO</w:t>
            </w:r>
            <w:r>
              <w:rPr>
                <w:noProof/>
                <w:szCs w:val="24"/>
                <w:vertAlign w:val="subscript"/>
              </w:rPr>
              <w:t>2</w:t>
            </w:r>
            <w:r>
              <w:rPr>
                <w:noProof/>
                <w:szCs w:val="24"/>
              </w:rPr>
              <w:t>eq/MJ]</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after="0"/>
              <w:jc w:val="left"/>
              <w:rPr>
                <w:noProof/>
                <w:szCs w:val="24"/>
              </w:rPr>
            </w:pPr>
            <m:oMathPara>
              <m:oMathParaPr>
                <m:jc m:val="left"/>
              </m:oMathParaPr>
              <m:oMath>
                <m:sSub>
                  <m:sSubPr>
                    <m:ctrlPr>
                      <w:rPr>
                        <w:rFonts w:ascii="Cambria Math" w:hAnsi="Cambria Math"/>
                        <w:noProof/>
                        <w:szCs w:val="24"/>
                      </w:rPr>
                    </m:ctrlPr>
                  </m:sSubPr>
                  <m:e>
                    <m:r>
                      <m:rPr>
                        <m:sty m:val="p"/>
                      </m:rPr>
                      <w:rPr>
                        <w:rFonts w:ascii="Cambria Math" w:hAnsi="Cambria Math"/>
                        <w:noProof/>
                        <w:szCs w:val="24"/>
                      </w:rPr>
                      <m:t>CO</m:t>
                    </m:r>
                  </m:e>
                  <m:sub>
                    <m:r>
                      <m:rPr>
                        <m:sty m:val="p"/>
                      </m:rPr>
                      <w:rPr>
                        <w:rFonts w:ascii="Cambria Math" w:hAnsi="Cambria Math"/>
                        <w:noProof/>
                        <w:szCs w:val="24"/>
                      </w:rPr>
                      <m:t>2eq electricity, k</m:t>
                    </m:r>
                  </m:sub>
                </m:sSub>
              </m:oMath>
            </m:oMathPara>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noProof/>
                <w:szCs w:val="24"/>
              </w:rPr>
            </w:pPr>
            <w:r>
              <w:rPr>
                <w:noProof/>
                <w:szCs w:val="24"/>
              </w:rPr>
              <w:t xml:space="preserve">Facteur d’émission de GES WtT associé à l’électricité livrée au navire à quai par point de raccordement à l’alimentation en </w:t>
            </w:r>
            <w:r>
              <w:rPr>
                <w:noProof/>
                <w:szCs w:val="24"/>
              </w:rPr>
              <w:lastRenderedPageBreak/>
              <w:t>électricité à quai “k” [gCO</w:t>
            </w:r>
            <w:r>
              <w:rPr>
                <w:noProof/>
                <w:szCs w:val="24"/>
                <w:vertAlign w:val="subscript"/>
              </w:rPr>
              <w:t>2</w:t>
            </w:r>
            <w:r>
              <w:rPr>
                <w:noProof/>
                <w:szCs w:val="24"/>
              </w:rPr>
              <w:t>eq/MJ]</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before="60" w:after="60"/>
              <w:jc w:val="left"/>
              <w:rPr>
                <w:noProof/>
                <w:szCs w:val="24"/>
                <w:vertAlign w:val="subscript"/>
              </w:rPr>
            </w:pPr>
            <w:r>
              <w:rPr>
                <w:noProof/>
                <w:szCs w:val="24"/>
              </w:rPr>
              <w:lastRenderedPageBreak/>
              <w:t>LCV</w:t>
            </w:r>
            <w:r>
              <w:rPr>
                <w:noProof/>
                <w:szCs w:val="24"/>
                <w:vertAlign w:val="subscript"/>
              </w:rPr>
              <w:t>i</w:t>
            </w:r>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noProof/>
                <w:szCs w:val="24"/>
              </w:rPr>
            </w:pPr>
            <w:r>
              <w:rPr>
                <w:noProof/>
                <w:szCs w:val="24"/>
              </w:rPr>
              <w:t>Pouvoir calorifique inférieur du carburant “i” [MJ/gFuel]</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szCs w:val="24"/>
              </w:rPr>
            </w:pPr>
            <w:r>
              <w:rPr>
                <w:noProof/>
                <w:szCs w:val="24"/>
              </w:rPr>
              <w:t>M</w:t>
            </w:r>
            <w:r>
              <w:rPr>
                <w:noProof/>
                <w:szCs w:val="24"/>
                <w:vertAlign w:val="subscript"/>
              </w:rPr>
              <w:t>i, j</w:t>
            </w:r>
          </w:p>
        </w:tc>
        <w:tc>
          <w:tcPr>
            <w:tcW w:w="6405" w:type="dxa"/>
            <w:tcBorders>
              <w:top w:val="outset" w:sz="6" w:space="0" w:color="auto"/>
              <w:left w:val="outset" w:sz="6" w:space="0" w:color="auto"/>
              <w:bottom w:val="outset" w:sz="6" w:space="0" w:color="auto"/>
              <w:right w:val="outset" w:sz="6" w:space="0" w:color="auto"/>
            </w:tcBorders>
            <w:hideMark/>
          </w:tcPr>
          <w:p>
            <w:pPr>
              <w:rPr>
                <w:noProof/>
                <w:szCs w:val="24"/>
              </w:rPr>
            </w:pPr>
            <w:r>
              <w:rPr>
                <w:noProof/>
                <w:szCs w:val="24"/>
              </w:rPr>
              <w:t>Consommation de combustible, en masse du combustible spécifique “i” utilisé par la source d’émission ou le consommateur de carburant “j”.</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szCs w:val="24"/>
              </w:rPr>
            </w:pPr>
            <w:r>
              <w:rPr>
                <w:noProof/>
                <w:szCs w:val="24"/>
              </w:rPr>
              <w:t>C</w:t>
            </w:r>
            <w:r>
              <w:rPr>
                <w:noProof/>
                <w:szCs w:val="24"/>
                <w:vertAlign w:val="subscript"/>
              </w:rPr>
              <w:t>slipj</w:t>
            </w:r>
          </w:p>
        </w:tc>
        <w:tc>
          <w:tcPr>
            <w:tcW w:w="6405" w:type="dxa"/>
            <w:tcBorders>
              <w:top w:val="outset" w:sz="6" w:space="0" w:color="auto"/>
              <w:left w:val="outset" w:sz="6" w:space="0" w:color="auto"/>
              <w:bottom w:val="outset" w:sz="6" w:space="0" w:color="auto"/>
              <w:right w:val="outset" w:sz="6" w:space="0" w:color="auto"/>
            </w:tcBorders>
            <w:hideMark/>
          </w:tcPr>
          <w:p>
            <w:pPr>
              <w:rPr>
                <w:noProof/>
                <w:szCs w:val="24"/>
              </w:rPr>
            </w:pPr>
            <w:r>
              <w:rPr>
                <w:noProof/>
                <w:szCs w:val="24"/>
              </w:rPr>
              <w:t>Facteur d’émission du réservoir au sillage du combustible échappé (coefficient d’échappement), en pourcentage de la masse du combustible “i” utilisé par la source d’émission ou le consommateur de carburant “j” [%].</w:t>
            </w:r>
          </w:p>
          <w:p>
            <w:pPr>
              <w:rPr>
                <w:noProof/>
                <w:szCs w:val="24"/>
              </w:rPr>
            </w:pPr>
            <w:r>
              <w:rPr>
                <w:noProof/>
                <w:szCs w:val="24"/>
              </w:rPr>
              <w:t>C</w:t>
            </w:r>
            <w:r>
              <w:rPr>
                <w:noProof/>
                <w:szCs w:val="24"/>
                <w:vertAlign w:val="subscript"/>
              </w:rPr>
              <w:t>slipj</w:t>
            </w:r>
            <w:r>
              <w:rPr>
                <w:noProof/>
                <w:szCs w:val="24"/>
              </w:rPr>
              <w:t xml:space="preserve"> inclut les émissions diffuses et les émissions d’échappement. Les émissions diffuses et les émissions d’échappement sont des émissions dues à la quantité de carburant qui n’atteint pas la chambre de combustion de la source d’émission ou du consommateur de carburant ou qui n’est pas consommée par la source d’émission ou le consommateur de carburant parce qu’elle n’a pas été brûlée ou évacuée ou qu’elle s’est échappée du système.</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szCs w:val="24"/>
              </w:rPr>
            </w:pPr>
            <m:oMathPara>
              <m:oMathParaPr>
                <m:jc m:val="left"/>
              </m:oMathParaPr>
              <m:oMath>
                <m:sSub>
                  <m:sSubPr>
                    <m:ctrlPr>
                      <w:rPr>
                        <w:rFonts w:ascii="Cambria Math" w:hAnsi="Cambria Math"/>
                        <w:noProof/>
                        <w:szCs w:val="24"/>
                      </w:rPr>
                    </m:ctrlPr>
                  </m:sSubPr>
                  <m:e>
                    <m:r>
                      <m:rPr>
                        <m:sty m:val="p"/>
                      </m:rPr>
                      <w:rPr>
                        <w:rFonts w:ascii="Cambria Math" w:hAnsi="Cambria Math"/>
                        <w:noProof/>
                        <w:szCs w:val="24"/>
                      </w:rPr>
                      <m:t>C</m:t>
                    </m:r>
                  </m:e>
                  <m:sub>
                    <m:r>
                      <m:rPr>
                        <m:sty m:val="p"/>
                      </m:rPr>
                      <w:rPr>
                        <w:rFonts w:ascii="Cambria Math" w:hAnsi="Cambria Math"/>
                        <w:noProof/>
                        <w:szCs w:val="24"/>
                      </w:rPr>
                      <m:t>f</m:t>
                    </m:r>
                    <m:sSub>
                      <m:sSubPr>
                        <m:ctrlPr>
                          <w:rPr>
                            <w:rFonts w:ascii="Cambria Math" w:hAnsi="Cambria Math"/>
                            <w:noProof/>
                            <w:szCs w:val="24"/>
                          </w:rPr>
                        </m:ctrlPr>
                      </m:sSubPr>
                      <m:e>
                        <m:r>
                          <m:rPr>
                            <m:sty m:val="p"/>
                          </m:rPr>
                          <w:rPr>
                            <w:rFonts w:ascii="Cambria Math" w:hAnsi="Cambria Math"/>
                            <w:noProof/>
                            <w:szCs w:val="24"/>
                          </w:rPr>
                          <m:t>CO</m:t>
                        </m:r>
                      </m:e>
                      <m:sub>
                        <m:r>
                          <m:rPr>
                            <m:sty m:val="p"/>
                          </m:rPr>
                          <w:rPr>
                            <w:rFonts w:ascii="Cambria Math" w:hAnsi="Cambria Math"/>
                            <w:noProof/>
                            <w:szCs w:val="24"/>
                          </w:rPr>
                          <m:t>2i, j</m:t>
                        </m:r>
                      </m:sub>
                    </m:sSub>
                  </m:sub>
                </m:sSub>
              </m:oMath>
            </m:oMathPara>
          </w:p>
        </w:tc>
        <w:tc>
          <w:tcPr>
            <w:tcW w:w="6405" w:type="dxa"/>
            <w:tcBorders>
              <w:top w:val="outset" w:sz="6" w:space="0" w:color="auto"/>
              <w:left w:val="outset" w:sz="6" w:space="0" w:color="auto"/>
              <w:bottom w:val="outset" w:sz="6" w:space="0" w:color="auto"/>
              <w:right w:val="outset" w:sz="6" w:space="0" w:color="auto"/>
            </w:tcBorders>
            <w:hideMark/>
          </w:tcPr>
          <w:p>
            <w:pPr>
              <w:rPr>
                <w:noProof/>
                <w:szCs w:val="24"/>
              </w:rPr>
            </w:pPr>
            <w:r>
              <w:rPr>
                <w:noProof/>
                <w:szCs w:val="24"/>
              </w:rPr>
              <w:t>Facteur d’émission du réservoir au sillage de CO</w:t>
            </w:r>
            <w:r>
              <w:rPr>
                <w:noProof/>
                <w:szCs w:val="24"/>
                <w:vertAlign w:val="subscript"/>
              </w:rPr>
              <w:t>2</w:t>
            </w:r>
            <w:r>
              <w:rPr>
                <w:noProof/>
                <w:szCs w:val="24"/>
              </w:rPr>
              <w:t>, tel que défini dans le tableau figurant au point 2 de la présente partie, dans la colonne 6, par combustible “i” utilisé dans la source d’émission et le consommateur de carburant “j”.</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szCs w:val="24"/>
              </w:rPr>
            </w:pPr>
            <m:oMathPara>
              <m:oMathParaPr>
                <m:jc m:val="left"/>
              </m:oMathParaPr>
              <m:oMath>
                <m:sSub>
                  <m:sSubPr>
                    <m:ctrlPr>
                      <w:rPr>
                        <w:rFonts w:ascii="Cambria Math" w:hAnsi="Cambria Math"/>
                        <w:noProof/>
                        <w:szCs w:val="24"/>
                      </w:rPr>
                    </m:ctrlPr>
                  </m:sSubPr>
                  <m:e>
                    <m:r>
                      <m:rPr>
                        <m:sty m:val="p"/>
                      </m:rPr>
                      <w:rPr>
                        <w:rFonts w:ascii="Cambria Math" w:hAnsi="Cambria Math"/>
                        <w:noProof/>
                        <w:szCs w:val="24"/>
                      </w:rPr>
                      <m:t>C</m:t>
                    </m:r>
                  </m:e>
                  <m:sub>
                    <m:r>
                      <m:rPr>
                        <m:sty m:val="p"/>
                      </m:rPr>
                      <w:rPr>
                        <w:rFonts w:ascii="Cambria Math" w:hAnsi="Cambria Math"/>
                        <w:noProof/>
                        <w:szCs w:val="24"/>
                      </w:rPr>
                      <m:t>f</m:t>
                    </m:r>
                    <m:sSub>
                      <m:sSubPr>
                        <m:ctrlPr>
                          <w:rPr>
                            <w:rFonts w:ascii="Cambria Math" w:hAnsi="Cambria Math"/>
                            <w:noProof/>
                            <w:szCs w:val="24"/>
                          </w:rPr>
                        </m:ctrlPr>
                      </m:sSubPr>
                      <m:e>
                        <m:r>
                          <m:rPr>
                            <m:sty m:val="p"/>
                          </m:rPr>
                          <w:rPr>
                            <w:rFonts w:ascii="Cambria Math" w:hAnsi="Cambria Math"/>
                            <w:noProof/>
                            <w:szCs w:val="24"/>
                          </w:rPr>
                          <m:t>CH</m:t>
                        </m:r>
                      </m:e>
                      <m:sub>
                        <m:r>
                          <m:rPr>
                            <m:sty m:val="p"/>
                          </m:rPr>
                          <w:rPr>
                            <w:rFonts w:ascii="Cambria Math" w:hAnsi="Cambria Math"/>
                            <w:noProof/>
                            <w:szCs w:val="24"/>
                          </w:rPr>
                          <m:t>4,i,j</m:t>
                        </m:r>
                      </m:sub>
                    </m:sSub>
                    <m:r>
                      <m:rPr>
                        <m:sty m:val="p"/>
                      </m:rPr>
                      <w:rPr>
                        <w:rFonts w:ascii="Cambria Math" w:hAnsi="Cambria Math"/>
                        <w:noProof/>
                        <w:szCs w:val="24"/>
                      </w:rPr>
                      <m:t>,</m:t>
                    </m:r>
                  </m:sub>
                </m:sSub>
              </m:oMath>
            </m:oMathPara>
          </w:p>
        </w:tc>
        <w:tc>
          <w:tcPr>
            <w:tcW w:w="6405" w:type="dxa"/>
            <w:tcBorders>
              <w:top w:val="outset" w:sz="6" w:space="0" w:color="auto"/>
              <w:left w:val="outset" w:sz="6" w:space="0" w:color="auto"/>
              <w:bottom w:val="outset" w:sz="6" w:space="0" w:color="auto"/>
              <w:right w:val="outset" w:sz="6" w:space="0" w:color="auto"/>
            </w:tcBorders>
            <w:hideMark/>
          </w:tcPr>
          <w:p>
            <w:pPr>
              <w:rPr>
                <w:noProof/>
                <w:szCs w:val="24"/>
              </w:rPr>
            </w:pPr>
            <w:r>
              <w:rPr>
                <w:noProof/>
                <w:szCs w:val="24"/>
              </w:rPr>
              <w:t xml:space="preserve">Facteur d’émission du réservoir au sillage de </w:t>
            </w:r>
            <w:r>
              <w:rPr>
                <w:noProof/>
              </w:rPr>
              <w:t>CH</w:t>
            </w:r>
            <w:r>
              <w:rPr>
                <w:noProof/>
                <w:vertAlign w:val="subscript"/>
              </w:rPr>
              <w:t>4</w:t>
            </w:r>
            <w:r>
              <w:rPr>
                <w:noProof/>
                <w:szCs w:val="24"/>
              </w:rPr>
              <w:t>, tel que défini dans le tableau figurant au point 2 de la présente partie, dans la colonne 7, par combustible “i” utilisé dans la source d’émission et le consommateur de carburant “j”.</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szCs w:val="24"/>
              </w:rPr>
            </w:pPr>
            <m:oMathPara>
              <m:oMathParaPr>
                <m:jc m:val="left"/>
              </m:oMathParaPr>
              <m:oMath>
                <m:sSub>
                  <m:sSubPr>
                    <m:ctrlPr>
                      <w:rPr>
                        <w:rFonts w:ascii="Cambria Math" w:hAnsi="Cambria Math"/>
                        <w:noProof/>
                        <w:szCs w:val="24"/>
                      </w:rPr>
                    </m:ctrlPr>
                  </m:sSubPr>
                  <m:e>
                    <m:r>
                      <m:rPr>
                        <m:sty m:val="p"/>
                      </m:rPr>
                      <w:rPr>
                        <w:rFonts w:ascii="Cambria Math" w:hAnsi="Cambria Math"/>
                        <w:noProof/>
                        <w:szCs w:val="24"/>
                      </w:rPr>
                      <m:t>C</m:t>
                    </m:r>
                  </m:e>
                  <m:sub>
                    <m:r>
                      <m:rPr>
                        <m:sty m:val="p"/>
                      </m:rPr>
                      <w:rPr>
                        <w:rFonts w:ascii="Cambria Math" w:hAnsi="Cambria Math"/>
                        <w:noProof/>
                        <w:szCs w:val="24"/>
                      </w:rPr>
                      <m:t>f</m:t>
                    </m:r>
                    <m:sSub>
                      <m:sSubPr>
                        <m:ctrlPr>
                          <w:rPr>
                            <w:rFonts w:ascii="Cambria Math" w:hAnsi="Cambria Math"/>
                            <w:noProof/>
                            <w:szCs w:val="24"/>
                          </w:rPr>
                        </m:ctrlPr>
                      </m:sSubPr>
                      <m:e>
                        <m:r>
                          <m:rPr>
                            <m:sty m:val="p"/>
                          </m:rPr>
                          <w:rPr>
                            <w:rFonts w:ascii="Cambria Math" w:hAnsi="Cambria Math"/>
                            <w:noProof/>
                            <w:szCs w:val="24"/>
                          </w:rPr>
                          <m:t>N</m:t>
                        </m:r>
                      </m:e>
                      <m:sub>
                        <m:r>
                          <m:rPr>
                            <m:sty m:val="p"/>
                          </m:rPr>
                          <w:rPr>
                            <w:rFonts w:ascii="Cambria Math" w:hAnsi="Cambria Math"/>
                            <w:noProof/>
                            <w:szCs w:val="24"/>
                          </w:rPr>
                          <m:t>2</m:t>
                        </m:r>
                      </m:sub>
                    </m:sSub>
                    <m:sSub>
                      <m:sSubPr>
                        <m:ctrlPr>
                          <w:rPr>
                            <w:rFonts w:ascii="Cambria Math" w:hAnsi="Cambria Math"/>
                            <w:noProof/>
                            <w:szCs w:val="24"/>
                          </w:rPr>
                        </m:ctrlPr>
                      </m:sSubPr>
                      <m:e>
                        <m:r>
                          <m:rPr>
                            <m:sty m:val="p"/>
                          </m:rPr>
                          <w:rPr>
                            <w:rFonts w:ascii="Cambria Math" w:hAnsi="Cambria Math"/>
                            <w:noProof/>
                            <w:szCs w:val="24"/>
                          </w:rPr>
                          <m:t>O</m:t>
                        </m:r>
                      </m:e>
                      <m:sub>
                        <m:r>
                          <m:rPr>
                            <m:sty m:val="p"/>
                          </m:rPr>
                          <w:rPr>
                            <w:rFonts w:ascii="Cambria Math" w:hAnsi="Cambria Math"/>
                            <w:noProof/>
                            <w:szCs w:val="24"/>
                          </w:rPr>
                          <m:t>,i,j</m:t>
                        </m:r>
                      </m:sub>
                    </m:sSub>
                  </m:sub>
                </m:sSub>
              </m:oMath>
            </m:oMathPara>
          </w:p>
          <w:p>
            <w:pPr>
              <w:jc w:val="left"/>
              <w:rPr>
                <w:noProof/>
                <w:szCs w:val="24"/>
              </w:rPr>
            </w:pPr>
          </w:p>
        </w:tc>
        <w:tc>
          <w:tcPr>
            <w:tcW w:w="6405" w:type="dxa"/>
            <w:tcBorders>
              <w:top w:val="outset" w:sz="6" w:space="0" w:color="auto"/>
              <w:left w:val="outset" w:sz="6" w:space="0" w:color="auto"/>
              <w:bottom w:val="outset" w:sz="6" w:space="0" w:color="auto"/>
              <w:right w:val="outset" w:sz="6" w:space="0" w:color="auto"/>
            </w:tcBorders>
            <w:hideMark/>
          </w:tcPr>
          <w:p>
            <w:pPr>
              <w:rPr>
                <w:noProof/>
                <w:szCs w:val="24"/>
              </w:rPr>
            </w:pPr>
            <w:r>
              <w:rPr>
                <w:noProof/>
                <w:szCs w:val="24"/>
              </w:rPr>
              <w:t>Facteur d’émission du réservoir au sillage de N</w:t>
            </w:r>
            <w:r>
              <w:rPr>
                <w:noProof/>
                <w:szCs w:val="24"/>
                <w:vertAlign w:val="subscript"/>
              </w:rPr>
              <w:t>2</w:t>
            </w:r>
            <w:r>
              <w:rPr>
                <w:noProof/>
                <w:szCs w:val="24"/>
              </w:rPr>
              <w:t>O, tel que défini dans le tableau figurant au point 2 de la présente partie, dans la colonne 8, par combustible “i” utilisé dans la source d’émission et le consommateur de carburant “j”.</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szCs w:val="24"/>
              </w:rPr>
            </w:pPr>
          </w:p>
          <w:p>
            <w:pPr>
              <w:jc w:val="left"/>
              <w:rPr>
                <w:noProof/>
                <w:szCs w:val="24"/>
              </w:rPr>
            </w:pPr>
            <m:oMathPara>
              <m:oMath>
                <m:sSub>
                  <m:sSubPr>
                    <m:ctrlPr>
                      <w:rPr>
                        <w:rFonts w:ascii="Cambria Math" w:hAnsi="Cambria Math"/>
                        <w:noProof/>
                        <w:szCs w:val="24"/>
                      </w:rPr>
                    </m:ctrlPr>
                  </m:sSubPr>
                  <m:e>
                    <m:r>
                      <m:rPr>
                        <m:sty m:val="p"/>
                      </m:rPr>
                      <w:rPr>
                        <w:rFonts w:ascii="Cambria Math" w:hAnsi="Cambria Math"/>
                        <w:noProof/>
                        <w:szCs w:val="24"/>
                      </w:rPr>
                      <m:t>C</m:t>
                    </m:r>
                  </m:e>
                  <m:sub>
                    <m:r>
                      <m:rPr>
                        <m:sty m:val="p"/>
                      </m:rPr>
                      <w:rPr>
                        <w:rFonts w:ascii="Cambria Math" w:hAnsi="Cambria Math"/>
                        <w:noProof/>
                        <w:szCs w:val="24"/>
                      </w:rPr>
                      <m:t>sf</m:t>
                    </m:r>
                    <m:sSub>
                      <m:sSubPr>
                        <m:ctrlPr>
                          <w:rPr>
                            <w:rFonts w:ascii="Cambria Math" w:hAnsi="Cambria Math"/>
                            <w:noProof/>
                            <w:szCs w:val="24"/>
                          </w:rPr>
                        </m:ctrlPr>
                      </m:sSubPr>
                      <m:e>
                        <m:r>
                          <m:rPr>
                            <m:sty m:val="p"/>
                          </m:rPr>
                          <w:rPr>
                            <w:rFonts w:ascii="Cambria Math" w:hAnsi="Cambria Math"/>
                            <w:noProof/>
                            <w:szCs w:val="24"/>
                          </w:rPr>
                          <m:t>CO</m:t>
                        </m:r>
                      </m:e>
                      <m:sub>
                        <m:r>
                          <m:rPr>
                            <m:sty m:val="p"/>
                          </m:rPr>
                          <w:rPr>
                            <w:rFonts w:ascii="Cambria Math" w:hAnsi="Cambria Math"/>
                            <w:noProof/>
                            <w:szCs w:val="24"/>
                          </w:rPr>
                          <m:t>2i,j,</m:t>
                        </m:r>
                      </m:sub>
                    </m:sSub>
                  </m:sub>
                </m:sSub>
                <m:r>
                  <m:rPr>
                    <m:sty m:val="p"/>
                  </m:rPr>
                  <w:rPr>
                    <w:rFonts w:ascii="Cambria Math" w:hAnsi="Cambria Math"/>
                    <w:noProof/>
                    <w:szCs w:val="24"/>
                  </w:rPr>
                  <m:t>,</m:t>
                </m:r>
                <m:sSub>
                  <m:sSubPr>
                    <m:ctrlPr>
                      <w:rPr>
                        <w:rFonts w:ascii="Cambria Math" w:hAnsi="Cambria Math"/>
                        <w:noProof/>
                        <w:szCs w:val="24"/>
                      </w:rPr>
                    </m:ctrlPr>
                  </m:sSubPr>
                  <m:e>
                    <m:r>
                      <m:rPr>
                        <m:sty m:val="p"/>
                      </m:rPr>
                      <w:rPr>
                        <w:rFonts w:ascii="Cambria Math" w:hAnsi="Cambria Math"/>
                        <w:noProof/>
                        <w:szCs w:val="24"/>
                      </w:rPr>
                      <m:t>C</m:t>
                    </m:r>
                  </m:e>
                  <m:sub>
                    <m:r>
                      <m:rPr>
                        <m:sty m:val="p"/>
                      </m:rPr>
                      <w:rPr>
                        <w:rFonts w:ascii="Cambria Math" w:hAnsi="Cambria Math"/>
                        <w:noProof/>
                        <w:szCs w:val="24"/>
                      </w:rPr>
                      <m:t>sf</m:t>
                    </m:r>
                    <m:sSub>
                      <m:sSubPr>
                        <m:ctrlPr>
                          <w:rPr>
                            <w:rFonts w:ascii="Cambria Math" w:hAnsi="Cambria Math"/>
                            <w:noProof/>
                            <w:szCs w:val="24"/>
                          </w:rPr>
                        </m:ctrlPr>
                      </m:sSubPr>
                      <m:e>
                        <m:r>
                          <m:rPr>
                            <m:sty m:val="p"/>
                          </m:rPr>
                          <w:rPr>
                            <w:rFonts w:ascii="Cambria Math" w:hAnsi="Cambria Math"/>
                            <w:noProof/>
                            <w:szCs w:val="24"/>
                          </w:rPr>
                          <m:t>CH</m:t>
                        </m:r>
                      </m:e>
                      <m:sub>
                        <m:r>
                          <m:rPr>
                            <m:sty m:val="p"/>
                          </m:rPr>
                          <w:rPr>
                            <w:rFonts w:ascii="Cambria Math" w:hAnsi="Cambria Math"/>
                            <w:noProof/>
                            <w:szCs w:val="24"/>
                          </w:rPr>
                          <m:t>4,i,j</m:t>
                        </m:r>
                      </m:sub>
                    </m:sSub>
                  </m:sub>
                </m:sSub>
                <m:r>
                  <m:rPr>
                    <m:sty m:val="p"/>
                  </m:rPr>
                  <w:rPr>
                    <w:rFonts w:ascii="Cambria Math" w:hAnsi="Cambria Math"/>
                    <w:noProof/>
                    <w:szCs w:val="24"/>
                  </w:rPr>
                  <m:t>,</m:t>
                </m:r>
                <m:sSub>
                  <m:sSubPr>
                    <m:ctrlPr>
                      <w:rPr>
                        <w:rFonts w:ascii="Cambria Math" w:hAnsi="Cambria Math"/>
                        <w:noProof/>
                        <w:szCs w:val="24"/>
                      </w:rPr>
                    </m:ctrlPr>
                  </m:sSubPr>
                  <m:e>
                    <m:r>
                      <m:rPr>
                        <m:sty m:val="p"/>
                      </m:rPr>
                      <w:rPr>
                        <w:rFonts w:ascii="Cambria Math" w:hAnsi="Cambria Math"/>
                        <w:noProof/>
                        <w:szCs w:val="24"/>
                      </w:rPr>
                      <m:t>C</m:t>
                    </m:r>
                  </m:e>
                  <m:sub>
                    <m:r>
                      <m:rPr>
                        <m:sty m:val="p"/>
                      </m:rPr>
                      <w:rPr>
                        <w:rFonts w:ascii="Cambria Math" w:hAnsi="Cambria Math"/>
                        <w:noProof/>
                        <w:szCs w:val="24"/>
                      </w:rPr>
                      <m:t>sf</m:t>
                    </m:r>
                    <m:sSub>
                      <m:sSubPr>
                        <m:ctrlPr>
                          <w:rPr>
                            <w:rFonts w:ascii="Cambria Math" w:hAnsi="Cambria Math"/>
                            <w:noProof/>
                            <w:szCs w:val="24"/>
                          </w:rPr>
                        </m:ctrlPr>
                      </m:sSubPr>
                      <m:e>
                        <m:r>
                          <m:rPr>
                            <m:sty m:val="p"/>
                          </m:rPr>
                          <w:rPr>
                            <w:rFonts w:ascii="Cambria Math" w:hAnsi="Cambria Math"/>
                            <w:noProof/>
                            <w:szCs w:val="24"/>
                          </w:rPr>
                          <m:t>N</m:t>
                        </m:r>
                      </m:e>
                      <m:sub>
                        <m:r>
                          <m:rPr>
                            <m:sty m:val="p"/>
                          </m:rPr>
                          <w:rPr>
                            <w:rFonts w:ascii="Cambria Math" w:hAnsi="Cambria Math"/>
                            <w:noProof/>
                            <w:szCs w:val="24"/>
                          </w:rPr>
                          <m:t>2</m:t>
                        </m:r>
                      </m:sub>
                    </m:sSub>
                    <m:sSub>
                      <m:sSubPr>
                        <m:ctrlPr>
                          <w:rPr>
                            <w:rFonts w:ascii="Cambria Math" w:hAnsi="Cambria Math"/>
                            <w:noProof/>
                            <w:szCs w:val="24"/>
                          </w:rPr>
                        </m:ctrlPr>
                      </m:sSubPr>
                      <m:e>
                        <m:r>
                          <m:rPr>
                            <m:sty m:val="p"/>
                          </m:rPr>
                          <w:rPr>
                            <w:rFonts w:ascii="Cambria Math" w:hAnsi="Cambria Math"/>
                            <w:noProof/>
                            <w:szCs w:val="24"/>
                          </w:rPr>
                          <m:t>O</m:t>
                        </m:r>
                      </m:e>
                      <m:sub>
                        <m:r>
                          <m:rPr>
                            <m:sty m:val="p"/>
                          </m:rPr>
                          <w:rPr>
                            <w:rFonts w:ascii="Cambria Math" w:hAnsi="Cambria Math"/>
                            <w:noProof/>
                            <w:szCs w:val="24"/>
                          </w:rPr>
                          <m:t>, i,j</m:t>
                        </m:r>
                      </m:sub>
                    </m:sSub>
                  </m:sub>
                </m:sSub>
              </m:oMath>
            </m:oMathPara>
          </w:p>
        </w:tc>
        <w:tc>
          <w:tcPr>
            <w:tcW w:w="6405" w:type="dxa"/>
            <w:tcBorders>
              <w:top w:val="outset" w:sz="6" w:space="0" w:color="auto"/>
              <w:left w:val="outset" w:sz="6" w:space="0" w:color="auto"/>
              <w:bottom w:val="outset" w:sz="6" w:space="0" w:color="auto"/>
              <w:right w:val="outset" w:sz="6" w:space="0" w:color="auto"/>
            </w:tcBorders>
            <w:hideMark/>
          </w:tcPr>
          <w:p>
            <w:pPr>
              <w:rPr>
                <w:noProof/>
                <w:szCs w:val="24"/>
              </w:rPr>
            </w:pPr>
            <w:r>
              <w:rPr>
                <w:noProof/>
                <w:szCs w:val="24"/>
              </w:rPr>
              <w:t>Facteurs d’émission de GES TtW par carburant échappé “i” vers la source d’émission et le consommateur de carburant “j” [gGHG/gFuel]</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szCs w:val="24"/>
              </w:rPr>
            </w:pPr>
            <w:r>
              <w:rPr>
                <w:noProof/>
                <w:szCs w:val="24"/>
              </w:rPr>
              <w:t>CO</w:t>
            </w:r>
            <w:r>
              <w:rPr>
                <w:noProof/>
                <w:szCs w:val="24"/>
                <w:vertAlign w:val="subscript"/>
              </w:rPr>
              <w:t>2eq,TtWslipi,j</w:t>
            </w:r>
          </w:p>
        </w:tc>
        <w:tc>
          <w:tcPr>
            <w:tcW w:w="6405" w:type="dxa"/>
            <w:tcBorders>
              <w:top w:val="outset" w:sz="6" w:space="0" w:color="auto"/>
              <w:left w:val="outset" w:sz="6" w:space="0" w:color="auto"/>
              <w:bottom w:val="outset" w:sz="6" w:space="0" w:color="auto"/>
              <w:right w:val="outset" w:sz="6" w:space="0" w:color="auto"/>
            </w:tcBorders>
            <w:hideMark/>
          </w:tcPr>
          <w:p>
            <w:pPr>
              <w:rPr>
                <w:rFonts w:eastAsiaTheme="minorEastAsia"/>
                <w:noProof/>
                <w:szCs w:val="24"/>
              </w:rPr>
            </w:pPr>
            <w:r>
              <w:rPr>
                <w:rFonts w:eastAsiaTheme="minorEastAsia"/>
                <w:noProof/>
                <w:szCs w:val="24"/>
              </w:rPr>
              <w:t xml:space="preserve">Facteur d’émission d’équivalent </w:t>
            </w:r>
            <w:r>
              <w:rPr>
                <w:noProof/>
                <w:szCs w:val="24"/>
              </w:rPr>
              <w:t>CO</w:t>
            </w:r>
            <w:r>
              <w:rPr>
                <w:noProof/>
                <w:szCs w:val="24"/>
                <w:vertAlign w:val="subscript"/>
              </w:rPr>
              <w:t>2</w:t>
            </w:r>
            <w:r>
              <w:rPr>
                <w:rFonts w:eastAsiaTheme="minorEastAsia"/>
                <w:noProof/>
                <w:szCs w:val="24"/>
              </w:rPr>
              <w:t xml:space="preserve"> TtW du carburant échappé “i” vers la source d’émission et le consommateur de carburant “j” [g</w:t>
            </w:r>
            <w:r>
              <w:rPr>
                <w:noProof/>
                <w:szCs w:val="24"/>
              </w:rPr>
              <w:t>CO</w:t>
            </w:r>
            <w:r>
              <w:rPr>
                <w:noProof/>
                <w:szCs w:val="24"/>
                <w:vertAlign w:val="subscript"/>
              </w:rPr>
              <w:t>2</w:t>
            </w:r>
            <w:r>
              <w:rPr>
                <w:rFonts w:eastAsiaTheme="minorEastAsia"/>
                <w:noProof/>
                <w:szCs w:val="24"/>
              </w:rPr>
              <w:t>eq/gFuel]</w:t>
            </w:r>
          </w:p>
          <w:p>
            <w:pPr>
              <w:rPr>
                <w:rFonts w:eastAsiaTheme="minorEastAsia"/>
                <w:noProof/>
                <w:szCs w:val="24"/>
              </w:rPr>
            </w:pPr>
            <m:oMathPara>
              <m:oMath>
                <m:sSub>
                  <m:sSubPr>
                    <m:ctrlPr>
                      <w:rPr>
                        <w:rFonts w:ascii="Cambria Math" w:eastAsiaTheme="minorEastAsia" w:hAnsi="Cambria Math"/>
                        <w:i/>
                        <w:noProof/>
                        <w:szCs w:val="24"/>
                      </w:rPr>
                    </m:ctrlPr>
                  </m:sSubPr>
                  <m:e>
                    <m:r>
                      <w:rPr>
                        <w:rFonts w:ascii="Cambria Math" w:eastAsiaTheme="minorEastAsia" w:hAnsi="Cambria Math"/>
                        <w:noProof/>
                        <w:szCs w:val="24"/>
                      </w:rPr>
                      <m:t>CO</m:t>
                    </m:r>
                  </m:e>
                  <m:sub>
                    <m:r>
                      <w:rPr>
                        <w:rFonts w:ascii="Cambria Math" w:eastAsiaTheme="minorEastAsia" w:hAnsi="Cambria Math"/>
                        <w:noProof/>
                        <w:szCs w:val="24"/>
                      </w:rPr>
                      <m:t>2eq,TtWslipi,j</m:t>
                    </m:r>
                  </m:sub>
                </m:sSub>
                <m:r>
                  <w:rPr>
                    <w:rFonts w:ascii="Cambria Math" w:eastAsiaTheme="minorEastAsia" w:hAnsi="Cambria Math"/>
                    <w:noProof/>
                    <w:szCs w:val="24"/>
                  </w:rPr>
                  <m:t>=</m:t>
                </m:r>
                <m:sSub>
                  <m:sSubPr>
                    <m:ctrlPr>
                      <w:rPr>
                        <w:rFonts w:ascii="Cambria Math" w:eastAsiaTheme="minorEastAsia" w:hAnsi="Cambria Math"/>
                        <w:i/>
                        <w:noProof/>
                        <w:szCs w:val="24"/>
                      </w:rPr>
                    </m:ctrlPr>
                  </m:sSubPr>
                  <m:e>
                    <m:d>
                      <m:dPr>
                        <m:ctrlPr>
                          <w:rPr>
                            <w:rFonts w:ascii="Cambria Math" w:eastAsiaTheme="minorEastAsia" w:hAnsi="Cambria Math"/>
                            <w:i/>
                            <w:noProof/>
                            <w:szCs w:val="24"/>
                          </w:rPr>
                        </m:ctrlPr>
                      </m:dPr>
                      <m:e>
                        <m:sSub>
                          <m:sSubPr>
                            <m:ctrlPr>
                              <w:rPr>
                                <w:rFonts w:ascii="Cambria Math" w:eastAsiaTheme="minorEastAsia" w:hAnsi="Cambria Math"/>
                                <w:i/>
                                <w:noProof/>
                                <w:szCs w:val="24"/>
                              </w:rPr>
                            </m:ctrlPr>
                          </m:sSubPr>
                          <m:e>
                            <m:r>
                              <w:rPr>
                                <w:rFonts w:ascii="Cambria Math" w:eastAsiaTheme="minorEastAsia" w:hAnsi="Cambria Math"/>
                                <w:noProof/>
                                <w:szCs w:val="24"/>
                              </w:rPr>
                              <m:t>C</m:t>
                            </m:r>
                          </m:e>
                          <m:sub>
                            <m:r>
                              <w:rPr>
                                <w:rFonts w:ascii="Cambria Math" w:eastAsiaTheme="minorEastAsia" w:hAnsi="Cambria Math"/>
                                <w:noProof/>
                                <w:szCs w:val="24"/>
                              </w:rPr>
                              <m:t>sf</m:t>
                            </m:r>
                            <m:sSub>
                              <m:sSubPr>
                                <m:ctrlPr>
                                  <w:rPr>
                                    <w:rFonts w:ascii="Cambria Math" w:eastAsiaTheme="minorEastAsia" w:hAnsi="Cambria Math"/>
                                    <w:i/>
                                    <w:noProof/>
                                    <w:szCs w:val="24"/>
                                  </w:rPr>
                                </m:ctrlPr>
                              </m:sSubPr>
                              <m:e>
                                <m:r>
                                  <w:rPr>
                                    <w:rFonts w:ascii="Cambria Math" w:eastAsiaTheme="minorEastAsia" w:hAnsi="Cambria Math"/>
                                    <w:noProof/>
                                    <w:szCs w:val="24"/>
                                  </w:rPr>
                                  <m:t>CO</m:t>
                                </m:r>
                              </m:e>
                              <m:sub>
                                <m:r>
                                  <w:rPr>
                                    <w:rFonts w:ascii="Cambria Math" w:eastAsiaTheme="minorEastAsia" w:hAnsi="Cambria Math"/>
                                    <w:noProof/>
                                    <w:szCs w:val="24"/>
                                  </w:rPr>
                                  <m:t>2, j</m:t>
                                </m:r>
                              </m:sub>
                            </m:sSub>
                          </m:sub>
                        </m:sSub>
                        <m:r>
                          <w:rPr>
                            <w:rFonts w:ascii="Cambria Math" w:eastAsiaTheme="minorEastAsia" w:hAnsi="Cambria Math"/>
                            <w:noProof/>
                            <w:szCs w:val="24"/>
                          </w:rPr>
                          <m:t>×</m:t>
                        </m:r>
                        <m:sSub>
                          <m:sSubPr>
                            <m:ctrlPr>
                              <w:rPr>
                                <w:rFonts w:ascii="Cambria Math" w:eastAsiaTheme="minorEastAsia" w:hAnsi="Cambria Math"/>
                                <w:i/>
                                <w:noProof/>
                                <w:szCs w:val="24"/>
                              </w:rPr>
                            </m:ctrlPr>
                          </m:sSubPr>
                          <m:e>
                            <m:r>
                              <w:rPr>
                                <w:rFonts w:ascii="Cambria Math" w:eastAsiaTheme="minorEastAsia" w:hAnsi="Cambria Math"/>
                                <w:noProof/>
                                <w:szCs w:val="24"/>
                              </w:rPr>
                              <m:t>GWP</m:t>
                            </m:r>
                          </m:e>
                          <m:sub>
                            <m:sSub>
                              <m:sSubPr>
                                <m:ctrlPr>
                                  <w:rPr>
                                    <w:rFonts w:ascii="Cambria Math" w:eastAsiaTheme="minorEastAsia" w:hAnsi="Cambria Math"/>
                                    <w:i/>
                                    <w:noProof/>
                                    <w:szCs w:val="24"/>
                                  </w:rPr>
                                </m:ctrlPr>
                              </m:sSubPr>
                              <m:e>
                                <m:r>
                                  <w:rPr>
                                    <w:rFonts w:ascii="Cambria Math" w:eastAsiaTheme="minorEastAsia" w:hAnsi="Cambria Math"/>
                                    <w:noProof/>
                                    <w:szCs w:val="24"/>
                                  </w:rPr>
                                  <m:t>CO</m:t>
                                </m:r>
                              </m:e>
                              <m:sub>
                                <m:r>
                                  <w:rPr>
                                    <w:rFonts w:ascii="Cambria Math" w:eastAsiaTheme="minorEastAsia" w:hAnsi="Cambria Math"/>
                                    <w:noProof/>
                                    <w:szCs w:val="24"/>
                                  </w:rPr>
                                  <m:t>2</m:t>
                                </m:r>
                              </m:sub>
                            </m:sSub>
                          </m:sub>
                        </m:sSub>
                        <m:r>
                          <w:rPr>
                            <w:rFonts w:ascii="Cambria Math" w:eastAsiaTheme="minorEastAsia" w:hAnsi="Cambria Math"/>
                            <w:noProof/>
                            <w:szCs w:val="24"/>
                          </w:rPr>
                          <m:t>+</m:t>
                        </m:r>
                        <m:sSub>
                          <m:sSubPr>
                            <m:ctrlPr>
                              <w:rPr>
                                <w:rFonts w:ascii="Cambria Math" w:eastAsiaTheme="minorEastAsia" w:hAnsi="Cambria Math"/>
                                <w:i/>
                                <w:noProof/>
                                <w:szCs w:val="24"/>
                              </w:rPr>
                            </m:ctrlPr>
                          </m:sSubPr>
                          <m:e>
                            <m:r>
                              <w:rPr>
                                <w:rFonts w:ascii="Cambria Math" w:eastAsiaTheme="minorEastAsia" w:hAnsi="Cambria Math"/>
                                <w:noProof/>
                                <w:szCs w:val="24"/>
                              </w:rPr>
                              <m:t>C</m:t>
                            </m:r>
                          </m:e>
                          <m:sub>
                            <m:r>
                              <w:rPr>
                                <w:rFonts w:ascii="Cambria Math" w:eastAsiaTheme="minorEastAsia" w:hAnsi="Cambria Math"/>
                                <w:noProof/>
                                <w:szCs w:val="24"/>
                              </w:rPr>
                              <m:t>sf</m:t>
                            </m:r>
                            <m:sSub>
                              <m:sSubPr>
                                <m:ctrlPr>
                                  <w:rPr>
                                    <w:rFonts w:ascii="Cambria Math" w:eastAsiaTheme="minorEastAsia" w:hAnsi="Cambria Math"/>
                                    <w:i/>
                                    <w:noProof/>
                                    <w:szCs w:val="24"/>
                                  </w:rPr>
                                </m:ctrlPr>
                              </m:sSubPr>
                              <m:e>
                                <m:r>
                                  <w:rPr>
                                    <w:rFonts w:ascii="Cambria Math" w:eastAsiaTheme="minorEastAsia" w:hAnsi="Cambria Math"/>
                                    <w:noProof/>
                                    <w:szCs w:val="24"/>
                                  </w:rPr>
                                  <m:t>CH</m:t>
                                </m:r>
                              </m:e>
                              <m:sub>
                                <m:r>
                                  <w:rPr>
                                    <w:rFonts w:ascii="Cambria Math" w:eastAsiaTheme="minorEastAsia" w:hAnsi="Cambria Math"/>
                                    <w:noProof/>
                                    <w:szCs w:val="24"/>
                                  </w:rPr>
                                  <m:t>4j</m:t>
                                </m:r>
                              </m:sub>
                            </m:sSub>
                          </m:sub>
                        </m:sSub>
                        <m:r>
                          <w:rPr>
                            <w:rFonts w:ascii="Cambria Math" w:eastAsiaTheme="minorEastAsia" w:hAnsi="Cambria Math"/>
                            <w:noProof/>
                            <w:szCs w:val="24"/>
                          </w:rPr>
                          <m:t>×</m:t>
                        </m:r>
                        <m:sSub>
                          <m:sSubPr>
                            <m:ctrlPr>
                              <w:rPr>
                                <w:rFonts w:ascii="Cambria Math" w:eastAsiaTheme="minorEastAsia" w:hAnsi="Cambria Math"/>
                                <w:i/>
                                <w:noProof/>
                                <w:szCs w:val="24"/>
                              </w:rPr>
                            </m:ctrlPr>
                          </m:sSubPr>
                          <m:e>
                            <m:r>
                              <w:rPr>
                                <w:rFonts w:ascii="Cambria Math" w:eastAsiaTheme="minorEastAsia" w:hAnsi="Cambria Math"/>
                                <w:noProof/>
                                <w:szCs w:val="24"/>
                              </w:rPr>
                              <m:t>GWP</m:t>
                            </m:r>
                          </m:e>
                          <m:sub>
                            <m:sSub>
                              <m:sSubPr>
                                <m:ctrlPr>
                                  <w:rPr>
                                    <w:rFonts w:ascii="Cambria Math" w:eastAsiaTheme="minorEastAsia" w:hAnsi="Cambria Math"/>
                                    <w:i/>
                                    <w:noProof/>
                                    <w:szCs w:val="24"/>
                                  </w:rPr>
                                </m:ctrlPr>
                              </m:sSubPr>
                              <m:e>
                                <m:r>
                                  <w:rPr>
                                    <w:rFonts w:ascii="Cambria Math" w:eastAsiaTheme="minorEastAsia" w:hAnsi="Cambria Math"/>
                                    <w:noProof/>
                                    <w:szCs w:val="24"/>
                                  </w:rPr>
                                  <m:t>CH</m:t>
                                </m:r>
                              </m:e>
                              <m:sub>
                                <m:r>
                                  <w:rPr>
                                    <w:rFonts w:ascii="Cambria Math" w:eastAsiaTheme="minorEastAsia" w:hAnsi="Cambria Math"/>
                                    <w:noProof/>
                                    <w:szCs w:val="24"/>
                                  </w:rPr>
                                  <m:t>4</m:t>
                                </m:r>
                              </m:sub>
                            </m:sSub>
                          </m:sub>
                        </m:sSub>
                        <m:r>
                          <w:rPr>
                            <w:rFonts w:ascii="Cambria Math" w:eastAsiaTheme="minorEastAsia" w:hAnsi="Cambria Math"/>
                            <w:noProof/>
                            <w:szCs w:val="24"/>
                          </w:rPr>
                          <m:t>+</m:t>
                        </m:r>
                        <m:sSub>
                          <m:sSubPr>
                            <m:ctrlPr>
                              <w:rPr>
                                <w:rFonts w:ascii="Cambria Math" w:eastAsiaTheme="minorEastAsia" w:hAnsi="Cambria Math"/>
                                <w:i/>
                                <w:noProof/>
                                <w:szCs w:val="24"/>
                              </w:rPr>
                            </m:ctrlPr>
                          </m:sSubPr>
                          <m:e>
                            <m:r>
                              <w:rPr>
                                <w:rFonts w:ascii="Cambria Math" w:eastAsiaTheme="minorEastAsia" w:hAnsi="Cambria Math"/>
                                <w:noProof/>
                                <w:szCs w:val="24"/>
                              </w:rPr>
                              <m:t>C</m:t>
                            </m:r>
                          </m:e>
                          <m:sub>
                            <m:r>
                              <w:rPr>
                                <w:rFonts w:ascii="Cambria Math" w:eastAsiaTheme="minorEastAsia" w:hAnsi="Cambria Math"/>
                                <w:noProof/>
                                <w:szCs w:val="24"/>
                              </w:rPr>
                              <m:t>sf</m:t>
                            </m:r>
                            <m:sSub>
                              <m:sSubPr>
                                <m:ctrlPr>
                                  <w:rPr>
                                    <w:rFonts w:ascii="Cambria Math" w:eastAsiaTheme="minorEastAsia" w:hAnsi="Cambria Math"/>
                                    <w:i/>
                                    <w:noProof/>
                                    <w:szCs w:val="24"/>
                                  </w:rPr>
                                </m:ctrlPr>
                              </m:sSubPr>
                              <m:e>
                                <m:r>
                                  <w:rPr>
                                    <w:rFonts w:ascii="Cambria Math" w:eastAsiaTheme="minorEastAsia" w:hAnsi="Cambria Math"/>
                                    <w:noProof/>
                                    <w:szCs w:val="24"/>
                                  </w:rPr>
                                  <m:t>N</m:t>
                                </m:r>
                              </m:e>
                              <m:sub>
                                <m:r>
                                  <w:rPr>
                                    <w:rFonts w:ascii="Cambria Math" w:eastAsiaTheme="minorEastAsia" w:hAnsi="Cambria Math"/>
                                    <w:noProof/>
                                    <w:szCs w:val="24"/>
                                  </w:rPr>
                                  <m:t>2</m:t>
                                </m:r>
                              </m:sub>
                            </m:sSub>
                            <m:sSub>
                              <m:sSubPr>
                                <m:ctrlPr>
                                  <w:rPr>
                                    <w:rFonts w:ascii="Cambria Math" w:eastAsiaTheme="minorEastAsia" w:hAnsi="Cambria Math"/>
                                    <w:i/>
                                    <w:noProof/>
                                    <w:szCs w:val="24"/>
                                  </w:rPr>
                                </m:ctrlPr>
                              </m:sSubPr>
                              <m:e>
                                <m:r>
                                  <w:rPr>
                                    <w:rFonts w:ascii="Cambria Math" w:eastAsiaTheme="minorEastAsia" w:hAnsi="Cambria Math"/>
                                    <w:noProof/>
                                    <w:szCs w:val="24"/>
                                  </w:rPr>
                                  <m:t>O,</m:t>
                                </m:r>
                              </m:e>
                              <m:sub>
                                <m:r>
                                  <w:rPr>
                                    <w:rFonts w:ascii="Cambria Math" w:eastAsiaTheme="minorEastAsia" w:hAnsi="Cambria Math"/>
                                    <w:noProof/>
                                    <w:szCs w:val="24"/>
                                  </w:rPr>
                                  <m:t>J</m:t>
                                </m:r>
                              </m:sub>
                            </m:sSub>
                          </m:sub>
                        </m:sSub>
                        <m:r>
                          <w:rPr>
                            <w:rFonts w:ascii="Cambria Math" w:eastAsiaTheme="minorEastAsia" w:hAnsi="Cambria Math"/>
                            <w:noProof/>
                            <w:szCs w:val="24"/>
                          </w:rPr>
                          <m:t>×</m:t>
                        </m:r>
                        <m:sSub>
                          <m:sSubPr>
                            <m:ctrlPr>
                              <w:rPr>
                                <w:rFonts w:ascii="Cambria Math" w:eastAsiaTheme="minorEastAsia" w:hAnsi="Cambria Math"/>
                                <w:i/>
                                <w:noProof/>
                                <w:szCs w:val="24"/>
                              </w:rPr>
                            </m:ctrlPr>
                          </m:sSubPr>
                          <m:e>
                            <m:r>
                              <w:rPr>
                                <w:rFonts w:ascii="Cambria Math" w:eastAsiaTheme="minorEastAsia" w:hAnsi="Cambria Math"/>
                                <w:noProof/>
                                <w:szCs w:val="24"/>
                              </w:rPr>
                              <m:t>GWP</m:t>
                            </m:r>
                          </m:e>
                          <m:sub>
                            <m:sSub>
                              <m:sSubPr>
                                <m:ctrlPr>
                                  <w:rPr>
                                    <w:rFonts w:ascii="Cambria Math" w:eastAsiaTheme="minorEastAsia" w:hAnsi="Cambria Math"/>
                                    <w:i/>
                                    <w:noProof/>
                                    <w:szCs w:val="24"/>
                                  </w:rPr>
                                </m:ctrlPr>
                              </m:sSubPr>
                              <m:e>
                                <m:r>
                                  <w:rPr>
                                    <w:rFonts w:ascii="Cambria Math" w:eastAsiaTheme="minorEastAsia" w:hAnsi="Cambria Math"/>
                                    <w:noProof/>
                                    <w:szCs w:val="24"/>
                                  </w:rPr>
                                  <m:t>N</m:t>
                                </m:r>
                              </m:e>
                              <m:sub>
                                <m:r>
                                  <w:rPr>
                                    <w:rFonts w:ascii="Cambria Math" w:eastAsiaTheme="minorEastAsia" w:hAnsi="Cambria Math"/>
                                    <w:noProof/>
                                    <w:szCs w:val="24"/>
                                  </w:rPr>
                                  <m:t>2</m:t>
                                </m:r>
                              </m:sub>
                            </m:sSub>
                            <m:r>
                              <w:rPr>
                                <w:rFonts w:ascii="Cambria Math" w:eastAsiaTheme="minorEastAsia" w:hAnsi="Cambria Math"/>
                                <w:noProof/>
                                <w:szCs w:val="24"/>
                              </w:rPr>
                              <m:t>O</m:t>
                            </m:r>
                          </m:sub>
                        </m:sSub>
                      </m:e>
                    </m:d>
                  </m:e>
                  <m:sub>
                    <m:r>
                      <w:rPr>
                        <w:rFonts w:ascii="Cambria Math" w:eastAsiaTheme="minorEastAsia" w:hAnsi="Cambria Math"/>
                        <w:noProof/>
                        <w:szCs w:val="24"/>
                      </w:rPr>
                      <m:t>i</m:t>
                    </m:r>
                  </m:sub>
                </m:sSub>
              </m:oMath>
            </m:oMathPara>
          </w:p>
          <w:p>
            <w:pPr>
              <w:rPr>
                <w:rFonts w:eastAsiaTheme="minorEastAsia"/>
                <w:noProof/>
                <w:szCs w:val="24"/>
              </w:rPr>
            </w:pPr>
          </w:p>
          <w:p>
            <w:pPr>
              <w:rPr>
                <w:rFonts w:eastAsiaTheme="minorEastAsia"/>
                <w:noProof/>
                <w:szCs w:val="24"/>
                <w:lang w:val="en-US"/>
              </w:rPr>
            </w:pPr>
            <w:r>
              <w:rPr>
                <w:rFonts w:eastAsiaTheme="minorEastAsia"/>
                <w:noProof/>
                <w:szCs w:val="24"/>
                <w:lang w:val="en-US"/>
              </w:rPr>
              <w:t>où: </w:t>
            </w:r>
            <w:r>
              <w:rPr>
                <w:rFonts w:eastAsiaTheme="minorEastAsia"/>
                <w:i/>
                <w:noProof/>
                <w:szCs w:val="24"/>
                <w:lang w:val="en-US"/>
              </w:rPr>
              <w:t>Csf CO</w:t>
            </w:r>
            <w:r>
              <w:rPr>
                <w:rFonts w:eastAsiaTheme="minorEastAsia"/>
                <w:noProof/>
                <w:szCs w:val="24"/>
                <w:lang w:val="en-US"/>
              </w:rPr>
              <w:t>2, and </w:t>
            </w:r>
            <w:r>
              <w:rPr>
                <w:rFonts w:eastAsiaTheme="minorEastAsia"/>
                <w:i/>
                <w:noProof/>
                <w:szCs w:val="24"/>
                <w:lang w:val="en-US"/>
              </w:rPr>
              <w:t>Csf N</w:t>
            </w:r>
            <w:r>
              <w:rPr>
                <w:rFonts w:eastAsiaTheme="minorEastAsia"/>
                <w:noProof/>
                <w:szCs w:val="24"/>
                <w:lang w:val="en-US"/>
              </w:rPr>
              <w:t>2</w:t>
            </w:r>
            <w:r>
              <w:rPr>
                <w:rFonts w:eastAsiaTheme="minorEastAsia"/>
                <w:i/>
                <w:noProof/>
                <w:szCs w:val="24"/>
                <w:lang w:val="en-US"/>
              </w:rPr>
              <w:t>O</w:t>
            </w:r>
            <w:r>
              <w:rPr>
                <w:rFonts w:eastAsiaTheme="minorEastAsia"/>
                <w:noProof/>
                <w:szCs w:val="24"/>
                <w:lang w:val="en-US"/>
              </w:rPr>
              <w:t>, = 0</w:t>
            </w:r>
          </w:p>
          <w:p>
            <w:pPr>
              <w:rPr>
                <w:rFonts w:eastAsiaTheme="minorEastAsia"/>
                <w:noProof/>
                <w:szCs w:val="24"/>
              </w:rPr>
            </w:pPr>
            <w:r>
              <w:rPr>
                <w:rFonts w:eastAsiaTheme="minorEastAsia"/>
                <w:noProof/>
                <w:szCs w:val="24"/>
              </w:rPr>
              <w:lastRenderedPageBreak/>
              <w:t>C</w:t>
            </w:r>
            <w:r>
              <w:rPr>
                <w:rFonts w:eastAsiaTheme="minorEastAsia"/>
                <w:noProof/>
                <w:szCs w:val="24"/>
                <w:vertAlign w:val="subscript"/>
              </w:rPr>
              <w:t>sfCH4j</w:t>
            </w:r>
            <w:r>
              <w:rPr>
                <w:rFonts w:eastAsiaTheme="minorEastAsia"/>
                <w:noProof/>
                <w:szCs w:val="24"/>
              </w:rPr>
              <w:t> = 1.</w:t>
            </w:r>
          </w:p>
          <w:p>
            <w:pPr>
              <w:rPr>
                <w:rFonts w:eastAsiaTheme="minorEastAsia"/>
                <w:noProof/>
                <w:szCs w:val="24"/>
              </w:rPr>
            </w:pP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before="60" w:after="60"/>
              <w:jc w:val="left"/>
              <w:rPr>
                <w:noProof/>
                <w:szCs w:val="24"/>
                <w:vertAlign w:val="subscript"/>
              </w:rPr>
            </w:pPr>
            <w:r>
              <w:rPr>
                <w:noProof/>
                <w:szCs w:val="24"/>
              </w:rPr>
              <w:lastRenderedPageBreak/>
              <w:t>CO</w:t>
            </w:r>
            <w:r>
              <w:rPr>
                <w:noProof/>
                <w:szCs w:val="24"/>
                <w:vertAlign w:val="subscript"/>
              </w:rPr>
              <w:t>2eq,TtWi,j</w:t>
            </w:r>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noProof/>
                <w:szCs w:val="24"/>
              </w:rPr>
            </w:pPr>
            <w:r>
              <w:rPr>
                <w:noProof/>
                <w:szCs w:val="24"/>
              </w:rPr>
              <w:t>Facteur d’émission d’équivalent CO</w:t>
            </w:r>
            <w:r>
              <w:rPr>
                <w:noProof/>
                <w:szCs w:val="24"/>
                <w:vertAlign w:val="subscript"/>
              </w:rPr>
              <w:t>2</w:t>
            </w:r>
            <w:r>
              <w:rPr>
                <w:noProof/>
                <w:szCs w:val="24"/>
              </w:rPr>
              <w:t xml:space="preserve"> TtW du carburant brûlé “i” dans une source d’émission “j” [gCO</w:t>
            </w:r>
            <w:r>
              <w:rPr>
                <w:noProof/>
                <w:szCs w:val="24"/>
                <w:vertAlign w:val="subscript"/>
              </w:rPr>
              <w:t>2</w:t>
            </w:r>
            <w:r>
              <w:rPr>
                <w:noProof/>
                <w:szCs w:val="24"/>
              </w:rPr>
              <w:t>eq/gFuel]</w:t>
            </w:r>
          </w:p>
          <w:p>
            <w:pPr>
              <w:rPr>
                <w:rFonts w:eastAsiaTheme="minorEastAsia"/>
                <w:noProof/>
                <w:szCs w:val="24"/>
              </w:rPr>
            </w:pPr>
            <m:oMathPara>
              <m:oMath>
                <m:sSub>
                  <m:sSubPr>
                    <m:ctrlPr>
                      <w:rPr>
                        <w:rFonts w:ascii="Cambria Math" w:eastAsiaTheme="minorEastAsia" w:hAnsi="Cambria Math"/>
                        <w:i/>
                        <w:noProof/>
                        <w:szCs w:val="24"/>
                      </w:rPr>
                    </m:ctrlPr>
                  </m:sSubPr>
                  <m:e>
                    <m:r>
                      <w:rPr>
                        <w:rFonts w:ascii="Cambria Math" w:eastAsiaTheme="minorEastAsia" w:hAnsi="Cambria Math"/>
                        <w:noProof/>
                        <w:szCs w:val="24"/>
                      </w:rPr>
                      <m:t>CO</m:t>
                    </m:r>
                  </m:e>
                  <m:sub>
                    <m:r>
                      <w:rPr>
                        <w:rFonts w:ascii="Cambria Math" w:eastAsiaTheme="minorEastAsia" w:hAnsi="Cambria Math"/>
                        <w:noProof/>
                        <w:szCs w:val="24"/>
                      </w:rPr>
                      <m:t>2eq,TtWi,j</m:t>
                    </m:r>
                  </m:sub>
                </m:sSub>
                <m:r>
                  <w:rPr>
                    <w:rFonts w:ascii="Cambria Math" w:eastAsiaTheme="minorEastAsia" w:hAnsi="Cambria Math"/>
                    <w:noProof/>
                    <w:szCs w:val="24"/>
                  </w:rPr>
                  <m:t>=</m:t>
                </m:r>
                <m:sSub>
                  <m:sSubPr>
                    <m:ctrlPr>
                      <w:rPr>
                        <w:rFonts w:ascii="Cambria Math" w:eastAsiaTheme="minorEastAsia" w:hAnsi="Cambria Math"/>
                        <w:i/>
                        <w:noProof/>
                        <w:szCs w:val="24"/>
                      </w:rPr>
                    </m:ctrlPr>
                  </m:sSubPr>
                  <m:e>
                    <m:d>
                      <m:dPr>
                        <m:ctrlPr>
                          <w:rPr>
                            <w:rFonts w:ascii="Cambria Math" w:eastAsiaTheme="minorEastAsia" w:hAnsi="Cambria Math"/>
                            <w:i/>
                            <w:noProof/>
                            <w:szCs w:val="24"/>
                          </w:rPr>
                        </m:ctrlPr>
                      </m:dPr>
                      <m:e>
                        <m:sSub>
                          <m:sSubPr>
                            <m:ctrlPr>
                              <w:rPr>
                                <w:rFonts w:ascii="Cambria Math" w:eastAsiaTheme="minorEastAsia" w:hAnsi="Cambria Math"/>
                                <w:i/>
                                <w:noProof/>
                                <w:szCs w:val="24"/>
                              </w:rPr>
                            </m:ctrlPr>
                          </m:sSubPr>
                          <m:e>
                            <m:r>
                              <w:rPr>
                                <w:rFonts w:ascii="Cambria Math" w:eastAsiaTheme="minorEastAsia" w:hAnsi="Cambria Math"/>
                                <w:noProof/>
                                <w:szCs w:val="24"/>
                              </w:rPr>
                              <m:t>C</m:t>
                            </m:r>
                          </m:e>
                          <m:sub>
                            <m:r>
                              <w:rPr>
                                <w:rFonts w:ascii="Cambria Math" w:eastAsiaTheme="minorEastAsia" w:hAnsi="Cambria Math"/>
                                <w:noProof/>
                                <w:szCs w:val="24"/>
                              </w:rPr>
                              <m:t>f</m:t>
                            </m:r>
                            <m:sSub>
                              <m:sSubPr>
                                <m:ctrlPr>
                                  <w:rPr>
                                    <w:rFonts w:ascii="Cambria Math" w:eastAsiaTheme="minorEastAsia" w:hAnsi="Cambria Math"/>
                                    <w:i/>
                                    <w:noProof/>
                                    <w:szCs w:val="24"/>
                                  </w:rPr>
                                </m:ctrlPr>
                              </m:sSubPr>
                              <m:e>
                                <m:r>
                                  <w:rPr>
                                    <w:rFonts w:ascii="Cambria Math" w:eastAsiaTheme="minorEastAsia" w:hAnsi="Cambria Math"/>
                                    <w:noProof/>
                                    <w:szCs w:val="24"/>
                                  </w:rPr>
                                  <m:t>CO</m:t>
                                </m:r>
                              </m:e>
                              <m:sub>
                                <m:r>
                                  <w:rPr>
                                    <w:rFonts w:ascii="Cambria Math" w:eastAsiaTheme="minorEastAsia" w:hAnsi="Cambria Math"/>
                                    <w:noProof/>
                                    <w:szCs w:val="24"/>
                                  </w:rPr>
                                  <m:t>2, j</m:t>
                                </m:r>
                              </m:sub>
                            </m:sSub>
                          </m:sub>
                        </m:sSub>
                        <m:r>
                          <w:rPr>
                            <w:rFonts w:ascii="Cambria Math" w:eastAsiaTheme="minorEastAsia" w:hAnsi="Cambria Math"/>
                            <w:noProof/>
                            <w:szCs w:val="24"/>
                          </w:rPr>
                          <m:t>×</m:t>
                        </m:r>
                        <m:sSub>
                          <m:sSubPr>
                            <m:ctrlPr>
                              <w:rPr>
                                <w:rFonts w:ascii="Cambria Math" w:eastAsiaTheme="minorEastAsia" w:hAnsi="Cambria Math"/>
                                <w:i/>
                                <w:noProof/>
                                <w:szCs w:val="24"/>
                              </w:rPr>
                            </m:ctrlPr>
                          </m:sSubPr>
                          <m:e>
                            <m:r>
                              <w:rPr>
                                <w:rFonts w:ascii="Cambria Math" w:eastAsiaTheme="minorEastAsia" w:hAnsi="Cambria Math"/>
                                <w:noProof/>
                                <w:szCs w:val="24"/>
                              </w:rPr>
                              <m:t>GWP</m:t>
                            </m:r>
                          </m:e>
                          <m:sub>
                            <m:sSub>
                              <m:sSubPr>
                                <m:ctrlPr>
                                  <w:rPr>
                                    <w:rFonts w:ascii="Cambria Math" w:eastAsiaTheme="minorEastAsia" w:hAnsi="Cambria Math"/>
                                    <w:i/>
                                    <w:noProof/>
                                    <w:szCs w:val="24"/>
                                  </w:rPr>
                                </m:ctrlPr>
                              </m:sSubPr>
                              <m:e>
                                <m:r>
                                  <w:rPr>
                                    <w:rFonts w:ascii="Cambria Math" w:eastAsiaTheme="minorEastAsia" w:hAnsi="Cambria Math"/>
                                    <w:noProof/>
                                    <w:szCs w:val="24"/>
                                  </w:rPr>
                                  <m:t>CO</m:t>
                                </m:r>
                              </m:e>
                              <m:sub>
                                <m:r>
                                  <w:rPr>
                                    <w:rFonts w:ascii="Cambria Math" w:eastAsiaTheme="minorEastAsia" w:hAnsi="Cambria Math"/>
                                    <w:noProof/>
                                    <w:szCs w:val="24"/>
                                  </w:rPr>
                                  <m:t>2</m:t>
                                </m:r>
                              </m:sub>
                            </m:sSub>
                          </m:sub>
                        </m:sSub>
                        <m:r>
                          <w:rPr>
                            <w:rFonts w:ascii="Cambria Math" w:eastAsiaTheme="minorEastAsia" w:hAnsi="Cambria Math"/>
                            <w:noProof/>
                            <w:szCs w:val="24"/>
                          </w:rPr>
                          <m:t>+</m:t>
                        </m:r>
                        <m:sSub>
                          <m:sSubPr>
                            <m:ctrlPr>
                              <w:rPr>
                                <w:rFonts w:ascii="Cambria Math" w:eastAsiaTheme="minorEastAsia" w:hAnsi="Cambria Math"/>
                                <w:i/>
                                <w:noProof/>
                                <w:szCs w:val="24"/>
                              </w:rPr>
                            </m:ctrlPr>
                          </m:sSubPr>
                          <m:e>
                            <m:r>
                              <w:rPr>
                                <w:rFonts w:ascii="Cambria Math" w:eastAsiaTheme="minorEastAsia" w:hAnsi="Cambria Math"/>
                                <w:noProof/>
                                <w:szCs w:val="24"/>
                              </w:rPr>
                              <m:t>C</m:t>
                            </m:r>
                          </m:e>
                          <m:sub>
                            <m:r>
                              <w:rPr>
                                <w:rFonts w:ascii="Cambria Math" w:eastAsiaTheme="minorEastAsia" w:hAnsi="Cambria Math"/>
                                <w:noProof/>
                                <w:szCs w:val="24"/>
                              </w:rPr>
                              <m:t>f</m:t>
                            </m:r>
                            <m:sSub>
                              <m:sSubPr>
                                <m:ctrlPr>
                                  <w:rPr>
                                    <w:rFonts w:ascii="Cambria Math" w:eastAsiaTheme="minorEastAsia" w:hAnsi="Cambria Math"/>
                                    <w:i/>
                                    <w:noProof/>
                                    <w:szCs w:val="24"/>
                                  </w:rPr>
                                </m:ctrlPr>
                              </m:sSubPr>
                              <m:e>
                                <m:r>
                                  <w:rPr>
                                    <w:rFonts w:ascii="Cambria Math" w:eastAsiaTheme="minorEastAsia" w:hAnsi="Cambria Math"/>
                                    <w:noProof/>
                                    <w:szCs w:val="24"/>
                                  </w:rPr>
                                  <m:t>CH</m:t>
                                </m:r>
                              </m:e>
                              <m:sub>
                                <m:r>
                                  <w:rPr>
                                    <w:rFonts w:ascii="Cambria Math" w:eastAsiaTheme="minorEastAsia" w:hAnsi="Cambria Math"/>
                                    <w:noProof/>
                                    <w:szCs w:val="24"/>
                                  </w:rPr>
                                  <m:t>4j</m:t>
                                </m:r>
                              </m:sub>
                            </m:sSub>
                          </m:sub>
                        </m:sSub>
                        <m:r>
                          <w:rPr>
                            <w:rFonts w:ascii="Cambria Math" w:eastAsiaTheme="minorEastAsia" w:hAnsi="Cambria Math"/>
                            <w:noProof/>
                            <w:szCs w:val="24"/>
                          </w:rPr>
                          <m:t>×</m:t>
                        </m:r>
                        <m:sSub>
                          <m:sSubPr>
                            <m:ctrlPr>
                              <w:rPr>
                                <w:rFonts w:ascii="Cambria Math" w:eastAsiaTheme="minorEastAsia" w:hAnsi="Cambria Math"/>
                                <w:i/>
                                <w:noProof/>
                                <w:szCs w:val="24"/>
                              </w:rPr>
                            </m:ctrlPr>
                          </m:sSubPr>
                          <m:e>
                            <m:r>
                              <w:rPr>
                                <w:rFonts w:ascii="Cambria Math" w:eastAsiaTheme="minorEastAsia" w:hAnsi="Cambria Math"/>
                                <w:noProof/>
                                <w:szCs w:val="24"/>
                              </w:rPr>
                              <m:t>GWP</m:t>
                            </m:r>
                          </m:e>
                          <m:sub>
                            <m:sSub>
                              <m:sSubPr>
                                <m:ctrlPr>
                                  <w:rPr>
                                    <w:rFonts w:ascii="Cambria Math" w:eastAsiaTheme="minorEastAsia" w:hAnsi="Cambria Math"/>
                                    <w:i/>
                                    <w:noProof/>
                                    <w:szCs w:val="24"/>
                                  </w:rPr>
                                </m:ctrlPr>
                              </m:sSubPr>
                              <m:e>
                                <m:r>
                                  <w:rPr>
                                    <w:rFonts w:ascii="Cambria Math" w:eastAsiaTheme="minorEastAsia" w:hAnsi="Cambria Math"/>
                                    <w:noProof/>
                                    <w:szCs w:val="24"/>
                                  </w:rPr>
                                  <m:t>CH</m:t>
                                </m:r>
                              </m:e>
                              <m:sub>
                                <m:r>
                                  <w:rPr>
                                    <w:rFonts w:ascii="Cambria Math" w:eastAsiaTheme="minorEastAsia" w:hAnsi="Cambria Math"/>
                                    <w:noProof/>
                                    <w:szCs w:val="24"/>
                                  </w:rPr>
                                  <m:t>4</m:t>
                                </m:r>
                              </m:sub>
                            </m:sSub>
                          </m:sub>
                        </m:sSub>
                        <m:r>
                          <w:rPr>
                            <w:rFonts w:ascii="Cambria Math" w:eastAsiaTheme="minorEastAsia" w:hAnsi="Cambria Math"/>
                            <w:noProof/>
                            <w:szCs w:val="24"/>
                          </w:rPr>
                          <m:t>+</m:t>
                        </m:r>
                        <m:sSub>
                          <m:sSubPr>
                            <m:ctrlPr>
                              <w:rPr>
                                <w:rFonts w:ascii="Cambria Math" w:eastAsiaTheme="minorEastAsia" w:hAnsi="Cambria Math"/>
                                <w:i/>
                                <w:noProof/>
                                <w:szCs w:val="24"/>
                              </w:rPr>
                            </m:ctrlPr>
                          </m:sSubPr>
                          <m:e>
                            <m:r>
                              <w:rPr>
                                <w:rFonts w:ascii="Cambria Math" w:eastAsiaTheme="minorEastAsia" w:hAnsi="Cambria Math"/>
                                <w:noProof/>
                                <w:szCs w:val="24"/>
                              </w:rPr>
                              <m:t>C</m:t>
                            </m:r>
                          </m:e>
                          <m:sub>
                            <m:r>
                              <w:rPr>
                                <w:rFonts w:ascii="Cambria Math" w:eastAsiaTheme="minorEastAsia" w:hAnsi="Cambria Math"/>
                                <w:noProof/>
                                <w:szCs w:val="24"/>
                              </w:rPr>
                              <m:t>f</m:t>
                            </m:r>
                            <m:sSub>
                              <m:sSubPr>
                                <m:ctrlPr>
                                  <w:rPr>
                                    <w:rFonts w:ascii="Cambria Math" w:eastAsiaTheme="minorEastAsia" w:hAnsi="Cambria Math"/>
                                    <w:i/>
                                    <w:noProof/>
                                    <w:szCs w:val="24"/>
                                  </w:rPr>
                                </m:ctrlPr>
                              </m:sSubPr>
                              <m:e>
                                <m:r>
                                  <w:rPr>
                                    <w:rFonts w:ascii="Cambria Math" w:eastAsiaTheme="minorEastAsia" w:hAnsi="Cambria Math"/>
                                    <w:noProof/>
                                    <w:szCs w:val="24"/>
                                  </w:rPr>
                                  <m:t>N</m:t>
                                </m:r>
                              </m:e>
                              <m:sub>
                                <m:r>
                                  <w:rPr>
                                    <w:rFonts w:ascii="Cambria Math" w:eastAsiaTheme="minorEastAsia" w:hAnsi="Cambria Math"/>
                                    <w:noProof/>
                                    <w:szCs w:val="24"/>
                                  </w:rPr>
                                  <m:t>2</m:t>
                                </m:r>
                              </m:sub>
                            </m:sSub>
                            <m:sSub>
                              <m:sSubPr>
                                <m:ctrlPr>
                                  <w:rPr>
                                    <w:rFonts w:ascii="Cambria Math" w:eastAsiaTheme="minorEastAsia" w:hAnsi="Cambria Math"/>
                                    <w:i/>
                                    <w:noProof/>
                                    <w:szCs w:val="24"/>
                                  </w:rPr>
                                </m:ctrlPr>
                              </m:sSubPr>
                              <m:e>
                                <m:r>
                                  <w:rPr>
                                    <w:rFonts w:ascii="Cambria Math" w:eastAsiaTheme="minorEastAsia" w:hAnsi="Cambria Math"/>
                                    <w:noProof/>
                                    <w:szCs w:val="24"/>
                                  </w:rPr>
                                  <m:t>O,</m:t>
                                </m:r>
                              </m:e>
                              <m:sub>
                                <m:r>
                                  <w:rPr>
                                    <w:rFonts w:ascii="Cambria Math" w:eastAsiaTheme="minorEastAsia" w:hAnsi="Cambria Math"/>
                                    <w:noProof/>
                                    <w:szCs w:val="24"/>
                                  </w:rPr>
                                  <m:t>J</m:t>
                                </m:r>
                              </m:sub>
                            </m:sSub>
                          </m:sub>
                        </m:sSub>
                        <m:r>
                          <w:rPr>
                            <w:rFonts w:ascii="Cambria Math" w:eastAsiaTheme="minorEastAsia" w:hAnsi="Cambria Math"/>
                            <w:noProof/>
                            <w:szCs w:val="24"/>
                          </w:rPr>
                          <m:t>×</m:t>
                        </m:r>
                        <m:sSub>
                          <m:sSubPr>
                            <m:ctrlPr>
                              <w:rPr>
                                <w:rFonts w:ascii="Cambria Math" w:eastAsiaTheme="minorEastAsia" w:hAnsi="Cambria Math"/>
                                <w:i/>
                                <w:noProof/>
                                <w:szCs w:val="24"/>
                              </w:rPr>
                            </m:ctrlPr>
                          </m:sSubPr>
                          <m:e>
                            <m:r>
                              <w:rPr>
                                <w:rFonts w:ascii="Cambria Math" w:eastAsiaTheme="minorEastAsia" w:hAnsi="Cambria Math"/>
                                <w:noProof/>
                                <w:szCs w:val="24"/>
                              </w:rPr>
                              <m:t>GWP</m:t>
                            </m:r>
                          </m:e>
                          <m:sub>
                            <m:sSub>
                              <m:sSubPr>
                                <m:ctrlPr>
                                  <w:rPr>
                                    <w:rFonts w:ascii="Cambria Math" w:eastAsiaTheme="minorEastAsia" w:hAnsi="Cambria Math"/>
                                    <w:i/>
                                    <w:noProof/>
                                    <w:szCs w:val="24"/>
                                  </w:rPr>
                                </m:ctrlPr>
                              </m:sSubPr>
                              <m:e>
                                <m:r>
                                  <w:rPr>
                                    <w:rFonts w:ascii="Cambria Math" w:eastAsiaTheme="minorEastAsia" w:hAnsi="Cambria Math"/>
                                    <w:noProof/>
                                    <w:szCs w:val="24"/>
                                  </w:rPr>
                                  <m:t>N</m:t>
                                </m:r>
                              </m:e>
                              <m:sub>
                                <m:r>
                                  <w:rPr>
                                    <w:rFonts w:ascii="Cambria Math" w:eastAsiaTheme="minorEastAsia" w:hAnsi="Cambria Math"/>
                                    <w:noProof/>
                                    <w:szCs w:val="24"/>
                                  </w:rPr>
                                  <m:t>2</m:t>
                                </m:r>
                              </m:sub>
                            </m:sSub>
                            <m:r>
                              <w:rPr>
                                <w:rFonts w:ascii="Cambria Math" w:eastAsiaTheme="minorEastAsia" w:hAnsi="Cambria Math"/>
                                <w:noProof/>
                                <w:szCs w:val="24"/>
                              </w:rPr>
                              <m:t>O</m:t>
                            </m:r>
                          </m:sub>
                        </m:sSub>
                      </m:e>
                    </m:d>
                  </m:e>
                  <m:sub>
                    <m:r>
                      <w:rPr>
                        <w:rFonts w:ascii="Cambria Math" w:eastAsiaTheme="minorEastAsia" w:hAnsi="Cambria Math"/>
                        <w:noProof/>
                        <w:szCs w:val="24"/>
                      </w:rPr>
                      <m:t>i</m:t>
                    </m:r>
                  </m:sub>
                </m:sSub>
              </m:oMath>
            </m:oMathPara>
          </w:p>
          <w:p>
            <w:pPr>
              <w:spacing w:after="0"/>
              <w:rPr>
                <w:noProof/>
                <w:szCs w:val="24"/>
              </w:rPr>
            </w:pPr>
          </w:p>
          <w:p>
            <w:pPr>
              <w:spacing w:before="60" w:after="60"/>
              <w:rPr>
                <w:noProof/>
                <w:szCs w:val="24"/>
              </w:rPr>
            </w:pPr>
          </w:p>
        </w:tc>
      </w:tr>
      <w:tr>
        <w:trPr>
          <w:jc w:val="center"/>
        </w:trPr>
        <w:tc>
          <w:tcPr>
            <w:tcW w:w="9132" w:type="dxa"/>
            <w:gridSpan w:val="2"/>
            <w:tcBorders>
              <w:top w:val="outset" w:sz="6" w:space="0" w:color="auto"/>
              <w:left w:val="outset" w:sz="6" w:space="0" w:color="auto"/>
              <w:bottom w:val="outset" w:sz="6" w:space="0" w:color="auto"/>
              <w:right w:val="outset" w:sz="6" w:space="0" w:color="auto"/>
            </w:tcBorders>
            <w:vAlign w:val="center"/>
            <w:hideMark/>
          </w:tcPr>
          <w:p>
            <w:pPr>
              <w:rPr>
                <w:noProof/>
                <w:szCs w:val="24"/>
              </w:rPr>
            </w:pPr>
            <w:r>
              <w:rPr>
                <w:noProof/>
                <w:szCs w:val="24"/>
              </w:rPr>
              <w:t>(</w:t>
            </w:r>
            <w:r>
              <w:rPr>
                <w:noProof/>
                <w:szCs w:val="24"/>
                <w:vertAlign w:val="superscript"/>
              </w:rPr>
              <w:t>1</w:t>
            </w:r>
            <w:r>
              <w:rPr>
                <w:noProof/>
                <w:szCs w:val="24"/>
              </w:rPr>
              <w:t xml:space="preserve">) </w:t>
            </w:r>
          </w:p>
          <w:p>
            <w:pPr>
              <w:rPr>
                <w:noProof/>
                <w:szCs w:val="24"/>
              </w:rPr>
            </w:pPr>
            <w:r>
              <w:rPr>
                <w:noProof/>
                <w:szCs w:val="24"/>
              </w:rPr>
              <w:t>Règlement délégué (UE) 2020/1044 de la Commission du 8 mai 2020 complétant le règlement (UE) 2018/1999 du Parlement européen et du Conseil en ce qui concerne les valeurs pour les potentiels de réchauffement planétaire et les lignes directrices relatives aux inventaires, ainsi que le système d’inventaire de l’Union, et abrogeant le règlement délégué (UE) nº 666/2014 de la Commission (JO L 230 du 17.7.2020, p. 1).</w:t>
            </w:r>
          </w:p>
        </w:tc>
      </w:tr>
    </w:tbl>
    <w:p>
      <w:pPr>
        <w:rPr>
          <w:noProof/>
        </w:rPr>
      </w:pPr>
      <w:r>
        <w:rPr>
          <w:noProof/>
        </w:rPr>
        <w:t>»;</w:t>
      </w:r>
    </w:p>
    <w:bookmarkEnd w:id="0"/>
    <w:p>
      <w:pPr>
        <w:pStyle w:val="Point1letter"/>
        <w:rPr>
          <w:noProof/>
        </w:rPr>
      </w:pPr>
      <w:r>
        <w:rPr>
          <w:noProof/>
        </w:rPr>
        <w:t>le point 1 </w:t>
      </w:r>
      <w:r>
        <w:rPr>
          <w:i/>
          <w:iCs/>
          <w:noProof/>
        </w:rPr>
        <w:t>bis</w:t>
      </w:r>
      <w:r>
        <w:rPr>
          <w:noProof/>
        </w:rPr>
        <w:t xml:space="preserve"> suivant est inséré: </w:t>
      </w:r>
    </w:p>
    <w:p>
      <w:pPr>
        <w:rPr>
          <w:i/>
          <w:noProof/>
        </w:rPr>
      </w:pPr>
      <w:r>
        <w:rPr>
          <w:noProof/>
        </w:rPr>
        <w:t>«</w:t>
      </w:r>
      <w:r>
        <w:rPr>
          <w:b/>
          <w:noProof/>
        </w:rPr>
        <w:t xml:space="preserve">1 </w:t>
      </w:r>
      <w:r>
        <w:rPr>
          <w:b/>
          <w:i/>
          <w:iCs/>
          <w:noProof/>
        </w:rPr>
        <w:t>bis</w:t>
      </w:r>
      <w:r>
        <w:rPr>
          <w:b/>
          <w:noProof/>
        </w:rPr>
        <w:t xml:space="preserve">. Formule de calcul de l’énergie utilisée </w:t>
      </w:r>
    </w:p>
    <w:p>
      <w:pPr>
        <w:rPr>
          <w:noProof/>
        </w:rPr>
      </w:pPr>
      <w:r>
        <w:rPr>
          <w:noProof/>
        </w:rPr>
        <w:t xml:space="preserve">Aux fins du calcul de l’énergie utilisée dans le cadre du présent règlement, les compagnies tiennent compte de la consommation de carburant de tous les consommateurs de carburant et de l’énergie utilisée à partir de toutes les sources d’énergie de substitution à bord au cours de la période. À cette fin, les compagnies appliquent la formule suivante: </w:t>
      </w:r>
    </w:p>
    <w:p>
      <w:pPr>
        <w:rPr>
          <w:noProof/>
        </w:rPr>
      </w:pPr>
      <m:oMathPara>
        <m:oMath>
          <m:r>
            <w:rPr>
              <w:rFonts w:ascii="Cambria Math" w:hAnsi="Cambria Math"/>
              <w:noProof/>
            </w:rPr>
            <m:t xml:space="preserve">Energy = </m:t>
          </m:r>
          <m:nary>
            <m:naryPr>
              <m:chr m:val="∑"/>
              <m:limLoc m:val="subSup"/>
              <m:ctrlPr>
                <w:rPr>
                  <w:rFonts w:ascii="Cambria Math" w:hAnsi="Cambria Math"/>
                  <w:i/>
                  <w:noProof/>
                </w:rPr>
              </m:ctrlPr>
            </m:naryPr>
            <m:sub>
              <m:r>
                <w:rPr>
                  <w:rFonts w:ascii="Cambria Math" w:hAnsi="Cambria Math"/>
                  <w:noProof/>
                </w:rPr>
                <m:t>i</m:t>
              </m:r>
            </m:sub>
            <m:sup>
              <m:r>
                <w:rPr>
                  <w:rFonts w:ascii="Cambria Math" w:hAnsi="Cambria Math"/>
                  <w:noProof/>
                </w:rPr>
                <m:t>n fuel</m:t>
              </m:r>
            </m:sup>
            <m:e>
              <m:r>
                <w:rPr>
                  <w:rFonts w:ascii="Cambria Math" w:hAnsi="Cambria Math"/>
                  <w:noProof/>
                </w:rPr>
                <m:t xml:space="preserve">Mi × </m:t>
              </m:r>
              <m:sSub>
                <m:sSubPr>
                  <m:ctrlPr>
                    <w:rPr>
                      <w:rFonts w:ascii="Cambria Math" w:hAnsi="Cambria Math"/>
                      <w:i/>
                      <w:noProof/>
                    </w:rPr>
                  </m:ctrlPr>
                </m:sSubPr>
                <m:e>
                  <m:r>
                    <w:rPr>
                      <w:rFonts w:ascii="Cambria Math" w:hAnsi="Cambria Math"/>
                      <w:noProof/>
                    </w:rPr>
                    <m:t>LCV</m:t>
                  </m:r>
                </m:e>
                <m:sub>
                  <m:r>
                    <w:rPr>
                      <w:rFonts w:ascii="Cambria Math" w:hAnsi="Cambria Math"/>
                      <w:noProof/>
                    </w:rPr>
                    <m:t>i</m:t>
                  </m:r>
                </m:sub>
              </m:sSub>
            </m:e>
          </m:nary>
          <m:r>
            <w:rPr>
              <w:rFonts w:ascii="Cambria Math" w:hAnsi="Cambria Math"/>
              <w:noProof/>
            </w:rPr>
            <m:t xml:space="preserve">+ </m:t>
          </m:r>
          <m:nary>
            <m:naryPr>
              <m:chr m:val="∑"/>
              <m:limLoc m:val="subSup"/>
              <m:ctrlPr>
                <w:rPr>
                  <w:rFonts w:ascii="Cambria Math" w:hAnsi="Cambria Math"/>
                  <w:i/>
                  <w:noProof/>
                </w:rPr>
              </m:ctrlPr>
            </m:naryPr>
            <m:sub>
              <m:r>
                <w:rPr>
                  <w:rFonts w:ascii="Cambria Math" w:hAnsi="Cambria Math"/>
                  <w:noProof/>
                </w:rPr>
                <m:t>k</m:t>
              </m:r>
            </m:sub>
            <m:sup>
              <m:r>
                <w:rPr>
                  <w:rFonts w:ascii="Cambria Math" w:hAnsi="Cambria Math"/>
                  <w:noProof/>
                </w:rPr>
                <m:t>c</m:t>
              </m:r>
            </m:sup>
            <m:e>
              <m:sSub>
                <m:sSubPr>
                  <m:ctrlPr>
                    <w:rPr>
                      <w:rFonts w:ascii="Cambria Math" w:hAnsi="Cambria Math"/>
                      <w:i/>
                      <w:noProof/>
                    </w:rPr>
                  </m:ctrlPr>
                </m:sSubPr>
                <m:e>
                  <m:r>
                    <w:rPr>
                      <w:rFonts w:ascii="Cambria Math" w:hAnsi="Cambria Math"/>
                      <w:noProof/>
                    </w:rPr>
                    <m:t>E</m:t>
                  </m:r>
                </m:e>
                <m:sub>
                  <m:r>
                    <w:rPr>
                      <w:rFonts w:ascii="Cambria Math" w:hAnsi="Cambria Math"/>
                      <w:noProof/>
                    </w:rPr>
                    <m:t xml:space="preserve">k </m:t>
                  </m:r>
                </m:sub>
              </m:sSub>
              <m:r>
                <w:rPr>
                  <w:rFonts w:ascii="Cambria Math" w:hAnsi="Cambria Math"/>
                  <w:noProof/>
                </w:rPr>
                <m:t>+W</m:t>
              </m:r>
            </m:e>
          </m:nary>
        </m:oMath>
      </m:oMathPara>
    </w:p>
    <w:p>
      <w:pPr>
        <w:rPr>
          <w:noProof/>
        </w:rPr>
      </w:pPr>
      <w:r>
        <w:rPr>
          <w:noProof/>
        </w:rPr>
        <w:t>Pour déterminer la masse du carburant (</w:t>
      </w:r>
      <m:oMath>
        <m:sSub>
          <m:sSubPr>
            <m:ctrlPr>
              <w:rPr>
                <w:rFonts w:ascii="Cambria Math" w:hAnsi="Cambria Math"/>
                <w:i/>
                <w:noProof/>
              </w:rPr>
            </m:ctrlPr>
          </m:sSubPr>
          <m:e>
            <m:r>
              <w:rPr>
                <w:rFonts w:ascii="Cambria Math" w:hAnsi="Cambria Math"/>
                <w:noProof/>
              </w:rPr>
              <m:t>M</m:t>
            </m:r>
          </m:e>
          <m:sub>
            <m:r>
              <w:rPr>
                <w:rFonts w:ascii="Cambria Math" w:hAnsi="Cambria Math"/>
                <w:noProof/>
              </w:rPr>
              <m:t>i</m:t>
            </m:r>
          </m:sub>
        </m:sSub>
      </m:oMath>
      <w:r>
        <w:rPr>
          <w:rFonts w:eastAsiaTheme="minorEastAsia"/>
          <w:noProof/>
        </w:rPr>
        <w:t>)</w:t>
      </w:r>
      <w:r>
        <w:rPr>
          <w:noProof/>
        </w:rPr>
        <w:t xml:space="preserve">, les compagnies appliquent les méthodes définies à la section B de la présente annexe. </w:t>
      </w:r>
    </w:p>
    <w:p>
      <w:pPr>
        <w:rPr>
          <w:noProof/>
        </w:rPr>
      </w:pPr>
      <w:r>
        <w:rPr>
          <w:noProof/>
        </w:rPr>
        <w:t>Pour déterminer la quantité d’énergie utilisée à partir de sources d’énergie de substitution (</w:t>
      </w:r>
      <m:oMath>
        <m:nary>
          <m:naryPr>
            <m:chr m:val="∑"/>
            <m:limLoc m:val="subSup"/>
            <m:ctrlPr>
              <w:rPr>
                <w:rFonts w:ascii="Cambria Math" w:hAnsi="Cambria Math"/>
                <w:i/>
                <w:noProof/>
              </w:rPr>
            </m:ctrlPr>
          </m:naryPr>
          <m:sub>
            <m:r>
              <w:rPr>
                <w:rFonts w:ascii="Cambria Math" w:hAnsi="Cambria Math"/>
                <w:noProof/>
              </w:rPr>
              <m:t>k</m:t>
            </m:r>
          </m:sub>
          <m:sup>
            <m:r>
              <w:rPr>
                <w:rFonts w:ascii="Cambria Math" w:hAnsi="Cambria Math"/>
                <w:noProof/>
              </w:rPr>
              <m:t>c</m:t>
            </m:r>
          </m:sup>
          <m:e>
            <m:sSub>
              <m:sSubPr>
                <m:ctrlPr>
                  <w:rPr>
                    <w:rFonts w:ascii="Cambria Math" w:hAnsi="Cambria Math"/>
                    <w:i/>
                    <w:noProof/>
                  </w:rPr>
                </m:ctrlPr>
              </m:sSubPr>
              <m:e>
                <m:r>
                  <w:rPr>
                    <w:rFonts w:ascii="Cambria Math" w:hAnsi="Cambria Math"/>
                    <w:noProof/>
                  </w:rPr>
                  <m:t>E</m:t>
                </m:r>
              </m:e>
              <m:sub>
                <m:r>
                  <w:rPr>
                    <w:rFonts w:ascii="Cambria Math" w:hAnsi="Cambria Math"/>
                    <w:noProof/>
                  </w:rPr>
                  <m:t>k</m:t>
                </m:r>
              </m:sub>
            </m:sSub>
            <m:r>
              <w:rPr>
                <w:rFonts w:ascii="Cambria Math" w:hAnsi="Cambria Math"/>
                <w:noProof/>
              </w:rPr>
              <m:t>)</m:t>
            </m:r>
          </m:e>
        </m:nary>
      </m:oMath>
      <w:r>
        <w:rPr>
          <w:noProof/>
        </w:rPr>
        <w:t>, les compagnies s’appuient sur les informations contenues dans la note de livraison d’électricité visée à l’annexe I du règlement (UE) 2023/1805 pour l’électricité fournie par l’alimentation en électricité à quai, et sur les relevés à bord pour les autres formes d’électricité renouvelable produite à bord.</w:t>
      </w:r>
    </w:p>
    <w:p>
      <w:pPr>
        <w:rPr>
          <w:noProof/>
        </w:rPr>
      </w:pPr>
      <w:r>
        <w:rPr>
          <w:noProof/>
        </w:rPr>
        <w:t>Pour déterminer la quantité d’énergie utilisée à partir d’énergie éolienne (W), les compagnies appliquent les normes internationales et les références de certification spécifiées dans les actes d’exécution visés à l’article 5, paragraphe 4, du présent règlement. Dans l’attente de l’entrée en vigueur des actes d’exécution pertinents, le terme W est fixé à zéro.</w:t>
      </w:r>
    </w:p>
    <w:p>
      <w:pPr>
        <w:rPr>
          <w:rFonts w:eastAsiaTheme="minorEastAsia"/>
          <w:noProof/>
          <w:u w:val="single"/>
        </w:rPr>
      </w:pPr>
      <w:r>
        <w:rPr>
          <w:rFonts w:eastAsiaTheme="minorEastAsia"/>
          <w:noProof/>
        </w:rPr>
        <w:t>L’utilisation d’énergie est calculée séparément pour les voyages effectués entre des ports relevant de la juridiction d’un État membre, pour les voyages effectués au départ de ports relevant de la juridiction d’un État membre, pour les voyages effectués à destination de ports relevant de la juridiction d’un État membre, et pour les activités à l’intérieur de ports relevant de la juridiction d’un État membre. L’utilisation d’énergie à l’intérieur de ports relevant de la juridiction d’un État membre alors que le navire est à quai est calculée séparément.»</w:t>
      </w:r>
      <w:r>
        <w:rPr>
          <w:noProof/>
        </w:rPr>
        <w:t>;</w:t>
      </w:r>
    </w:p>
    <w:p>
      <w:pPr>
        <w:pStyle w:val="Point1letter"/>
        <w:rPr>
          <w:noProof/>
        </w:rPr>
      </w:pPr>
      <w:r>
        <w:rPr>
          <w:noProof/>
        </w:rPr>
        <w:t xml:space="preserve">le point 2 est remplacé par le texte suivant: </w:t>
      </w:r>
    </w:p>
    <w:p>
      <w:pPr>
        <w:rPr>
          <w:noProof/>
        </w:rPr>
      </w:pPr>
      <w:r>
        <w:rPr>
          <w:noProof/>
        </w:rPr>
        <w:t>«2. Dans le tableau suivant: </w:t>
      </w:r>
    </w:p>
    <w:p>
      <w:pPr>
        <w:pStyle w:val="Tiret1"/>
        <w:numPr>
          <w:ilvl w:val="0"/>
          <w:numId w:val="19"/>
        </w:numPr>
        <w:rPr>
          <w:noProof/>
        </w:rPr>
      </w:pPr>
      <w:r>
        <w:rPr>
          <w:noProof/>
        </w:rPr>
        <w:t>AM signifie «à mesurer»;</w:t>
      </w:r>
    </w:p>
    <w:p>
      <w:pPr>
        <w:pStyle w:val="Tiret1"/>
        <w:rPr>
          <w:noProof/>
        </w:rPr>
      </w:pPr>
      <w:r>
        <w:rPr>
          <w:noProof/>
        </w:rPr>
        <w:lastRenderedPageBreak/>
        <w:t>N/D signifie «non disponible»;</w:t>
      </w:r>
    </w:p>
    <w:p>
      <w:pPr>
        <w:pStyle w:val="Tiret1"/>
        <w:rPr>
          <w:noProof/>
        </w:rPr>
      </w:pPr>
      <w:r>
        <w:rPr>
          <w:noProof/>
        </w:rPr>
        <w:t>un tiret signifie «sans objet».</w:t>
      </w:r>
    </w:p>
    <w:p>
      <w:pPr>
        <w:rPr>
          <w:noProof/>
        </w:rPr>
      </w:pPr>
      <w:r>
        <w:rPr>
          <w:noProof/>
        </w:rPr>
        <w:t>E est établi conformément aux méthodologies définies à l’annexe V, partie C, et à l’annexe VI, partie B, de la directive (UE) 2018/2001, au règlement (UE) 2023/1185 et au règlement (UE) 2025/2359. Pour les carburants renouvelables et bas carbone, les valeurs par défaut du puits au réservoir devraient être calculées à l’aide des valeurs de la preuve de durabilité telles que définies dans la directive (UE) 2018/2001 et dans la directive (UE) 2024/1788. Le facteur d’émission du puits au réservoir (WtT) est déterminé en déduisant les émissions résultant de la consommation de carburant (Eᵤ</w:t>
      </w:r>
      <w:r>
        <w:rPr>
          <w:rStyle w:val="FootnoteReference"/>
          <w:noProof/>
        </w:rPr>
        <w:footnoteReference w:id="1"/>
      </w:r>
      <w:r>
        <w:rPr>
          <w:noProof/>
        </w:rPr>
        <w:t>) des émissions du cycle de vie total du carburant (E).</w:t>
      </w:r>
    </w:p>
    <w:p>
      <w:pPr>
        <w:rPr>
          <w:noProof/>
        </w:rPr>
      </w:pPr>
      <w:r>
        <w:rPr>
          <w:noProof/>
        </w:rPr>
        <w:t>Les valeurs par défaut, telles qu’elles figurent dans le tableau ci-dessous, pour les facteurs d’émission des combustibles, des sources d’émission et des consommateurs de carburants utilisés à bord du navire sont appliquées aux fins du présent règlement.</w:t>
      </w:r>
    </w:p>
    <w:p>
      <w:pPr>
        <w:rPr>
          <w:noProof/>
        </w:rPr>
      </w:pPr>
      <w:r>
        <w:rPr>
          <w:noProof/>
        </w:rPr>
        <w:t>Lorsqu’une cellule indique AM ou N/D, il convient d’utiliser la valeur par défaut la plus élevée de la classe de carburant de la même colonne. Lorsque, pour une classe de carburant donnée, toutes les cellules d’une même colonne indiquent soit AM, soit N/D, il convient d’utiliser la valeur par défaut du type de combustible fossile le moins favorable. Cette règle ne s’applique pas à la colonne 9, où AM ou N/D fait référence à des valeurs non disponibles pour la source d’émission. En l’absence de valeur par défaut pour C</w:t>
      </w:r>
      <w:r>
        <w:rPr>
          <w:noProof/>
          <w:vertAlign w:val="subscript"/>
        </w:rPr>
        <w:t>slip</w:t>
      </w:r>
      <w:r>
        <w:rPr>
          <w:noProof/>
        </w:rPr>
        <w:t>, il convient d’utiliser une valeur certifiée conformément à l’article 10, paragraphe 6, du règlement (UE) 2023/1805 du Parlement européen et du Conseil*.</w:t>
      </w:r>
    </w:p>
    <w:p>
      <w:pPr>
        <w:rPr>
          <w:noProof/>
        </w:rPr>
      </w:pPr>
      <w:r>
        <w:rPr>
          <w:noProof/>
        </w:rPr>
        <w:t>Les compagnies peuvent s’écarter des valeurs par défaut pour les facteurs d’émission figurant dans le tableau ci-dessous, après l’application, le cas échéant, des conditions et restrictions prévues à l’article 10, paragraphes 5 et 6, du règlement (UE) 2023/1805.</w:t>
      </w:r>
    </w:p>
    <w:p>
      <w:pPr>
        <w:rPr>
          <w:noProof/>
        </w:rPr>
      </w:pPr>
      <w:r>
        <w:rPr>
          <w:noProof/>
        </w:rPr>
        <w:t>En cas de mélange de combustibles, chaque combustible est pris en considération séparément.</w:t>
      </w:r>
    </w:p>
    <w:tbl>
      <w:tblPr>
        <w:tblW w:w="9089" w:type="dxa"/>
        <w:jc w:val="center"/>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1020"/>
        <w:gridCol w:w="2013"/>
        <w:gridCol w:w="983"/>
        <w:gridCol w:w="1058"/>
        <w:gridCol w:w="1020"/>
        <w:gridCol w:w="784"/>
        <w:gridCol w:w="784"/>
        <w:gridCol w:w="784"/>
        <w:gridCol w:w="643"/>
      </w:tblGrid>
      <w:tr>
        <w:trPr>
          <w:jc w:val="center"/>
        </w:trPr>
        <w:tc>
          <w:tcPr>
            <w:tcW w:w="1020"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1</w:t>
            </w:r>
          </w:p>
        </w:tc>
        <w:tc>
          <w:tcPr>
            <w:tcW w:w="2013"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2</w:t>
            </w:r>
          </w:p>
        </w:tc>
        <w:tc>
          <w:tcPr>
            <w:tcW w:w="983"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3</w:t>
            </w:r>
          </w:p>
        </w:tc>
        <w:tc>
          <w:tcPr>
            <w:tcW w:w="1058"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4</w:t>
            </w:r>
          </w:p>
        </w:tc>
        <w:tc>
          <w:tcPr>
            <w:tcW w:w="1020"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5</w:t>
            </w:r>
          </w:p>
        </w:tc>
        <w:tc>
          <w:tcPr>
            <w:tcW w:w="784"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6</w:t>
            </w:r>
          </w:p>
        </w:tc>
        <w:tc>
          <w:tcPr>
            <w:tcW w:w="784"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7</w:t>
            </w:r>
          </w:p>
        </w:tc>
        <w:tc>
          <w:tcPr>
            <w:tcW w:w="784"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8</w:t>
            </w:r>
          </w:p>
        </w:tc>
        <w:tc>
          <w:tcPr>
            <w:tcW w:w="643"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9</w:t>
            </w:r>
          </w:p>
        </w:tc>
      </w:tr>
      <w:tr>
        <w:trPr>
          <w:trHeight w:val="684"/>
          <w:jc w:val="center"/>
        </w:trPr>
        <w:tc>
          <w:tcPr>
            <w:tcW w:w="4016" w:type="dxa"/>
            <w:gridSpan w:val="3"/>
            <w:tcBorders>
              <w:top w:val="single" w:sz="6" w:space="0" w:color="000000"/>
              <w:left w:val="single" w:sz="6" w:space="0" w:color="000000"/>
              <w:bottom w:val="single" w:sz="6" w:space="0" w:color="000000"/>
              <w:right w:val="single" w:sz="6" w:space="0" w:color="000000"/>
            </w:tcBorders>
            <w:hideMark/>
          </w:tcPr>
          <w:p>
            <w:pPr>
              <w:rPr>
                <w:noProof/>
              </w:rPr>
            </w:pPr>
          </w:p>
          <w:p>
            <w:pPr>
              <w:rPr>
                <w:noProof/>
              </w:rPr>
            </w:pPr>
          </w:p>
          <w:p>
            <w:pPr>
              <w:jc w:val="center"/>
              <w:rPr>
                <w:noProof/>
              </w:rPr>
            </w:pPr>
          </w:p>
        </w:tc>
        <w:tc>
          <w:tcPr>
            <w:tcW w:w="1058"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WtT</w:t>
            </w:r>
          </w:p>
        </w:tc>
        <w:tc>
          <w:tcPr>
            <w:tcW w:w="4015" w:type="dxa"/>
            <w:gridSpan w:val="5"/>
            <w:tcBorders>
              <w:top w:val="single" w:sz="6" w:space="0" w:color="000000"/>
              <w:left w:val="single" w:sz="6" w:space="0" w:color="000000"/>
              <w:bottom w:val="single" w:sz="6" w:space="0" w:color="000000"/>
              <w:right w:val="single" w:sz="6" w:space="0" w:color="000000"/>
            </w:tcBorders>
            <w:hideMark/>
          </w:tcPr>
          <w:p>
            <w:pPr>
              <w:rPr>
                <w:b/>
                <w:noProof/>
              </w:rPr>
            </w:pPr>
            <w:r>
              <w:rPr>
                <w:b/>
                <w:noProof/>
              </w:rPr>
              <w:t>TtW</w:t>
            </w:r>
          </w:p>
        </w:tc>
      </w:tr>
      <w:tr>
        <w:trPr>
          <w:jc w:val="center"/>
        </w:trPr>
        <w:tc>
          <w:tcPr>
            <w:tcW w:w="1020"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Classe de carburant</w:t>
            </w:r>
          </w:p>
        </w:tc>
        <w:tc>
          <w:tcPr>
            <w:tcW w:w="2013"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Nom de la filière</w:t>
            </w:r>
          </w:p>
        </w:tc>
        <w:tc>
          <w:tcPr>
            <w:tcW w:w="983"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LCV</w:t>
            </w:r>
          </w:p>
          <w:p>
            <w:pPr>
              <w:rPr>
                <w:noProof/>
              </w:rPr>
            </w:pPr>
          </w:p>
          <w:p>
            <w:pPr>
              <w:rPr>
                <w:noProof/>
              </w:rPr>
            </w:pPr>
            <m:oMathPara>
              <m:oMath>
                <m:d>
                  <m:dPr>
                    <m:begChr m:val="["/>
                    <m:endChr m:val="]"/>
                    <m:ctrlPr>
                      <w:rPr>
                        <w:rFonts w:ascii="Cambria Math" w:hAnsi="Cambria Math"/>
                        <w:i/>
                        <w:noProof/>
                      </w:rPr>
                    </m:ctrlPr>
                  </m:dPr>
                  <m:e>
                    <m:f>
                      <m:fPr>
                        <m:ctrlPr>
                          <w:rPr>
                            <w:rFonts w:ascii="Cambria Math" w:hAnsi="Cambria Math"/>
                            <w:i/>
                            <w:noProof/>
                          </w:rPr>
                        </m:ctrlPr>
                      </m:fPr>
                      <m:num>
                        <m:r>
                          <w:rPr>
                            <w:rFonts w:ascii="Cambria Math" w:hAnsi="Cambria Math"/>
                            <w:noProof/>
                          </w:rPr>
                          <m:t>MJ</m:t>
                        </m:r>
                      </m:num>
                      <m:den>
                        <m:r>
                          <w:rPr>
                            <w:rFonts w:ascii="Cambria Math" w:hAnsi="Cambria Math"/>
                            <w:noProof/>
                          </w:rPr>
                          <m:t>g</m:t>
                        </m:r>
                      </m:den>
                    </m:f>
                  </m:e>
                </m:d>
              </m:oMath>
            </m:oMathPara>
          </w:p>
        </w:tc>
        <w:tc>
          <w:tcPr>
            <w:tcW w:w="1058"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CO</w:t>
            </w:r>
            <w:r>
              <w:rPr>
                <w:b/>
                <w:noProof/>
                <w:vertAlign w:val="subscript"/>
              </w:rPr>
              <w:t>2eq WtT</w:t>
            </w:r>
          </w:p>
          <w:p>
            <w:pPr>
              <w:rPr>
                <w:noProof/>
              </w:rPr>
            </w:pPr>
          </w:p>
          <w:p>
            <w:pPr>
              <w:rPr>
                <w:noProof/>
              </w:rPr>
            </w:pPr>
            <m:oMathPara>
              <m:oMath>
                <m:d>
                  <m:dPr>
                    <m:begChr m:val="["/>
                    <m:endChr m:val="]"/>
                    <m:ctrlPr>
                      <w:rPr>
                        <w:rFonts w:ascii="Cambria Math" w:hAnsi="Cambria Math"/>
                        <w:i/>
                        <w:noProof/>
                      </w:rPr>
                    </m:ctrlPr>
                  </m:dPr>
                  <m:e>
                    <m:f>
                      <m:fPr>
                        <m:ctrlPr>
                          <w:rPr>
                            <w:rFonts w:ascii="Cambria Math" w:hAnsi="Cambria Math"/>
                            <w:i/>
                            <w:noProof/>
                          </w:rPr>
                        </m:ctrlPr>
                      </m:fPr>
                      <m:num>
                        <m:r>
                          <w:rPr>
                            <w:rFonts w:ascii="Cambria Math" w:hAnsi="Cambria Math"/>
                            <w:noProof/>
                          </w:rPr>
                          <m:t>gCO2eq</m:t>
                        </m:r>
                      </m:num>
                      <m:den>
                        <m:r>
                          <w:rPr>
                            <w:rFonts w:ascii="Cambria Math" w:hAnsi="Cambria Math"/>
                            <w:noProof/>
                          </w:rPr>
                          <m:t>MJ</m:t>
                        </m:r>
                      </m:den>
                    </m:f>
                  </m:e>
                </m:d>
              </m:oMath>
            </m:oMathPara>
          </w:p>
        </w:tc>
        <w:tc>
          <w:tcPr>
            <w:tcW w:w="1020"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Classe de l’unité de consommateur de carburant</w:t>
            </w:r>
          </w:p>
        </w:tc>
        <w:tc>
          <w:tcPr>
            <w:tcW w:w="784" w:type="dxa"/>
            <w:tcBorders>
              <w:top w:val="single" w:sz="6" w:space="0" w:color="000000"/>
              <w:left w:val="single" w:sz="6" w:space="0" w:color="000000"/>
              <w:bottom w:val="single" w:sz="6" w:space="0" w:color="000000"/>
              <w:right w:val="single" w:sz="6" w:space="0" w:color="000000"/>
            </w:tcBorders>
            <w:hideMark/>
          </w:tcPr>
          <w:p>
            <w:pPr>
              <w:rPr>
                <w:rFonts w:eastAsiaTheme="minorEastAsia"/>
                <w:noProof/>
              </w:rPr>
            </w:pPr>
            <m:oMathPara>
              <m:oMath>
                <m:sSub>
                  <m:sSubPr>
                    <m:ctrlPr>
                      <w:rPr>
                        <w:rFonts w:ascii="Cambria Math" w:hAnsi="Cambria Math"/>
                        <w:i/>
                        <w:noProof/>
                      </w:rPr>
                    </m:ctrlPr>
                  </m:sSubPr>
                  <m:e>
                    <m:r>
                      <w:rPr>
                        <w:rFonts w:ascii="Cambria Math" w:hAnsi="Cambria Math"/>
                        <w:noProof/>
                      </w:rPr>
                      <m:t>C</m:t>
                    </m:r>
                  </m:e>
                  <m:sub>
                    <m:r>
                      <w:rPr>
                        <w:rFonts w:ascii="Cambria Math" w:hAnsi="Cambria Math"/>
                        <w:noProof/>
                      </w:rPr>
                      <m:t>f</m:t>
                    </m:r>
                    <m:sSub>
                      <m:sSubPr>
                        <m:ctrlPr>
                          <w:rPr>
                            <w:rFonts w:ascii="Cambria Math" w:hAnsi="Cambria Math"/>
                            <w:i/>
                            <w:noProof/>
                          </w:rPr>
                        </m:ctrlPr>
                      </m:sSubPr>
                      <m:e>
                        <m:r>
                          <w:rPr>
                            <w:rFonts w:ascii="Cambria Math" w:hAnsi="Cambria Math"/>
                            <w:noProof/>
                          </w:rPr>
                          <m:t>CO</m:t>
                        </m:r>
                      </m:e>
                      <m:sub>
                        <m:r>
                          <w:rPr>
                            <w:rFonts w:ascii="Cambria Math" w:hAnsi="Cambria Math"/>
                            <w:noProof/>
                          </w:rPr>
                          <m:t>2</m:t>
                        </m:r>
                      </m:sub>
                    </m:sSub>
                  </m:sub>
                </m:sSub>
              </m:oMath>
            </m:oMathPara>
          </w:p>
          <w:p>
            <w:pPr>
              <w:rPr>
                <w:noProof/>
              </w:rPr>
            </w:pPr>
            <m:oMathPara>
              <m:oMath>
                <m:d>
                  <m:dPr>
                    <m:begChr m:val="["/>
                    <m:endChr m:val="]"/>
                    <m:ctrlPr>
                      <w:rPr>
                        <w:rFonts w:ascii="Cambria Math" w:hAnsi="Cambria Math"/>
                        <w:i/>
                        <w:noProof/>
                      </w:rPr>
                    </m:ctrlPr>
                  </m:dPr>
                  <m:e>
                    <m:f>
                      <m:fPr>
                        <m:ctrlPr>
                          <w:rPr>
                            <w:rFonts w:ascii="Cambria Math" w:hAnsi="Cambria Math"/>
                            <w:i/>
                            <w:noProof/>
                          </w:rPr>
                        </m:ctrlPr>
                      </m:fPr>
                      <m:num>
                        <m:r>
                          <w:rPr>
                            <w:rFonts w:ascii="Cambria Math" w:hAnsi="Cambria Math"/>
                            <w:noProof/>
                          </w:rPr>
                          <m:t>g</m:t>
                        </m:r>
                        <m:sSub>
                          <m:sSubPr>
                            <m:ctrlPr>
                              <w:rPr>
                                <w:rFonts w:ascii="Cambria Math" w:hAnsi="Cambria Math"/>
                                <w:i/>
                                <w:noProof/>
                              </w:rPr>
                            </m:ctrlPr>
                          </m:sSubPr>
                          <m:e>
                            <m:r>
                              <w:rPr>
                                <w:rFonts w:ascii="Cambria Math" w:hAnsi="Cambria Math"/>
                                <w:noProof/>
                              </w:rPr>
                              <m:t>CO</m:t>
                            </m:r>
                          </m:e>
                          <m:sub>
                            <m:r>
                              <w:rPr>
                                <w:rFonts w:ascii="Cambria Math" w:hAnsi="Cambria Math"/>
                                <w:noProof/>
                              </w:rPr>
                              <m:t>2</m:t>
                            </m:r>
                          </m:sub>
                        </m:sSub>
                      </m:num>
                      <m:den>
                        <m:r>
                          <w:rPr>
                            <w:rFonts w:ascii="Cambria Math" w:hAnsi="Cambria Math"/>
                            <w:noProof/>
                          </w:rPr>
                          <m:t>gFuel</m:t>
                        </m:r>
                      </m:den>
                    </m:f>
                  </m:e>
                </m:d>
              </m:oMath>
            </m:oMathPara>
          </w:p>
        </w:tc>
        <w:tc>
          <w:tcPr>
            <w:tcW w:w="784" w:type="dxa"/>
            <w:tcBorders>
              <w:top w:val="single" w:sz="6" w:space="0" w:color="000000"/>
              <w:left w:val="single" w:sz="6" w:space="0" w:color="000000"/>
              <w:bottom w:val="single" w:sz="6" w:space="0" w:color="000000"/>
              <w:right w:val="single" w:sz="6" w:space="0" w:color="000000"/>
            </w:tcBorders>
            <w:hideMark/>
          </w:tcPr>
          <w:p>
            <w:pPr>
              <w:rPr>
                <w:rFonts w:eastAsiaTheme="minorEastAsia"/>
                <w:noProof/>
              </w:rPr>
            </w:pPr>
            <m:oMathPara>
              <m:oMath>
                <m:sSub>
                  <m:sSubPr>
                    <m:ctrlPr>
                      <w:rPr>
                        <w:rFonts w:ascii="Cambria Math" w:hAnsi="Cambria Math"/>
                        <w:i/>
                        <w:noProof/>
                      </w:rPr>
                    </m:ctrlPr>
                  </m:sSubPr>
                  <m:e>
                    <m:r>
                      <w:rPr>
                        <w:rFonts w:ascii="Cambria Math" w:hAnsi="Cambria Math"/>
                        <w:noProof/>
                      </w:rPr>
                      <m:t>C</m:t>
                    </m:r>
                  </m:e>
                  <m:sub>
                    <m:r>
                      <w:rPr>
                        <w:rFonts w:ascii="Cambria Math" w:hAnsi="Cambria Math"/>
                        <w:noProof/>
                      </w:rPr>
                      <m:t>f</m:t>
                    </m:r>
                    <m:sSub>
                      <m:sSubPr>
                        <m:ctrlPr>
                          <w:rPr>
                            <w:rFonts w:ascii="Cambria Math" w:hAnsi="Cambria Math"/>
                            <w:i/>
                            <w:noProof/>
                          </w:rPr>
                        </m:ctrlPr>
                      </m:sSubPr>
                      <m:e>
                        <m:r>
                          <w:rPr>
                            <w:rFonts w:ascii="Cambria Math" w:hAnsi="Cambria Math"/>
                            <w:noProof/>
                          </w:rPr>
                          <m:t>CH</m:t>
                        </m:r>
                      </m:e>
                      <m:sub>
                        <m:r>
                          <w:rPr>
                            <w:rFonts w:ascii="Cambria Math" w:hAnsi="Cambria Math"/>
                            <w:noProof/>
                          </w:rPr>
                          <m:t>4</m:t>
                        </m:r>
                      </m:sub>
                    </m:sSub>
                  </m:sub>
                </m:sSub>
              </m:oMath>
            </m:oMathPara>
          </w:p>
          <w:p>
            <w:pPr>
              <w:rPr>
                <w:noProof/>
              </w:rPr>
            </w:pPr>
            <m:oMathPara>
              <m:oMath>
                <m:d>
                  <m:dPr>
                    <m:begChr m:val="["/>
                    <m:endChr m:val="]"/>
                    <m:ctrlPr>
                      <w:rPr>
                        <w:rFonts w:ascii="Cambria Math" w:hAnsi="Cambria Math"/>
                        <w:i/>
                        <w:noProof/>
                      </w:rPr>
                    </m:ctrlPr>
                  </m:dPr>
                  <m:e>
                    <m:f>
                      <m:fPr>
                        <m:ctrlPr>
                          <w:rPr>
                            <w:rFonts w:ascii="Cambria Math" w:hAnsi="Cambria Math"/>
                            <w:i/>
                            <w:noProof/>
                          </w:rPr>
                        </m:ctrlPr>
                      </m:fPr>
                      <m:num>
                        <m:r>
                          <w:rPr>
                            <w:rFonts w:ascii="Cambria Math" w:hAnsi="Cambria Math"/>
                            <w:noProof/>
                          </w:rPr>
                          <m:t>g</m:t>
                        </m:r>
                        <m:sSub>
                          <m:sSubPr>
                            <m:ctrlPr>
                              <w:rPr>
                                <w:rFonts w:ascii="Cambria Math" w:hAnsi="Cambria Math"/>
                                <w:i/>
                                <w:noProof/>
                              </w:rPr>
                            </m:ctrlPr>
                          </m:sSubPr>
                          <m:e>
                            <m:r>
                              <w:rPr>
                                <w:rFonts w:ascii="Cambria Math" w:hAnsi="Cambria Math"/>
                                <w:noProof/>
                              </w:rPr>
                              <m:t>CH</m:t>
                            </m:r>
                          </m:e>
                          <m:sub>
                            <m:r>
                              <w:rPr>
                                <w:rFonts w:ascii="Cambria Math" w:hAnsi="Cambria Math"/>
                                <w:noProof/>
                              </w:rPr>
                              <m:t>4</m:t>
                            </m:r>
                          </m:sub>
                        </m:sSub>
                      </m:num>
                      <m:den>
                        <m:r>
                          <w:rPr>
                            <w:rFonts w:ascii="Cambria Math" w:hAnsi="Cambria Math"/>
                            <w:noProof/>
                          </w:rPr>
                          <m:t>gFuel</m:t>
                        </m:r>
                      </m:den>
                    </m:f>
                  </m:e>
                </m:d>
              </m:oMath>
            </m:oMathPara>
          </w:p>
        </w:tc>
        <w:tc>
          <w:tcPr>
            <w:tcW w:w="784" w:type="dxa"/>
            <w:tcBorders>
              <w:top w:val="single" w:sz="6" w:space="0" w:color="000000"/>
              <w:left w:val="single" w:sz="6" w:space="0" w:color="000000"/>
              <w:bottom w:val="single" w:sz="6" w:space="0" w:color="000000"/>
              <w:right w:val="single" w:sz="6" w:space="0" w:color="000000"/>
            </w:tcBorders>
            <w:hideMark/>
          </w:tcPr>
          <w:p>
            <w:pPr>
              <w:rPr>
                <w:rFonts w:eastAsiaTheme="minorEastAsia"/>
                <w:noProof/>
              </w:rPr>
            </w:pPr>
            <m:oMathPara>
              <m:oMath>
                <m:sSub>
                  <m:sSubPr>
                    <m:ctrlPr>
                      <w:rPr>
                        <w:rFonts w:ascii="Cambria Math" w:hAnsi="Cambria Math"/>
                        <w:i/>
                        <w:noProof/>
                      </w:rPr>
                    </m:ctrlPr>
                  </m:sSubPr>
                  <m:e>
                    <m:r>
                      <w:rPr>
                        <w:rFonts w:ascii="Cambria Math" w:hAnsi="Cambria Math"/>
                        <w:noProof/>
                      </w:rPr>
                      <m:t>C</m:t>
                    </m:r>
                  </m:e>
                  <m:sub>
                    <m:r>
                      <w:rPr>
                        <w:rFonts w:ascii="Cambria Math" w:hAnsi="Cambria Math"/>
                        <w:noProof/>
                      </w:rPr>
                      <m:t>f</m:t>
                    </m:r>
                    <m:sSub>
                      <m:sSubPr>
                        <m:ctrlPr>
                          <w:rPr>
                            <w:rFonts w:ascii="Cambria Math" w:hAnsi="Cambria Math"/>
                            <w:i/>
                            <w:noProof/>
                          </w:rPr>
                        </m:ctrlPr>
                      </m:sSubPr>
                      <m:e>
                        <m:r>
                          <w:rPr>
                            <w:rFonts w:ascii="Cambria Math" w:hAnsi="Cambria Math"/>
                            <w:noProof/>
                          </w:rPr>
                          <m:t>N</m:t>
                        </m:r>
                      </m:e>
                      <m:sub>
                        <m:r>
                          <w:rPr>
                            <w:rFonts w:ascii="Cambria Math" w:hAnsi="Cambria Math"/>
                            <w:noProof/>
                          </w:rPr>
                          <m:t>2</m:t>
                        </m:r>
                      </m:sub>
                    </m:sSub>
                    <m:r>
                      <w:rPr>
                        <w:rFonts w:ascii="Cambria Math" w:hAnsi="Cambria Math"/>
                        <w:noProof/>
                      </w:rPr>
                      <m:t>O</m:t>
                    </m:r>
                  </m:sub>
                </m:sSub>
              </m:oMath>
            </m:oMathPara>
          </w:p>
          <w:p>
            <w:pPr>
              <w:rPr>
                <w:noProof/>
              </w:rPr>
            </w:pPr>
            <m:oMathPara>
              <m:oMath>
                <m:d>
                  <m:dPr>
                    <m:begChr m:val="["/>
                    <m:endChr m:val="]"/>
                    <m:ctrlPr>
                      <w:rPr>
                        <w:rFonts w:ascii="Cambria Math" w:hAnsi="Cambria Math"/>
                        <w:i/>
                        <w:noProof/>
                      </w:rPr>
                    </m:ctrlPr>
                  </m:dPr>
                  <m:e>
                    <m:f>
                      <m:fPr>
                        <m:ctrlPr>
                          <w:rPr>
                            <w:rFonts w:ascii="Cambria Math" w:hAnsi="Cambria Math"/>
                            <w:i/>
                            <w:noProof/>
                          </w:rPr>
                        </m:ctrlPr>
                      </m:fPr>
                      <m:num>
                        <m:r>
                          <w:rPr>
                            <w:rFonts w:ascii="Cambria Math" w:hAnsi="Cambria Math"/>
                            <w:noProof/>
                          </w:rPr>
                          <m:t>g</m:t>
                        </m:r>
                        <m:sSub>
                          <m:sSubPr>
                            <m:ctrlPr>
                              <w:rPr>
                                <w:rFonts w:ascii="Cambria Math" w:hAnsi="Cambria Math"/>
                                <w:i/>
                                <w:noProof/>
                              </w:rPr>
                            </m:ctrlPr>
                          </m:sSubPr>
                          <m:e>
                            <m:r>
                              <w:rPr>
                                <w:rFonts w:ascii="Cambria Math" w:hAnsi="Cambria Math"/>
                                <w:noProof/>
                              </w:rPr>
                              <m:t>N</m:t>
                            </m:r>
                          </m:e>
                          <m:sub>
                            <m:r>
                              <w:rPr>
                                <w:rFonts w:ascii="Cambria Math" w:hAnsi="Cambria Math"/>
                                <w:noProof/>
                              </w:rPr>
                              <m:t>2</m:t>
                            </m:r>
                          </m:sub>
                        </m:sSub>
                        <m:r>
                          <w:rPr>
                            <w:rFonts w:ascii="Cambria Math" w:hAnsi="Cambria Math"/>
                            <w:noProof/>
                          </w:rPr>
                          <m:t>O</m:t>
                        </m:r>
                      </m:num>
                      <m:den>
                        <m:r>
                          <w:rPr>
                            <w:rFonts w:ascii="Cambria Math" w:hAnsi="Cambria Math"/>
                            <w:noProof/>
                          </w:rPr>
                          <m:t>gFuel</m:t>
                        </m:r>
                      </m:den>
                    </m:f>
                  </m:e>
                </m:d>
              </m:oMath>
            </m:oMathPara>
          </w:p>
        </w:tc>
        <w:tc>
          <w:tcPr>
            <w:tcW w:w="643"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C</w:t>
            </w:r>
            <w:r>
              <w:rPr>
                <w:b/>
                <w:noProof/>
                <w:vertAlign w:val="subscript"/>
              </w:rPr>
              <w:t>slip</w:t>
            </w:r>
          </w:p>
          <w:p>
            <w:pPr>
              <w:rPr>
                <w:b/>
                <w:noProof/>
              </w:rPr>
            </w:pPr>
            <w:r>
              <w:rPr>
                <w:b/>
                <w:noProof/>
              </w:rPr>
              <w:t>En pourcentage (%) de la masse de carburant utilisé par le moteur</w:t>
            </w:r>
          </w:p>
        </w:tc>
      </w:tr>
      <w:tr>
        <w:trPr>
          <w:jc w:val="center"/>
        </w:trPr>
        <w:tc>
          <w:tcPr>
            <w:tcW w:w="1020"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Carburant</w:t>
            </w:r>
            <w:r>
              <w:rPr>
                <w:noProof/>
              </w:rPr>
              <w:lastRenderedPageBreak/>
              <w:t>s fossiles</w:t>
            </w: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lastRenderedPageBreak/>
              <w:t>Fioul lourd (HFO)</w:t>
            </w:r>
          </w:p>
          <w:p>
            <w:pPr>
              <w:rPr>
                <w:noProof/>
                <w:color w:val="000000" w:themeColor="text1"/>
              </w:rPr>
            </w:pPr>
            <w:r>
              <w:rPr>
                <w:noProof/>
              </w:rPr>
              <w:lastRenderedPageBreak/>
              <w:t>ISO 821</w:t>
            </w:r>
            <w:r>
              <w:rPr>
                <w:noProof/>
                <w:color w:val="000000" w:themeColor="text1"/>
              </w:rPr>
              <w:t>7:2024 </w:t>
            </w:r>
          </w:p>
          <w:p>
            <w:pPr>
              <w:rPr>
                <w:noProof/>
              </w:rPr>
            </w:pPr>
            <w:r>
              <w:rPr>
                <w:noProof/>
                <w:color w:val="000000" w:themeColor="text1"/>
              </w:rPr>
              <w:t>Grades RME à RMK et composante fossile RF80 à RF500</w:t>
            </w:r>
          </w:p>
        </w:tc>
        <w:tc>
          <w:tcPr>
            <w:tcW w:w="983" w:type="dxa"/>
            <w:tcBorders>
              <w:top w:val="single" w:sz="6" w:space="0" w:color="000000"/>
              <w:left w:val="single" w:sz="6" w:space="0" w:color="000000"/>
              <w:bottom w:val="single" w:sz="6" w:space="0" w:color="000000"/>
              <w:right w:val="single" w:sz="6" w:space="0" w:color="000000"/>
            </w:tcBorders>
            <w:hideMark/>
          </w:tcPr>
          <w:p>
            <w:pPr>
              <w:rPr>
                <w:noProof/>
              </w:rPr>
            </w:pPr>
            <w:r>
              <w:rPr>
                <w:noProof/>
              </w:rPr>
              <w:lastRenderedPageBreak/>
              <w:t>0,0405</w:t>
            </w:r>
          </w:p>
        </w:tc>
        <w:tc>
          <w:tcPr>
            <w:tcW w:w="1058" w:type="dxa"/>
            <w:tcBorders>
              <w:top w:val="single" w:sz="6" w:space="0" w:color="000000"/>
              <w:left w:val="single" w:sz="6" w:space="0" w:color="000000"/>
              <w:bottom w:val="single" w:sz="6" w:space="0" w:color="000000"/>
              <w:right w:val="single" w:sz="6" w:space="0" w:color="000000"/>
            </w:tcBorders>
            <w:hideMark/>
          </w:tcPr>
          <w:p>
            <w:pPr>
              <w:rPr>
                <w:noProof/>
              </w:rPr>
            </w:pPr>
            <w:r>
              <w:rPr>
                <w:noProof/>
              </w:rPr>
              <w:t>13,5</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 xml:space="preserve">TOUTES </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3,114</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0,0000</w:t>
            </w:r>
            <w:r>
              <w:rPr>
                <w:noProof/>
              </w:rPr>
              <w:lastRenderedPageBreak/>
              <w:t>5</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lastRenderedPageBreak/>
              <w:t>0,0001</w:t>
            </w:r>
            <w:r>
              <w:rPr>
                <w:noProof/>
              </w:rPr>
              <w:lastRenderedPageBreak/>
              <w:t>8</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lastRenderedPageBreak/>
              <w:t>-</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Fioul léger (LFO)</w:t>
            </w:r>
          </w:p>
          <w:p>
            <w:pPr>
              <w:rPr>
                <w:noProof/>
                <w:color w:val="000000" w:themeColor="text1"/>
              </w:rPr>
            </w:pPr>
            <w:r>
              <w:rPr>
                <w:rStyle w:val="normaltextrun"/>
                <w:noProof/>
                <w:color w:val="000000" w:themeColor="text1"/>
                <w:sz w:val="22"/>
              </w:rPr>
              <w:t>ISO 8217:2024 Grades RMA et composante fossile RF20</w:t>
            </w:r>
          </w:p>
          <w:p>
            <w:pPr>
              <w:rPr>
                <w:noProof/>
              </w:rPr>
            </w:pPr>
          </w:p>
          <w:p>
            <w:pPr>
              <w:rPr>
                <w:noProof/>
              </w:rPr>
            </w:pPr>
          </w:p>
        </w:tc>
        <w:tc>
          <w:tcPr>
            <w:tcW w:w="983"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0,041</w:t>
            </w:r>
          </w:p>
        </w:tc>
        <w:tc>
          <w:tcPr>
            <w:tcW w:w="1058" w:type="dxa"/>
            <w:tcBorders>
              <w:top w:val="single" w:sz="6" w:space="0" w:color="000000"/>
              <w:left w:val="single" w:sz="6" w:space="0" w:color="000000"/>
              <w:bottom w:val="single" w:sz="6" w:space="0" w:color="000000"/>
              <w:right w:val="single" w:sz="6" w:space="0" w:color="000000"/>
            </w:tcBorders>
            <w:hideMark/>
          </w:tcPr>
          <w:p>
            <w:pPr>
              <w:rPr>
                <w:noProof/>
              </w:rPr>
            </w:pPr>
            <w:r>
              <w:rPr>
                <w:noProof/>
              </w:rPr>
              <w:t>13,2</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TOUTES</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3,151</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0,00005</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0,00018</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Diesel marin (MDO)</w:t>
            </w:r>
          </w:p>
          <w:p>
            <w:pPr>
              <w:rPr>
                <w:noProof/>
              </w:rPr>
            </w:pPr>
            <w:r>
              <w:rPr>
                <w:noProof/>
              </w:rPr>
              <w:t>Gas-oil à usage maritime (MGO)</w:t>
            </w:r>
          </w:p>
          <w:p>
            <w:pPr>
              <w:rPr>
                <w:noProof/>
              </w:rPr>
            </w:pPr>
            <w:r>
              <w:rPr>
                <w:rStyle w:val="normaltextrun"/>
                <w:noProof/>
                <w:color w:val="000000" w:themeColor="text1"/>
                <w:sz w:val="22"/>
              </w:rPr>
              <w:t>ISO 8217:2024 Grades DMX à DMB et composante fossile DFA, DFZ et DFB</w:t>
            </w:r>
          </w:p>
        </w:tc>
        <w:tc>
          <w:tcPr>
            <w:tcW w:w="983"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0,0427</w:t>
            </w:r>
          </w:p>
        </w:tc>
        <w:tc>
          <w:tcPr>
            <w:tcW w:w="1058" w:type="dxa"/>
            <w:tcBorders>
              <w:top w:val="single" w:sz="6" w:space="0" w:color="000000"/>
              <w:left w:val="single" w:sz="6" w:space="0" w:color="000000"/>
              <w:bottom w:val="single" w:sz="6" w:space="0" w:color="000000"/>
              <w:right w:val="single" w:sz="6" w:space="0" w:color="000000"/>
            </w:tcBorders>
            <w:hideMark/>
          </w:tcPr>
          <w:p>
            <w:pPr>
              <w:rPr>
                <w:noProof/>
              </w:rPr>
            </w:pPr>
            <w:r>
              <w:rPr>
                <w:noProof/>
              </w:rPr>
              <w:t>14,4</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TOUTES</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3,206</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0,00005</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0,00018</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val="restart"/>
            <w:tcBorders>
              <w:top w:val="single" w:sz="6" w:space="0" w:color="000000"/>
              <w:left w:val="single" w:sz="6" w:space="0" w:color="000000"/>
              <w:right w:val="single" w:sz="6" w:space="0" w:color="000000"/>
            </w:tcBorders>
            <w:hideMark/>
          </w:tcPr>
          <w:p>
            <w:pPr>
              <w:rPr>
                <w:noProof/>
              </w:rPr>
            </w:pPr>
            <w:r>
              <w:rPr>
                <w:noProof/>
              </w:rPr>
              <w:t>Carburants fossiles</w:t>
            </w:r>
          </w:p>
        </w:tc>
        <w:tc>
          <w:tcPr>
            <w:tcW w:w="201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GNL</w:t>
            </w:r>
          </w:p>
        </w:tc>
        <w:tc>
          <w:tcPr>
            <w:tcW w:w="98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0,0491</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18,5</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GNL à cycle Otto (moteur bicarburant à vitesse moyenne)</w:t>
            </w:r>
          </w:p>
        </w:tc>
        <w:tc>
          <w:tcPr>
            <w:tcW w:w="784"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2,750</w:t>
            </w:r>
          </w:p>
        </w:tc>
        <w:tc>
          <w:tcPr>
            <w:tcW w:w="784"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0,00011</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3,1</w:t>
            </w:r>
          </w:p>
        </w:tc>
      </w:tr>
      <w:tr>
        <w:trPr>
          <w:jc w:val="center"/>
        </w:trPr>
        <w:tc>
          <w:tcPr>
            <w:tcW w:w="1020" w:type="dxa"/>
            <w:vMerge/>
            <w:tcBorders>
              <w:left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GNL à cycle Otto (moteur bicarburant à vitesse lente)</w:t>
            </w: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1,7</w:t>
            </w:r>
          </w:p>
        </w:tc>
      </w:tr>
      <w:tr>
        <w:trPr>
          <w:jc w:val="center"/>
        </w:trPr>
        <w:tc>
          <w:tcPr>
            <w:tcW w:w="1020" w:type="dxa"/>
            <w:vMerge/>
            <w:tcBorders>
              <w:left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GNL à cycle diesel (moteur bicarburant à vitesse lente)</w:t>
            </w: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0,2</w:t>
            </w:r>
          </w:p>
        </w:tc>
      </w:tr>
      <w:tr>
        <w:trPr>
          <w:jc w:val="center"/>
        </w:trPr>
        <w:tc>
          <w:tcPr>
            <w:tcW w:w="1020" w:type="dxa"/>
            <w:vMerge/>
            <w:tcBorders>
              <w:left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 xml:space="preserve">Mélange pauvre à allumage </w:t>
            </w:r>
            <w:r>
              <w:rPr>
                <w:noProof/>
              </w:rPr>
              <w:lastRenderedPageBreak/>
              <w:t>par étincelle (LBSI)</w:t>
            </w: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2,6</w:t>
            </w:r>
          </w:p>
        </w:tc>
      </w:tr>
      <w:tr>
        <w:trPr>
          <w:jc w:val="center"/>
        </w:trPr>
        <w:tc>
          <w:tcPr>
            <w:tcW w:w="1020" w:type="dxa"/>
            <w:vMerge/>
            <w:tcBorders>
              <w:left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GPL</w:t>
            </w:r>
          </w:p>
        </w:tc>
        <w:tc>
          <w:tcPr>
            <w:tcW w:w="983"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0,046</w:t>
            </w:r>
          </w:p>
        </w:tc>
        <w:tc>
          <w:tcPr>
            <w:tcW w:w="1058" w:type="dxa"/>
            <w:tcBorders>
              <w:top w:val="single" w:sz="6" w:space="0" w:color="000000"/>
              <w:left w:val="single" w:sz="6" w:space="0" w:color="000000"/>
              <w:bottom w:val="single" w:sz="6" w:space="0" w:color="000000"/>
              <w:right w:val="single" w:sz="6" w:space="0" w:color="000000"/>
            </w:tcBorders>
            <w:hideMark/>
          </w:tcPr>
          <w:p>
            <w:pPr>
              <w:rPr>
                <w:noProof/>
              </w:rPr>
            </w:pPr>
            <w:r>
              <w:rPr>
                <w:noProof/>
              </w:rPr>
              <w:t>7,8</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TOUTES</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3,030 Butane</w:t>
            </w:r>
          </w:p>
          <w:p>
            <w:pPr>
              <w:rPr>
                <w:noProof/>
              </w:rPr>
            </w:pPr>
            <w:r>
              <w:rPr>
                <w:noProof/>
              </w:rPr>
              <w:t>3,000 Propane</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AM</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AM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r>
      <w:tr>
        <w:trPr>
          <w:jc w:val="center"/>
        </w:trPr>
        <w:tc>
          <w:tcPr>
            <w:tcW w:w="1020" w:type="dxa"/>
            <w:vMerge/>
            <w:tcBorders>
              <w:left w:val="single" w:sz="6" w:space="0" w:color="000000"/>
              <w:right w:val="single" w:sz="6" w:space="0" w:color="000000"/>
            </w:tcBorders>
            <w:vAlign w:val="center"/>
            <w:hideMark/>
          </w:tcPr>
          <w:p>
            <w:pPr>
              <w:rPr>
                <w:noProof/>
              </w:rPr>
            </w:pPr>
          </w:p>
        </w:tc>
        <w:tc>
          <w:tcPr>
            <w:tcW w:w="201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H</w:t>
            </w:r>
            <w:r>
              <w:rPr>
                <w:noProof/>
                <w:vertAlign w:val="subscript"/>
              </w:rPr>
              <w:t>2</w:t>
            </w:r>
          </w:p>
          <w:p>
            <w:pPr>
              <w:rPr>
                <w:noProof/>
              </w:rPr>
            </w:pPr>
            <w:r>
              <w:rPr>
                <w:noProof/>
              </w:rPr>
              <w:t>(gaz naturel)</w:t>
            </w:r>
          </w:p>
        </w:tc>
        <w:tc>
          <w:tcPr>
            <w:tcW w:w="98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0,12</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132</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Piles à combustible</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c>
          <w:tcPr>
            <w:tcW w:w="64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tcBorders>
              <w:left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MCI</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AM</w:t>
            </w:r>
          </w:p>
        </w:tc>
        <w:tc>
          <w:tcPr>
            <w:tcW w:w="64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r>
      <w:tr>
        <w:trPr>
          <w:jc w:val="center"/>
        </w:trPr>
        <w:tc>
          <w:tcPr>
            <w:tcW w:w="1020" w:type="dxa"/>
            <w:vMerge/>
            <w:tcBorders>
              <w:left w:val="single" w:sz="6" w:space="0" w:color="000000"/>
              <w:right w:val="single" w:sz="6" w:space="0" w:color="000000"/>
            </w:tcBorders>
            <w:vAlign w:val="center"/>
            <w:hideMark/>
          </w:tcPr>
          <w:p>
            <w:pPr>
              <w:rPr>
                <w:noProof/>
              </w:rPr>
            </w:pPr>
          </w:p>
        </w:tc>
        <w:tc>
          <w:tcPr>
            <w:tcW w:w="201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NH</w:t>
            </w:r>
            <w:r>
              <w:rPr>
                <w:noProof/>
                <w:vertAlign w:val="subscript"/>
              </w:rPr>
              <w:t>3</w:t>
            </w:r>
          </w:p>
          <w:p>
            <w:pPr>
              <w:rPr>
                <w:noProof/>
              </w:rPr>
            </w:pPr>
            <w:r>
              <w:rPr>
                <w:noProof/>
              </w:rPr>
              <w:t>(gaz naturel)</w:t>
            </w:r>
          </w:p>
        </w:tc>
        <w:tc>
          <w:tcPr>
            <w:tcW w:w="98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0,0186</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121</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Piles à combustible</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AM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r>
      <w:tr>
        <w:trPr>
          <w:jc w:val="center"/>
        </w:trPr>
        <w:tc>
          <w:tcPr>
            <w:tcW w:w="1020" w:type="dxa"/>
            <w:vMerge/>
            <w:tcBorders>
              <w:left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MCI</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AM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r>
      <w:tr>
        <w:trPr>
          <w:jc w:val="center"/>
        </w:trPr>
        <w:tc>
          <w:tcPr>
            <w:tcW w:w="1020" w:type="dxa"/>
            <w:vMerge/>
            <w:tcBorders>
              <w:left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Méthanol</w:t>
            </w:r>
          </w:p>
          <w:p>
            <w:pPr>
              <w:rPr>
                <w:noProof/>
              </w:rPr>
            </w:pPr>
            <w:r>
              <w:rPr>
                <w:noProof/>
              </w:rPr>
              <w:t>(gaz naturel)</w:t>
            </w:r>
          </w:p>
        </w:tc>
        <w:tc>
          <w:tcPr>
            <w:tcW w:w="983"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0,0199</w:t>
            </w:r>
          </w:p>
        </w:tc>
        <w:tc>
          <w:tcPr>
            <w:tcW w:w="1058" w:type="dxa"/>
            <w:tcBorders>
              <w:top w:val="single" w:sz="6" w:space="0" w:color="000000"/>
              <w:left w:val="single" w:sz="6" w:space="0" w:color="000000"/>
              <w:bottom w:val="single" w:sz="6" w:space="0" w:color="000000"/>
              <w:right w:val="single" w:sz="6" w:space="0" w:color="000000"/>
            </w:tcBorders>
            <w:hideMark/>
          </w:tcPr>
          <w:p>
            <w:pPr>
              <w:rPr>
                <w:noProof/>
              </w:rPr>
            </w:pPr>
            <w:r>
              <w:rPr>
                <w:noProof/>
              </w:rPr>
              <w:t>31,3</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TOUS LES MCI</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1,375</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AM</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AM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tcBorders>
              <w:left w:val="single" w:sz="6" w:space="0" w:color="000000"/>
              <w:bottom w:val="single" w:sz="6" w:space="0" w:color="000000"/>
              <w:right w:val="single" w:sz="6" w:space="0" w:color="000000"/>
            </w:tcBorders>
            <w:vAlign w:val="center"/>
          </w:tcPr>
          <w:p>
            <w:pPr>
              <w:rPr>
                <w:noProof/>
              </w:rPr>
            </w:pPr>
          </w:p>
        </w:tc>
        <w:tc>
          <w:tcPr>
            <w:tcW w:w="2013" w:type="dxa"/>
            <w:tcBorders>
              <w:top w:val="single" w:sz="6" w:space="0" w:color="000000"/>
              <w:left w:val="single" w:sz="6" w:space="0" w:color="000000"/>
              <w:bottom w:val="single" w:sz="6" w:space="0" w:color="000000"/>
              <w:right w:val="single" w:sz="6" w:space="0" w:color="000000"/>
            </w:tcBorders>
          </w:tcPr>
          <w:p>
            <w:pPr>
              <w:rPr>
                <w:noProof/>
              </w:rPr>
            </w:pPr>
            <w:r>
              <w:rPr>
                <w:noProof/>
              </w:rPr>
              <w:t>Éthane</w:t>
            </w:r>
          </w:p>
        </w:tc>
        <w:tc>
          <w:tcPr>
            <w:tcW w:w="983" w:type="dxa"/>
            <w:tcBorders>
              <w:top w:val="single" w:sz="6" w:space="0" w:color="000000"/>
              <w:left w:val="single" w:sz="6" w:space="0" w:color="000000"/>
              <w:bottom w:val="single" w:sz="6" w:space="0" w:color="000000"/>
              <w:right w:val="single" w:sz="6" w:space="0" w:color="000000"/>
            </w:tcBorders>
          </w:tcPr>
          <w:p>
            <w:pPr>
              <w:rPr>
                <w:noProof/>
              </w:rPr>
            </w:pPr>
            <w:r>
              <w:rPr>
                <w:noProof/>
              </w:rPr>
              <w:t>0,0471</w:t>
            </w:r>
          </w:p>
        </w:tc>
        <w:tc>
          <w:tcPr>
            <w:tcW w:w="1058" w:type="dxa"/>
            <w:tcBorders>
              <w:top w:val="single" w:sz="6" w:space="0" w:color="000000"/>
              <w:left w:val="single" w:sz="6" w:space="0" w:color="000000"/>
              <w:bottom w:val="single" w:sz="6" w:space="0" w:color="000000"/>
              <w:right w:val="single" w:sz="6" w:space="0" w:color="000000"/>
            </w:tcBorders>
          </w:tcPr>
          <w:p>
            <w:pPr>
              <w:rPr>
                <w:noProof/>
              </w:rPr>
            </w:pPr>
            <w:r>
              <w:rPr>
                <w:noProof/>
              </w:rPr>
              <w:t>18,5</w:t>
            </w:r>
          </w:p>
        </w:tc>
        <w:tc>
          <w:tcPr>
            <w:tcW w:w="1020" w:type="dxa"/>
            <w:tcBorders>
              <w:top w:val="single" w:sz="6" w:space="0" w:color="000000"/>
              <w:left w:val="single" w:sz="6" w:space="0" w:color="000000"/>
              <w:bottom w:val="single" w:sz="6" w:space="0" w:color="000000"/>
              <w:right w:val="single" w:sz="6" w:space="0" w:color="000000"/>
            </w:tcBorders>
          </w:tcPr>
          <w:p>
            <w:pPr>
              <w:rPr>
                <w:noProof/>
              </w:rPr>
            </w:pPr>
            <w:r>
              <w:rPr>
                <w:noProof/>
              </w:rPr>
              <w:t>TOUTES</w:t>
            </w:r>
          </w:p>
        </w:tc>
        <w:tc>
          <w:tcPr>
            <w:tcW w:w="784" w:type="dxa"/>
            <w:tcBorders>
              <w:top w:val="single" w:sz="6" w:space="0" w:color="000000"/>
              <w:left w:val="single" w:sz="6" w:space="0" w:color="000000"/>
              <w:bottom w:val="single" w:sz="6" w:space="0" w:color="000000"/>
              <w:right w:val="single" w:sz="6" w:space="0" w:color="000000"/>
            </w:tcBorders>
          </w:tcPr>
          <w:p>
            <w:pPr>
              <w:rPr>
                <w:noProof/>
              </w:rPr>
            </w:pPr>
            <w:r>
              <w:rPr>
                <w:noProof/>
              </w:rPr>
              <w:t>2,927</w:t>
            </w:r>
          </w:p>
        </w:tc>
        <w:tc>
          <w:tcPr>
            <w:tcW w:w="784" w:type="dxa"/>
            <w:tcBorders>
              <w:top w:val="single" w:sz="6" w:space="0" w:color="000000"/>
              <w:left w:val="single" w:sz="6" w:space="0" w:color="000000"/>
              <w:bottom w:val="single" w:sz="6" w:space="0" w:color="000000"/>
              <w:right w:val="single" w:sz="6" w:space="0" w:color="000000"/>
            </w:tcBorders>
          </w:tcPr>
          <w:p>
            <w:pPr>
              <w:rPr>
                <w:noProof/>
              </w:rPr>
            </w:pPr>
            <w:r>
              <w:rPr>
                <w:noProof/>
              </w:rPr>
              <w:t>AM</w:t>
            </w:r>
          </w:p>
        </w:tc>
        <w:tc>
          <w:tcPr>
            <w:tcW w:w="784" w:type="dxa"/>
            <w:tcBorders>
              <w:top w:val="single" w:sz="6" w:space="0" w:color="000000"/>
              <w:left w:val="single" w:sz="6" w:space="0" w:color="000000"/>
              <w:bottom w:val="single" w:sz="6" w:space="0" w:color="000000"/>
              <w:right w:val="single" w:sz="6" w:space="0" w:color="000000"/>
            </w:tcBorders>
          </w:tcPr>
          <w:p>
            <w:pPr>
              <w:rPr>
                <w:noProof/>
              </w:rPr>
            </w:pPr>
            <w:r>
              <w:rPr>
                <w:noProof/>
              </w:rPr>
              <w:t>AM</w:t>
            </w:r>
          </w:p>
        </w:tc>
        <w:tc>
          <w:tcPr>
            <w:tcW w:w="643" w:type="dxa"/>
            <w:tcBorders>
              <w:top w:val="single" w:sz="6" w:space="0" w:color="000000"/>
              <w:left w:val="single" w:sz="6" w:space="0" w:color="000000"/>
              <w:bottom w:val="single" w:sz="6" w:space="0" w:color="000000"/>
              <w:right w:val="single" w:sz="6" w:space="0" w:color="000000"/>
            </w:tcBorders>
          </w:tcPr>
          <w:p>
            <w:pPr>
              <w:rPr>
                <w:noProof/>
              </w:rPr>
            </w:pPr>
            <w:r>
              <w:rPr>
                <w:noProof/>
              </w:rPr>
              <w:t>N/D</w:t>
            </w:r>
          </w:p>
        </w:tc>
      </w:tr>
      <w:tr>
        <w:trPr>
          <w:jc w:val="center"/>
        </w:trPr>
        <w:tc>
          <w:tcPr>
            <w:tcW w:w="1020"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Biocarburants</w:t>
            </w: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Éthanol Filières de production de la directive (UE) 2018/2001</w:t>
            </w:r>
          </w:p>
        </w:tc>
        <w:tc>
          <w:tcPr>
            <w:tcW w:w="98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Valeur indiquée à l’annexe III de la directive (UE) 2018/2001</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pPr>
              <w:rPr>
                <w:noProof/>
              </w:rPr>
            </w:pPr>
            <m:oMathPara>
              <m:oMath>
                <m:r>
                  <w:rPr>
                    <w:rFonts w:ascii="Cambria Math" w:hAnsi="Cambria Math"/>
                    <w:noProof/>
                  </w:rPr>
                  <m:t>E-</m:t>
                </m:r>
                <m:f>
                  <m:fPr>
                    <m:ctrlPr>
                      <w:rPr>
                        <w:rFonts w:ascii="Cambria Math" w:hAnsi="Cambria Math"/>
                        <w:i/>
                        <w:noProof/>
                      </w:rPr>
                    </m:ctrlPr>
                  </m:fPr>
                  <m:num>
                    <m:sSub>
                      <m:sSubPr>
                        <m:ctrlPr>
                          <w:rPr>
                            <w:rFonts w:ascii="Cambria Math" w:hAnsi="Cambria Math"/>
                            <w:i/>
                            <w:noProof/>
                          </w:rPr>
                        </m:ctrlPr>
                      </m:sSubPr>
                      <m:e>
                        <m:r>
                          <w:rPr>
                            <w:rFonts w:ascii="Cambria Math" w:hAnsi="Cambria Math"/>
                            <w:noProof/>
                          </w:rPr>
                          <m:t>C</m:t>
                        </m:r>
                      </m:e>
                      <m:sub>
                        <m:r>
                          <w:rPr>
                            <w:rFonts w:ascii="Cambria Math" w:hAnsi="Cambria Math"/>
                            <w:noProof/>
                          </w:rPr>
                          <m:t>f</m:t>
                        </m:r>
                        <m:sSub>
                          <m:sSubPr>
                            <m:ctrlPr>
                              <w:rPr>
                                <w:rFonts w:ascii="Cambria Math" w:hAnsi="Cambria Math"/>
                                <w:i/>
                                <w:noProof/>
                              </w:rPr>
                            </m:ctrlPr>
                          </m:sSubPr>
                          <m:e>
                            <m:r>
                              <w:rPr>
                                <w:rFonts w:ascii="Cambria Math" w:hAnsi="Cambria Math"/>
                                <w:noProof/>
                              </w:rPr>
                              <m:t>CO</m:t>
                            </m:r>
                          </m:e>
                          <m:sub>
                            <m:r>
                              <w:rPr>
                                <w:rFonts w:ascii="Cambria Math" w:hAnsi="Cambria Math"/>
                                <w:noProof/>
                              </w:rPr>
                              <m:t>2</m:t>
                            </m:r>
                          </m:sub>
                        </m:sSub>
                      </m:sub>
                    </m:sSub>
                  </m:num>
                  <m:den>
                    <m:r>
                      <w:rPr>
                        <w:rFonts w:ascii="Cambria Math" w:hAnsi="Cambria Math"/>
                        <w:noProof/>
                      </w:rPr>
                      <m:t>LCV</m:t>
                    </m:r>
                  </m:den>
                </m:f>
              </m:oMath>
            </m:oMathPara>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TOUTES</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1,913</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AM</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AM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Biodiesel</w:t>
            </w:r>
          </w:p>
          <w:p>
            <w:pPr>
              <w:rPr>
                <w:noProof/>
              </w:rPr>
            </w:pPr>
            <w:r>
              <w:rPr>
                <w:noProof/>
              </w:rPr>
              <w:t>Filières de production de la directive (UE) 2018/2001</w:t>
            </w: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TOUTES</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2,834</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AM</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AM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Huile végétale hydrotraitée (HVO)</w:t>
            </w:r>
          </w:p>
          <w:p>
            <w:pPr>
              <w:rPr>
                <w:noProof/>
              </w:rPr>
            </w:pPr>
            <w:r>
              <w:rPr>
                <w:noProof/>
              </w:rPr>
              <w:t>Filières de production de la directive (UE) 2018/2001</w:t>
            </w: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TOUTES</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3,115</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0,00005</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0,00018</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Biométhanol Filières de production de la directive (UE) 2018/2001</w:t>
            </w: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TOUTES</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1,375</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AM</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AM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4" w:space="0" w:color="auto"/>
              <w:right w:val="single" w:sz="6" w:space="0" w:color="000000"/>
            </w:tcBorders>
            <w:hideMark/>
          </w:tcPr>
          <w:p>
            <w:pPr>
              <w:rPr>
                <w:noProof/>
              </w:rPr>
            </w:pPr>
            <w:r>
              <w:rPr>
                <w:noProof/>
              </w:rPr>
              <w:t>Autres filières de production de la directive (UE) 2018/2001</w:t>
            </w:r>
          </w:p>
        </w:tc>
        <w:tc>
          <w:tcPr>
            <w:tcW w:w="983" w:type="dxa"/>
            <w:vMerge/>
            <w:tcBorders>
              <w:top w:val="single" w:sz="6" w:space="0" w:color="000000"/>
              <w:left w:val="single" w:sz="6" w:space="0" w:color="000000"/>
              <w:bottom w:val="single" w:sz="4" w:space="0" w:color="auto"/>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4" w:space="0" w:color="auto"/>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TOUTES</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3,115</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0,00005</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0,00018</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trHeight w:val="842"/>
          <w:jc w:val="center"/>
        </w:trPr>
        <w:tc>
          <w:tcPr>
            <w:tcW w:w="1020" w:type="dxa"/>
            <w:vMerge/>
            <w:tcBorders>
              <w:top w:val="single" w:sz="6" w:space="0" w:color="000000"/>
              <w:left w:val="single" w:sz="6" w:space="0" w:color="000000"/>
              <w:right w:val="single" w:sz="4" w:space="0" w:color="auto"/>
            </w:tcBorders>
          </w:tcPr>
          <w:p>
            <w:pPr>
              <w:rPr>
                <w:noProof/>
              </w:rPr>
            </w:pPr>
          </w:p>
        </w:tc>
        <w:tc>
          <w:tcPr>
            <w:tcW w:w="2013" w:type="dxa"/>
            <w:vMerge w:val="restart"/>
            <w:tcBorders>
              <w:top w:val="single" w:sz="4" w:space="0" w:color="auto"/>
              <w:left w:val="single" w:sz="4" w:space="0" w:color="auto"/>
              <w:right w:val="single" w:sz="4" w:space="0" w:color="auto"/>
            </w:tcBorders>
          </w:tcPr>
          <w:p>
            <w:pPr>
              <w:rPr>
                <w:noProof/>
              </w:rPr>
            </w:pPr>
            <w:r>
              <w:rPr>
                <w:noProof/>
              </w:rPr>
              <w:t>Biométhane liquéfié utilisé comme carburant pour les transports</w:t>
            </w:r>
          </w:p>
          <w:p>
            <w:pPr>
              <w:rPr>
                <w:noProof/>
              </w:rPr>
            </w:pPr>
            <w:r>
              <w:rPr>
                <w:noProof/>
              </w:rPr>
              <w:t>(Bio-GNL)</w:t>
            </w:r>
          </w:p>
          <w:p>
            <w:pPr>
              <w:rPr>
                <w:noProof/>
              </w:rPr>
            </w:pPr>
            <w:r>
              <w:rPr>
                <w:noProof/>
              </w:rPr>
              <w:t>Filières de production de la directive (UE) 2018/2001</w:t>
            </w:r>
          </w:p>
        </w:tc>
        <w:tc>
          <w:tcPr>
            <w:tcW w:w="983" w:type="dxa"/>
            <w:vMerge/>
            <w:tcBorders>
              <w:top w:val="single" w:sz="4" w:space="0" w:color="auto"/>
              <w:left w:val="single" w:sz="4" w:space="0" w:color="auto"/>
              <w:right w:val="single" w:sz="4" w:space="0" w:color="auto"/>
            </w:tcBorders>
          </w:tcPr>
          <w:p>
            <w:pPr>
              <w:rPr>
                <w:noProof/>
              </w:rPr>
            </w:pPr>
          </w:p>
        </w:tc>
        <w:tc>
          <w:tcPr>
            <w:tcW w:w="1058" w:type="dxa"/>
            <w:tcBorders>
              <w:top w:val="single" w:sz="4" w:space="0" w:color="auto"/>
              <w:left w:val="single" w:sz="4" w:space="0" w:color="auto"/>
              <w:right w:val="single" w:sz="4" w:space="0" w:color="auto"/>
            </w:tcBorders>
          </w:tcPr>
          <w:p>
            <w:pPr>
              <w:rPr>
                <w:noProof/>
              </w:rPr>
            </w:pPr>
            <m:oMathPara>
              <m:oMath>
                <m:r>
                  <w:rPr>
                    <w:rFonts w:ascii="Cambria Math" w:hAnsi="Cambria Math"/>
                    <w:noProof/>
                  </w:rPr>
                  <m:t>E-</m:t>
                </m:r>
                <m:f>
                  <m:fPr>
                    <m:ctrlPr>
                      <w:rPr>
                        <w:rFonts w:ascii="Cambria Math" w:hAnsi="Cambria Math"/>
                        <w:i/>
                        <w:noProof/>
                      </w:rPr>
                    </m:ctrlPr>
                  </m:fPr>
                  <m:num>
                    <m:sSub>
                      <m:sSubPr>
                        <m:ctrlPr>
                          <w:rPr>
                            <w:rFonts w:ascii="Cambria Math" w:hAnsi="Cambria Math"/>
                            <w:i/>
                            <w:noProof/>
                          </w:rPr>
                        </m:ctrlPr>
                      </m:sSubPr>
                      <m:e>
                        <m:r>
                          <w:rPr>
                            <w:rFonts w:ascii="Cambria Math" w:hAnsi="Cambria Math"/>
                            <w:noProof/>
                          </w:rPr>
                          <m:t>C</m:t>
                        </m:r>
                      </m:e>
                      <m:sub>
                        <m:r>
                          <w:rPr>
                            <w:rFonts w:ascii="Cambria Math" w:hAnsi="Cambria Math"/>
                            <w:noProof/>
                          </w:rPr>
                          <m:t>f</m:t>
                        </m:r>
                        <m:sSub>
                          <m:sSubPr>
                            <m:ctrlPr>
                              <w:rPr>
                                <w:rFonts w:ascii="Cambria Math" w:hAnsi="Cambria Math"/>
                                <w:i/>
                                <w:noProof/>
                              </w:rPr>
                            </m:ctrlPr>
                          </m:sSubPr>
                          <m:e>
                            <m:r>
                              <w:rPr>
                                <w:rFonts w:ascii="Cambria Math" w:hAnsi="Cambria Math"/>
                                <w:noProof/>
                              </w:rPr>
                              <m:t>CO</m:t>
                            </m:r>
                          </m:e>
                          <m:sub>
                            <m:r>
                              <w:rPr>
                                <w:rFonts w:ascii="Cambria Math" w:hAnsi="Cambria Math"/>
                                <w:noProof/>
                              </w:rPr>
                              <m:t>2</m:t>
                            </m:r>
                          </m:sub>
                        </m:sSub>
                      </m:sub>
                    </m:sSub>
                  </m:num>
                  <m:den>
                    <m:r>
                      <w:rPr>
                        <w:rFonts w:ascii="Cambria Math" w:hAnsi="Cambria Math"/>
                        <w:noProof/>
                      </w:rPr>
                      <m:t>LCV</m:t>
                    </m:r>
                  </m:den>
                </m:f>
              </m:oMath>
            </m:oMathPara>
          </w:p>
        </w:tc>
        <w:tc>
          <w:tcPr>
            <w:tcW w:w="1020" w:type="dxa"/>
            <w:tcBorders>
              <w:top w:val="single" w:sz="6" w:space="0" w:color="000000"/>
              <w:left w:val="single" w:sz="6" w:space="0" w:color="000000"/>
              <w:bottom w:val="single" w:sz="6" w:space="0" w:color="000000"/>
              <w:right w:val="single" w:sz="6" w:space="0" w:color="000000"/>
            </w:tcBorders>
          </w:tcPr>
          <w:p>
            <w:pPr>
              <w:rPr>
                <w:noProof/>
              </w:rPr>
            </w:pPr>
            <w:r>
              <w:rPr>
                <w:noProof/>
              </w:rPr>
              <w:t>GNL à cycle Otto (moteur bicarburant à vitesse moyenne)</w:t>
            </w:r>
          </w:p>
        </w:tc>
        <w:tc>
          <w:tcPr>
            <w:tcW w:w="784" w:type="dxa"/>
            <w:vMerge w:val="restart"/>
            <w:tcBorders>
              <w:top w:val="single" w:sz="6" w:space="0" w:color="000000"/>
              <w:left w:val="single" w:sz="6" w:space="0" w:color="000000"/>
              <w:right w:val="single" w:sz="6" w:space="0" w:color="000000"/>
            </w:tcBorders>
          </w:tcPr>
          <w:p>
            <w:pPr>
              <w:rPr>
                <w:noProof/>
              </w:rPr>
            </w:pPr>
            <w:r>
              <w:rPr>
                <w:noProof/>
              </w:rPr>
              <w:t>2,750</w:t>
            </w:r>
          </w:p>
        </w:tc>
        <w:tc>
          <w:tcPr>
            <w:tcW w:w="784" w:type="dxa"/>
            <w:vMerge w:val="restart"/>
            <w:tcBorders>
              <w:top w:val="single" w:sz="6" w:space="0" w:color="000000"/>
              <w:left w:val="single" w:sz="6" w:space="0" w:color="000000"/>
              <w:right w:val="single" w:sz="6" w:space="0" w:color="000000"/>
            </w:tcBorders>
          </w:tcPr>
          <w:p>
            <w:pPr>
              <w:rPr>
                <w:noProof/>
              </w:rPr>
            </w:pPr>
            <w:r>
              <w:rPr>
                <w:noProof/>
              </w:rPr>
              <w:t>0</w:t>
            </w:r>
          </w:p>
        </w:tc>
        <w:tc>
          <w:tcPr>
            <w:tcW w:w="784" w:type="dxa"/>
            <w:vMerge w:val="restart"/>
            <w:tcBorders>
              <w:top w:val="single" w:sz="6" w:space="0" w:color="000000"/>
              <w:left w:val="single" w:sz="6" w:space="0" w:color="000000"/>
              <w:right w:val="single" w:sz="4" w:space="0" w:color="auto"/>
            </w:tcBorders>
          </w:tcPr>
          <w:p>
            <w:pPr>
              <w:rPr>
                <w:noProof/>
              </w:rPr>
            </w:pPr>
            <w:r>
              <w:rPr>
                <w:noProof/>
              </w:rPr>
              <w:t>0,00011</w:t>
            </w:r>
          </w:p>
        </w:tc>
        <w:tc>
          <w:tcPr>
            <w:tcW w:w="643" w:type="dxa"/>
            <w:tcBorders>
              <w:top w:val="single" w:sz="4" w:space="0" w:color="auto"/>
              <w:left w:val="single" w:sz="4" w:space="0" w:color="auto"/>
              <w:bottom w:val="single" w:sz="4" w:space="0" w:color="auto"/>
              <w:right w:val="single" w:sz="4" w:space="0" w:color="auto"/>
            </w:tcBorders>
          </w:tcPr>
          <w:p>
            <w:pPr>
              <w:rPr>
                <w:noProof/>
              </w:rPr>
            </w:pPr>
            <w:r>
              <w:rPr>
                <w:noProof/>
              </w:rPr>
              <w:t>3,1</w:t>
            </w:r>
          </w:p>
        </w:tc>
      </w:tr>
      <w:tr>
        <w:trPr>
          <w:trHeight w:val="842"/>
          <w:jc w:val="center"/>
        </w:trPr>
        <w:tc>
          <w:tcPr>
            <w:tcW w:w="1020" w:type="dxa"/>
            <w:vMerge/>
            <w:tcBorders>
              <w:left w:val="single" w:sz="6" w:space="0" w:color="000000"/>
              <w:right w:val="single" w:sz="4" w:space="0" w:color="auto"/>
            </w:tcBorders>
          </w:tcPr>
          <w:p>
            <w:pPr>
              <w:rPr>
                <w:noProof/>
              </w:rPr>
            </w:pPr>
          </w:p>
        </w:tc>
        <w:tc>
          <w:tcPr>
            <w:tcW w:w="2013" w:type="dxa"/>
            <w:vMerge/>
            <w:tcBorders>
              <w:left w:val="single" w:sz="4" w:space="0" w:color="auto"/>
              <w:right w:val="single" w:sz="4" w:space="0" w:color="auto"/>
            </w:tcBorders>
          </w:tcPr>
          <w:p>
            <w:pPr>
              <w:rPr>
                <w:noProof/>
              </w:rPr>
            </w:pPr>
          </w:p>
        </w:tc>
        <w:tc>
          <w:tcPr>
            <w:tcW w:w="983" w:type="dxa"/>
            <w:vMerge/>
            <w:tcBorders>
              <w:left w:val="single" w:sz="4" w:space="0" w:color="auto"/>
              <w:right w:val="single" w:sz="4" w:space="0" w:color="auto"/>
            </w:tcBorders>
          </w:tcPr>
          <w:p>
            <w:pPr>
              <w:rPr>
                <w:noProof/>
              </w:rPr>
            </w:pPr>
          </w:p>
        </w:tc>
        <w:tc>
          <w:tcPr>
            <w:tcW w:w="1058" w:type="dxa"/>
            <w:tcBorders>
              <w:left w:val="single" w:sz="4" w:space="0" w:color="auto"/>
              <w:right w:val="single" w:sz="4" w:space="0" w:color="auto"/>
            </w:tcBorders>
          </w:tcPr>
          <w:p>
            <w:pPr>
              <w:rPr>
                <w:rFonts w:eastAsia="Calibri"/>
                <w:noProof/>
              </w:rPr>
            </w:pPr>
          </w:p>
        </w:tc>
        <w:tc>
          <w:tcPr>
            <w:tcW w:w="1020" w:type="dxa"/>
            <w:tcBorders>
              <w:top w:val="single" w:sz="6" w:space="0" w:color="000000"/>
              <w:left w:val="single" w:sz="6" w:space="0" w:color="000000"/>
              <w:bottom w:val="single" w:sz="6" w:space="0" w:color="000000"/>
              <w:right w:val="single" w:sz="6" w:space="0" w:color="000000"/>
            </w:tcBorders>
          </w:tcPr>
          <w:p>
            <w:pPr>
              <w:rPr>
                <w:noProof/>
              </w:rPr>
            </w:pPr>
            <w:r>
              <w:rPr>
                <w:noProof/>
              </w:rPr>
              <w:t>GNL à cycle Otto (moteur bicarburant à vitesse lente)</w:t>
            </w:r>
          </w:p>
        </w:tc>
        <w:tc>
          <w:tcPr>
            <w:tcW w:w="784" w:type="dxa"/>
            <w:vMerge/>
            <w:tcBorders>
              <w:left w:val="single" w:sz="6" w:space="0" w:color="000000"/>
              <w:right w:val="single" w:sz="6" w:space="0" w:color="000000"/>
            </w:tcBorders>
          </w:tcPr>
          <w:p>
            <w:pPr>
              <w:rPr>
                <w:noProof/>
              </w:rPr>
            </w:pPr>
          </w:p>
        </w:tc>
        <w:tc>
          <w:tcPr>
            <w:tcW w:w="784" w:type="dxa"/>
            <w:vMerge/>
            <w:tcBorders>
              <w:left w:val="single" w:sz="6" w:space="0" w:color="000000"/>
              <w:right w:val="single" w:sz="6" w:space="0" w:color="000000"/>
            </w:tcBorders>
          </w:tcPr>
          <w:p>
            <w:pPr>
              <w:rPr>
                <w:noProof/>
              </w:rPr>
            </w:pPr>
          </w:p>
        </w:tc>
        <w:tc>
          <w:tcPr>
            <w:tcW w:w="784" w:type="dxa"/>
            <w:vMerge/>
            <w:tcBorders>
              <w:left w:val="single" w:sz="6" w:space="0" w:color="000000"/>
              <w:right w:val="single" w:sz="4" w:space="0" w:color="auto"/>
            </w:tcBorders>
          </w:tcPr>
          <w:p>
            <w:pPr>
              <w:rPr>
                <w:noProof/>
              </w:rPr>
            </w:pPr>
          </w:p>
        </w:tc>
        <w:tc>
          <w:tcPr>
            <w:tcW w:w="643" w:type="dxa"/>
            <w:tcBorders>
              <w:top w:val="single" w:sz="4" w:space="0" w:color="auto"/>
              <w:left w:val="single" w:sz="4" w:space="0" w:color="auto"/>
              <w:bottom w:val="single" w:sz="4" w:space="0" w:color="auto"/>
              <w:right w:val="single" w:sz="4" w:space="0" w:color="auto"/>
            </w:tcBorders>
          </w:tcPr>
          <w:p>
            <w:pPr>
              <w:rPr>
                <w:noProof/>
              </w:rPr>
            </w:pPr>
            <w:r>
              <w:rPr>
                <w:noProof/>
              </w:rPr>
              <w:t>1,7</w:t>
            </w:r>
          </w:p>
        </w:tc>
      </w:tr>
      <w:tr>
        <w:trPr>
          <w:trHeight w:val="842"/>
          <w:jc w:val="center"/>
        </w:trPr>
        <w:tc>
          <w:tcPr>
            <w:tcW w:w="1020" w:type="dxa"/>
            <w:vMerge/>
            <w:tcBorders>
              <w:left w:val="single" w:sz="6" w:space="0" w:color="000000"/>
              <w:right w:val="single" w:sz="4" w:space="0" w:color="auto"/>
            </w:tcBorders>
          </w:tcPr>
          <w:p>
            <w:pPr>
              <w:rPr>
                <w:noProof/>
              </w:rPr>
            </w:pPr>
          </w:p>
        </w:tc>
        <w:tc>
          <w:tcPr>
            <w:tcW w:w="2013" w:type="dxa"/>
            <w:vMerge/>
            <w:tcBorders>
              <w:left w:val="single" w:sz="4" w:space="0" w:color="auto"/>
              <w:right w:val="single" w:sz="4" w:space="0" w:color="auto"/>
            </w:tcBorders>
          </w:tcPr>
          <w:p>
            <w:pPr>
              <w:rPr>
                <w:noProof/>
              </w:rPr>
            </w:pPr>
          </w:p>
        </w:tc>
        <w:tc>
          <w:tcPr>
            <w:tcW w:w="983" w:type="dxa"/>
            <w:vMerge/>
            <w:tcBorders>
              <w:left w:val="single" w:sz="4" w:space="0" w:color="auto"/>
              <w:right w:val="single" w:sz="4" w:space="0" w:color="auto"/>
            </w:tcBorders>
          </w:tcPr>
          <w:p>
            <w:pPr>
              <w:rPr>
                <w:noProof/>
              </w:rPr>
            </w:pPr>
          </w:p>
        </w:tc>
        <w:tc>
          <w:tcPr>
            <w:tcW w:w="1058" w:type="dxa"/>
            <w:tcBorders>
              <w:left w:val="single" w:sz="4" w:space="0" w:color="auto"/>
              <w:right w:val="single" w:sz="4" w:space="0" w:color="auto"/>
            </w:tcBorders>
          </w:tcPr>
          <w:p>
            <w:pPr>
              <w:rPr>
                <w:rFonts w:eastAsia="Calibri"/>
                <w:noProof/>
              </w:rPr>
            </w:pPr>
          </w:p>
        </w:tc>
        <w:tc>
          <w:tcPr>
            <w:tcW w:w="1020" w:type="dxa"/>
            <w:tcBorders>
              <w:top w:val="single" w:sz="6" w:space="0" w:color="000000"/>
              <w:left w:val="single" w:sz="6" w:space="0" w:color="000000"/>
              <w:bottom w:val="single" w:sz="6" w:space="0" w:color="000000"/>
              <w:right w:val="single" w:sz="6" w:space="0" w:color="000000"/>
            </w:tcBorders>
          </w:tcPr>
          <w:p>
            <w:pPr>
              <w:rPr>
                <w:noProof/>
              </w:rPr>
            </w:pPr>
            <w:r>
              <w:rPr>
                <w:noProof/>
              </w:rPr>
              <w:t>GNL à cycle diesel (moteur bicarburant)</w:t>
            </w:r>
          </w:p>
        </w:tc>
        <w:tc>
          <w:tcPr>
            <w:tcW w:w="784" w:type="dxa"/>
            <w:vMerge/>
            <w:tcBorders>
              <w:left w:val="single" w:sz="6" w:space="0" w:color="000000"/>
              <w:right w:val="single" w:sz="6" w:space="0" w:color="000000"/>
            </w:tcBorders>
          </w:tcPr>
          <w:p>
            <w:pPr>
              <w:rPr>
                <w:noProof/>
              </w:rPr>
            </w:pPr>
          </w:p>
        </w:tc>
        <w:tc>
          <w:tcPr>
            <w:tcW w:w="784" w:type="dxa"/>
            <w:vMerge/>
            <w:tcBorders>
              <w:left w:val="single" w:sz="6" w:space="0" w:color="000000"/>
              <w:right w:val="single" w:sz="6" w:space="0" w:color="000000"/>
            </w:tcBorders>
          </w:tcPr>
          <w:p>
            <w:pPr>
              <w:rPr>
                <w:noProof/>
              </w:rPr>
            </w:pPr>
          </w:p>
        </w:tc>
        <w:tc>
          <w:tcPr>
            <w:tcW w:w="784" w:type="dxa"/>
            <w:vMerge/>
            <w:tcBorders>
              <w:left w:val="single" w:sz="6" w:space="0" w:color="000000"/>
              <w:right w:val="single" w:sz="4" w:space="0" w:color="auto"/>
            </w:tcBorders>
          </w:tcPr>
          <w:p>
            <w:pPr>
              <w:rPr>
                <w:noProof/>
              </w:rPr>
            </w:pPr>
          </w:p>
        </w:tc>
        <w:tc>
          <w:tcPr>
            <w:tcW w:w="643" w:type="dxa"/>
            <w:tcBorders>
              <w:top w:val="single" w:sz="4" w:space="0" w:color="auto"/>
              <w:left w:val="single" w:sz="4" w:space="0" w:color="auto"/>
              <w:bottom w:val="single" w:sz="4" w:space="0" w:color="auto"/>
              <w:right w:val="single" w:sz="4" w:space="0" w:color="auto"/>
            </w:tcBorders>
          </w:tcPr>
          <w:p>
            <w:pPr>
              <w:rPr>
                <w:noProof/>
              </w:rPr>
            </w:pPr>
            <w:r>
              <w:rPr>
                <w:noProof/>
              </w:rPr>
              <w:t>0,2</w:t>
            </w:r>
          </w:p>
        </w:tc>
      </w:tr>
      <w:tr>
        <w:trPr>
          <w:trHeight w:val="842"/>
          <w:jc w:val="center"/>
        </w:trPr>
        <w:tc>
          <w:tcPr>
            <w:tcW w:w="1020" w:type="dxa"/>
            <w:vMerge/>
            <w:tcBorders>
              <w:left w:val="single" w:sz="6" w:space="0" w:color="000000"/>
              <w:right w:val="single" w:sz="4" w:space="0" w:color="auto"/>
            </w:tcBorders>
          </w:tcPr>
          <w:p>
            <w:pPr>
              <w:rPr>
                <w:noProof/>
              </w:rPr>
            </w:pPr>
          </w:p>
        </w:tc>
        <w:tc>
          <w:tcPr>
            <w:tcW w:w="2013" w:type="dxa"/>
            <w:vMerge/>
            <w:tcBorders>
              <w:left w:val="single" w:sz="4" w:space="0" w:color="auto"/>
              <w:bottom w:val="single" w:sz="4" w:space="0" w:color="auto"/>
              <w:right w:val="single" w:sz="4" w:space="0" w:color="auto"/>
            </w:tcBorders>
          </w:tcPr>
          <w:p>
            <w:pPr>
              <w:rPr>
                <w:noProof/>
              </w:rPr>
            </w:pPr>
          </w:p>
        </w:tc>
        <w:tc>
          <w:tcPr>
            <w:tcW w:w="983" w:type="dxa"/>
            <w:vMerge/>
            <w:tcBorders>
              <w:left w:val="single" w:sz="4" w:space="0" w:color="auto"/>
              <w:bottom w:val="single" w:sz="4" w:space="0" w:color="auto"/>
              <w:right w:val="single" w:sz="4" w:space="0" w:color="auto"/>
            </w:tcBorders>
          </w:tcPr>
          <w:p>
            <w:pPr>
              <w:rPr>
                <w:noProof/>
              </w:rPr>
            </w:pPr>
          </w:p>
        </w:tc>
        <w:tc>
          <w:tcPr>
            <w:tcW w:w="1058" w:type="dxa"/>
            <w:tcBorders>
              <w:left w:val="single" w:sz="4" w:space="0" w:color="auto"/>
              <w:bottom w:val="single" w:sz="4" w:space="0" w:color="auto"/>
              <w:right w:val="single" w:sz="4" w:space="0" w:color="auto"/>
            </w:tcBorders>
          </w:tcPr>
          <w:p>
            <w:pPr>
              <w:rPr>
                <w:rFonts w:eastAsia="Calibri"/>
                <w:noProof/>
              </w:rPr>
            </w:pPr>
          </w:p>
        </w:tc>
        <w:tc>
          <w:tcPr>
            <w:tcW w:w="1020" w:type="dxa"/>
            <w:tcBorders>
              <w:top w:val="single" w:sz="6" w:space="0" w:color="000000"/>
              <w:left w:val="single" w:sz="6" w:space="0" w:color="000000"/>
              <w:bottom w:val="single" w:sz="4" w:space="0" w:color="auto"/>
              <w:right w:val="single" w:sz="6" w:space="0" w:color="000000"/>
            </w:tcBorders>
          </w:tcPr>
          <w:p>
            <w:pPr>
              <w:rPr>
                <w:noProof/>
              </w:rPr>
            </w:pPr>
            <w:r>
              <w:rPr>
                <w:noProof/>
              </w:rPr>
              <w:t>Mélange pauvre à allumage par étincelle (LBSI)</w:t>
            </w:r>
          </w:p>
        </w:tc>
        <w:tc>
          <w:tcPr>
            <w:tcW w:w="784" w:type="dxa"/>
            <w:vMerge/>
            <w:tcBorders>
              <w:left w:val="single" w:sz="6" w:space="0" w:color="000000"/>
              <w:bottom w:val="single" w:sz="4" w:space="0" w:color="auto"/>
              <w:right w:val="single" w:sz="6" w:space="0" w:color="000000"/>
            </w:tcBorders>
          </w:tcPr>
          <w:p>
            <w:pPr>
              <w:rPr>
                <w:noProof/>
              </w:rPr>
            </w:pPr>
          </w:p>
        </w:tc>
        <w:tc>
          <w:tcPr>
            <w:tcW w:w="784" w:type="dxa"/>
            <w:vMerge/>
            <w:tcBorders>
              <w:left w:val="single" w:sz="6" w:space="0" w:color="000000"/>
              <w:bottom w:val="single" w:sz="4" w:space="0" w:color="auto"/>
              <w:right w:val="single" w:sz="6" w:space="0" w:color="000000"/>
            </w:tcBorders>
          </w:tcPr>
          <w:p>
            <w:pPr>
              <w:rPr>
                <w:noProof/>
              </w:rPr>
            </w:pPr>
          </w:p>
        </w:tc>
        <w:tc>
          <w:tcPr>
            <w:tcW w:w="784" w:type="dxa"/>
            <w:vMerge/>
            <w:tcBorders>
              <w:left w:val="single" w:sz="6" w:space="0" w:color="000000"/>
              <w:bottom w:val="single" w:sz="4" w:space="0" w:color="auto"/>
              <w:right w:val="single" w:sz="4" w:space="0" w:color="auto"/>
            </w:tcBorders>
          </w:tcPr>
          <w:p>
            <w:pPr>
              <w:rPr>
                <w:noProof/>
              </w:rPr>
            </w:pPr>
          </w:p>
        </w:tc>
        <w:tc>
          <w:tcPr>
            <w:tcW w:w="643" w:type="dxa"/>
            <w:tcBorders>
              <w:top w:val="single" w:sz="4" w:space="0" w:color="auto"/>
              <w:left w:val="single" w:sz="4" w:space="0" w:color="auto"/>
              <w:bottom w:val="single" w:sz="4" w:space="0" w:color="auto"/>
              <w:right w:val="single" w:sz="4" w:space="0" w:color="auto"/>
            </w:tcBorders>
          </w:tcPr>
          <w:p>
            <w:pPr>
              <w:rPr>
                <w:noProof/>
              </w:rPr>
            </w:pPr>
            <w:r>
              <w:rPr>
                <w:noProof/>
              </w:rPr>
              <w:t>2,6</w:t>
            </w:r>
          </w:p>
        </w:tc>
      </w:tr>
      <w:tr>
        <w:trPr>
          <w:jc w:val="center"/>
        </w:trPr>
        <w:tc>
          <w:tcPr>
            <w:tcW w:w="1020" w:type="dxa"/>
            <w:vMerge/>
            <w:tcBorders>
              <w:left w:val="single" w:sz="6" w:space="0" w:color="000000"/>
              <w:right w:val="single" w:sz="4" w:space="0" w:color="auto"/>
            </w:tcBorders>
            <w:hideMark/>
          </w:tcPr>
          <w:p>
            <w:pPr>
              <w:rPr>
                <w:noProof/>
              </w:rPr>
            </w:pPr>
          </w:p>
        </w:tc>
        <w:tc>
          <w:tcPr>
            <w:tcW w:w="2013" w:type="dxa"/>
            <w:vMerge w:val="restart"/>
            <w:tcBorders>
              <w:top w:val="single" w:sz="4" w:space="0" w:color="auto"/>
              <w:left w:val="single" w:sz="4" w:space="0" w:color="auto"/>
              <w:bottom w:val="single" w:sz="4" w:space="0" w:color="auto"/>
              <w:right w:val="single" w:sz="4" w:space="0" w:color="auto"/>
            </w:tcBorders>
            <w:hideMark/>
          </w:tcPr>
          <w:p>
            <w:pPr>
              <w:rPr>
                <w:noProof/>
              </w:rPr>
            </w:pPr>
            <w:r>
              <w:rPr>
                <w:noProof/>
              </w:rPr>
              <w:t>Bio-H</w:t>
            </w:r>
            <w:r>
              <w:rPr>
                <w:noProof/>
                <w:vertAlign w:val="subscript"/>
              </w:rPr>
              <w:t>2</w:t>
            </w:r>
          </w:p>
          <w:p>
            <w:pPr>
              <w:rPr>
                <w:noProof/>
              </w:rPr>
            </w:pPr>
            <w:r>
              <w:rPr>
                <w:noProof/>
              </w:rPr>
              <w:t>Filières de production de la directive (UE) 2018/2001</w:t>
            </w:r>
          </w:p>
        </w:tc>
        <w:tc>
          <w:tcPr>
            <w:tcW w:w="983" w:type="dxa"/>
            <w:vMerge w:val="restart"/>
            <w:tcBorders>
              <w:top w:val="single" w:sz="4" w:space="0" w:color="auto"/>
              <w:left w:val="single" w:sz="4" w:space="0" w:color="auto"/>
              <w:bottom w:val="single" w:sz="4" w:space="0" w:color="auto"/>
              <w:right w:val="single" w:sz="4" w:space="0" w:color="auto"/>
            </w:tcBorders>
            <w:hideMark/>
          </w:tcPr>
          <w:p>
            <w:pPr>
              <w:rPr>
                <w:noProof/>
              </w:rPr>
            </w:pPr>
            <w:r>
              <w:rPr>
                <w:noProof/>
              </w:rPr>
              <w:t>Valeur indiquée à l’annexe III de la directive (UE) 2018/2001</w:t>
            </w:r>
          </w:p>
        </w:tc>
        <w:tc>
          <w:tcPr>
            <w:tcW w:w="1058" w:type="dxa"/>
            <w:vMerge w:val="restart"/>
            <w:tcBorders>
              <w:top w:val="single" w:sz="4" w:space="0" w:color="auto"/>
              <w:left w:val="single" w:sz="4" w:space="0" w:color="auto"/>
              <w:bottom w:val="single" w:sz="4" w:space="0" w:color="auto"/>
              <w:right w:val="single" w:sz="4" w:space="0" w:color="auto"/>
            </w:tcBorders>
            <w:hideMark/>
          </w:tcPr>
          <w:p>
            <w:pPr>
              <w:rPr>
                <w:noProof/>
              </w:rPr>
            </w:pPr>
            <w:r>
              <w:rPr>
                <w:noProof/>
              </w:rPr>
              <w:t>N/D</w:t>
            </w:r>
          </w:p>
        </w:tc>
        <w:tc>
          <w:tcPr>
            <w:tcW w:w="1020" w:type="dxa"/>
            <w:tcBorders>
              <w:top w:val="single" w:sz="4" w:space="0" w:color="auto"/>
              <w:left w:val="single" w:sz="4" w:space="0" w:color="auto"/>
              <w:bottom w:val="single" w:sz="4" w:space="0" w:color="auto"/>
              <w:right w:val="single" w:sz="4" w:space="0" w:color="auto"/>
            </w:tcBorders>
            <w:hideMark/>
          </w:tcPr>
          <w:p>
            <w:pPr>
              <w:rPr>
                <w:noProof/>
              </w:rPr>
            </w:pPr>
            <w:r>
              <w:rPr>
                <w:noProof/>
              </w:rPr>
              <w:t>Piles à combustible</w:t>
            </w:r>
          </w:p>
        </w:tc>
        <w:tc>
          <w:tcPr>
            <w:tcW w:w="784" w:type="dxa"/>
            <w:tcBorders>
              <w:top w:val="single" w:sz="4" w:space="0" w:color="auto"/>
              <w:left w:val="single" w:sz="4" w:space="0" w:color="auto"/>
              <w:bottom w:val="single" w:sz="4" w:space="0" w:color="auto"/>
              <w:right w:val="single" w:sz="4" w:space="0" w:color="auto"/>
            </w:tcBorders>
            <w:hideMark/>
          </w:tcPr>
          <w:p>
            <w:pPr>
              <w:rPr>
                <w:noProof/>
              </w:rPr>
            </w:pPr>
            <w:r>
              <w:rPr>
                <w:noProof/>
              </w:rPr>
              <w:t>0</w:t>
            </w:r>
          </w:p>
        </w:tc>
        <w:tc>
          <w:tcPr>
            <w:tcW w:w="784" w:type="dxa"/>
            <w:tcBorders>
              <w:top w:val="single" w:sz="4" w:space="0" w:color="auto"/>
              <w:left w:val="single" w:sz="4" w:space="0" w:color="auto"/>
              <w:bottom w:val="single" w:sz="4" w:space="0" w:color="auto"/>
              <w:right w:val="single" w:sz="4" w:space="0" w:color="auto"/>
            </w:tcBorders>
            <w:hideMark/>
          </w:tcPr>
          <w:p>
            <w:pPr>
              <w:rPr>
                <w:noProof/>
              </w:rPr>
            </w:pPr>
            <w:r>
              <w:rPr>
                <w:noProof/>
              </w:rPr>
              <w:t>0</w:t>
            </w:r>
          </w:p>
        </w:tc>
        <w:tc>
          <w:tcPr>
            <w:tcW w:w="784" w:type="dxa"/>
            <w:tcBorders>
              <w:top w:val="single" w:sz="4" w:space="0" w:color="auto"/>
              <w:left w:val="single" w:sz="4" w:space="0" w:color="auto"/>
              <w:bottom w:val="single" w:sz="4" w:space="0" w:color="auto"/>
              <w:right w:val="single" w:sz="4" w:space="0" w:color="auto"/>
            </w:tcBorders>
            <w:hideMark/>
          </w:tcPr>
          <w:p>
            <w:pPr>
              <w:rPr>
                <w:noProof/>
              </w:rPr>
            </w:pPr>
            <w:r>
              <w:rPr>
                <w:noProof/>
              </w:rPr>
              <w:t>0</w:t>
            </w:r>
          </w:p>
        </w:tc>
        <w:tc>
          <w:tcPr>
            <w:tcW w:w="643" w:type="dxa"/>
            <w:vMerge w:val="restart"/>
            <w:tcBorders>
              <w:top w:val="single" w:sz="4" w:space="0" w:color="auto"/>
              <w:left w:val="single" w:sz="4" w:space="0" w:color="auto"/>
              <w:bottom w:val="single" w:sz="4" w:space="0" w:color="auto"/>
              <w:right w:val="single" w:sz="4" w:space="0" w:color="auto"/>
            </w:tcBorders>
            <w:hideMark/>
          </w:tcPr>
          <w:p>
            <w:pPr>
              <w:rPr>
                <w:noProof/>
              </w:rPr>
            </w:pPr>
            <w:r>
              <w:rPr>
                <w:noProof/>
              </w:rPr>
              <w:t>-</w:t>
            </w:r>
          </w:p>
        </w:tc>
      </w:tr>
      <w:tr>
        <w:trPr>
          <w:jc w:val="center"/>
        </w:trPr>
        <w:tc>
          <w:tcPr>
            <w:tcW w:w="1020" w:type="dxa"/>
            <w:vMerge/>
            <w:tcBorders>
              <w:left w:val="single" w:sz="6" w:space="0" w:color="000000"/>
              <w:bottom w:val="single" w:sz="6" w:space="0" w:color="000000"/>
              <w:right w:val="single" w:sz="4" w:space="0" w:color="auto"/>
            </w:tcBorders>
            <w:vAlign w:val="center"/>
            <w:hideMark/>
          </w:tcPr>
          <w:p>
            <w:pPr>
              <w:rPr>
                <w:noProof/>
              </w:rPr>
            </w:pPr>
          </w:p>
        </w:tc>
        <w:tc>
          <w:tcPr>
            <w:tcW w:w="2013" w:type="dxa"/>
            <w:vMerge/>
            <w:tcBorders>
              <w:top w:val="single" w:sz="4" w:space="0" w:color="auto"/>
              <w:left w:val="single" w:sz="4" w:space="0" w:color="auto"/>
              <w:bottom w:val="single" w:sz="4" w:space="0" w:color="auto"/>
              <w:right w:val="single" w:sz="4" w:space="0" w:color="auto"/>
            </w:tcBorders>
            <w:hideMark/>
          </w:tcPr>
          <w:p>
            <w:pPr>
              <w:rPr>
                <w:noProof/>
              </w:rPr>
            </w:pPr>
          </w:p>
        </w:tc>
        <w:tc>
          <w:tcPr>
            <w:tcW w:w="983" w:type="dxa"/>
            <w:vMerge/>
            <w:tcBorders>
              <w:top w:val="single" w:sz="4" w:space="0" w:color="auto"/>
              <w:left w:val="single" w:sz="4" w:space="0" w:color="auto"/>
              <w:bottom w:val="single" w:sz="4" w:space="0" w:color="auto"/>
              <w:right w:val="single" w:sz="4" w:space="0" w:color="auto"/>
            </w:tcBorders>
            <w:hideMark/>
          </w:tcPr>
          <w:p>
            <w:pPr>
              <w:rPr>
                <w:noProof/>
              </w:rPr>
            </w:pPr>
          </w:p>
        </w:tc>
        <w:tc>
          <w:tcPr>
            <w:tcW w:w="1058" w:type="dxa"/>
            <w:vMerge/>
            <w:tcBorders>
              <w:top w:val="single" w:sz="4" w:space="0" w:color="auto"/>
              <w:left w:val="single" w:sz="4" w:space="0" w:color="auto"/>
              <w:bottom w:val="single" w:sz="4" w:space="0" w:color="auto"/>
              <w:right w:val="single" w:sz="4" w:space="0" w:color="auto"/>
            </w:tcBorders>
            <w:hideMark/>
          </w:tcPr>
          <w:p>
            <w:pPr>
              <w:rPr>
                <w:noProof/>
              </w:rPr>
            </w:pPr>
          </w:p>
        </w:tc>
        <w:tc>
          <w:tcPr>
            <w:tcW w:w="1020" w:type="dxa"/>
            <w:tcBorders>
              <w:top w:val="single" w:sz="4" w:space="0" w:color="auto"/>
              <w:left w:val="single" w:sz="4" w:space="0" w:color="auto"/>
              <w:bottom w:val="single" w:sz="4" w:space="0" w:color="auto"/>
              <w:right w:val="single" w:sz="4" w:space="0" w:color="auto"/>
            </w:tcBorders>
            <w:hideMark/>
          </w:tcPr>
          <w:p>
            <w:pPr>
              <w:rPr>
                <w:noProof/>
              </w:rPr>
            </w:pPr>
            <w:r>
              <w:rPr>
                <w:noProof/>
              </w:rPr>
              <w:t>MCI</w:t>
            </w:r>
          </w:p>
        </w:tc>
        <w:tc>
          <w:tcPr>
            <w:tcW w:w="784" w:type="dxa"/>
            <w:tcBorders>
              <w:top w:val="single" w:sz="4" w:space="0" w:color="auto"/>
              <w:left w:val="single" w:sz="4" w:space="0" w:color="auto"/>
              <w:bottom w:val="single" w:sz="4" w:space="0" w:color="auto"/>
              <w:right w:val="single" w:sz="4" w:space="0" w:color="auto"/>
            </w:tcBorders>
            <w:hideMark/>
          </w:tcPr>
          <w:p>
            <w:pPr>
              <w:rPr>
                <w:noProof/>
              </w:rPr>
            </w:pPr>
            <w:r>
              <w:rPr>
                <w:noProof/>
              </w:rPr>
              <w:t>0</w:t>
            </w:r>
          </w:p>
        </w:tc>
        <w:tc>
          <w:tcPr>
            <w:tcW w:w="784" w:type="dxa"/>
            <w:tcBorders>
              <w:top w:val="single" w:sz="4" w:space="0" w:color="auto"/>
              <w:left w:val="single" w:sz="4" w:space="0" w:color="auto"/>
              <w:bottom w:val="single" w:sz="4" w:space="0" w:color="auto"/>
              <w:right w:val="single" w:sz="4" w:space="0" w:color="auto"/>
            </w:tcBorders>
            <w:hideMark/>
          </w:tcPr>
          <w:p>
            <w:pPr>
              <w:rPr>
                <w:noProof/>
              </w:rPr>
            </w:pPr>
            <w:r>
              <w:rPr>
                <w:noProof/>
              </w:rPr>
              <w:t>0</w:t>
            </w:r>
          </w:p>
        </w:tc>
        <w:tc>
          <w:tcPr>
            <w:tcW w:w="784" w:type="dxa"/>
            <w:tcBorders>
              <w:top w:val="single" w:sz="4" w:space="0" w:color="auto"/>
              <w:left w:val="single" w:sz="4" w:space="0" w:color="auto"/>
              <w:bottom w:val="single" w:sz="4" w:space="0" w:color="auto"/>
              <w:right w:val="single" w:sz="4" w:space="0" w:color="auto"/>
            </w:tcBorders>
            <w:hideMark/>
          </w:tcPr>
          <w:p>
            <w:pPr>
              <w:rPr>
                <w:noProof/>
              </w:rPr>
            </w:pPr>
            <w:r>
              <w:rPr>
                <w:noProof/>
              </w:rPr>
              <w:t>AM</w:t>
            </w:r>
          </w:p>
        </w:tc>
        <w:tc>
          <w:tcPr>
            <w:tcW w:w="643" w:type="dxa"/>
            <w:vMerge/>
            <w:tcBorders>
              <w:top w:val="single" w:sz="4" w:space="0" w:color="auto"/>
              <w:left w:val="single" w:sz="4" w:space="0" w:color="auto"/>
              <w:bottom w:val="single" w:sz="4" w:space="0" w:color="auto"/>
              <w:right w:val="single" w:sz="4" w:space="0" w:color="auto"/>
            </w:tcBorders>
            <w:vAlign w:val="center"/>
            <w:hideMark/>
          </w:tcPr>
          <w:p>
            <w:pPr>
              <w:rPr>
                <w:noProof/>
              </w:rPr>
            </w:pPr>
          </w:p>
        </w:tc>
      </w:tr>
      <w:tr>
        <w:trPr>
          <w:jc w:val="center"/>
        </w:trPr>
        <w:tc>
          <w:tcPr>
            <w:tcW w:w="1020" w:type="dxa"/>
            <w:vMerge w:val="restart"/>
            <w:tcBorders>
              <w:top w:val="single" w:sz="6" w:space="0" w:color="000000"/>
              <w:left w:val="single" w:sz="6" w:space="0" w:color="000000"/>
              <w:bottom w:val="single" w:sz="6" w:space="0" w:color="000000"/>
              <w:right w:val="single" w:sz="4" w:space="0" w:color="auto"/>
            </w:tcBorders>
            <w:hideMark/>
          </w:tcPr>
          <w:p>
            <w:pPr>
              <w:rPr>
                <w:noProof/>
              </w:rPr>
            </w:pPr>
            <w:r>
              <w:rPr>
                <w:noProof/>
              </w:rPr>
              <w:t>Carburants renouvelables d’origine non biologiqu</w:t>
            </w:r>
            <w:r>
              <w:rPr>
                <w:noProof/>
              </w:rPr>
              <w:lastRenderedPageBreak/>
              <w:t>e (RFNBO)</w:t>
            </w:r>
          </w:p>
          <w:p>
            <w:pPr>
              <w:rPr>
                <w:noProof/>
              </w:rPr>
            </w:pPr>
            <w:r>
              <w:rPr>
                <w:noProof/>
              </w:rPr>
              <w:t>-</w:t>
            </w:r>
          </w:p>
          <w:p>
            <w:pPr>
              <w:rPr>
                <w:noProof/>
              </w:rPr>
            </w:pPr>
            <w:r>
              <w:rPr>
                <w:noProof/>
              </w:rPr>
              <w:t>Carburants de synthèse</w:t>
            </w:r>
          </w:p>
        </w:tc>
        <w:tc>
          <w:tcPr>
            <w:tcW w:w="2013" w:type="dxa"/>
            <w:tcBorders>
              <w:top w:val="single" w:sz="4" w:space="0" w:color="auto"/>
              <w:left w:val="single" w:sz="4" w:space="0" w:color="auto"/>
              <w:bottom w:val="single" w:sz="4" w:space="0" w:color="auto"/>
              <w:right w:val="single" w:sz="4" w:space="0" w:color="auto"/>
            </w:tcBorders>
            <w:hideMark/>
          </w:tcPr>
          <w:p>
            <w:pPr>
              <w:rPr>
                <w:noProof/>
              </w:rPr>
            </w:pPr>
            <w:r>
              <w:rPr>
                <w:noProof/>
              </w:rPr>
              <w:lastRenderedPageBreak/>
              <w:t>Diesel de synthèse</w:t>
            </w:r>
          </w:p>
        </w:tc>
        <w:tc>
          <w:tcPr>
            <w:tcW w:w="983" w:type="dxa"/>
            <w:tcBorders>
              <w:top w:val="single" w:sz="4" w:space="0" w:color="auto"/>
              <w:left w:val="single" w:sz="4" w:space="0" w:color="auto"/>
              <w:bottom w:val="single" w:sz="4" w:space="0" w:color="auto"/>
              <w:right w:val="single" w:sz="4" w:space="0" w:color="auto"/>
            </w:tcBorders>
            <w:hideMark/>
          </w:tcPr>
          <w:p>
            <w:pPr>
              <w:rPr>
                <w:noProof/>
              </w:rPr>
            </w:pPr>
            <w:r>
              <w:rPr>
                <w:noProof/>
              </w:rPr>
              <w:t>0,0427</w:t>
            </w:r>
          </w:p>
        </w:tc>
        <w:tc>
          <w:tcPr>
            <w:tcW w:w="1058" w:type="dxa"/>
            <w:tcBorders>
              <w:top w:val="single" w:sz="4" w:space="0" w:color="auto"/>
              <w:left w:val="single" w:sz="4" w:space="0" w:color="auto"/>
              <w:bottom w:val="single" w:sz="4" w:space="0" w:color="auto"/>
              <w:right w:val="single" w:sz="4" w:space="0" w:color="auto"/>
            </w:tcBorders>
            <w:hideMark/>
          </w:tcPr>
          <w:p>
            <w:pPr>
              <w:rPr>
                <w:noProof/>
                <w:highlight w:val="green"/>
              </w:rPr>
            </w:pPr>
            <w:r>
              <w:rPr>
                <w:noProof/>
              </w:rPr>
              <w:t>E-E</w:t>
            </w:r>
            <w:r>
              <w:rPr>
                <w:noProof/>
                <w:vertAlign w:val="subscript"/>
              </w:rPr>
              <w:t>u</w:t>
            </w:r>
          </w:p>
        </w:tc>
        <w:tc>
          <w:tcPr>
            <w:tcW w:w="1020" w:type="dxa"/>
            <w:tcBorders>
              <w:top w:val="single" w:sz="4" w:space="0" w:color="auto"/>
              <w:left w:val="single" w:sz="4" w:space="0" w:color="auto"/>
              <w:bottom w:val="single" w:sz="4" w:space="0" w:color="auto"/>
              <w:right w:val="single" w:sz="4" w:space="0" w:color="auto"/>
            </w:tcBorders>
            <w:hideMark/>
          </w:tcPr>
          <w:p>
            <w:pPr>
              <w:rPr>
                <w:noProof/>
              </w:rPr>
            </w:pPr>
            <w:r>
              <w:rPr>
                <w:noProof/>
              </w:rPr>
              <w:t>TOUTES</w:t>
            </w:r>
          </w:p>
        </w:tc>
        <w:tc>
          <w:tcPr>
            <w:tcW w:w="784" w:type="dxa"/>
            <w:tcBorders>
              <w:top w:val="single" w:sz="4" w:space="0" w:color="auto"/>
              <w:left w:val="single" w:sz="4" w:space="0" w:color="auto"/>
              <w:bottom w:val="single" w:sz="4" w:space="0" w:color="auto"/>
              <w:right w:val="single" w:sz="4" w:space="0" w:color="auto"/>
            </w:tcBorders>
            <w:hideMark/>
          </w:tcPr>
          <w:p>
            <w:pPr>
              <w:rPr>
                <w:noProof/>
              </w:rPr>
            </w:pPr>
            <w:r>
              <w:rPr>
                <w:noProof/>
              </w:rPr>
              <w:t>3,206</w:t>
            </w:r>
          </w:p>
        </w:tc>
        <w:tc>
          <w:tcPr>
            <w:tcW w:w="784" w:type="dxa"/>
            <w:tcBorders>
              <w:top w:val="single" w:sz="4" w:space="0" w:color="auto"/>
              <w:left w:val="single" w:sz="4" w:space="0" w:color="auto"/>
              <w:bottom w:val="single" w:sz="4" w:space="0" w:color="auto"/>
              <w:right w:val="single" w:sz="4" w:space="0" w:color="auto"/>
            </w:tcBorders>
            <w:hideMark/>
          </w:tcPr>
          <w:p>
            <w:pPr>
              <w:rPr>
                <w:noProof/>
              </w:rPr>
            </w:pPr>
            <w:r>
              <w:rPr>
                <w:noProof/>
              </w:rPr>
              <w:t>0,00005</w:t>
            </w:r>
          </w:p>
        </w:tc>
        <w:tc>
          <w:tcPr>
            <w:tcW w:w="784" w:type="dxa"/>
            <w:tcBorders>
              <w:top w:val="single" w:sz="4" w:space="0" w:color="auto"/>
              <w:left w:val="single" w:sz="4" w:space="0" w:color="auto"/>
              <w:bottom w:val="single" w:sz="4" w:space="0" w:color="auto"/>
              <w:right w:val="single" w:sz="4" w:space="0" w:color="auto"/>
            </w:tcBorders>
            <w:hideMark/>
          </w:tcPr>
          <w:p>
            <w:pPr>
              <w:rPr>
                <w:noProof/>
              </w:rPr>
            </w:pPr>
            <w:r>
              <w:rPr>
                <w:noProof/>
              </w:rPr>
              <w:t>0,00018</w:t>
            </w:r>
          </w:p>
        </w:tc>
        <w:tc>
          <w:tcPr>
            <w:tcW w:w="643" w:type="dxa"/>
            <w:tcBorders>
              <w:top w:val="single" w:sz="4" w:space="0" w:color="auto"/>
              <w:left w:val="single" w:sz="4" w:space="0" w:color="auto"/>
              <w:bottom w:val="single" w:sz="6" w:space="0" w:color="000000"/>
              <w:right w:val="single" w:sz="6" w:space="0" w:color="000000"/>
            </w:tcBorders>
            <w:hideMark/>
          </w:tcPr>
          <w:p>
            <w:pPr>
              <w:rPr>
                <w:noProof/>
              </w:rPr>
            </w:pPr>
            <w:r>
              <w:rPr>
                <w:noProof/>
              </w:rPr>
              <w:t>-</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tcBorders>
              <w:top w:val="single" w:sz="4" w:space="0" w:color="auto"/>
              <w:left w:val="single" w:sz="6" w:space="0" w:color="000000"/>
              <w:bottom w:val="single" w:sz="6" w:space="0" w:color="000000"/>
              <w:right w:val="single" w:sz="6" w:space="0" w:color="000000"/>
            </w:tcBorders>
            <w:hideMark/>
          </w:tcPr>
          <w:p>
            <w:pPr>
              <w:rPr>
                <w:noProof/>
              </w:rPr>
            </w:pPr>
            <w:r>
              <w:rPr>
                <w:noProof/>
              </w:rPr>
              <w:t>Méthanol de synthèse</w:t>
            </w:r>
          </w:p>
        </w:tc>
        <w:tc>
          <w:tcPr>
            <w:tcW w:w="983" w:type="dxa"/>
            <w:tcBorders>
              <w:top w:val="single" w:sz="4" w:space="0" w:color="auto"/>
              <w:left w:val="single" w:sz="6" w:space="0" w:color="000000"/>
              <w:bottom w:val="single" w:sz="6" w:space="0" w:color="000000"/>
              <w:right w:val="single" w:sz="6" w:space="0" w:color="000000"/>
            </w:tcBorders>
            <w:hideMark/>
          </w:tcPr>
          <w:p>
            <w:pPr>
              <w:rPr>
                <w:noProof/>
              </w:rPr>
            </w:pPr>
            <w:r>
              <w:rPr>
                <w:noProof/>
              </w:rPr>
              <w:t>0,0199</w:t>
            </w:r>
          </w:p>
        </w:tc>
        <w:tc>
          <w:tcPr>
            <w:tcW w:w="1058" w:type="dxa"/>
            <w:tcBorders>
              <w:top w:val="single" w:sz="4" w:space="0" w:color="auto"/>
              <w:left w:val="single" w:sz="6" w:space="0" w:color="000000"/>
              <w:bottom w:val="single" w:sz="6" w:space="0" w:color="000000"/>
              <w:right w:val="single" w:sz="6" w:space="0" w:color="000000"/>
            </w:tcBorders>
            <w:hideMark/>
          </w:tcPr>
          <w:p>
            <w:pPr>
              <w:rPr>
                <w:noProof/>
              </w:rPr>
            </w:pPr>
            <w:r>
              <w:rPr>
                <w:noProof/>
              </w:rPr>
              <w:t>E-E</w:t>
            </w:r>
            <w:r>
              <w:rPr>
                <w:noProof/>
                <w:vertAlign w:val="subscript"/>
              </w:rPr>
              <w:t>u</w:t>
            </w:r>
          </w:p>
        </w:tc>
        <w:tc>
          <w:tcPr>
            <w:tcW w:w="1020" w:type="dxa"/>
            <w:tcBorders>
              <w:top w:val="single" w:sz="4" w:space="0" w:color="auto"/>
              <w:left w:val="single" w:sz="6" w:space="0" w:color="000000"/>
              <w:bottom w:val="single" w:sz="6" w:space="0" w:color="000000"/>
              <w:right w:val="single" w:sz="6" w:space="0" w:color="000000"/>
            </w:tcBorders>
            <w:hideMark/>
          </w:tcPr>
          <w:p>
            <w:pPr>
              <w:rPr>
                <w:noProof/>
              </w:rPr>
            </w:pPr>
            <w:r>
              <w:rPr>
                <w:noProof/>
              </w:rPr>
              <w:t>TOUTES</w:t>
            </w:r>
          </w:p>
        </w:tc>
        <w:tc>
          <w:tcPr>
            <w:tcW w:w="784" w:type="dxa"/>
            <w:tcBorders>
              <w:top w:val="single" w:sz="4" w:space="0" w:color="auto"/>
              <w:left w:val="single" w:sz="6" w:space="0" w:color="000000"/>
              <w:bottom w:val="single" w:sz="6" w:space="0" w:color="000000"/>
              <w:right w:val="single" w:sz="6" w:space="0" w:color="000000"/>
            </w:tcBorders>
            <w:hideMark/>
          </w:tcPr>
          <w:p>
            <w:pPr>
              <w:rPr>
                <w:noProof/>
              </w:rPr>
            </w:pPr>
            <w:r>
              <w:rPr>
                <w:noProof/>
              </w:rPr>
              <w:t>1,375</w:t>
            </w:r>
          </w:p>
        </w:tc>
        <w:tc>
          <w:tcPr>
            <w:tcW w:w="784" w:type="dxa"/>
            <w:tcBorders>
              <w:top w:val="single" w:sz="4" w:space="0" w:color="auto"/>
              <w:left w:val="single" w:sz="6" w:space="0" w:color="000000"/>
              <w:bottom w:val="single" w:sz="6" w:space="0" w:color="000000"/>
              <w:right w:val="single" w:sz="6" w:space="0" w:color="000000"/>
            </w:tcBorders>
            <w:hideMark/>
          </w:tcPr>
          <w:p>
            <w:pPr>
              <w:rPr>
                <w:noProof/>
              </w:rPr>
            </w:pPr>
            <w:r>
              <w:rPr>
                <w:noProof/>
              </w:rPr>
              <w:t>AM</w:t>
            </w:r>
          </w:p>
        </w:tc>
        <w:tc>
          <w:tcPr>
            <w:tcW w:w="784" w:type="dxa"/>
            <w:tcBorders>
              <w:top w:val="single" w:sz="4" w:space="0" w:color="auto"/>
              <w:left w:val="single" w:sz="6" w:space="0" w:color="000000"/>
              <w:bottom w:val="single" w:sz="6" w:space="0" w:color="000000"/>
              <w:right w:val="single" w:sz="6" w:space="0" w:color="000000"/>
            </w:tcBorders>
            <w:hideMark/>
          </w:tcPr>
          <w:p>
            <w:pPr>
              <w:rPr>
                <w:noProof/>
              </w:rPr>
            </w:pPr>
            <w:r>
              <w:rPr>
                <w:noProof/>
              </w:rPr>
              <w:t>AM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GNL de synthèse</w:t>
            </w:r>
          </w:p>
        </w:tc>
        <w:tc>
          <w:tcPr>
            <w:tcW w:w="98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0,0491</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E-E</w:t>
            </w:r>
            <w:r>
              <w:rPr>
                <w:noProof/>
                <w:vertAlign w:val="subscript"/>
              </w:rPr>
              <w:t>u</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 xml:space="preserve">GNL à </w:t>
            </w:r>
            <w:r>
              <w:rPr>
                <w:noProof/>
              </w:rPr>
              <w:lastRenderedPageBreak/>
              <w:t>cycle Otto (moteur bicarburant à vitesse moyenne)</w:t>
            </w:r>
          </w:p>
        </w:tc>
        <w:tc>
          <w:tcPr>
            <w:tcW w:w="784"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lastRenderedPageBreak/>
              <w:t>2,750</w:t>
            </w:r>
          </w:p>
        </w:tc>
        <w:tc>
          <w:tcPr>
            <w:tcW w:w="784"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0,0001</w:t>
            </w:r>
            <w:r>
              <w:rPr>
                <w:noProof/>
              </w:rPr>
              <w:lastRenderedPageBreak/>
              <w:t>1</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lastRenderedPageBreak/>
              <w:t>3,1</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GNL à cycle Otto (moteur bicarburant à vitesse lente)</w:t>
            </w: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1,7</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GNL à cycle diesel (moteur bicarburant)</w:t>
            </w: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0,2</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Mélange pauvre à allumage par étincelle (LBSI)</w:t>
            </w: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2,6</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H</w:t>
            </w:r>
            <w:r>
              <w:rPr>
                <w:noProof/>
                <w:vertAlign w:val="subscript"/>
              </w:rPr>
              <w:t>2</w:t>
            </w:r>
            <w:r>
              <w:rPr>
                <w:noProof/>
              </w:rPr>
              <w:t xml:space="preserve"> de synthèse</w:t>
            </w:r>
          </w:p>
        </w:tc>
        <w:tc>
          <w:tcPr>
            <w:tcW w:w="98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0,12</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E-E</w:t>
            </w:r>
            <w:r>
              <w:rPr>
                <w:noProof/>
                <w:vertAlign w:val="subscript"/>
              </w:rPr>
              <w:t>u</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Piles à combustible</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64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ICE</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AM</w:t>
            </w:r>
          </w:p>
        </w:tc>
        <w:tc>
          <w:tcPr>
            <w:tcW w:w="64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NH</w:t>
            </w:r>
            <w:r>
              <w:rPr>
                <w:noProof/>
                <w:vertAlign w:val="subscript"/>
              </w:rPr>
              <w:t>3</w:t>
            </w:r>
            <w:r>
              <w:rPr>
                <w:noProof/>
              </w:rPr>
              <w:t xml:space="preserve"> de synthèse</w:t>
            </w:r>
          </w:p>
        </w:tc>
        <w:tc>
          <w:tcPr>
            <w:tcW w:w="98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0,0186</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Piles à combustible</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AM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MCI</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AM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GPL de synthèse</w:t>
            </w:r>
          </w:p>
        </w:tc>
        <w:tc>
          <w:tcPr>
            <w:tcW w:w="983"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c>
          <w:tcPr>
            <w:tcW w:w="1058"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DME de synthèse</w:t>
            </w:r>
          </w:p>
        </w:tc>
        <w:tc>
          <w:tcPr>
            <w:tcW w:w="983"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c>
          <w:tcPr>
            <w:tcW w:w="1058"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N/D</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Autres</w:t>
            </w: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Électricité</w:t>
            </w:r>
          </w:p>
        </w:tc>
        <w:tc>
          <w:tcPr>
            <w:tcW w:w="98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c>
          <w:tcPr>
            <w:tcW w:w="1058" w:type="dxa"/>
            <w:tcBorders>
              <w:top w:val="single" w:sz="6" w:space="0" w:color="000000"/>
              <w:left w:val="single" w:sz="6" w:space="0" w:color="000000"/>
              <w:bottom w:val="single" w:sz="6" w:space="0" w:color="000000"/>
              <w:right w:val="single" w:sz="6" w:space="0" w:color="000000"/>
            </w:tcBorders>
            <w:hideMark/>
          </w:tcPr>
          <w:p>
            <w:pPr>
              <w:rPr>
                <w:noProof/>
              </w:rPr>
            </w:pPr>
            <w:r>
              <w:rPr>
                <w:noProof/>
              </w:rPr>
              <w:t>BOUQUET ÉNERGÉTIQUE NATIONAL</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Alimentation en électricité à quai</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bl>
    <w:p>
      <w:pPr>
        <w:rPr>
          <w:noProof/>
        </w:rPr>
      </w:pPr>
    </w:p>
    <w:p>
      <w:pPr>
        <w:rPr>
          <w:noProof/>
        </w:rPr>
      </w:pPr>
      <w:r>
        <w:rPr>
          <w:noProof/>
        </w:rPr>
        <w:lastRenderedPageBreak/>
        <w:t>La colonne 1 indique la classe des carburants, à savoir les carburants fossiles, les biocarburants, le biogaz et les carburants de synthèse.</w:t>
      </w:r>
    </w:p>
    <w:p>
      <w:pPr>
        <w:rPr>
          <w:noProof/>
        </w:rPr>
      </w:pPr>
      <w:r>
        <w:rPr>
          <w:noProof/>
        </w:rPr>
        <w:t>La colonne 2 indique le nom ou la filière des carburants concernés dans la classe.</w:t>
      </w:r>
    </w:p>
    <w:p>
      <w:pPr>
        <w:rPr>
          <w:noProof/>
        </w:rPr>
      </w:pPr>
      <w:r>
        <w:rPr>
          <w:noProof/>
        </w:rPr>
        <w:t>La colonne 3 indique le pouvoir calorifique inférieur des carburants en [MJ/g]. Pour les biocarburants liquides, les valeurs du contenu énergétique spécifique (pouvoir calorifique inférieur, MJ/kg) indiquées à l’annexe III de la directive (UE) 2018/2001 sont converties en [MJ/g] et utilisées.</w:t>
      </w:r>
    </w:p>
    <w:p>
      <w:pPr>
        <w:rPr>
          <w:noProof/>
        </w:rPr>
      </w:pPr>
      <w:r>
        <w:rPr>
          <w:noProof/>
        </w:rPr>
        <w:t>La colonne 4 contient les facteurs d’émission de GES WtT en [g</w:t>
      </w:r>
      <w:r>
        <w:rPr>
          <w:noProof/>
          <w:szCs w:val="24"/>
        </w:rPr>
        <w:t>CO</w:t>
      </w:r>
      <w:r>
        <w:rPr>
          <w:noProof/>
          <w:szCs w:val="24"/>
          <w:vertAlign w:val="subscript"/>
        </w:rPr>
        <w:t>2</w:t>
      </w:r>
      <w:r>
        <w:rPr>
          <w:noProof/>
        </w:rPr>
        <w:t>eq/MJ]:</w:t>
      </w:r>
    </w:p>
    <w:p>
      <w:pPr>
        <w:rPr>
          <w:noProof/>
        </w:rPr>
      </w:pPr>
      <w:r>
        <w:rPr>
          <w:noProof/>
        </w:rPr>
        <w:t>a) pour les biocarburants, les valeurs par défaut sont calculées à l’aide des valeurs de E établies conformément aux méthodologies définies à l’annexe V, partie C, de la directive (UE) 2018/2001 pour tous les biocarburants, à l’annexe VI, partie B, de la même directive pour le biogaz, et sur la base des valeurs par défaut associées au biocarburant particulier utilisé comme carburant pour les transports et à sa filière de production, indiquées à l’annexe V, parties D et E, de ladite directive pour tous les biocarburants et à l’annexe VI, partie D, de ladite directive pour le biogaz. Il convient toutefois d’ajuster les valeurs de E en soustrayant le rapport entre les valeurs figurant dans la colonne 6 (cf_</w:t>
      </w:r>
      <w:r>
        <w:rPr>
          <w:noProof/>
          <w:szCs w:val="24"/>
        </w:rPr>
        <w:t>CO</w:t>
      </w:r>
      <w:r>
        <w:rPr>
          <w:noProof/>
          <w:szCs w:val="24"/>
          <w:vertAlign w:val="subscript"/>
        </w:rPr>
        <w:t>2</w:t>
      </w:r>
      <w:r>
        <w:rPr>
          <w:noProof/>
        </w:rPr>
        <w:t>) et dans la colonne 3 (LCV). Cela est requis au titre du présent règlement, qui distingue les calculs WtT et TtW, afin d’éviter un double comptage des émissions;</w:t>
      </w:r>
    </w:p>
    <w:p>
      <w:pPr>
        <w:rPr>
          <w:noProof/>
        </w:rPr>
      </w:pPr>
      <w:r>
        <w:rPr>
          <w:noProof/>
        </w:rPr>
        <w:t>b) pour les RFNBO et autres carburants non visés au point a) à prendre en considération aux fins visées à l’article 4, paragraphe 1, du règlement (UE) 2023/1805, les valeurs doivent être calculées soit à l’aide de la méthode précisée dans l’acte délégué visé à l’article 28, paragraphe 5, de la directive (UE) 2018/2001, soit, le cas échéant, à l’aide d’une méthode similaire si elle est définie au titre d’un acte juridique de l’Union concernant les marchés intérieurs des gaz naturel et renouvelable et de l’hydrogène, en application de l’article 10, paragraphes 1 et 2 du règlement (UE) 2023/1805.</w:t>
      </w:r>
    </w:p>
    <w:p>
      <w:pPr>
        <w:rPr>
          <w:noProof/>
        </w:rPr>
      </w:pPr>
      <w:r>
        <w:rPr>
          <w:noProof/>
        </w:rPr>
        <w:t xml:space="preserve">La colonne 5 indique les principaux types/classes d’unités de consommateur de carburant telles que les moteurs à combustion interne (MCI) à 2 ou 4 temps et à cycle Otto ou diesel, les moteurs à gaz à mélange pauvre à allumage par étincelle, les piles à combustible, etc. La colonne 6 indique le facteur d’émission Cf pour le </w:t>
      </w:r>
      <w:r>
        <w:rPr>
          <w:noProof/>
          <w:szCs w:val="24"/>
        </w:rPr>
        <w:t>CO</w:t>
      </w:r>
      <w:r>
        <w:rPr>
          <w:noProof/>
          <w:szCs w:val="24"/>
          <w:vertAlign w:val="subscript"/>
        </w:rPr>
        <w:t>2</w:t>
      </w:r>
      <w:r>
        <w:rPr>
          <w:noProof/>
        </w:rPr>
        <w:t>, en [g</w:t>
      </w:r>
      <w:r>
        <w:rPr>
          <w:noProof/>
          <w:szCs w:val="24"/>
        </w:rPr>
        <w:t>CO</w:t>
      </w:r>
      <w:r>
        <w:rPr>
          <w:noProof/>
          <w:szCs w:val="24"/>
          <w:vertAlign w:val="subscript"/>
        </w:rPr>
        <w:t>2</w:t>
      </w:r>
      <w:r>
        <w:rPr>
          <w:noProof/>
        </w:rPr>
        <w:t xml:space="preserve">/gfuel]. </w:t>
      </w:r>
    </w:p>
    <w:p>
      <w:pPr>
        <w:rPr>
          <w:noProof/>
        </w:rPr>
      </w:pPr>
      <w:r>
        <w:rPr>
          <w:noProof/>
        </w:rPr>
        <w:t>La colonne 7 indique le facteur d’émission Cf pour le méthane, en [gCH</w:t>
      </w:r>
      <w:r>
        <w:rPr>
          <w:noProof/>
          <w:vertAlign w:val="subscript"/>
        </w:rPr>
        <w:t>4</w:t>
      </w:r>
      <w:r>
        <w:rPr>
          <w:noProof/>
        </w:rPr>
        <w:t>/gfuel]. Pour les carburants GNL, le facteur d’émission Cf pour le méthane est fixé à zéro.</w:t>
      </w:r>
    </w:p>
    <w:p>
      <w:pPr>
        <w:rPr>
          <w:noProof/>
        </w:rPr>
      </w:pPr>
      <w:r>
        <w:rPr>
          <w:noProof/>
        </w:rPr>
        <w:t>La colonne 8 indique le facteur d’émission Cf pour le protoxyde d’azote, en [g</w:t>
      </w:r>
      <w:r>
        <w:rPr>
          <w:noProof/>
          <w:szCs w:val="24"/>
        </w:rPr>
        <w:t>N</w:t>
      </w:r>
      <w:r>
        <w:rPr>
          <w:noProof/>
          <w:szCs w:val="24"/>
          <w:vertAlign w:val="subscript"/>
        </w:rPr>
        <w:t>2</w:t>
      </w:r>
      <w:r>
        <w:rPr>
          <w:noProof/>
          <w:szCs w:val="24"/>
        </w:rPr>
        <w:t>O</w:t>
      </w:r>
      <w:r>
        <w:rPr>
          <w:noProof/>
        </w:rPr>
        <w:t>/gfuel].</w:t>
      </w:r>
    </w:p>
    <w:p>
      <w:pPr>
        <w:rPr>
          <w:noProof/>
        </w:rPr>
      </w:pPr>
      <w:r>
        <w:rPr>
          <w:noProof/>
        </w:rPr>
        <w:t>La colonne 9 indique la quantité de carburant perdue en émissions diffuses et échappées (C</w:t>
      </w:r>
      <w:r>
        <w:rPr>
          <w:noProof/>
          <w:vertAlign w:val="subscript"/>
        </w:rPr>
        <w:t>slip</w:t>
      </w:r>
      <w:r>
        <w:rPr>
          <w:noProof/>
        </w:rPr>
        <w:t>), exprimée en pourcentage (%) de la masse du carburant utilisé par l’unité de consommateur de carburant spécifique. Pour les carburants tels que le GNL pour lesquels il existe des émissions diffuses et échappées, la quantité de ces émissions telle qu’indiquée dans le tableau est exprimée en pourcentage (%) de la masse du carburant utilisé (colonne 9). Les valeurs de C</w:t>
      </w:r>
      <w:r>
        <w:rPr>
          <w:noProof/>
          <w:vertAlign w:val="subscript"/>
        </w:rPr>
        <w:t>slip</w:t>
      </w:r>
      <w:r>
        <w:rPr>
          <w:noProof/>
        </w:rPr>
        <w:t> indiquées dans le tableau sont calculées à 50 % de la pleine charge du moteur.».</w:t>
      </w:r>
    </w:p>
    <w:p>
      <w:pPr>
        <w:pStyle w:val="Point0number"/>
        <w:rPr>
          <w:noProof/>
        </w:rPr>
      </w:pPr>
      <w:r>
        <w:rPr>
          <w:noProof/>
        </w:rPr>
        <w:t xml:space="preserve">La partie AA est supprimée. </w:t>
      </w:r>
    </w:p>
    <w:p>
      <w:pPr>
        <w:pStyle w:val="Point0number"/>
        <w:rPr>
          <w:noProof/>
        </w:rPr>
      </w:pPr>
      <w:r>
        <w:rPr>
          <w:noProof/>
        </w:rPr>
        <w:t xml:space="preserve">La partie B est modifiée comme suit: </w:t>
      </w:r>
    </w:p>
    <w:p>
      <w:pPr>
        <w:pStyle w:val="Point2letter"/>
        <w:rPr>
          <w:noProof/>
        </w:rPr>
      </w:pPr>
      <w:r>
        <w:rPr>
          <w:noProof/>
        </w:rPr>
        <w:t xml:space="preserve">le titre de la partie B est remplacé par le texte suivant: </w:t>
      </w:r>
    </w:p>
    <w:p>
      <w:pPr>
        <w:rPr>
          <w:noProof/>
        </w:rPr>
      </w:pPr>
      <w:r>
        <w:rPr>
          <w:noProof/>
        </w:rPr>
        <w:t>«</w:t>
      </w:r>
      <w:r>
        <w:rPr>
          <w:b/>
          <w:bCs/>
          <w:i/>
          <w:iCs/>
          <w:noProof/>
        </w:rPr>
        <w:t>B. MÉTHODES DE SURVEILLANCE SERVANT À DÉTERMINER LES ÉMISSIONS DE GAZ À EFET DE SERRE ET L’ÉNERGIE UTILISÉE</w:t>
      </w:r>
      <w:r>
        <w:rPr>
          <w:noProof/>
        </w:rPr>
        <w:t>»;</w:t>
      </w:r>
    </w:p>
    <w:p>
      <w:pPr>
        <w:pStyle w:val="Point2letter"/>
        <w:rPr>
          <w:noProof/>
        </w:rPr>
      </w:pPr>
      <w:r>
        <w:rPr>
          <w:noProof/>
        </w:rPr>
        <w:t xml:space="preserve">la première phrase est remplacée par le texte suivant: </w:t>
      </w:r>
    </w:p>
    <w:p>
      <w:pPr>
        <w:rPr>
          <w:noProof/>
        </w:rPr>
      </w:pPr>
      <w:r>
        <w:rPr>
          <w:noProof/>
        </w:rPr>
        <w:lastRenderedPageBreak/>
        <w:t>«La compagnie indique, dans le plan de surveillance, la méthode de surveillance à utiliser pour déterminer les émissions de gaz à effet de serre et l’énergie utilisée pour chaque navire relevant de sa responsabilité et veille à ce que cette méthode soit ensuite systématiquement appliquée.»;</w:t>
      </w:r>
    </w:p>
    <w:p>
      <w:pPr>
        <w:pStyle w:val="Point2letter"/>
        <w:rPr>
          <w:noProof/>
        </w:rPr>
      </w:pPr>
      <w:r>
        <w:rPr>
          <w:noProof/>
        </w:rPr>
        <w:t xml:space="preserve">la troisième phrase est remplacée par le texte suivant: </w:t>
      </w:r>
    </w:p>
    <w:p>
      <w:pPr>
        <w:rPr>
          <w:noProof/>
        </w:rPr>
      </w:pPr>
      <w:r>
        <w:rPr>
          <w:noProof/>
        </w:rPr>
        <w:t>«Selon l’approche par calcul (méthodes A, B et C), les émissions et l’énergie utilisée sont calculées au moyen des formules indiquées dans la partie A. À cet effet, la consommation réelle de combustible pour chaque voyage est déterminée en utilisant l’une des méthodes A, B ou C décrites ci-après et utilisées aux fins du calcul. Les sources d’incertitude et les niveaux d’incertitude associés sont pris en considération lors du choix de l’une des méthodes A, B ou C.»;</w:t>
      </w:r>
    </w:p>
    <w:p>
      <w:pPr>
        <w:pStyle w:val="Point2letter"/>
        <w:rPr>
          <w:noProof/>
        </w:rPr>
      </w:pPr>
      <w:r>
        <w:rPr>
          <w:noProof/>
        </w:rPr>
        <w:t xml:space="preserve">au point 3, la première phrase est remplacée par le texte suivant: </w:t>
      </w:r>
    </w:p>
    <w:p>
      <w:pPr>
        <w:rPr>
          <w:noProof/>
        </w:rPr>
      </w:pPr>
      <w:r>
        <w:rPr>
          <w:noProof/>
        </w:rPr>
        <w:t xml:space="preserve">«Cette méthode repose sur les débits de combustible mesurés à bord. Il s’agit de cumuler les données fournies par tous les débitmètres reliés aux sources d’émissions de gaz à effet de serre et aux consommateurs de carburant à prendre en considération afin de déterminer la consommation totale de combustible sur une période donnée.». </w:t>
      </w:r>
    </w:p>
    <w:sectPr>
      <w:headerReference w:type="even"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EUAlbertina">
    <w:altName w:val="Calibri"/>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PMincho">
    <w:charset w:val="80"/>
    <w:family w:val="roma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E</w:t>
      </w:r>
      <w:r>
        <w:rPr>
          <w:vertAlign w:val="subscript"/>
          <w:lang w:val="fr-BE"/>
        </w:rPr>
        <w:t xml:space="preserve">u </w:t>
      </w:r>
      <w:r>
        <w:rPr>
          <w:lang w:val="fr-BE"/>
        </w:rPr>
        <w:t>représente les émissions de la consommation de carburant telle que définie dans la directive (UE) 2018/2001.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104E2C"/>
    <w:multiLevelType w:val="hybridMultilevel"/>
    <w:tmpl w:val="C5E20E26"/>
    <w:lvl w:ilvl="0" w:tplc="C22CB030">
      <w:start w:val="1"/>
      <w:numFmt w:val="lowerRoman"/>
      <w:pStyle w:val="Considrant1"/>
      <w:lvlText w:val="(%1)"/>
      <w:lvlJc w:val="left"/>
      <w:pPr>
        <w:ind w:left="1196" w:hanging="720"/>
      </w:pPr>
      <w:rPr>
        <w:rFonts w:hint="default"/>
      </w:rPr>
    </w:lvl>
    <w:lvl w:ilvl="1" w:tplc="18090019" w:tentative="1">
      <w:start w:val="1"/>
      <w:numFmt w:val="lowerLetter"/>
      <w:lvlText w:val="%2."/>
      <w:lvlJc w:val="left"/>
      <w:pPr>
        <w:ind w:left="1556" w:hanging="360"/>
      </w:pPr>
    </w:lvl>
    <w:lvl w:ilvl="2" w:tplc="1809001B" w:tentative="1">
      <w:start w:val="1"/>
      <w:numFmt w:val="lowerRoman"/>
      <w:lvlText w:val="%3."/>
      <w:lvlJc w:val="right"/>
      <w:pPr>
        <w:ind w:left="2276" w:hanging="180"/>
      </w:pPr>
    </w:lvl>
    <w:lvl w:ilvl="3" w:tplc="1809000F" w:tentative="1">
      <w:start w:val="1"/>
      <w:numFmt w:val="decimal"/>
      <w:lvlText w:val="%4."/>
      <w:lvlJc w:val="left"/>
      <w:pPr>
        <w:ind w:left="2996" w:hanging="360"/>
      </w:pPr>
    </w:lvl>
    <w:lvl w:ilvl="4" w:tplc="18090019" w:tentative="1">
      <w:start w:val="1"/>
      <w:numFmt w:val="lowerLetter"/>
      <w:lvlText w:val="%5."/>
      <w:lvlJc w:val="left"/>
      <w:pPr>
        <w:ind w:left="3716" w:hanging="360"/>
      </w:pPr>
    </w:lvl>
    <w:lvl w:ilvl="5" w:tplc="1809001B" w:tentative="1">
      <w:start w:val="1"/>
      <w:numFmt w:val="lowerRoman"/>
      <w:lvlText w:val="%6."/>
      <w:lvlJc w:val="right"/>
      <w:pPr>
        <w:ind w:left="4436" w:hanging="180"/>
      </w:pPr>
    </w:lvl>
    <w:lvl w:ilvl="6" w:tplc="1809000F" w:tentative="1">
      <w:start w:val="1"/>
      <w:numFmt w:val="decimal"/>
      <w:lvlText w:val="%7."/>
      <w:lvlJc w:val="left"/>
      <w:pPr>
        <w:ind w:left="5156" w:hanging="360"/>
      </w:pPr>
    </w:lvl>
    <w:lvl w:ilvl="7" w:tplc="18090019" w:tentative="1">
      <w:start w:val="1"/>
      <w:numFmt w:val="lowerLetter"/>
      <w:lvlText w:val="%8."/>
      <w:lvlJc w:val="left"/>
      <w:pPr>
        <w:ind w:left="5876" w:hanging="360"/>
      </w:pPr>
    </w:lvl>
    <w:lvl w:ilvl="8" w:tplc="1809001B" w:tentative="1">
      <w:start w:val="1"/>
      <w:numFmt w:val="lowerRoman"/>
      <w:lvlText w:val="%9."/>
      <w:lvlJc w:val="right"/>
      <w:pPr>
        <w:ind w:left="6596" w:hanging="180"/>
      </w:p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8"/>
  </w:num>
  <w:num w:numId="4">
    <w:abstractNumId w:val="18"/>
  </w:num>
  <w:num w:numId="5">
    <w:abstractNumId w:val="17"/>
  </w:num>
  <w:num w:numId="6">
    <w:abstractNumId w:val="28"/>
  </w:num>
  <w:num w:numId="7">
    <w:abstractNumId w:val="25"/>
  </w:num>
  <w:num w:numId="8">
    <w:abstractNumId w:val="29"/>
  </w:num>
  <w:num w:numId="9">
    <w:abstractNumId w:val="30"/>
  </w:num>
  <w:num w:numId="10">
    <w:abstractNumId w:val="1"/>
  </w:num>
  <w:num w:numId="11">
    <w:abstractNumId w:val="10"/>
  </w:num>
  <w:num w:numId="12">
    <w:abstractNumId w:val="2"/>
  </w:num>
  <w:num w:numId="13">
    <w:abstractNumId w:val="11"/>
  </w:num>
  <w:num w:numId="14">
    <w:abstractNumId w:val="9"/>
  </w:num>
  <w:num w:numId="15">
    <w:abstractNumId w:val="19"/>
  </w:num>
  <w:num w:numId="16">
    <w:abstractNumId w:val="7"/>
  </w:num>
  <w:num w:numId="17">
    <w:abstractNumId w:val="16"/>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num>
  <w:num w:numId="20">
    <w:abstractNumId w:val="24"/>
  </w:num>
  <w:num w:numId="21">
    <w:abstractNumId w:val="12"/>
  </w:num>
  <w:num w:numId="22">
    <w:abstractNumId w:val="27"/>
  </w:num>
  <w:num w:numId="23">
    <w:abstractNumId w:val="6"/>
  </w:num>
  <w:num w:numId="24">
    <w:abstractNumId w:val="13"/>
  </w:num>
  <w:num w:numId="25">
    <w:abstractNumId w:val="14"/>
  </w:num>
  <w:num w:numId="26">
    <w:abstractNumId w:val="4"/>
  </w:num>
  <w:num w:numId="27">
    <w:abstractNumId w:val="26"/>
  </w:num>
  <w:num w:numId="28">
    <w:abstractNumId w:val="3"/>
  </w:num>
  <w:num w:numId="29">
    <w:abstractNumId w:val="15"/>
  </w:num>
  <w:num w:numId="30">
    <w:abstractNumId w:val="22"/>
  </w:num>
  <w:num w:numId="31">
    <w:abstractNumId w:val="23"/>
  </w:num>
  <w:num w:numId="32">
    <w:abstractNumId w:val="5"/>
  </w:num>
  <w:num w:numId="33">
    <w:abstractNumId w:val="20"/>
  </w:num>
  <w:num w:numId="34">
    <w:abstractNumId w:val="31"/>
  </w:num>
  <w:num w:numId="35">
    <w:abstractNumId w:val="24"/>
  </w:num>
  <w:num w:numId="36">
    <w:abstractNumId w:val="12"/>
  </w:num>
  <w:num w:numId="37">
    <w:abstractNumId w:val="27"/>
  </w:num>
  <w:num w:numId="38">
    <w:abstractNumId w:val="6"/>
  </w:num>
  <w:num w:numId="39">
    <w:abstractNumId w:val="13"/>
  </w:num>
  <w:num w:numId="40">
    <w:abstractNumId w:val="14"/>
  </w:num>
  <w:num w:numId="41">
    <w:abstractNumId w:val="4"/>
  </w:num>
  <w:num w:numId="42">
    <w:abstractNumId w:val="26"/>
  </w:num>
  <w:num w:numId="43">
    <w:abstractNumId w:val="3"/>
  </w:num>
  <w:num w:numId="44">
    <w:abstractNumId w:val="15"/>
  </w:num>
  <w:num w:numId="45">
    <w:abstractNumId w:val="22"/>
  </w:num>
  <w:num w:numId="46">
    <w:abstractNumId w:val="23"/>
  </w:num>
  <w:num w:numId="47">
    <w:abstractNumId w:val="5"/>
  </w:num>
  <w:num w:numId="48">
    <w:abstractNumId w:val="20"/>
  </w:num>
  <w:num w:numId="49">
    <w:abstractNumId w:val="3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8 15:06: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510437C9-980F-45B2-8BFF-256F7531A6B8"/>
    <w:docVar w:name="LW_COVERPAGE_TYPE" w:val="1"/>
    <w:docVar w:name="LW_CreatedUtc" w:val="2026-07-07T11:54:17.5509419Z"/>
    <w:docVar w:name="LW_CROSSREFERENCE" w:val="{SEC(2026) 616 final} - {SWD(2026) 616 final} - {SWD(2026) 617 final} - {SWD(2026) 618 final}"/>
    <w:docVar w:name="LW_DocType" w:val="ANNEX"/>
    <w:docVar w:name="LW_EMISSION" w:val="17.7.2026"/>
    <w:docVar w:name="LW_EMISSION_ISODATE" w:val="2026-07-17"/>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modifiant les règlements (UE) 2015/757 et (UE) 2023/1805 afin de simplifier et de rationaliser la surveillance, la déclaration et la vérification et de les aligner sur les révisions du système d'échange de quotas d'émission de l'UE_x000d__x000d__x000d__x000d__x000d__x000d__x000d__x000d__x000d__x000b_"/>
    <w:docVar w:name="LW_OBJETACTEPRINCIPAL.CP" w:val="modifiant les règlements (UE) 2015/757 et (UE) 2023/1805 afin de simplifier et de rationaliser la surveillance, la déclaration et la vérification et de les aligner sur les révisions du système d'échange de quotas d'émission de l'UE_x000d__x000d__x000d__x000d__x000d__x000d__x000d__x000d__x000d__x000b_"/>
    <w:docVar w:name="LW_PART_NBR" w:val="1"/>
    <w:docVar w:name="LW_PART_NBR_TOTAL" w:val="1"/>
    <w:docVar w:name="LW_REF.INST.NEW" w:val="COM"/>
    <w:docVar w:name="LW_REF.INST.NEW_ADOPTED" w:val="final"/>
    <w:docVar w:name="LW_REF.INST.NEW_TEXT" w:val="(2026) 6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RÈGLEMENT DU PARLEMENT EUROPÉEN ET DU CONSEIL"/>
    <w:docVar w:name="LW_TYPEACTEPRINCIPAL.CP" w:val="Proposition de RÈGLEMENT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reobjet">
    <w:name w:val="Titre objet"/>
    <w:basedOn w:val="Normal"/>
    <w:next w:val="IntrtEEE"/>
    <w:pPr>
      <w:spacing w:before="360" w:after="360"/>
      <w:jc w:val="center"/>
    </w:pPr>
    <w:rPr>
      <w:b/>
    </w:rPr>
  </w:style>
  <w:style w:type="paragraph" w:customStyle="1" w:styleId="TitreobjetPagedecouverture">
    <w:name w:val="Titre objet (Page de couverture)"/>
    <w:basedOn w:val="Titreobjet"/>
    <w:next w:val="IntrtEEEPagedecouverture"/>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 Znak Znak Znak,Znak Znak Znak,toc 2,TOC 21"/>
    <w:uiPriority w:val="99"/>
    <w:qFormat/>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aliases w:val="Text poznámky"/>
    <w:basedOn w:val="Normal"/>
    <w:link w:val="CommentTextChar"/>
    <w:uiPriority w:val="99"/>
    <w:rPr>
      <w:rFonts w:eastAsia="Times New Roman"/>
      <w:sz w:val="20"/>
      <w:szCs w:val="20"/>
      <w:lang w:eastAsia="en-GB"/>
    </w:rPr>
  </w:style>
  <w:style w:type="character" w:customStyle="1" w:styleId="CommentTextChar">
    <w:name w:val="Comment Text Char"/>
    <w:aliases w:val="Text poznámky Char"/>
    <w:basedOn w:val="DefaultParagraphFont"/>
    <w:link w:val="CommentText"/>
    <w:uiPriority w:val="99"/>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uiPriority w:val="99"/>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val="en-GB"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en-GB"/>
    </w:rPr>
  </w:style>
  <w:style w:type="character" w:customStyle="1" w:styleId="FooterCoverPageChar">
    <w:name w:val="Footer Cover Page Char"/>
    <w:link w:val="FooterCoverPag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en-GB" w:eastAsia="en-GB"/>
    </w:rPr>
  </w:style>
  <w:style w:type="character" w:customStyle="1" w:styleId="FooterSensitivityChar">
    <w:name w:val="Footer Sensitivity Char"/>
    <w:rPr>
      <w:rFonts w:ascii="Times New Roman" w:hAnsi="Times New Roman" w:cs="Times New Roman"/>
      <w:b/>
      <w:sz w:val="32"/>
      <w:lang w:val="en-GB"/>
    </w:rPr>
  </w:style>
  <w:style w:type="character" w:customStyle="1" w:styleId="HeaderSensitivityChar">
    <w:name w:val="Header Sensitivity Char"/>
    <w:rPr>
      <w:rFonts w:ascii="Times New Roman" w:hAnsi="Times New Roman" w:cs="Times New Roman"/>
      <w:b/>
      <w:sz w:val="32"/>
      <w:lang w:val="en-GB"/>
    </w:rPr>
  </w:style>
  <w:style w:type="character" w:customStyle="1" w:styleId="HeaderSensitivityRightChar">
    <w:name w:val="Header Sensitivity Right Char"/>
    <w:rPr>
      <w:rFonts w:ascii="Times New Roman" w:hAnsi="Times New Roman" w:cs="Times New Roman"/>
      <w:sz w:val="28"/>
      <w:lang w:val="en-GB"/>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L"/>
    <w:basedOn w:val="Normal"/>
    <w:link w:val="ListParagraphChar"/>
    <w:uiPriority w:val="34"/>
    <w:qFormat/>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customStyle="1" w:styleId="Mention1">
    <w:name w:val="Mention1"/>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styleId="NormalWeb">
    <w:name w:val="Normal (Web)"/>
    <w:basedOn w:val="Normal"/>
    <w:uiPriority w:val="99"/>
    <w:unhideWhenUsed/>
    <w:pPr>
      <w:spacing w:before="100" w:beforeAutospacing="1" w:after="100" w:afterAutospacing="1"/>
      <w:jc w:val="left"/>
    </w:pPr>
    <w:rPr>
      <w:rFonts w:eastAsia="Times New Roman"/>
      <w:szCs w:val="20"/>
      <w:lang w:eastAsia="en-GB"/>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0"/>
      <w:lang w:eastAsia="en-GB"/>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Helvetica" w:eastAsia="Times New Roman" w:hAnsi="Helvetica" w:cs="Helvetica"/>
      <w:color w:val="404040"/>
      <w:szCs w:val="20"/>
      <w:lang w:eastAsia="en-GB"/>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Helvetica" w:eastAsia="Times New Roman" w:hAnsi="Helvetica" w:cs="Helvetica"/>
      <w:color w:val="404040"/>
      <w:szCs w:val="20"/>
      <w:lang w:eastAsia="en-GB"/>
    </w:rPr>
  </w:style>
  <w:style w:type="paragraph" w:customStyle="1" w:styleId="CM3">
    <w:name w:val="CM3"/>
    <w:basedOn w:val="Normal"/>
    <w:uiPriority w:val="99"/>
    <w:pPr>
      <w:autoSpaceDE w:val="0"/>
      <w:autoSpaceDN w:val="0"/>
      <w:spacing w:before="0" w:after="0"/>
      <w:jc w:val="left"/>
    </w:pPr>
    <w:rPr>
      <w:rFonts w:ascii="EUAlbertina" w:eastAsia="Calibri" w:hAnsi="EUAlbertina"/>
      <w:szCs w:val="20"/>
      <w:lang w:eastAsia="en-GB"/>
    </w:rPr>
  </w:style>
  <w:style w:type="paragraph" w:styleId="NoSpacing">
    <w:name w:val="No Spacing"/>
    <w:uiPriority w:val="1"/>
    <w:qFormat/>
    <w:pPr>
      <w:spacing w:after="0" w:line="240" w:lineRule="auto"/>
    </w:pPr>
    <w:rPr>
      <w:kern w:val="2"/>
      <w:sz w:val="24"/>
      <w:szCs w:val="24"/>
      <w:lang w:val="en-IE"/>
      <w14:ligatures w14:val="standardContextual"/>
    </w:rPr>
  </w:style>
  <w:style w:type="character" w:customStyle="1" w:styleId="TOC211">
    <w:name w:val="TOC 211"/>
    <w:uiPriority w:val="99"/>
    <w:unhideWhenUsed/>
    <w:qFormat/>
    <w:rPr>
      <w:color w:val="0000FF"/>
      <w:u w:val="single"/>
    </w:rPr>
  </w:style>
  <w:style w:type="paragraph" w:customStyle="1" w:styleId="1letter">
    <w:name w:val="'1 (letter)"/>
    <w:basedOn w:val="Point1letter"/>
    <w:pPr>
      <w:numPr>
        <w:ilvl w:val="0"/>
        <w:numId w:val="0"/>
      </w:numPr>
      <w:ind w:left="1417"/>
    </w:p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paragraph" w:customStyle="1" w:styleId="oj-normal">
    <w:name w:val="oj-normal"/>
    <w:basedOn w:val="Normal"/>
    <w:pPr>
      <w:spacing w:before="100" w:beforeAutospacing="1" w:after="100" w:afterAutospacing="1"/>
      <w:jc w:val="left"/>
    </w:pPr>
    <w:rPr>
      <w:rFonts w:eastAsia="Times New Roman"/>
      <w:szCs w:val="24"/>
      <w:lang w:val="en-IE" w:eastAsia="en-IE"/>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link w:val="ListParagraph"/>
    <w:uiPriority w:val="34"/>
    <w:qFormat/>
    <w:rPr>
      <w:rFonts w:ascii="Times New Roman" w:eastAsia="Times New Roman" w:hAnsi="Times New Roman" w:cs="Times New Roman"/>
      <w:sz w:val="24"/>
      <w:lang w:val="en-GB" w:eastAsia="en-GB"/>
    </w:rPr>
  </w:style>
  <w:style w:type="character" w:customStyle="1" w:styleId="no-parag">
    <w:name w:val="no-parag"/>
    <w:basedOn w:val="DefaultParagraphFont"/>
  </w:style>
  <w:style w:type="paragraph" w:customStyle="1" w:styleId="norm">
    <w:name w:val="norm"/>
    <w:basedOn w:val="Normal"/>
    <w:pPr>
      <w:spacing w:before="100" w:beforeAutospacing="1" w:after="100" w:afterAutospacing="1"/>
      <w:jc w:val="left"/>
    </w:pPr>
    <w:rPr>
      <w:rFonts w:eastAsia="Times New Roman"/>
      <w:szCs w:val="24"/>
      <w:lang w:val="en-IE" w:eastAsia="en-IE"/>
    </w:rPr>
  </w:style>
  <w:style w:type="character" w:customStyle="1" w:styleId="boldface">
    <w:name w:val="boldface"/>
    <w:basedOn w:val="DefaultParagraphFont"/>
  </w:style>
  <w:style w:type="paragraph" w:customStyle="1" w:styleId="modref">
    <w:name w:val="modref"/>
    <w:basedOn w:val="Normal"/>
    <w:pPr>
      <w:spacing w:before="100" w:beforeAutospacing="1" w:after="100" w:afterAutospacing="1"/>
      <w:jc w:val="left"/>
    </w:pPr>
    <w:rPr>
      <w:rFonts w:eastAsia="Times New Roman"/>
      <w:szCs w:val="24"/>
      <w:lang w:val="en-IE" w:eastAsia="en-IE"/>
    </w:rPr>
  </w:style>
  <w:style w:type="paragraph" w:customStyle="1" w:styleId="Point">
    <w:name w:val="Point"/>
    <w:basedOn w:val="Point0number"/>
    <w:pPr>
      <w:numPr>
        <w:numId w:val="0"/>
      </w:numPr>
    </w:pPr>
  </w:style>
  <w:style w:type="character" w:customStyle="1" w:styleId="CommentReference1">
    <w:name w:val="Comment Reference1"/>
    <w:basedOn w:val="DefaultParagraphFont"/>
    <w:uiPriority w:val="99"/>
    <w:unhideWhenUsed/>
    <w:rPr>
      <w:sz w:val="16"/>
      <w:szCs w:val="16"/>
    </w:rPr>
  </w:style>
  <w:style w:type="paragraph" w:customStyle="1" w:styleId="Considrant1">
    <w:name w:val="Considérant (1)"/>
    <w:basedOn w:val="Considrant"/>
    <w:pPr>
      <w:numPr>
        <w:numId w:val="17"/>
      </w:numPr>
      <w:ind w:left="0" w:firstLine="0"/>
    </w:pPr>
    <w:rPr>
      <w:iCs/>
    </w:rPr>
  </w:style>
  <w:style w:type="character" w:customStyle="1" w:styleId="CommentTextChar1">
    <w:name w:val="Comment Text Char1"/>
    <w:basedOn w:val="DefaultParagraphFont"/>
    <w:uiPriority w:val="99"/>
    <w:rPr>
      <w:rFonts w:ascii="Times New Roman" w:hAnsi="Times New Roman" w:cs="Times New Roman"/>
      <w:sz w:val="20"/>
      <w:szCs w:val="20"/>
      <w:lang w:val="en-GB"/>
    </w:rPr>
  </w:style>
  <w:style w:type="paragraph" w:customStyle="1" w:styleId="Point00">
    <w:name w:val="Point 00"/>
    <w:basedOn w:val="Normal"/>
    <w:pPr>
      <w:ind w:left="850" w:hanging="850"/>
    </w:pPr>
  </w:style>
  <w:style w:type="paragraph" w:customStyle="1" w:styleId="Point1letter0">
    <w:name w:val="Point 1 (letter)0"/>
    <w:basedOn w:val="Normal"/>
    <w:pPr>
      <w:tabs>
        <w:tab w:val="num" w:pos="1417"/>
      </w:tabs>
      <w:ind w:left="1417" w:hanging="567"/>
    </w:pPr>
  </w:style>
  <w:style w:type="paragraph" w:customStyle="1" w:styleId="Text">
    <w:name w:val="Text"/>
    <w:basedOn w:val="Text2"/>
    <w:rPr>
      <w:lang w:val="en-IE"/>
    </w:rPr>
  </w:style>
  <w:style w:type="paragraph" w:customStyle="1" w:styleId="Point1letter1">
    <w:name w:val="Point 1(letter)"/>
    <w:basedOn w:val="Point0letter"/>
    <w:pPr>
      <w:numPr>
        <w:ilvl w:val="0"/>
        <w:numId w:val="0"/>
      </w:numPr>
      <w:tabs>
        <w:tab w:val="num" w:pos="850"/>
      </w:tabs>
    </w:pPr>
  </w:style>
  <w:style w:type="paragraph" w:customStyle="1" w:styleId="Point0">
    <w:name w:val="Point 0"/>
    <w:basedOn w:val="Normal"/>
    <w:pPr>
      <w:ind w:left="850" w:hanging="85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1">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1"/>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EN/TXT/?uri=CELEX%3A02015R0757-20250101" TargetMode="Externa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10060-3C63-4175-B611-6852AFC6C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0</TotalTime>
  <Pages>2</Pages>
  <Words>2957</Words>
  <Characters>16860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2026-09-08T07:35:00Z</dcterms:created>
  <dcterms:modified xsi:type="dcterms:W3CDTF">2026-09-08T13:06:00Z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2026-07-14T21:29:19Z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b687e1d9-2b54-4324-9ee3-90db830cf4f6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SG-017</vt:lpwstr>
  </property>
  <property fmtid="{D5CDD505-2E9C-101B-9397-08002B2CF9AE}" pid="19" name="DQCStatus">
    <vt:lpwstr>Green (DQC version 03)</vt:lpwstr>
  </property>
</Properties>
</file>