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DD78211-C99A-4159-878C-43B7DCEC5788" style="width:455.25pt;height:416.25pt">
            <v:imagedata r:id="rId11" o:title=""/>
          </v:shape>
        </w:pict>
      </w:r>
    </w:p>
    <w:p>
      <w:pPr>
        <w:pStyle w:val="Pagedecouverture"/>
        <w:rPr>
          <w:noProof/>
        </w:rPr>
        <w:sectPr>
          <w:footerReference w:type="even" r:id="rId12"/>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noProof/>
        </w:rPr>
      </w:pPr>
      <w:r>
        <w:rPr>
          <w:noProof/>
        </w:rPr>
        <w:t>1.</w:t>
      </w:r>
      <w:r>
        <w:rPr>
          <w:noProof/>
        </w:rPr>
        <w:tab/>
        <w:t>CONTEXTUL PROPUNERII</w:t>
      </w:r>
    </w:p>
    <w:p>
      <w:pPr>
        <w:pStyle w:val="ManualHeading2"/>
        <w:rPr>
          <w:rFonts w:eastAsia="Arial Unicode MS"/>
          <w:noProof/>
        </w:rPr>
      </w:pPr>
      <w:r>
        <w:rPr>
          <w:noProof/>
          <w:color w:val="000000"/>
          <w:u w:color="000000"/>
          <w:bdr w:val="nil"/>
        </w:rPr>
        <w:t>•</w:t>
      </w:r>
      <w:r>
        <w:rPr>
          <w:noProof/>
        </w:rPr>
        <w:tab/>
        <w:t>Motivele și obiectivele propunerii</w:t>
      </w:r>
    </w:p>
    <w:p>
      <w:pPr>
        <w:rPr>
          <w:noProof/>
        </w:rPr>
      </w:pPr>
      <w:r>
        <w:rPr>
          <w:noProof/>
        </w:rPr>
        <w:t>Modificările propuse la Regulamentul (UE) 2015/757 și la Regulamentul (UE) 2023/1805 au fost separate de propunerea Comisiei COM(2026) 616</w:t>
      </w:r>
      <w:r>
        <w:rPr>
          <w:rStyle w:val="FootnoteReference"/>
          <w:noProof/>
        </w:rPr>
        <w:footnoteReference w:id="1"/>
      </w:r>
      <w:r>
        <w:rPr>
          <w:noProof/>
        </w:rPr>
        <w:t xml:space="preserve"> („propunerea generală privind ETS”) numai în ceea ce privește aspectele legate de forma juridică. Următoarele aspecte sunt abordate în expunerea de motive a propunerii generale privind ETS: (i) motivele și obiectivele propunerii; (ii) coerența cu dispozițiile de politică deja existente în domeniul de politică vizat; (iii) coerența cu alte politici ale Uniunii.</w:t>
      </w:r>
    </w:p>
    <w:p>
      <w:pPr>
        <w:pStyle w:val="ManualHeading1"/>
        <w:rPr>
          <w:noProof/>
        </w:rPr>
      </w:pPr>
      <w:r>
        <w:rPr>
          <w:noProof/>
        </w:rPr>
        <w:t>2.</w:t>
      </w:r>
      <w:r>
        <w:rPr>
          <w:noProof/>
        </w:rPr>
        <w:tab/>
        <w:t>TEMEI JURIDIC, SUBSIDIARITATE ȘI PROPORȚIONALITATE</w:t>
      </w:r>
    </w:p>
    <w:p>
      <w:pPr>
        <w:pStyle w:val="ManualHeading2"/>
        <w:rPr>
          <w:rFonts w:eastAsia="Arial Unicode MS"/>
          <w:noProof/>
          <w:u w:color="000000"/>
          <w:bdr w:val="nil"/>
        </w:rPr>
      </w:pPr>
      <w:r>
        <w:rPr>
          <w:noProof/>
          <w:u w:color="000000"/>
          <w:bdr w:val="nil"/>
        </w:rPr>
        <w:t>•</w:t>
      </w:r>
      <w:r>
        <w:rPr>
          <w:noProof/>
        </w:rPr>
        <w:tab/>
      </w:r>
      <w:r>
        <w:rPr>
          <w:noProof/>
          <w:u w:color="000000"/>
          <w:bdr w:val="nil"/>
        </w:rPr>
        <w:t>Temeiul juridic</w:t>
      </w:r>
    </w:p>
    <w:p>
      <w:pPr>
        <w:rPr>
          <w:noProof/>
        </w:rPr>
      </w:pPr>
      <w:r>
        <w:rPr>
          <w:noProof/>
        </w:rPr>
        <w:t xml:space="preserve">Temeiul juridic este același [articolul 192 alineatul (1) din Tratatul privind funcționarea Uniunii Europene] ca și pentru propunerea generală privind ETS, deoarece abordează un element al revizuirii generale. </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Subsidiaritatea (în cazul competențelor neexclusive) </w:t>
      </w:r>
    </w:p>
    <w:p>
      <w:pPr>
        <w:rPr>
          <w:noProof/>
        </w:rPr>
      </w:pPr>
      <w:r>
        <w:rPr>
          <w:noProof/>
        </w:rPr>
        <w:t>EU ETS se bazează în mare măsură pe norme armonizate la nivelul Uniunii. Prezenta propunere a fost separată de propunerea generală privind ETS exclusiv din motive de formă juridică și ar trebui tratată împreună cu propunerea principală. Modificările aduse regulamentelor modifică dispoziții armonizate.</w:t>
      </w:r>
    </w:p>
    <w:p>
      <w:pPr>
        <w:pStyle w:val="ManualHeading2"/>
        <w:rPr>
          <w:rFonts w:eastAsia="Arial Unicode MS"/>
          <w:noProof/>
          <w:u w:color="000000"/>
          <w:bdr w:val="nil"/>
        </w:rPr>
      </w:pPr>
      <w:r>
        <w:rPr>
          <w:noProof/>
          <w:u w:color="000000"/>
          <w:bdr w:val="nil"/>
        </w:rPr>
        <w:t>•</w:t>
      </w:r>
      <w:r>
        <w:rPr>
          <w:noProof/>
        </w:rPr>
        <w:tab/>
      </w:r>
      <w:r>
        <w:rPr>
          <w:noProof/>
          <w:u w:color="000000"/>
          <w:bdr w:val="nil"/>
        </w:rPr>
        <w:t>Proporționalitatea</w:t>
      </w:r>
    </w:p>
    <w:p>
      <w:pPr>
        <w:pBdr>
          <w:top w:val="nil"/>
          <w:left w:val="nil"/>
          <w:bottom w:val="nil"/>
          <w:right w:val="nil"/>
          <w:between w:val="nil"/>
          <w:bar w:val="nil"/>
        </w:pBdr>
        <w:spacing w:before="0" w:after="240"/>
        <w:rPr>
          <w:rFonts w:eastAsia="Arial Unicode MS"/>
          <w:noProof/>
          <w:color w:val="0000FF"/>
        </w:rPr>
      </w:pPr>
      <w:r>
        <w:rPr>
          <w:noProof/>
        </w:rPr>
        <w:t>Modificările propuse la Regulamentul (UE) 2015/757 și la Regulamentul (UE) 2023/1805 au fost separate de propunerea generală privind ETS numai în ceea ce privește aspectele legate de forma juridică. Acest aspect este abordat în expunerea de motive a propunerii generale privind ETS.</w:t>
      </w:r>
    </w:p>
    <w:p>
      <w:pPr>
        <w:pStyle w:val="ManualHeading2"/>
        <w:rPr>
          <w:rFonts w:eastAsia="Arial Unicode MS"/>
          <w:noProof/>
          <w:u w:color="000000"/>
          <w:bdr w:val="nil"/>
        </w:rPr>
      </w:pPr>
      <w:r>
        <w:rPr>
          <w:noProof/>
          <w:u w:color="000000"/>
          <w:bdr w:val="nil"/>
        </w:rPr>
        <w:t>•</w:t>
      </w:r>
      <w:r>
        <w:rPr>
          <w:noProof/>
        </w:rPr>
        <w:tab/>
      </w:r>
      <w:r>
        <w:rPr>
          <w:noProof/>
          <w:u w:color="000000"/>
          <w:bdr w:val="nil"/>
        </w:rPr>
        <w:t>Alegerea instrumentului</w:t>
      </w:r>
    </w:p>
    <w:p>
      <w:pPr>
        <w:pBdr>
          <w:top w:val="nil"/>
          <w:left w:val="nil"/>
          <w:bottom w:val="nil"/>
          <w:right w:val="nil"/>
          <w:between w:val="nil"/>
          <w:bar w:val="nil"/>
        </w:pBdr>
        <w:spacing w:before="0" w:after="240"/>
        <w:rPr>
          <w:noProof/>
        </w:rPr>
      </w:pPr>
      <w:r>
        <w:rPr>
          <w:noProof/>
        </w:rPr>
        <w:t>Întrucât actele legislative inițiale sunt regulamente ale Parlamentului European și ale Consiliului, modificările trebuie introduse, de asemenea, sub forma unui regulament al Parlamentului European și al Consiliului, în cadrul procedurii legislative ordinare.</w:t>
      </w:r>
    </w:p>
    <w:p>
      <w:pPr>
        <w:pStyle w:val="ManualHeading1"/>
        <w:rPr>
          <w:noProof/>
        </w:rPr>
      </w:pPr>
      <w:r>
        <w:rPr>
          <w:noProof/>
        </w:rPr>
        <w:t>3.</w:t>
      </w:r>
      <w:r>
        <w:rPr>
          <w:noProof/>
        </w:rPr>
        <w:tab/>
        <w:t xml:space="preserve">REZULTATELE EVALUĂRILOR </w:t>
      </w:r>
      <w:r>
        <w:rPr>
          <w:i/>
          <w:noProof/>
        </w:rPr>
        <w:t>EX POST</w:t>
      </w:r>
      <w:r>
        <w:rPr>
          <w:noProof/>
        </w:rPr>
        <w:t>, ALE CONSULTĂRILOR CU PĂRȚILE INTERESATE ȘI ALE EVALUĂRILOR IMPACTULUI</w:t>
      </w:r>
    </w:p>
    <w:p>
      <w:pPr>
        <w:rPr>
          <w:noProof/>
        </w:rPr>
      </w:pPr>
      <w:r>
        <w:rPr>
          <w:noProof/>
        </w:rPr>
        <w:t xml:space="preserve">Modificările propuse la Regulamentul (UE) 2015/757 și la Regulamentul (UE) 2023/1805 au fost separate de propunerea generală privind ETS numai în ceea ce privește aspectele legate de forma juridică. Următoarele aspecte sunt abordate în expunerea de motive a propunerii generale privind ETS: (i) </w:t>
      </w:r>
      <w:r>
        <w:rPr>
          <w:noProof/>
          <w:u w:color="000000"/>
          <w:bdr w:val="nil"/>
        </w:rPr>
        <w:t xml:space="preserve">evaluările </w:t>
      </w:r>
      <w:r>
        <w:rPr>
          <w:i/>
          <w:noProof/>
          <w:u w:color="000000"/>
          <w:bdr w:val="nil"/>
        </w:rPr>
        <w:t>ex post</w:t>
      </w:r>
      <w:r>
        <w:rPr>
          <w:noProof/>
          <w:u w:color="000000"/>
          <w:bdr w:val="nil"/>
        </w:rPr>
        <w:t xml:space="preserve">/verificarea adecvării legislației existente; (ii) consultarea cu părțile interesate; (iii) obținerea și utilizarea cunoștințelor de specialitate; (iv) evaluarea impactului; (v) </w:t>
      </w:r>
      <w:r>
        <w:rPr>
          <w:noProof/>
        </w:rPr>
        <w:t xml:space="preserve">adecvarea reglementărilor și simplificarea; (vi) drepturile fundamentale. </w:t>
      </w:r>
    </w:p>
    <w:p>
      <w:pPr>
        <w:pBdr>
          <w:top w:val="nil"/>
          <w:left w:val="nil"/>
          <w:bottom w:val="nil"/>
          <w:right w:val="nil"/>
          <w:between w:val="nil"/>
          <w:bar w:val="nil"/>
        </w:pBdr>
        <w:spacing w:before="0" w:after="240"/>
        <w:rPr>
          <w:rFonts w:eastAsia="Arial Unicode MS"/>
          <w:noProof/>
        </w:rPr>
      </w:pPr>
      <w:r>
        <w:rPr>
          <w:noProof/>
        </w:rPr>
        <w:t xml:space="preserve">În special, o singură evaluare globală a impactului însoțește atât prezenta propunere, cât și propunerea conexă a Comisiei de revizuire a Directivei EU ETS și a fost prezentată </w:t>
      </w:r>
      <w:r>
        <w:rPr>
          <w:noProof/>
        </w:rPr>
        <w:lastRenderedPageBreak/>
        <w:t xml:space="preserve">Comitetului de control normativ (CCN) la 23 martie 2026. Expunerea de motive a propunerii principale explică contextul mai larg. Evaluarea impactului include verificarea coerenței articolului 6 alineatul (4) din Legea europeană a climei, care impune Comisiei să evalueze coerența oricărui proiect de măsură sau a oricărei propuneri legislative a UE cu obiectivele Legii climei, cum ar fi obiectivul UE de realizare a neutralității climatice. </w:t>
      </w:r>
    </w:p>
    <w:p>
      <w:pPr>
        <w:pStyle w:val="ManualHeading1"/>
        <w:rPr>
          <w:noProof/>
        </w:rPr>
      </w:pPr>
      <w:r>
        <w:rPr>
          <w:noProof/>
        </w:rPr>
        <w:t>4.</w:t>
      </w:r>
      <w:r>
        <w:rPr>
          <w:noProof/>
        </w:rPr>
        <w:tab/>
        <w:t>IMPLICAȚII BUGETARE</w:t>
      </w:r>
    </w:p>
    <w:p>
      <w:pPr>
        <w:rPr>
          <w:noProof/>
        </w:rPr>
      </w:pPr>
      <w:r>
        <w:rPr>
          <w:noProof/>
        </w:rPr>
        <w:t>Acest aspect este abordat în expunerea de motive a propunerii generale privind ETS, din care aceste elemente au fost separate numai pentru aspecte legate de forma juridică.</w:t>
      </w:r>
    </w:p>
    <w:p>
      <w:pPr>
        <w:rPr>
          <w:noProof/>
        </w:rPr>
      </w:pPr>
      <w:r>
        <w:rPr>
          <w:noProof/>
        </w:rPr>
        <w:t>Fișa financiară legislativă și digitală care însoțește propunerea generală privind ETS abordează toate aspectele legate de prezenta propunere.</w:t>
      </w:r>
    </w:p>
    <w:p>
      <w:pPr>
        <w:pStyle w:val="ManualHeading1"/>
        <w:rPr>
          <w:noProof/>
        </w:rPr>
      </w:pPr>
      <w:r>
        <w:rPr>
          <w:noProof/>
        </w:rPr>
        <w:t>5.</w:t>
      </w:r>
      <w:r>
        <w:rPr>
          <w:noProof/>
        </w:rPr>
        <w:tab/>
        <w:t>ALTE ELEMENTE</w:t>
      </w:r>
    </w:p>
    <w:p>
      <w:pPr>
        <w:pStyle w:val="ManualHeading2"/>
        <w:rPr>
          <w:rFonts w:eastAsia="Arial Unicode MS"/>
          <w:noProof/>
          <w:u w:color="000000"/>
          <w:bdr w:val="nil"/>
        </w:rPr>
      </w:pPr>
      <w:r>
        <w:rPr>
          <w:noProof/>
          <w:u w:color="000000"/>
          <w:bdr w:val="nil"/>
        </w:rPr>
        <w:t>•</w:t>
      </w:r>
      <w:r>
        <w:rPr>
          <w:noProof/>
        </w:rPr>
        <w:tab/>
      </w:r>
      <w:r>
        <w:rPr>
          <w:noProof/>
          <w:u w:color="000000"/>
          <w:bdr w:val="nil"/>
        </w:rPr>
        <w:t>Planurile de punere în aplicare și măsurile de monitorizare, evaluare și raportare</w:t>
      </w:r>
    </w:p>
    <w:p>
      <w:pPr>
        <w:pBdr>
          <w:top w:val="nil"/>
          <w:left w:val="nil"/>
          <w:bottom w:val="nil"/>
          <w:right w:val="nil"/>
          <w:between w:val="nil"/>
          <w:bar w:val="nil"/>
        </w:pBdr>
        <w:spacing w:before="0" w:after="240"/>
        <w:rPr>
          <w:noProof/>
        </w:rPr>
      </w:pPr>
      <w:r>
        <w:rPr>
          <w:noProof/>
        </w:rPr>
        <w:t>Acest aspect este abordat în expunerea de motive a propunerii generale privind ETS, din care aceste elemente au fost separate numai pentru aspecte legate de forma juridică.</w:t>
      </w:r>
    </w:p>
    <w:p>
      <w:pPr>
        <w:pStyle w:val="ManualHeading2"/>
        <w:rPr>
          <w:rFonts w:eastAsia="Arial Unicode MS"/>
          <w:noProof/>
          <w:u w:color="000000"/>
          <w:bdr w:val="nil"/>
        </w:rPr>
      </w:pPr>
      <w:r>
        <w:rPr>
          <w:noProof/>
          <w:u w:color="000000"/>
          <w:bdr w:val="nil"/>
        </w:rPr>
        <w:t>•</w:t>
      </w:r>
      <w:r>
        <w:rPr>
          <w:noProof/>
        </w:rPr>
        <w:tab/>
      </w:r>
      <w:r>
        <w:rPr>
          <w:noProof/>
          <w:u w:color="000000"/>
          <w:bdr w:val="nil"/>
        </w:rPr>
        <w:t>Explicarea detaliată a dispozițiilor specifice ale propunerii</w:t>
      </w:r>
    </w:p>
    <w:p>
      <w:pPr>
        <w:rPr>
          <w:noProof/>
        </w:rPr>
      </w:pPr>
      <w:r>
        <w:rPr>
          <w:noProof/>
        </w:rPr>
        <w:t xml:space="preserve">Principalele modificări aduse Regulamentului privind MRV în domeniul maritim și Regulamentului FuelEU în domeniul maritim sunt următoarele: </w:t>
      </w:r>
    </w:p>
    <w:p>
      <w:pPr>
        <w:pStyle w:val="Bullet0"/>
        <w:numPr>
          <w:ilvl w:val="0"/>
          <w:numId w:val="20"/>
        </w:numPr>
        <w:rPr>
          <w:noProof/>
        </w:rPr>
      </w:pPr>
      <w:r>
        <w:rPr>
          <w:noProof/>
        </w:rPr>
        <w:t xml:space="preserve">Propunerea urmărește să asigure simplificarea pentru operatorii care respectă obligațiile MRV/ETS și FuelEU prin fuzionarea ciclurilor de conformitate MRV relevante și prin reducerea la minimum a suprapunerilor existente și a domeniilor de divergență. Acest lucru necesită o extindere a domeniului de aplicare al Regulamentului privind MRV (articolul 2 modificat) pentru a acoperi consumul de energie în plus față de datele privind emisiile de GES și eficiența energetică, precum și o actualizare a cerințelor de monitorizare și raportare (articolul 9 modificat și articolul 10 modificat) pentru a se asigura că toate datele relevante sunt colectate în cadrul aceluiași sistem MRV. </w:t>
      </w:r>
    </w:p>
    <w:p>
      <w:pPr>
        <w:pStyle w:val="Tiret1"/>
        <w:numPr>
          <w:ilvl w:val="0"/>
          <w:numId w:val="21"/>
        </w:numPr>
        <w:rPr>
          <w:noProof/>
        </w:rPr>
      </w:pPr>
      <w:r>
        <w:rPr>
          <w:noProof/>
        </w:rPr>
        <w:t xml:space="preserve">Modificările propuse introduc modificări subsecvente ale conținutului planului de monitorizare și ale modalităților de transmitere a acestuia (articolul 6 modificat) și ale raportului privind emisiile (articolul 11 modificat). În consecință, întreprinderile au obligația de a include și de a transmite toate informațiile necesare într-un singur document într-un flux de lucru comun pentru respectarea cerințelor MRV atât în cadrul MRV/ETS, cât și al FuelEU. </w:t>
      </w:r>
    </w:p>
    <w:p>
      <w:pPr>
        <w:pStyle w:val="Tiret1"/>
        <w:rPr>
          <w:noProof/>
        </w:rPr>
      </w:pPr>
      <w:r>
        <w:rPr>
          <w:noProof/>
        </w:rPr>
        <w:t xml:space="preserve">Propunerea introduce modificări ale normelor de verificare pentru a ține seama de extinderea regulamentului pentru a acoperi consumul de energie și noile cerințe de raportare subsecvente (articolele 13-16 modificate). Competențele conferite Comisiei în ceea ce privește normele de verificare și acreditare în temeiul prezentului regulament ar trebui să fie puse în aplicare în vederea furnizării unui cadru unic de acreditare și verificare aplicabil în cadrul MRV, ETS și FuelEU în domeniul maritim. </w:t>
      </w:r>
    </w:p>
    <w:p>
      <w:pPr>
        <w:pStyle w:val="Tiret1"/>
        <w:rPr>
          <w:noProof/>
        </w:rPr>
      </w:pPr>
      <w:r>
        <w:rPr>
          <w:noProof/>
        </w:rPr>
        <w:t>Propunerea conferă, de asemenea, Comisiei competența de a adopta acte delegate pentru a modifica metodele și normele de monitorizare pentru a le adapta la domeniul de aplicare extins al regulamentului, întrucât se adaugă noi puncte de date pentru a acoperi consumul de energie (articolul 5 modificat).</w:t>
      </w:r>
    </w:p>
    <w:p>
      <w:pPr>
        <w:pStyle w:val="Tiret1"/>
        <w:rPr>
          <w:noProof/>
        </w:rPr>
      </w:pPr>
      <w:r>
        <w:rPr>
          <w:noProof/>
        </w:rPr>
        <w:t>Modificările propuse la Regulamentul privind MRV necesită modificări subsecvente ale Regulamentului FuelEU, în special deoarece principiul monitorizării și raportării unice este pus în aplicare pe deplin printr-un ciclu comun de conformitate cu MRV.</w:t>
      </w:r>
    </w:p>
    <w:p>
      <w:pPr>
        <w:pStyle w:val="Bullet0"/>
        <w:rPr>
          <w:noProof/>
        </w:rPr>
      </w:pPr>
      <w:r>
        <w:rPr>
          <w:noProof/>
        </w:rPr>
        <w:t>Propunerea modifică anumite definiții (articolul 3 modificat) și cerințe de monitorizare și raportare (articolul 11 modificat și anexa II modificată) pentru a asigura o aliniere mai strânsă la sistemul OMI de colectare a datelor.</w:t>
      </w:r>
    </w:p>
    <w:p>
      <w:pPr>
        <w:pStyle w:val="Bullet0"/>
        <w:rPr>
          <w:noProof/>
        </w:rPr>
      </w:pPr>
      <w:r>
        <w:rPr>
          <w:noProof/>
        </w:rPr>
        <w:t>În plus, propunerea introduce un nou articol 4a pentru a clarifica rolul autorității de administrare responsabile în ceea ce privește obligațiile MRV și pentru a institui un mecanism de atribuire pentru orice companie de transport maritim care intră în domeniul de aplicare al Regulamentului MRV, cu scopul de a spori și mai mult robustețea sistemului MRV.</w:t>
      </w:r>
    </w:p>
    <w:p>
      <w:pPr>
        <w:pStyle w:val="Bullet0"/>
        <w:rPr>
          <w:noProof/>
        </w:rPr>
      </w:pPr>
      <w:r>
        <w:rPr>
          <w:noProof/>
        </w:rPr>
        <w:t xml:space="preserve">De asemenea, propunerea urmărește să consolideze condițiile de concurență echitabile printr-o extindere specifică a domeniului de aplicare al EU ETS la anumite categorii de nave (articolul 2 modificat din Regulamentul privind MRV). Această extindere specifică necesită acordarea de competențe delegate și de executare Comisiei pentru a prevedea normele relevante de monitorizare și raportare (articolele 5, 6 și 11 modificate din Regulamentul privind MRV). </w:t>
      </w:r>
    </w:p>
    <w:p>
      <w:pPr>
        <w:pStyle w:val="Bullet0"/>
        <w:rPr>
          <w:noProof/>
        </w:rPr>
      </w:pPr>
      <w:r>
        <w:rPr>
          <w:noProof/>
        </w:rPr>
        <w:t xml:space="preserve">Propunerea conține norme adaptate pentru a consolida garanțiile împotriva riscului de evaziune din partea navelor implicate în operațiuni offshore sau care sprijină astfel de operațiuni. Aceste norme adaptate necesită modificări ale domeniului de aplicare al Regulamentului privind MRV (articolul 2 modificat din Regulamentul privind MRV), includerea unor noi definiții (articolul 3 modificat din Regulamentul privind MRV) și eliminarea listei „navelor de aprovizionare în larg” (anexa I modificată la Regulamentul privind MRV). Propunerea conferă Comisiei competența de a adopta acte delegate pentru a prevedea normele relevante de monitorizare și raportare (articolele 5, 6 și 11 modificate din Regulamentul privind MRV). </w:t>
      </w:r>
    </w:p>
    <w:p>
      <w:pPr>
        <w:rPr>
          <w:noProof/>
        </w:rPr>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pPr>
        <w:pStyle w:val="Rfrenceinterinstitutionnelle"/>
        <w:rPr>
          <w:noProof/>
        </w:rPr>
      </w:pPr>
      <w:r>
        <w:rPr>
          <w:noProof/>
        </w:rPr>
        <w:t>2026/0210 (COD)</w:t>
      </w:r>
    </w:p>
    <w:p>
      <w:pPr>
        <w:pStyle w:val="Statut"/>
        <w:rPr>
          <w:noProof/>
        </w:rPr>
      </w:pPr>
      <w:r>
        <w:rPr>
          <w:noProof/>
        </w:rPr>
        <w:t>Propunere de</w:t>
      </w:r>
    </w:p>
    <w:p>
      <w:pPr>
        <w:pStyle w:val="Typedudocument"/>
        <w:rPr>
          <w:noProof/>
        </w:rPr>
      </w:pPr>
      <w:r>
        <w:rPr>
          <w:noProof/>
        </w:rPr>
        <w:t>REGULAMENT AL PARLAMENTULUI EUROPEAN ȘI AL CONSILIULUI</w:t>
      </w:r>
    </w:p>
    <w:p>
      <w:pPr>
        <w:pStyle w:val="Titreobjet"/>
        <w:rPr>
          <w:noProof/>
        </w:rPr>
      </w:pPr>
      <w:r>
        <w:rPr>
          <w:noProof/>
        </w:rPr>
        <w:t>de modificare a Regulamentelor (UE) 2015/757 și (UE) 2023/1805 pentru a simplifica și a raționaliza monitorizarea, raportarea și verificarea și pentru alinierea la revizuirile schemei UE de comercializare a certificatelor de emisii</w:t>
      </w:r>
    </w:p>
    <w:p>
      <w:pPr>
        <w:pStyle w:val="IntrtEEE"/>
        <w:rPr>
          <w:noProof/>
        </w:rPr>
      </w:pPr>
      <w:r>
        <w:rPr>
          <w:noProof/>
        </w:rPr>
        <w:t>(Text cu relevanță pentru SEE)</w:t>
      </w:r>
    </w:p>
    <w:p>
      <w:pPr>
        <w:pStyle w:val="Institutionquiagit"/>
        <w:rPr>
          <w:noProof/>
        </w:rPr>
      </w:pPr>
      <w:r>
        <w:rPr>
          <w:noProof/>
        </w:rPr>
        <w:t>PARLAMENTUL EUROPEAN ȘI CONSILIUL UNIUNII EUROPENE,</w:t>
      </w:r>
    </w:p>
    <w:p>
      <w:pPr>
        <w:rPr>
          <w:noProof/>
        </w:rPr>
      </w:pPr>
      <w:r>
        <w:rPr>
          <w:noProof/>
        </w:rPr>
        <w:t>având în vedere Tratatul privind funcționarea Uniunii Europene, în special articolul 192 alineatul (1),</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având în vedere avizul Comitetului Economic și Social European</w:t>
      </w:r>
      <w:r>
        <w:rPr>
          <w:rStyle w:val="FootnoteReference"/>
          <w:noProof/>
        </w:rPr>
        <w:footnoteReference w:id="2"/>
      </w:r>
      <w:r>
        <w:rPr>
          <w:noProof/>
        </w:rPr>
        <w:t xml:space="preserve">, </w:t>
      </w:r>
    </w:p>
    <w:p>
      <w:pPr>
        <w:rPr>
          <w:noProof/>
        </w:rPr>
      </w:pPr>
      <w:r>
        <w:rPr>
          <w:noProof/>
        </w:rPr>
        <w:t>având în vedere avizul Comitetului Regiunilor</w:t>
      </w:r>
      <w:r>
        <w:rPr>
          <w:rStyle w:val="FootnoteReference"/>
          <w:noProof/>
        </w:rPr>
        <w:footnoteReference w:id="3"/>
      </w:r>
      <w:r>
        <w:rPr>
          <w:noProof/>
        </w:rPr>
        <w:t>,</w:t>
      </w:r>
    </w:p>
    <w:p>
      <w:pPr>
        <w:rPr>
          <w:noProof/>
        </w:rPr>
      </w:pPr>
      <w:r>
        <w:rPr>
          <w:noProof/>
        </w:rPr>
        <w:t>hotărând în conformitate cu procedura legislativă ordinară,</w:t>
      </w:r>
    </w:p>
    <w:p>
      <w:pPr>
        <w:rPr>
          <w:noProof/>
        </w:rPr>
      </w:pPr>
      <w:r>
        <w:rPr>
          <w:noProof/>
        </w:rPr>
        <w:t>întrucât:</w:t>
      </w:r>
    </w:p>
    <w:p>
      <w:pPr>
        <w:pStyle w:val="ManualConsidrant"/>
        <w:rPr>
          <w:noProof/>
        </w:rPr>
      </w:pPr>
      <w:r>
        <w:rPr>
          <w:noProof/>
        </w:rPr>
        <w:t>(1)</w:t>
      </w:r>
      <w:r>
        <w:rPr>
          <w:noProof/>
        </w:rPr>
        <w:tab/>
        <w:t>Regulamentul (UE) 2015/757 al Parlamentului European și al Consiliului</w:t>
      </w:r>
      <w:r>
        <w:rPr>
          <w:rStyle w:val="FootnoteReference"/>
          <w:noProof/>
        </w:rPr>
        <w:footnoteReference w:id="4"/>
      </w:r>
      <w:r>
        <w:rPr>
          <w:noProof/>
        </w:rPr>
        <w:t xml:space="preserve"> stabilește normele de monitorizare, raportare și verificare (MRV) a emisiilor de gaze cu efect de seră și a altor informații relevante provenite din activitățile de transport maritim, inclusiv din activitățile de transport maritim care intră în domeniul de aplicare al Directivei 2003/87/CE. Regulamentul (UE) 2023/1805 al Parlamentului European și al Consiliului</w:t>
      </w:r>
      <w:r>
        <w:rPr>
          <w:rStyle w:val="FootnoteReference"/>
          <w:noProof/>
        </w:rPr>
        <w:footnoteReference w:id="5"/>
      </w:r>
      <w:r>
        <w:rPr>
          <w:noProof/>
        </w:rPr>
        <w:t xml:space="preserve"> stabilește, printre altele, cerințe referitoare la intensitatea gazelor cu efect de seră generate de energia utilizată la bordul navelor pentru a promova utilizarea combustibililor din surse regenerabile și cu emisii scăzute de carbon în transportul maritim. </w:t>
      </w:r>
    </w:p>
    <w:p>
      <w:pPr>
        <w:pStyle w:val="ManualConsidrant"/>
        <w:rPr>
          <w:noProof/>
        </w:rPr>
      </w:pPr>
      <w:r>
        <w:rPr>
          <w:noProof/>
        </w:rPr>
        <w:t>(2)</w:t>
      </w:r>
      <w:r>
        <w:rPr>
          <w:noProof/>
        </w:rPr>
        <w:tab/>
        <w:t xml:space="preserve">Sistemul de monitorizare, raportare și verificare în temeiul Regulamentului (UE) 2023/1805 include cerințe similare celor prevăzute în Regulamentul (UE) 2015/757 și impune, în măsura posibilului, utilizarea datelor raportate în temeiul acestui din urmă regulament. În special, determinarea intensității emisiilor de gaze cu efect de seră generate de energia utilizată la bordul navelor în conformitate cu Regulamentul (UE) 2023/1805 se bazează pe datele monitorizate în temeiul Regulamentului (UE) 2015/757. </w:t>
      </w:r>
    </w:p>
    <w:p>
      <w:pPr>
        <w:pStyle w:val="ManualConsidrant"/>
        <w:rPr>
          <w:noProof/>
        </w:rPr>
      </w:pPr>
      <w:r>
        <w:rPr>
          <w:noProof/>
        </w:rPr>
        <w:t>(3)</w:t>
      </w:r>
      <w:r>
        <w:rPr>
          <w:noProof/>
        </w:rPr>
        <w:tab/>
        <w:t>Sistemele MRV aplicabile prezintă multe asemănări în ceea ce privește proiectarea, procesele și actorii implicați, dar rămân distincte din punct de vedere formal și prezintă unele suprapuneri și divergențe, determinând astfel operatorii să dubleze acțiunile de asigurare a conformității și interacțiunile cu autoritățile relevante.</w:t>
      </w:r>
    </w:p>
    <w:p>
      <w:pPr>
        <w:pStyle w:val="ManualConsidrant"/>
        <w:rPr>
          <w:noProof/>
        </w:rPr>
      </w:pPr>
      <w:r>
        <w:rPr>
          <w:noProof/>
        </w:rPr>
        <w:t>(4)</w:t>
      </w:r>
      <w:r>
        <w:rPr>
          <w:noProof/>
        </w:rPr>
        <w:tab/>
        <w:t>Pentru a spori eficacitatea cadrului de monitorizare, raportare și verificare aplicabil pentru a asigura conformitatea cu Directiva 2003/87/CE, pe de o parte, și cu Regulamentul (UE) 2023/1805, pe de altă parte, și pentru a reduce sarcina administrativă, Regulamentul (UE) 2015/757 ar trebui modificat pentru a institui un sistem MRV unic care să acopere atât emisiile de gaze cu efect de seră, cât și energia utilizată la bordul navelor, în vederea îndeplinirii cerințelor prevăzute în Directiva 2003/87/CE și în Regulamentul (UE) 2023/1805.</w:t>
      </w:r>
    </w:p>
    <w:p>
      <w:pPr>
        <w:pStyle w:val="ManualConsidrant"/>
        <w:rPr>
          <w:noProof/>
        </w:rPr>
      </w:pPr>
      <w:r>
        <w:rPr>
          <w:noProof/>
        </w:rPr>
        <w:t>(5)</w:t>
      </w:r>
      <w:r>
        <w:rPr>
          <w:noProof/>
        </w:rPr>
        <w:tab/>
        <w:t>Pentru a se asigura că companiile monitorizează și raportează datele relevante o singură dată în cadrul aceluiași sistem MRV, cerințele de monitorizare și raportare în temeiul Regulamentului (UE) 2015/757 ar trebui modificate pentru a acoperi consumul de energie, emisiile de la sondă la siaj definite la articolul 3 din Regulamentul (UE) 2023/1805 și alte informații relevante necesare pentru punerea în aplicare a obligațiilor prevăzute în Regulamentul (UE) 2023/1805. În cazul în care prezentul regulament se referă la emisiile totale agregate de gaze cu efect de seră sau la totalul agregat al gazelor cu efect de seră emise, acesta ar trebui înțeles ca referindu-se atât la emisiile de la sondă la rezervor, cât și la emisiile de la rezervor la siaj, cele două componente trebuind să fie raportate separat.</w:t>
      </w:r>
    </w:p>
    <w:p>
      <w:pPr>
        <w:pStyle w:val="ManualConsidrant"/>
        <w:rPr>
          <w:noProof/>
        </w:rPr>
      </w:pPr>
      <w:r>
        <w:rPr>
          <w:noProof/>
        </w:rPr>
        <w:t>(6)</w:t>
      </w:r>
      <w:r>
        <w:rPr>
          <w:noProof/>
        </w:rPr>
        <w:tab/>
        <w:t xml:space="preserve">Pentru a evita duplicarea procedurilor, Regulamentul (UE) 2015/757 și Regulamentul (UE) 2023/1805 ar trebui modificate pentru a se asigura că companiile de transport maritim prezintă un plan unic de monitorizare și un raport unic pentru fiecare navă aflată în responsabilitatea lor, care să acopere atât emisiile de gaze cu efect de seră, cât și energia utilizată la bordul navelor. </w:t>
      </w:r>
    </w:p>
    <w:p>
      <w:pPr>
        <w:pStyle w:val="ManualConsidrant"/>
        <w:rPr>
          <w:noProof/>
        </w:rPr>
      </w:pPr>
      <w:r>
        <w:rPr>
          <w:noProof/>
        </w:rPr>
        <w:t>(7)</w:t>
      </w:r>
      <w:r>
        <w:rPr>
          <w:noProof/>
        </w:rPr>
        <w:tab/>
        <w:t>În plus, Regulamentul (UE) 2015/757 și Regulamentul (UE) 2023/1805 ar trebui modificate pentru a alinia normele privind activitățile de acreditare și de verificare și rolul de asigurare a respectării legislației al statelor membre și pentru a introduce aceste norme în Regulamentul (UE) 2015/757. Acest lucru ar trebui să asigure punerea în aplicare coerentă și asigurarea respectării cadrului unic de monitorizare, raportare și verificare în ceea ce privește emisiile de gaze cu efect de seră și energia utilizată la bordul navelor. Pentru a consolida coerența în ceea ce privește administrarea și asigurarea respectării legislației, ar trebui precizat mai în detaliu rolul statelor membre în ceea ce privește companiile de transport maritim care intră în domeniul de aplicare al Regulamentului (UE) 2015/757 și ar trebui introdus un mecanism de atribuire a companiilor de transport maritim care intră în domeniul de aplicare al Regulamentului (UE) 2015/757, dar nu și în domeniul de aplicare al Directivei 2003/87/CE.</w:t>
      </w:r>
    </w:p>
    <w:p>
      <w:pPr>
        <w:pStyle w:val="ManualConsidrant"/>
        <w:rPr>
          <w:noProof/>
        </w:rPr>
      </w:pPr>
      <w:r>
        <w:rPr>
          <w:noProof/>
        </w:rPr>
        <w:t>(8)</w:t>
      </w:r>
      <w:r>
        <w:rPr>
          <w:noProof/>
        </w:rPr>
        <w:tab/>
        <w:t xml:space="preserve">Pentru a se asigura coerența în ceea ce privește administrarea și asigurarea respectării legislației, entitatea responsabilă de respectarea Regulamentului (UE) 2023/1805 ar trebui să fie aceeași cu entitatea responsabilă de respectarea atât a Regulamentului (UE) 2015/757, cât și a Directivei 2003/87/CE. </w:t>
      </w:r>
    </w:p>
    <w:p>
      <w:pPr>
        <w:pStyle w:val="ManualConsidrant"/>
        <w:rPr>
          <w:noProof/>
        </w:rPr>
      </w:pPr>
      <w:r>
        <w:rPr>
          <w:noProof/>
        </w:rPr>
        <w:t>(9)</w:t>
      </w:r>
      <w:r>
        <w:rPr>
          <w:noProof/>
        </w:rPr>
        <w:tab/>
        <w:t>Pentru a asigura coerența cu Regulamentul (UE) 2023/1805 în ceea ce privește domeniul de aplicare, Regulamentul (UE) 2015/757 ar trebui modificat pentru a clarifica faptul că activitățile navelor deținute sau exploatate de un guvern și utilizate numai în scopuri necomerciale nu intră în domeniul de aplicare al prezentului regulament.</w:t>
      </w:r>
    </w:p>
    <w:p>
      <w:pPr>
        <w:pStyle w:val="ManualConsidrant"/>
        <w:rPr>
          <w:noProof/>
          <w:sz w:val="22"/>
        </w:rPr>
      </w:pPr>
      <w:r>
        <w:rPr>
          <w:noProof/>
        </w:rPr>
        <w:t>(10)</w:t>
      </w:r>
      <w:r>
        <w:rPr>
          <w:noProof/>
        </w:rPr>
        <w:tab/>
        <w:t>Pentru a clarifica ce categorii de nave sunt excluse din domeniul de aplicare în temeiul regulamentului, este oportun să se înlocuiască trimiterile actuale la navele de pescuit sau de prelucrare a peștelui cu o trimitere mai amplă la navele de pescuit. Acestea din urmă ar trebui să acopere o gamă largă de categorii de nave, incluzând nu numai navele de capturare și de prelucrare a peștelui, ci și alte nave de pescuit diferite de navele de capturare a peștelui.</w:t>
      </w:r>
    </w:p>
    <w:p>
      <w:pPr>
        <w:pStyle w:val="ManualConsidrant"/>
        <w:rPr>
          <w:noProof/>
          <w:sz w:val="22"/>
        </w:rPr>
      </w:pPr>
      <w:r>
        <w:rPr>
          <w:noProof/>
        </w:rPr>
        <w:t>(11)</w:t>
      </w:r>
      <w:r>
        <w:rPr>
          <w:noProof/>
        </w:rPr>
        <w:tab/>
        <w:t xml:space="preserve">Pentru a continua alinierea Regulamentului (UE) 2015/757 la sistemul de colectare a datelor (SCD) al Organizației Maritime Internaționale (OMI), anumite definiții și cerințe de raportare ar trebui modificate pentru a elimina potențialele suprapuneri, într-un mod compatibil cu obiectivele și principiile de politică ale sistemului MRV al Uniunii. </w:t>
      </w:r>
    </w:p>
    <w:p>
      <w:pPr>
        <w:pStyle w:val="ManualConsidrant"/>
        <w:rPr>
          <w:noProof/>
        </w:rPr>
      </w:pPr>
      <w:r>
        <w:rPr>
          <w:noProof/>
        </w:rPr>
        <w:t>(12)</w:t>
      </w:r>
      <w:r>
        <w:rPr>
          <w:noProof/>
        </w:rPr>
        <w:tab/>
        <w:t xml:space="preserve">Pentru a spori eficacitatea de mediu a sistemului MRV și pentru a asigura condiții de concurență echitabile și a reduce riscul de eludare, petrolierele, navele-cisternă pentru transportul produselor chimice, navele pentru transportul gazelor, navele transportatoare de GNL, navele Ro-Pax și navele de pasageri cu un tonaj brut mai mic de 5 000 de tone, dar nu mai mic de 400 de tone, ar trebui incluse în Regulamentul (UE) 2015/757 începând cu 2029. </w:t>
      </w:r>
    </w:p>
    <w:p>
      <w:pPr>
        <w:pStyle w:val="ManualConsidrant"/>
        <w:rPr>
          <w:noProof/>
        </w:rPr>
      </w:pPr>
      <w:r>
        <w:rPr>
          <w:noProof/>
        </w:rPr>
        <w:t>(13)</w:t>
      </w:r>
      <w:r>
        <w:rPr>
          <w:noProof/>
        </w:rPr>
        <w:tab/>
        <w:t xml:space="preserve">Directiva 2003/87/CE este în curs de modificare pentru a asigura condiții de concurență echitabile și pentru a reduce riscul de eludare a dispozițiilor sale în ceea ce privește navele care efectuează sau sprijină operațiuni offshore. Prin urmare, este oportun să se modifice Regulamentul (UE) 2015/757 pentru a se ține seama de modificările care urmează să fie aduse Directivei 2003/87/CE. Pentru a asigura funcționarea eficace a sistemului MRV, competența de a adopta acte în conformitate cu articolul 290 din Tratatul privind funcționarea Uniunii Europene (TFUE) ar trebui delegată Comisiei în ceea ce privește metodele și normele de monitorizare și normele de raportare pentru emisiile provenite de la navele care efectuează sau sprijină operațiuni offshore. </w:t>
      </w:r>
    </w:p>
    <w:p>
      <w:pPr>
        <w:pStyle w:val="ManualConsidrant"/>
        <w:rPr>
          <w:noProof/>
        </w:rPr>
      </w:pPr>
      <w:r>
        <w:rPr>
          <w:noProof/>
        </w:rPr>
        <w:t>(14)</w:t>
      </w:r>
      <w:r>
        <w:rPr>
          <w:noProof/>
        </w:rPr>
        <w:tab/>
        <w:t xml:space="preserve">Pentru a sprijini acțiunile climatice la nivel mondial, Comisia, asistată de Agenția Europeană pentru Siguranță Maritimă (EMSA), ar trebui să depună eforturi pentru a furniza țărilor terțe instrumentele și orientările necesare pentru instituirea unor sisteme de stabilire a prețului emisiilor de gaze cu efect de seră, inclusiv a unui sistem MRV care să acopere călătoriile care nu intră în domeniul de aplicare al Regulamentului (UE) 2015/757, deoarece un sistem MRV solid este o condiție prealabilă pentru orice măsură bazată pe piață. Un astfel de sprijin ar trebui să fie condiționat de asigurarea faptului că sistemele MRV ale țărilor terțe sunt în conformitate cu principiile și metodele stabilite în prezentul regulament. </w:t>
      </w:r>
    </w:p>
    <w:p>
      <w:pPr>
        <w:pStyle w:val="ManualConsidrant"/>
        <w:rPr>
          <w:noProof/>
        </w:rPr>
      </w:pPr>
      <w:r>
        <w:rPr>
          <w:noProof/>
        </w:rPr>
        <w:t>(15)</w:t>
      </w:r>
      <w:r>
        <w:rPr>
          <w:noProof/>
        </w:rPr>
        <w:tab/>
        <w:t>În vederea asigurării unor condiții uniforme pentru determinarea energiei utilizate din energia eoliană și pentru utilizarea sistemelor automatizate și a formatelor-cadru electronice standard pentru emiterea coerentă a rapoartelor de verificare în temeiul Regulamentului (UE) 2015/757, ar trebui conferite competențe de executare Comisiei. În plus, pentru a asigura condiții uniforme de utilizare a sistemelor automatizate și a modelelor standard pentru monitorizarea și raportarea informațiilor relevante în temeiul Regulamentului (UE) 2023/1805, ar trebui conferite competențe de executare Comisiei. Respectivele competențe ar trebui exercitate în conformitate cu Regulamentul (UE) nr. 182/2011 al Parlamentului European și al Consiliului.</w:t>
      </w:r>
    </w:p>
    <w:p>
      <w:pPr>
        <w:pStyle w:val="ManualConsidrant"/>
        <w:rPr>
          <w:noProof/>
        </w:rPr>
      </w:pPr>
      <w:r>
        <w:rPr>
          <w:noProof/>
        </w:rPr>
        <w:t>(16)</w:t>
      </w:r>
      <w:r>
        <w:rPr>
          <w:noProof/>
        </w:rPr>
        <w:tab/>
        <w:t>Este necesar să se asigure funcționarea eficace a sistemului unic de monitorizare, raportare și verificare pentru EU ETS și FuelEU în domeniul maritim și să se țină seama de includerea în domeniul de aplicare al Regulamentului (UE) 2015/757 a emisiilor de gaze cu efect de seră și a energiei utilizate de anumite categorii de nave cu un tonaj brut mai mic de 5 000 de tone, dar nu mai mic de 400 de tone, și de navele care efectuează sau sprijină operațiuni offshore. În acest sens, competența de a adopta acte în conformitate cu articolul 290 din TFUE ar trebui delegată Comisiei în ceea ce privește metodele și normele de monitorizare și normele de raportare pentru emisiile care intră sub incidența Regulamentului (UE) 2015/757, precum și pentru orice alte informații relevante prevăzute în regulamentul respectiv. În plus, pentru a ține seama de instituirea unui sistem MRV unic pentru FuelEU și EU ETS, delegațiile de la articolul 5 alineatul (2) din Regulamentul (UE) 2015/757 ar trebui extinse pentru a acoperi revizuirea anumitor aspecte tehnice ale monitorizării emisiilor de gaze cu efect de seră și a consumului de energie pentru a ține seama de normele internaționale relevante și de standardele internaționale, de actele juridice ale Uniunii în domeniul energiei, precum și de evoluțiile tehnologice și științifice. Pentru a ține seama de includerea emisiilor de gaze cu efect de seră și a energiei utilizate de anumite categorii de nave cu un tonaj brut mai mic de 5 000 de tone, dar nu mai mic de 400 de tone și de navele care efectuează sau sprijină operațiuni offshore, delegațiile prevăzute la articolul 5 alineatul (3) și la articolul 11 alineatul (4) din Regulamentul (UE) 2015/757 ar trebui extinse pentru a acoperi normele de monitorizare și raportare aplicabile acestor nave. Este deosebit de important ca, în cursul activității sale pregătitoare, Comisia să organizeze consultări adecvate, inclusiv la nivel de experți, și ca respectivele consultări să se desfășoare în conformitate cu principiile prevăzute în Acordul interinstituțional din 13 aprilie 2016 privind o mai bună legiferare</w:t>
      </w:r>
      <w:r>
        <w:rPr>
          <w:rStyle w:val="FootnoteReference"/>
          <w:noProof/>
        </w:rPr>
        <w:footnoteReference w:id="6"/>
      </w:r>
      <w:r>
        <w:rPr>
          <w:noProof/>
        </w:rPr>
        <w:t>.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p>
      <w:pPr>
        <w:pStyle w:val="ManualConsidrant"/>
        <w:rPr>
          <w:noProof/>
        </w:rPr>
      </w:pPr>
      <w:r>
        <w:rPr>
          <w:noProof/>
        </w:rPr>
        <w:t>(17)</w:t>
      </w:r>
      <w:r>
        <w:rPr>
          <w:noProof/>
        </w:rPr>
        <w:tab/>
        <w:t xml:space="preserve">Pentru a permite Comisiei să adopte, în timp util, actele în legătură cu care i-au fost conferite competențe în temeiul regulamentului respectiv, dispozițiile privind delegările de competențe ar trebui să se aplice în a douăzecea zi de la data publicării în </w:t>
      </w:r>
      <w:r>
        <w:rPr>
          <w:i/>
          <w:noProof/>
        </w:rPr>
        <w:t>Jurnalul Oficial al Uniunii Europene</w:t>
      </w:r>
      <w:r>
        <w:rPr>
          <w:noProof/>
        </w:rPr>
        <w:t xml:space="preserve">. Pentru a asigura funcționarea eficace a noului sistem MRV unic, aplicarea dispozițiilor privind MRV ar trebui amânată. </w:t>
      </w:r>
    </w:p>
    <w:p>
      <w:pPr>
        <w:pStyle w:val="ManualConsidrant"/>
        <w:rPr>
          <w:noProof/>
        </w:rPr>
      </w:pPr>
      <w:r>
        <w:rPr>
          <w:noProof/>
        </w:rPr>
        <w:t>(18)</w:t>
      </w:r>
      <w:r>
        <w:rPr>
          <w:noProof/>
        </w:rPr>
        <w:tab/>
        <w:t>Prin urmare, Regulamentul (UE) 2015/757 și Regulamentul (UE) 2023/180 ar trebui să fie modificate în consecință,</w:t>
      </w:r>
    </w:p>
    <w:p>
      <w:pPr>
        <w:pStyle w:val="Formuledadoption"/>
        <w:rPr>
          <w:noProof/>
        </w:rPr>
      </w:pPr>
      <w:r>
        <w:rPr>
          <w:noProof/>
        </w:rPr>
        <w:t>ADOPTĂ PREZENTUL REGULAMENT:</w:t>
      </w:r>
    </w:p>
    <w:p>
      <w:pPr>
        <w:jc w:val="center"/>
        <w:rPr>
          <w:i/>
          <w:iCs/>
          <w:noProof/>
        </w:rPr>
      </w:pPr>
      <w:r>
        <w:rPr>
          <w:i/>
          <w:noProof/>
        </w:rPr>
        <w:t>Articolul 1</w:t>
      </w:r>
    </w:p>
    <w:p>
      <w:pPr>
        <w:jc w:val="center"/>
        <w:rPr>
          <w:b/>
          <w:bCs/>
          <w:noProof/>
        </w:rPr>
      </w:pPr>
      <w:r>
        <w:rPr>
          <w:b/>
          <w:noProof/>
        </w:rPr>
        <w:t>Modificarea Regulamentului (UE) 2015/757</w:t>
      </w:r>
    </w:p>
    <w:p>
      <w:pPr>
        <w:rPr>
          <w:noProof/>
        </w:rPr>
      </w:pPr>
      <w:r>
        <w:rPr>
          <w:noProof/>
        </w:rPr>
        <w:t>Regulamentul (UE) 2015/757 se modifică după cum urmează:</w:t>
      </w:r>
    </w:p>
    <w:p>
      <w:pPr>
        <w:pStyle w:val="Point0"/>
        <w:rPr>
          <w:noProof/>
        </w:rPr>
      </w:pPr>
      <w:r>
        <w:rPr>
          <w:noProof/>
        </w:rPr>
        <w:t>(1)</w:t>
      </w:r>
      <w:r>
        <w:rPr>
          <w:noProof/>
        </w:rPr>
        <w:tab/>
        <w:t>în întregul regulament, termenul „raport privind emisiile” se înlocuiește cu „raport MRV” și se efectuează toate modificările gramaticale necesare;</w:t>
      </w:r>
    </w:p>
    <w:p>
      <w:pPr>
        <w:pStyle w:val="Point0"/>
        <w:rPr>
          <w:noProof/>
        </w:rPr>
      </w:pPr>
      <w:r>
        <w:rPr>
          <w:noProof/>
        </w:rPr>
        <w:t>(2)</w:t>
      </w:r>
      <w:r>
        <w:rPr>
          <w:noProof/>
        </w:rPr>
        <w:tab/>
        <w:t>articolul 1 se înlocuiește cu următorul text:</w:t>
      </w:r>
    </w:p>
    <w:p>
      <w:pPr>
        <w:pStyle w:val="Text1"/>
        <w:jc w:val="center"/>
        <w:rPr>
          <w:i/>
          <w:iCs/>
          <w:noProof/>
        </w:rPr>
      </w:pPr>
      <w:r>
        <w:rPr>
          <w:noProof/>
        </w:rPr>
        <w:t>„</w:t>
      </w:r>
      <w:r>
        <w:rPr>
          <w:i/>
          <w:noProof/>
        </w:rPr>
        <w:t>Articolul 1</w:t>
      </w:r>
    </w:p>
    <w:p>
      <w:pPr>
        <w:pStyle w:val="Text1"/>
        <w:jc w:val="center"/>
        <w:rPr>
          <w:b/>
          <w:bCs/>
          <w:noProof/>
        </w:rPr>
      </w:pPr>
      <w:r>
        <w:rPr>
          <w:b/>
          <w:noProof/>
        </w:rPr>
        <w:t>Obiect</w:t>
      </w:r>
    </w:p>
    <w:p>
      <w:pPr>
        <w:pStyle w:val="Text1"/>
        <w:rPr>
          <w:noProof/>
        </w:rPr>
      </w:pPr>
      <w:r>
        <w:rPr>
          <w:noProof/>
        </w:rPr>
        <w:t>Prezentul regulament stabilește norme pentru monitorizarea, raportarea și verificarea (MRV) cu precizie a emisiilor de gaze cu efect de seră, a energiei utilizate și a altor informații relevante obținute de la navele care sosesc, se află în interiorul sau pleacă din porturile aflate sub jurisdicția unui stat membru, în scopul promovării reducerii emisiilor de gaze cu efect de seră generate de transportul maritim într-un mod eficient din punctul de vedere al costurilor.”;</w:t>
      </w:r>
    </w:p>
    <w:p>
      <w:pPr>
        <w:pStyle w:val="Point0"/>
        <w:rPr>
          <w:noProof/>
        </w:rPr>
      </w:pPr>
      <w:r>
        <w:rPr>
          <w:noProof/>
        </w:rPr>
        <w:t>(3)</w:t>
      </w:r>
      <w:r>
        <w:rPr>
          <w:noProof/>
        </w:rPr>
        <w:tab/>
        <w:t xml:space="preserve">articolul 2 se modifică după cum urmează: </w:t>
      </w:r>
    </w:p>
    <w:p>
      <w:pPr>
        <w:pStyle w:val="Point1"/>
        <w:rPr>
          <w:noProof/>
        </w:rPr>
      </w:pPr>
      <w:r>
        <w:rPr>
          <w:noProof/>
        </w:rPr>
        <w:t>(a)</w:t>
      </w:r>
      <w:r>
        <w:rPr>
          <w:noProof/>
        </w:rPr>
        <w:tab/>
        <w:t xml:space="preserve">alineatul (1) se înlocuiește cu următorul text: </w:t>
      </w:r>
    </w:p>
    <w:p>
      <w:pPr>
        <w:pStyle w:val="Text2"/>
        <w:rPr>
          <w:noProof/>
        </w:rPr>
      </w:pPr>
      <w:r>
        <w:rPr>
          <w:noProof/>
        </w:rPr>
        <w:t>„(1) Prezentul regulament se aplică navelor cu un tonaj brut mai mare sau egal cu 5 000 de tone în ceea ce privește emisiile de gaze cu efect de seră generate și energia utilizată în timpul călătoriilor lor pentru transportul de mărfuri sau de pasageri în scopuri comerciale, de la ultimul lor port de escală la un port de escală aflat sub jurisdicția unui stat membru și de la un port de escală aflat sub jurisdicția unui stat membru spre următorul lor port de escală, precum și în interiorul porturilor de escală aflate sub jurisdicția unui stat membru.”;</w:t>
      </w:r>
    </w:p>
    <w:p>
      <w:pPr>
        <w:pStyle w:val="Point1"/>
        <w:rPr>
          <w:noProof/>
        </w:rPr>
      </w:pPr>
      <w:r>
        <w:rPr>
          <w:noProof/>
        </w:rPr>
        <w:t>(b)</w:t>
      </w:r>
      <w:r>
        <w:rPr>
          <w:noProof/>
        </w:rPr>
        <w:tab/>
        <w:t xml:space="preserve">alineatul (1a) se înlocuiește cu următorul text: </w:t>
      </w:r>
    </w:p>
    <w:p>
      <w:pPr>
        <w:pStyle w:val="Text2"/>
        <w:rPr>
          <w:noProof/>
        </w:rPr>
      </w:pPr>
      <w:r>
        <w:rPr>
          <w:noProof/>
        </w:rPr>
        <w:t xml:space="preserve">„(1a) De la 1 ianuarie 2025, prezentul regulament se aplică și navelor de transport general de mărfuri cu un tonaj brut mai mic de 5 000 de tone, dar nu mai mic de 400 de tone, în ceea ce privește emisiile de gaze cu efect de seră generate și energia utilizată în timpul călătoriilor lor pentru transportul de mărfuri în scopuri comerciale de la ultimul lor port de escală la un port de escală aflat sub jurisdicția unui stat membru și de la un port de escală aflat sub jurisdicția unui stat membru spre următorul lor port de escală, precum și în interiorul porturilor de escală aflate sub jurisdicția unui stat membru.”; </w:t>
      </w:r>
    </w:p>
    <w:p>
      <w:pPr>
        <w:pStyle w:val="Point1"/>
        <w:rPr>
          <w:noProof/>
        </w:rPr>
      </w:pPr>
      <w:r>
        <w:rPr>
          <w:noProof/>
        </w:rPr>
        <w:t>(c)</w:t>
      </w:r>
      <w:r>
        <w:rPr>
          <w:noProof/>
        </w:rPr>
        <w:tab/>
        <w:t xml:space="preserve">se introduce următorul alineat (1aa): </w:t>
      </w:r>
    </w:p>
    <w:p>
      <w:pPr>
        <w:pStyle w:val="Text2"/>
        <w:rPr>
          <w:noProof/>
        </w:rPr>
      </w:pPr>
      <w:r>
        <w:rPr>
          <w:noProof/>
        </w:rPr>
        <w:t>„(1aa) Prezentul regulament se aplică și navelor cu un tonaj brut mai mic de 5 000 de tone, dar nu mai mic de 400 de tone, în ceea ce privește emisiile de gaze cu efect de seră generate și energia utilizată în timpul călătoriilor lor în scopul efectuării sau sprijinirii operațiunilor offshore în legătură cu un șantier offshore situat în marea teritorială, în zona economică exclusivă (ZEE), pe platforma continentală sau în marea epicontinentală a unui stat membru de la ultimul lor port de escală la un port de escală aflat sub jurisdicția unui stat membru și de la un port de escală aflat sub jurisdicția unui stat membru la următorul lor port de escală, precum și în interiorul porturilor de escală aflate sub jurisdicția unui stat membru, în cazul în care emisiile respective sunt strâns legate de desfășurarea sau sprijinirea operațiunilor offshore în legătură cu un șantier offshore situat în marea teritorială, în ZEE, pe platforma continentală sau în marea epicontinentală a unui stat membru.”;</w:t>
      </w:r>
    </w:p>
    <w:p>
      <w:pPr>
        <w:pStyle w:val="Point1"/>
        <w:rPr>
          <w:noProof/>
        </w:rPr>
      </w:pPr>
      <w:r>
        <w:rPr>
          <w:noProof/>
        </w:rPr>
        <w:t>(d)</w:t>
      </w:r>
      <w:r>
        <w:rPr>
          <w:noProof/>
        </w:rPr>
        <w:tab/>
        <w:t xml:space="preserve">se introduce următorul alineat (1ba): </w:t>
      </w:r>
    </w:p>
    <w:p>
      <w:pPr>
        <w:pStyle w:val="Text2"/>
        <w:rPr>
          <w:noProof/>
        </w:rPr>
      </w:pPr>
      <w:r>
        <w:rPr>
          <w:noProof/>
        </w:rPr>
        <w:t>„(1ba) Prezentul regulament se aplică navelor cu un tonaj brut mai mare sau egal cu 5 000 de tone în ceea ce privește emisiile de gaze cu efect de seră generate și energia utilizată în timpul călătoriilor lor în scopul efectuării sau sprijinirii operațiunilor offshore în legătură cu un șantier offshore situat în marea teritorială, în ZEE, pe platforma continentală sau pe platforma maritimă continentală a unui stat membru de la ultimul lor port de escală la un port de escală aflat sub jurisdicția unui stat membru și de la un port de escală aflat sub jurisdicția unui stat membru la următorul lor port de escală, precum și în interiorul porturilor de escală aflate sub jurisdicția unui stat membru, în cazul în care emisiile respective sunt strâns legate de desfășurarea sau sprijinirea operațiunilor offshore în legătură cu un șantier offshore situat în marea teritorială, în ZEE, pe platforma continentală sau pe platforma maritimă continentală a unui stat membru.”;</w:t>
      </w:r>
    </w:p>
    <w:p>
      <w:pPr>
        <w:pStyle w:val="Point1"/>
        <w:rPr>
          <w:noProof/>
        </w:rPr>
      </w:pPr>
      <w:r>
        <w:rPr>
          <w:noProof/>
        </w:rPr>
        <w:t>(e)</w:t>
      </w:r>
      <w:r>
        <w:rPr>
          <w:noProof/>
        </w:rPr>
        <w:tab/>
        <w:t xml:space="preserve">se introduce următorul alineat (1d): </w:t>
      </w:r>
    </w:p>
    <w:p>
      <w:pPr>
        <w:pStyle w:val="Text2"/>
        <w:rPr>
          <w:noProof/>
        </w:rPr>
      </w:pPr>
      <w:r>
        <w:rPr>
          <w:noProof/>
        </w:rPr>
        <w:t xml:space="preserve">„(1d) Prezentul regulament se aplică și navelor cu un tonaj brut mai mic de 5 000 de tone, dar nu mai mic de 400 de tone, care aparțin următoarelor categorii de nave: </w:t>
      </w:r>
    </w:p>
    <w:p>
      <w:pPr>
        <w:pStyle w:val="Point2"/>
        <w:rPr>
          <w:noProof/>
        </w:rPr>
      </w:pPr>
      <w:r>
        <w:rPr>
          <w:noProof/>
        </w:rPr>
        <w:t>(a)</w:t>
      </w:r>
      <w:r>
        <w:rPr>
          <w:noProof/>
        </w:rPr>
        <w:tab/>
        <w:t xml:space="preserve">petroliere; </w:t>
      </w:r>
    </w:p>
    <w:p>
      <w:pPr>
        <w:pStyle w:val="Point2"/>
        <w:rPr>
          <w:noProof/>
        </w:rPr>
      </w:pPr>
      <w:r>
        <w:rPr>
          <w:noProof/>
        </w:rPr>
        <w:t>(b)</w:t>
      </w:r>
      <w:r>
        <w:rPr>
          <w:noProof/>
        </w:rPr>
        <w:tab/>
        <w:t xml:space="preserve">nave-cisternă pentru transportul produselor chimice; </w:t>
      </w:r>
    </w:p>
    <w:p>
      <w:pPr>
        <w:pStyle w:val="Point2"/>
        <w:rPr>
          <w:noProof/>
        </w:rPr>
      </w:pPr>
      <w:r>
        <w:rPr>
          <w:noProof/>
        </w:rPr>
        <w:t>(c)</w:t>
      </w:r>
      <w:r>
        <w:rPr>
          <w:noProof/>
        </w:rPr>
        <w:tab/>
        <w:t xml:space="preserve">nave pentru transportul gazelor; </w:t>
      </w:r>
    </w:p>
    <w:p>
      <w:pPr>
        <w:pStyle w:val="Point2"/>
        <w:rPr>
          <w:noProof/>
        </w:rPr>
      </w:pPr>
      <w:r>
        <w:rPr>
          <w:noProof/>
        </w:rPr>
        <w:t>(d)</w:t>
      </w:r>
      <w:r>
        <w:rPr>
          <w:noProof/>
        </w:rPr>
        <w:tab/>
        <w:t xml:space="preserve">nave transportatoare de GNL; </w:t>
      </w:r>
    </w:p>
    <w:p>
      <w:pPr>
        <w:pStyle w:val="Point2"/>
        <w:rPr>
          <w:noProof/>
        </w:rPr>
      </w:pPr>
      <w:r>
        <w:rPr>
          <w:noProof/>
        </w:rPr>
        <w:t>(e)</w:t>
      </w:r>
      <w:r>
        <w:rPr>
          <w:noProof/>
        </w:rPr>
        <w:tab/>
        <w:t xml:space="preserve">nave de tip ro-pax; </w:t>
      </w:r>
    </w:p>
    <w:p>
      <w:pPr>
        <w:pStyle w:val="Point2"/>
        <w:rPr>
          <w:noProof/>
        </w:rPr>
      </w:pPr>
      <w:r>
        <w:rPr>
          <w:noProof/>
        </w:rPr>
        <w:t>(f)</w:t>
      </w:r>
      <w:r>
        <w:rPr>
          <w:noProof/>
        </w:rPr>
        <w:tab/>
        <w:t xml:space="preserve">nave de pasageri. </w:t>
      </w:r>
    </w:p>
    <w:p>
      <w:pPr>
        <w:pStyle w:val="Text2"/>
        <w:rPr>
          <w:noProof/>
        </w:rPr>
      </w:pPr>
      <w:r>
        <w:rPr>
          <w:noProof/>
        </w:rPr>
        <w:t xml:space="preserve">Prezentul alineat se aplică în ceea ce privește emisiile de gaze cu efect de seră generate și energia utilizată în timpul călătoriilor acestor nave pentru transportul de pasageri și de mărfuri în scopuri comerciale de la ultimul lor port de escală la un port de escală aflat sub jurisdicția unui stat membru și de la un port de escală aflat sub jurisdicția unui stat membru spre următorul lor port de escală, precum și în interiorul porturilor de escală aflate sub jurisdicția unui stat membru.”; </w:t>
      </w:r>
    </w:p>
    <w:p>
      <w:pPr>
        <w:pStyle w:val="Point1"/>
        <w:rPr>
          <w:noProof/>
        </w:rPr>
      </w:pPr>
      <w:r>
        <w:rPr>
          <w:noProof/>
        </w:rPr>
        <w:t>(f)</w:t>
      </w:r>
      <w:r>
        <w:rPr>
          <w:noProof/>
        </w:rPr>
        <w:tab/>
        <w:t xml:space="preserve">alineatul (2) se înlocuiește cu următorul text: </w:t>
      </w:r>
    </w:p>
    <w:p>
      <w:pPr>
        <w:pStyle w:val="Text2"/>
        <w:rPr>
          <w:noProof/>
        </w:rPr>
      </w:pPr>
      <w:r>
        <w:rPr>
          <w:noProof/>
        </w:rPr>
        <w:t>„(2) Prezentul regulament nu se aplică navelor de război, navelor auxiliare, navelor de pescuit, navelor de lemn cu construcție primitivă și navelor care nu sunt propulsate prin mijloace mecanice.”;</w:t>
      </w:r>
    </w:p>
    <w:p>
      <w:pPr>
        <w:pStyle w:val="Point1"/>
        <w:rPr>
          <w:noProof/>
        </w:rPr>
      </w:pPr>
      <w:r>
        <w:rPr>
          <w:noProof/>
        </w:rPr>
        <w:t>(g)</w:t>
      </w:r>
      <w:r>
        <w:rPr>
          <w:noProof/>
        </w:rPr>
        <w:tab/>
        <w:t xml:space="preserve">se adaugă următorul alineat (3): </w:t>
      </w:r>
    </w:p>
    <w:p>
      <w:pPr>
        <w:pStyle w:val="Text2"/>
        <w:rPr>
          <w:noProof/>
        </w:rPr>
      </w:pPr>
      <w:r>
        <w:rPr>
          <w:noProof/>
        </w:rPr>
        <w:t xml:space="preserve">„(3) Prezentul regulament nu se aplică în ceea ce privește emisiile de gaze cu efect de seră generate și energia utilizată în timpul activităților navelor deținute sau exploatate de un guvern și utilizate numai în scopuri necomerciale.”; </w:t>
      </w:r>
    </w:p>
    <w:p>
      <w:pPr>
        <w:pStyle w:val="Point0"/>
        <w:rPr>
          <w:noProof/>
        </w:rPr>
      </w:pPr>
      <w:r>
        <w:rPr>
          <w:noProof/>
        </w:rPr>
        <w:t>(4)</w:t>
      </w:r>
      <w:r>
        <w:rPr>
          <w:noProof/>
        </w:rPr>
        <w:tab/>
        <w:t xml:space="preserve">articolul 3 se modifică după cum urmează: </w:t>
      </w:r>
    </w:p>
    <w:p>
      <w:pPr>
        <w:pStyle w:val="Point1"/>
        <w:rPr>
          <w:noProof/>
        </w:rPr>
      </w:pPr>
      <w:r>
        <w:rPr>
          <w:noProof/>
        </w:rPr>
        <w:t>(a)</w:t>
      </w:r>
      <w:r>
        <w:rPr>
          <w:noProof/>
        </w:rPr>
        <w:tab/>
        <w:t>litera (n) se înlocuiește cu următorul text:</w:t>
      </w:r>
    </w:p>
    <w:p>
      <w:pPr>
        <w:pStyle w:val="Text2"/>
        <w:rPr>
          <w:noProof/>
        </w:rPr>
      </w:pPr>
      <w:r>
        <w:rPr>
          <w:noProof/>
        </w:rPr>
        <w:t>„(n) «navă la dană» înseamnă o navă care este amarată, de la prima linie pe uscat până la ultima linie pe uscat sau ancorată, de la ancora lăsată până la ancora smulsă, într-un port aflat sub jurisdicția unui stat membru în timp ce încarcă, descarcă sau efectuează o escală, incluzând perioada de timp petrecută atunci când este amarată sau ancorată, dar nu este încă angajată în operațiuni de transport de mărfuri;”;</w:t>
      </w:r>
    </w:p>
    <w:p>
      <w:pPr>
        <w:pStyle w:val="Point1"/>
        <w:rPr>
          <w:noProof/>
        </w:rPr>
      </w:pPr>
      <w:r>
        <w:rPr>
          <w:noProof/>
        </w:rPr>
        <w:t>(b)</w:t>
      </w:r>
      <w:r>
        <w:rPr>
          <w:noProof/>
        </w:rPr>
        <w:tab/>
        <w:t xml:space="preserve">se adaugă următoarele litere (r)-(ag): </w:t>
      </w:r>
    </w:p>
    <w:p>
      <w:pPr>
        <w:pStyle w:val="Text2"/>
        <w:rPr>
          <w:noProof/>
        </w:rPr>
      </w:pPr>
      <w:r>
        <w:rPr>
          <w:noProof/>
        </w:rPr>
        <w:t>„(r) «operațiuni offshore» înseamnă operațiuni offshore astfel cum sunt definite la articolul 3 litera ([am]) din Directiva 2003/87/CE;</w:t>
      </w:r>
    </w:p>
    <w:p>
      <w:pPr>
        <w:pStyle w:val="Text2"/>
        <w:rPr>
          <w:noProof/>
        </w:rPr>
      </w:pPr>
      <w:r>
        <w:rPr>
          <w:noProof/>
        </w:rPr>
        <w:t>(s) «șantier offshore» înseamnă șantier offshore astfel cum este definit la articolul 3 litera ([an]) din Directiva 2003/87/CE;</w:t>
      </w:r>
    </w:p>
    <w:p>
      <w:pPr>
        <w:pStyle w:val="Text2"/>
        <w:rPr>
          <w:noProof/>
        </w:rPr>
      </w:pPr>
      <w:r>
        <w:rPr>
          <w:noProof/>
        </w:rPr>
        <w:t>(t) «tonaj deadweight» înseamnă diferența, în tone, dintre deplasamentul unei nave în apă cu o densitate relativă de 1 025 kg/m³ la pescajul de încărcare pe timp de vară și deplasamentul navei goale; pescajul de încărcare pe timp de vară ar trebui considerat pescajul maxim pe timpul verii, astfel cum este certificat în carnetul de stabilitate aprobat de administrație sau de o organizație recunoscută de aceasta;</w:t>
      </w:r>
    </w:p>
    <w:p>
      <w:pPr>
        <w:pStyle w:val="Text2"/>
        <w:rPr>
          <w:noProof/>
        </w:rPr>
      </w:pPr>
      <w:r>
        <w:rPr>
          <w:noProof/>
        </w:rPr>
        <w:t>(u) «biocombustibili» înseamnă biocombustibili, în sensul definiției de la articolul 2 al doilea paragraf punctul 33 din Directiva (UE) 2018/2001;</w:t>
      </w:r>
    </w:p>
    <w:p>
      <w:pPr>
        <w:pStyle w:val="Text2"/>
        <w:rPr>
          <w:noProof/>
        </w:rPr>
      </w:pPr>
      <w:r>
        <w:rPr>
          <w:noProof/>
        </w:rPr>
        <w:t>(v) «combustibili pe bază de carbon reciclat» înseamnă combustibili pe bază de carbon reciclat, astfel cum sunt definiți la articolul 2 al doilea paragraf punctul 35 din Directiva (UE) 2018/2001;</w:t>
      </w:r>
    </w:p>
    <w:p>
      <w:pPr>
        <w:pStyle w:val="Text2"/>
        <w:rPr>
          <w:noProof/>
        </w:rPr>
      </w:pPr>
      <w:r>
        <w:rPr>
          <w:noProof/>
        </w:rPr>
        <w:t>(w) «combustibili de origine nebiologică produși din surse regenerabile» sau «RFNBO» înseamnă combustibili de origine nebiologică produși din surse regenerabile, astfel cum sunt definiți la articolul 2 al doilea paragraf punctul 36 din Directiva (UE) 2018/2001;</w:t>
      </w:r>
    </w:p>
    <w:p>
      <w:pPr>
        <w:pStyle w:val="Text2"/>
        <w:rPr>
          <w:noProof/>
        </w:rPr>
      </w:pPr>
      <w:r>
        <w:rPr>
          <w:noProof/>
        </w:rPr>
        <w:t>(x) «tehnologie cu emisii zero» înseamnă o tehnologie astfel cum este definită la articolul 3 punctul 7 din Regulamentul (UE) 2023/1805;</w:t>
      </w:r>
    </w:p>
    <w:p>
      <w:pPr>
        <w:pStyle w:val="Text2"/>
        <w:rPr>
          <w:noProof/>
        </w:rPr>
      </w:pPr>
      <w:r>
        <w:rPr>
          <w:noProof/>
        </w:rPr>
        <w:t>(y) «surse alternative de energie» înseamnă energie din surse regenerabile produsă la bord, energie electrică furnizată de sursa de alimentare cu energie electrică de la mal («OPS») sau sisteme de propulsie asistate de vânt;</w:t>
      </w:r>
    </w:p>
    <w:p>
      <w:pPr>
        <w:pStyle w:val="Text2"/>
        <w:rPr>
          <w:noProof/>
        </w:rPr>
      </w:pPr>
      <w:r>
        <w:rPr>
          <w:noProof/>
        </w:rPr>
        <w:t>(z) «propulsie asistată de vânt» înseamnă propulsia, parțială sau totală, a unei nave cu energie eoliană, exploatată cu ajutorul sistemelor de propulsie asistate de vânt, cum ar fi, printre altele, vele cu rotor, zmeie, vele dure sau rigide, vele moi, aripi de aspirație sau turbine;</w:t>
      </w:r>
    </w:p>
    <w:p>
      <w:pPr>
        <w:pStyle w:val="Text2"/>
        <w:rPr>
          <w:noProof/>
        </w:rPr>
      </w:pPr>
      <w:r>
        <w:rPr>
          <w:noProof/>
        </w:rPr>
        <w:t>(aa) «consum de energie la bord» înseamnă cantitatea de energie, exprimată în gigajouli (GJ), utilizată de o navă pentru propulsie și pentru operarea oricărui echipament de la bord, pe mare sau la dană în port;</w:t>
      </w:r>
    </w:p>
    <w:p>
      <w:pPr>
        <w:pStyle w:val="Text2"/>
        <w:rPr>
          <w:noProof/>
        </w:rPr>
      </w:pPr>
      <w:r>
        <w:rPr>
          <w:noProof/>
        </w:rPr>
        <w:t>(ab) «surse de alimentare cu energie electrică de la mal» (sau «OPS») înseamnă sistemul de alimentare cu energie electrică a navelor la dană, la joasă sau înaltă tensiune, cu curent alternativ sau continuu, inclusiv a instalațiilor de pe navă și din port, atunci când acesta alimentează direct tabloul principal de distribuție al navei pentru alimentarea cu energie electrică a spațiilor de cazare, pentru acoperirea volumului de lucru al serviciilor sau pentru încărcarea bateriilor secundare;</w:t>
      </w:r>
    </w:p>
    <w:p>
      <w:pPr>
        <w:pStyle w:val="Text2"/>
        <w:rPr>
          <w:noProof/>
        </w:rPr>
      </w:pPr>
      <w:r>
        <w:rPr>
          <w:noProof/>
        </w:rPr>
        <w:t>(ac) «necesarul de energie electrică la dană» înseamnă necesarul de energie electrică al unei nave la dană pentru a satisface toate necesitățile de energie pe bază de energie electrică de la bord;</w:t>
      </w:r>
    </w:p>
    <w:p>
      <w:pPr>
        <w:pStyle w:val="Text2"/>
        <w:rPr>
          <w:noProof/>
        </w:rPr>
      </w:pPr>
      <w:r>
        <w:rPr>
          <w:noProof/>
        </w:rPr>
        <w:t>(ad) «necesarul total de energie electrică stabilit al navei la dană» înseamnă cea mai mare valoare, exprimată în kilowați, a necesarului total de energie electrică al unei nave la dană, inclusiv pentru spațiile de cazare și pentru manipularea încărcăturilor;</w:t>
      </w:r>
    </w:p>
    <w:p>
      <w:pPr>
        <w:pStyle w:val="Text2"/>
        <w:rPr>
          <w:noProof/>
        </w:rPr>
      </w:pPr>
      <w:r>
        <w:rPr>
          <w:noProof/>
        </w:rPr>
        <w:t>(ae) «marginea gheții» înseamnă delimitarea în orice moment între marea liberă și gheața marină de orice tip, fixă sau în derivă, astfel cum se prevede la punctul 4.4.8 din Nomenclatorul privind gheața marină al Organizației Meteorologice Mondiale, martie 2014;</w:t>
      </w:r>
    </w:p>
    <w:p>
      <w:pPr>
        <w:pStyle w:val="Text2"/>
        <w:rPr>
          <w:noProof/>
        </w:rPr>
      </w:pPr>
      <w:r>
        <w:rPr>
          <w:noProof/>
        </w:rPr>
        <w:t>(af) «navigare în condiții de gheață» înseamnă navigarea unei nave cu clasă de gheață într-o zonă maritimă situată în interiorul marginii gheții;</w:t>
      </w:r>
    </w:p>
    <w:p>
      <w:pPr>
        <w:pStyle w:val="Text2"/>
        <w:rPr>
          <w:noProof/>
        </w:rPr>
      </w:pPr>
      <w:r>
        <w:rPr>
          <w:noProof/>
        </w:rPr>
        <w:t>(ag) «perioadă de verificare» înseamnă anul calendaristic imediat următor perioadei de raportare.”;</w:t>
      </w:r>
    </w:p>
    <w:p>
      <w:pPr>
        <w:pStyle w:val="Point0"/>
        <w:rPr>
          <w:noProof/>
        </w:rPr>
      </w:pPr>
      <w:r>
        <w:rPr>
          <w:noProof/>
        </w:rPr>
        <w:t>(5)</w:t>
      </w:r>
      <w:r>
        <w:rPr>
          <w:noProof/>
        </w:rPr>
        <w:tab/>
        <w:t xml:space="preserve">articolul 4 se modifică după cum urmează: </w:t>
      </w:r>
    </w:p>
    <w:p>
      <w:pPr>
        <w:pStyle w:val="Point1"/>
        <w:rPr>
          <w:noProof/>
        </w:rPr>
      </w:pPr>
      <w:r>
        <w:rPr>
          <w:noProof/>
        </w:rPr>
        <w:t>(a)</w:t>
      </w:r>
      <w:r>
        <w:rPr>
          <w:noProof/>
        </w:rPr>
        <w:tab/>
        <w:t xml:space="preserve">alineatul (2) se înlocuiește cu următorul text: </w:t>
      </w:r>
    </w:p>
    <w:p>
      <w:pPr>
        <w:pStyle w:val="Text2"/>
        <w:rPr>
          <w:noProof/>
        </w:rPr>
      </w:pPr>
      <w:r>
        <w:rPr>
          <w:noProof/>
        </w:rPr>
        <w:t>„(2) Monitorizarea și raportarea trebuie să fie complete și să acopere emisiile de gaze cu efect de seră provenite din arderea combustibililor și consumul de energie la bord pentru propulsie și pentru exploatarea oricărui echipament de la bord, în timp ce navele se află pe mare, precum și în port, inclusiv la dană. Companiile iau măsuri adecvate pentru a preveni orice lipsă a datelor în perioada de raportare.”;</w:t>
      </w:r>
    </w:p>
    <w:p>
      <w:pPr>
        <w:pStyle w:val="Point1"/>
        <w:rPr>
          <w:noProof/>
        </w:rPr>
      </w:pPr>
      <w:r>
        <w:rPr>
          <w:noProof/>
        </w:rPr>
        <w:t>(b)</w:t>
      </w:r>
      <w:r>
        <w:rPr>
          <w:noProof/>
        </w:rPr>
        <w:tab/>
        <w:t xml:space="preserve">se adaugă următorul alineat (2a): </w:t>
      </w:r>
    </w:p>
    <w:p>
      <w:pPr>
        <w:pStyle w:val="Text2"/>
        <w:rPr>
          <w:noProof/>
        </w:rPr>
      </w:pPr>
      <w:r>
        <w:rPr>
          <w:noProof/>
        </w:rPr>
        <w:t>„(2a) Emisiile de gaze cu efect de seră și consumul de energie la bord se determină în conformitate cu metodele de monitorizare prevăzute în anexa I, ținând seama de toate sursele de emisii, de unitățile consumatoare de combustibil, de sursele alternative de energie, de tehnologiile cu emisii zero instalate la bord și de factorii de emisie relevanți.”;</w:t>
      </w:r>
    </w:p>
    <w:p>
      <w:pPr>
        <w:pStyle w:val="Point1"/>
        <w:rPr>
          <w:noProof/>
        </w:rPr>
      </w:pPr>
      <w:r>
        <w:rPr>
          <w:noProof/>
        </w:rPr>
        <w:t>(c)</w:t>
      </w:r>
      <w:r>
        <w:rPr>
          <w:noProof/>
        </w:rPr>
        <w:tab/>
        <w:t xml:space="preserve">alineatul (4) se înlocuiește cu următorul text: </w:t>
      </w:r>
    </w:p>
    <w:p>
      <w:pPr>
        <w:pStyle w:val="Text2"/>
        <w:rPr>
          <w:noProof/>
        </w:rPr>
      </w:pPr>
      <w:r>
        <w:rPr>
          <w:noProof/>
        </w:rPr>
        <w:t>„(4) Companiile obțin, înregistrează, compilează, analizează, documentează datele de monitorizare și stochează timp de cel puțin 10 ani toate datele de monitorizare, inclusiv ipotezele, referințele, factorii de emisie, documentele privind operațiunile de buncheraj al combustibilului în conformitate cu anexa I la Regulamentul (UE) 2023/1805 al Parlamentului European și al Consiliului* și datele de activitate, într-un mod transparent care să permită reproducerea determinării emisiilor de gaze cu efect de seră și a consumului de energie la bordul navelor.</w:t>
      </w:r>
    </w:p>
    <w:p>
      <w:pPr>
        <w:pStyle w:val="Text2"/>
        <w:rPr>
          <w:noProof/>
        </w:rPr>
      </w:pPr>
      <w:r>
        <w:rPr>
          <w:noProof/>
        </w:rPr>
        <w:t>________________</w:t>
      </w:r>
    </w:p>
    <w:p>
      <w:pPr>
        <w:pStyle w:val="Text2"/>
        <w:rPr>
          <w:noProof/>
        </w:rPr>
      </w:pPr>
      <w:r>
        <w:rPr>
          <w:noProof/>
        </w:rPr>
        <w:t>* Regulamentul (UE) 2023/1805 al Parlamentului European și al Consiliului din 13 septembrie 2023 privind utilizarea combustibililor din surse regenerabile și cu emisii scăzute de carbon în transportul maritim și de modificare a Directivei 2009/16/CE (JO L 234, 22.9.2023, p. 48, ELI: http://data.europa.eu/eli/reg/2023/1805/oj).”;</w:t>
      </w:r>
    </w:p>
    <w:p>
      <w:pPr>
        <w:pStyle w:val="Point1"/>
        <w:rPr>
          <w:noProof/>
        </w:rPr>
      </w:pPr>
      <w:r>
        <w:rPr>
          <w:noProof/>
        </w:rPr>
        <w:t>(d)</w:t>
      </w:r>
      <w:r>
        <w:rPr>
          <w:noProof/>
        </w:rPr>
        <w:tab/>
        <w:t xml:space="preserve">alineatul (5) se înlocuiește cu următorul text: </w:t>
      </w:r>
    </w:p>
    <w:p>
      <w:pPr>
        <w:pStyle w:val="Text2"/>
        <w:rPr>
          <w:noProof/>
        </w:rPr>
      </w:pPr>
      <w:r>
        <w:rPr>
          <w:noProof/>
        </w:rPr>
        <w:t>„(5) Companiile se asigură că determinarea emisiilor de gaze cu efect de seră și a consumului de energie la bordul navelor nu este nici sistematic, nici intenționat inexactă. Companiile verifică și reduc orice sursă de inexactitate.”;</w:t>
      </w:r>
    </w:p>
    <w:p>
      <w:pPr>
        <w:pStyle w:val="Point1"/>
        <w:rPr>
          <w:noProof/>
        </w:rPr>
      </w:pPr>
      <w:r>
        <w:rPr>
          <w:noProof/>
        </w:rPr>
        <w:t>(e)</w:t>
      </w:r>
      <w:r>
        <w:rPr>
          <w:noProof/>
        </w:rPr>
        <w:tab/>
        <w:t xml:space="preserve">alineatul (6) se înlocuiește cu următorul text: </w:t>
      </w:r>
    </w:p>
    <w:p>
      <w:pPr>
        <w:pStyle w:val="Text2"/>
        <w:rPr>
          <w:noProof/>
        </w:rPr>
      </w:pPr>
      <w:r>
        <w:rPr>
          <w:noProof/>
        </w:rPr>
        <w:t>„(6) Companiile creează condițiile necesare pentru a asigura în mod rezonabil integritatea datelor care urmează a fi monitorizate și raportate.”;</w:t>
      </w:r>
    </w:p>
    <w:p>
      <w:pPr>
        <w:pStyle w:val="Point1"/>
        <w:rPr>
          <w:noProof/>
        </w:rPr>
      </w:pPr>
      <w:r>
        <w:rPr>
          <w:noProof/>
        </w:rPr>
        <w:t>(f)</w:t>
      </w:r>
      <w:r>
        <w:rPr>
          <w:noProof/>
        </w:rPr>
        <w:tab/>
        <w:t xml:space="preserve">se adaugă următorul alineat (9): </w:t>
      </w:r>
    </w:p>
    <w:p>
      <w:pPr>
        <w:pStyle w:val="Text2"/>
        <w:rPr>
          <w:noProof/>
        </w:rPr>
      </w:pPr>
      <w:r>
        <w:rPr>
          <w:noProof/>
        </w:rPr>
        <w:t>„(9) Datele raportate în conformitate cu alineatul (1) se utilizează în scopul respectării Regulamentului (UE) 2023/1805.”;</w:t>
      </w:r>
    </w:p>
    <w:p>
      <w:pPr>
        <w:pStyle w:val="Point0"/>
        <w:rPr>
          <w:noProof/>
        </w:rPr>
      </w:pPr>
      <w:r>
        <w:rPr>
          <w:noProof/>
        </w:rPr>
        <w:t>(6)</w:t>
      </w:r>
      <w:r>
        <w:rPr>
          <w:noProof/>
        </w:rPr>
        <w:tab/>
        <w:t xml:space="preserve">se introduce următorul articol 4a: </w:t>
      </w:r>
    </w:p>
    <w:p>
      <w:pPr>
        <w:jc w:val="center"/>
        <w:rPr>
          <w:noProof/>
        </w:rPr>
      </w:pPr>
      <w:r>
        <w:rPr>
          <w:noProof/>
        </w:rPr>
        <w:t>„</w:t>
      </w:r>
      <w:r>
        <w:rPr>
          <w:i/>
          <w:noProof/>
        </w:rPr>
        <w:t>Articolul 4a</w:t>
      </w:r>
    </w:p>
    <w:p>
      <w:pPr>
        <w:jc w:val="center"/>
        <w:rPr>
          <w:b/>
          <w:bCs/>
          <w:noProof/>
        </w:rPr>
      </w:pPr>
      <w:r>
        <w:rPr>
          <w:b/>
          <w:noProof/>
        </w:rPr>
        <w:t>Autoritatea de administrare responsabilă</w:t>
      </w:r>
    </w:p>
    <w:p>
      <w:pPr>
        <w:pStyle w:val="Text1"/>
        <w:rPr>
          <w:noProof/>
        </w:rPr>
      </w:pPr>
      <w:r>
        <w:rPr>
          <w:noProof/>
        </w:rPr>
        <w:t>(1) Autoritatea de administrare responsabilă se asigură că o companie de transport maritim aflată în responsabilitatea sa respectă obligațiile prevăzute la articolele 4-12 pentru fiecare navă care intră în domeniul de aplicare al prezentului regulament.</w:t>
      </w:r>
    </w:p>
    <w:p>
      <w:pPr>
        <w:pStyle w:val="Text1"/>
        <w:rPr>
          <w:noProof/>
        </w:rPr>
      </w:pPr>
      <w:r>
        <w:rPr>
          <w:noProof/>
        </w:rPr>
        <w:t xml:space="preserve">(2) În cazul în care o companie are obligații în conformitate cu prezentul regulament pentru prima dată după [OP este rugat să introducă data = data aplicării prezentului regulament] și în cazul în care compania respectivă nu se află pe lista stabilită în temeiul articolului 3gf alineatul (2) din Directiva 2003/87/CE, compania este atribuită unei autorități de administrare responsabile în conformitate cu articolul 3gf din Directiva 2003/87/CE. </w:t>
      </w:r>
    </w:p>
    <w:p>
      <w:pPr>
        <w:pStyle w:val="Text1"/>
        <w:rPr>
          <w:noProof/>
        </w:rPr>
      </w:pPr>
      <w:r>
        <w:rPr>
          <w:noProof/>
        </w:rPr>
        <w:t>În termen de o lună de la prima escală într-un port aflat sub jurisdicția unui stat membru a unei nave care intră în domeniul de aplicare al prezentului regulament, compania respectivă contactează Agenția Europeană pentru Siguranță Maritimă (EMSA) cu privire la atribuirea acesteia unei autorități de administrare responsabile. Autoritatea de administrare responsabilă pentru compania respectivă își păstrează această responsabilitate cel puțin până la actualizarea listei în temeiul articolului 3gf alineatul (2) din Directiva 2003/87/CE.”;</w:t>
      </w:r>
    </w:p>
    <w:p>
      <w:pPr>
        <w:pStyle w:val="Point0"/>
        <w:rPr>
          <w:noProof/>
        </w:rPr>
      </w:pPr>
      <w:r>
        <w:rPr>
          <w:noProof/>
        </w:rPr>
        <w:t>(7)</w:t>
      </w:r>
      <w:r>
        <w:rPr>
          <w:noProof/>
        </w:rPr>
        <w:tab/>
        <w:t xml:space="preserve">articolul 5 se modifică după cum urmează: </w:t>
      </w:r>
    </w:p>
    <w:p>
      <w:pPr>
        <w:pStyle w:val="Point1"/>
        <w:rPr>
          <w:noProof/>
        </w:rPr>
      </w:pPr>
      <w:r>
        <w:rPr>
          <w:noProof/>
        </w:rPr>
        <w:t>(a)</w:t>
      </w:r>
      <w:r>
        <w:rPr>
          <w:noProof/>
        </w:rPr>
        <w:tab/>
        <w:t>titlul și alineatul (1) se înlocuiesc cu următorul text:</w:t>
      </w:r>
    </w:p>
    <w:p>
      <w:pPr>
        <w:jc w:val="center"/>
        <w:rPr>
          <w:noProof/>
        </w:rPr>
      </w:pPr>
      <w:r>
        <w:rPr>
          <w:noProof/>
        </w:rPr>
        <w:t>„</w:t>
      </w:r>
      <w:r>
        <w:rPr>
          <w:i/>
          <w:noProof/>
        </w:rPr>
        <w:t>Articolul 5</w:t>
      </w:r>
    </w:p>
    <w:p>
      <w:pPr>
        <w:jc w:val="center"/>
        <w:rPr>
          <w:b/>
          <w:bCs/>
          <w:noProof/>
        </w:rPr>
      </w:pPr>
      <w:r>
        <w:rPr>
          <w:b/>
          <w:noProof/>
        </w:rPr>
        <w:t>Metode de monitorizare a informațiilor relevante</w:t>
      </w:r>
    </w:p>
    <w:p>
      <w:pPr>
        <w:pStyle w:val="Text1"/>
        <w:rPr>
          <w:noProof/>
        </w:rPr>
      </w:pPr>
      <w:r>
        <w:rPr>
          <w:noProof/>
        </w:rPr>
        <w:t>(1) În sensul articolului 4, companiile determină, pentru fiecare dintre navele lor, emisiile de gaze cu efect de seră în conformitate cu oricare dintre metodele prevăzute în anexa I la prezentul regulament și energia utilizată în conformitate cu metodele prevăzute în anexa I la prezentul regulament și în anexa I la Regulamentul (UE) 2023/1085 și monitorizează alte informații relevante în conformitate cu normele prevăzute în anexa II la prezentul regulament sau adoptate în temeiul acestuia.”;</w:t>
      </w:r>
    </w:p>
    <w:p>
      <w:pPr>
        <w:pStyle w:val="Point1"/>
        <w:rPr>
          <w:noProof/>
        </w:rPr>
      </w:pPr>
      <w:r>
        <w:rPr>
          <w:noProof/>
        </w:rPr>
        <w:t>(b)</w:t>
      </w:r>
      <w:r>
        <w:rPr>
          <w:noProof/>
        </w:rPr>
        <w:tab/>
        <w:t>alineatele (2)-(4) se înlocuiesc cu următorul text:</w:t>
      </w:r>
    </w:p>
    <w:p>
      <w:pPr>
        <w:pStyle w:val="Text1"/>
        <w:rPr>
          <w:noProof/>
        </w:rPr>
      </w:pPr>
      <w:r>
        <w:rPr>
          <w:noProof/>
        </w:rPr>
        <w:t>„(2) Comisia este împuternicită să adopte acte delegate în conformitate cu articolul 23 din prezentul Regulament pentru a modifica anexele I și II la prezentul regulament, pentru a lua în considerare includerea în domeniul de aplicare al prezentului regulament a emisiilor de CH</w:t>
      </w:r>
      <w:r>
        <w:rPr>
          <w:noProof/>
          <w:vertAlign w:val="subscript"/>
        </w:rPr>
        <w:t>4</w:t>
      </w:r>
      <w:r>
        <w:rPr>
          <w:noProof/>
        </w:rPr>
        <w:t xml:space="preserve"> și de N</w:t>
      </w:r>
      <w:r>
        <w:rPr>
          <w:noProof/>
          <w:vertAlign w:val="subscript"/>
        </w:rPr>
        <w:t>2</w:t>
      </w:r>
      <w:r>
        <w:rPr>
          <w:noProof/>
        </w:rPr>
        <w:t>O și a emisiilor de gaze cu efect de seră generate de navele care efectuează sau sprijină operațiuni offshore, în conformitate cu articolul 2 alineatul (1aa) și cu articolul 2 alineatul (1b) din prezentul regulament, și modificări ale Directivei 2003/87/CE, precum și pentru a alinia anexele I și II la prezentul regulament la actele de punere în aplicare adoptate în temeiul articolului 14 alineatul (1) din Directiva 2003/87/CE, la normele internaționale relevante și la standardele internaționale și europene. Comisia este împuternicită, de asemenea, să adopte acte delegate în conformitate cu articolul 23 din prezentul regulament pentru a modifica anexele I și II la prezentul regulament în vederea dezvoltării în continuare a elementelor metodelor de monitorizare prevăzute în acestea, inclusiv a factorilor de emisie, având în vedere evoluțiile tehnologice și științifice și pentru a asigura funcționarea eficace a schemei UE de comercializare a certificatelor de emisii (EU ETS) instituite în temeiul Directivei 2003/87/CE și a inițiativei FuelEU în domeniul maritim instituite în temeiul Regulamentului (UE) 2023/1805 și coerența cu viitoarele standarde internaționale sau acte juridice ale Uniunii în domeniul energiei, în conformitate cu cele mai bune cunoștințe științifice și tehnice disponibile.</w:t>
      </w:r>
    </w:p>
    <w:p>
      <w:pPr>
        <w:pStyle w:val="Text1"/>
        <w:rPr>
          <w:noProof/>
        </w:rPr>
      </w:pPr>
      <w:r>
        <w:rPr>
          <w:noProof/>
        </w:rPr>
        <w:t xml:space="preserve">(3) Comisia este împuternicită să adopte acte delegate în conformitate cu articolul 23 pentru a modifica anexele I și II pentru a ține seama de includerea în domeniul de aplicare al prezentului regulament a emisiilor de gaze cu efect de seră generate de categoriile de nave cu un tonaj brut mai mic de 5 000 de tone, în conformitate cu articolul 2 alineatele (1a) și (1d), inclusiv pentru a prevedea cerințe de monitorizare simplificate. </w:t>
      </w:r>
    </w:p>
    <w:p>
      <w:pPr>
        <w:pStyle w:val="Text1"/>
        <w:rPr>
          <w:noProof/>
        </w:rPr>
      </w:pPr>
      <w:r>
        <w:rPr>
          <w:noProof/>
        </w:rPr>
        <w:t>(4) Pentru a asigura condiții uniforme de stabilire a cantității de energie utilizată din energia eoliană, Comisia este împuternicită să adopte, prin intermediul unor acte de punere în aplicare, norme care să precizeze standardele și certificarea care trebuie utilizate de întreprinderi. Aceste acte de punere în aplicare se adoptă în conformitate cu procedura de examinare menționată la articolul 24 alineatul (2).”;</w:t>
      </w:r>
    </w:p>
    <w:p>
      <w:pPr>
        <w:pStyle w:val="Point0"/>
        <w:rPr>
          <w:noProof/>
        </w:rPr>
      </w:pPr>
      <w:r>
        <w:rPr>
          <w:noProof/>
        </w:rPr>
        <w:t>(8)</w:t>
      </w:r>
      <w:r>
        <w:rPr>
          <w:noProof/>
        </w:rPr>
        <w:tab/>
        <w:t xml:space="preserve">articolul 6 se modifică după cum urmează: </w:t>
      </w:r>
    </w:p>
    <w:p>
      <w:pPr>
        <w:pStyle w:val="Point1"/>
        <w:rPr>
          <w:noProof/>
        </w:rPr>
      </w:pPr>
      <w:r>
        <w:rPr>
          <w:noProof/>
        </w:rPr>
        <w:t>(a)</w:t>
      </w:r>
      <w:r>
        <w:rPr>
          <w:noProof/>
        </w:rPr>
        <w:tab/>
        <w:t xml:space="preserve">alineatul (2) se înlocuiește cu următorul text: </w:t>
      </w:r>
    </w:p>
    <w:p>
      <w:pPr>
        <w:pStyle w:val="Text2"/>
        <w:rPr>
          <w:noProof/>
        </w:rPr>
      </w:pPr>
      <w:r>
        <w:rPr>
          <w:noProof/>
        </w:rPr>
        <w:t>„(2) Fără a aduce atingere alineatului (1), în cazul navelor care intră sub incidența prezentului regulament pentru prima oară după 31 august 2017, compania transmite verificatorului un plan de monitorizare, fără întârzieri nejustificate și în cel mult două luni de la prima escală a fiecărei nave într-un port aflat sub jurisdicția unui stat membru. Planul de monitorizare respectiv trebuie să indice metoda aleasă pentru monitorizarea și raportarea emisiilor de gaze cu efect de seră și consumului de energie la bord, inclusiv cantitatea și tipul de energie utilizată, factorii de emisie aplicabili și orice alte informații relevante.”;</w:t>
      </w:r>
    </w:p>
    <w:p>
      <w:pPr>
        <w:pStyle w:val="Point1"/>
        <w:rPr>
          <w:noProof/>
        </w:rPr>
      </w:pPr>
      <w:r>
        <w:rPr>
          <w:noProof/>
        </w:rPr>
        <w:t>(b)</w:t>
      </w:r>
      <w:r>
        <w:rPr>
          <w:noProof/>
        </w:rPr>
        <w:tab/>
        <w:t xml:space="preserve">alineatul (3) se modifică după cum urmează: </w:t>
      </w:r>
    </w:p>
    <w:p>
      <w:pPr>
        <w:pStyle w:val="Point2"/>
        <w:rPr>
          <w:noProof/>
        </w:rPr>
      </w:pPr>
      <w:r>
        <w:rPr>
          <w:noProof/>
        </w:rPr>
        <w:t>(1)</w:t>
      </w:r>
      <w:r>
        <w:rPr>
          <w:noProof/>
        </w:rPr>
        <w:tab/>
        <w:t xml:space="preserve">litera (c) se înlocuiește cu următorul text: </w:t>
      </w:r>
    </w:p>
    <w:p>
      <w:pPr>
        <w:pStyle w:val="Text3"/>
        <w:rPr>
          <w:noProof/>
        </w:rPr>
      </w:pPr>
      <w:r>
        <w:rPr>
          <w:noProof/>
        </w:rPr>
        <w:t>„(c) o descriere a tuturor surselor de emisii de gaze cu efect de seră și a consumatorilor de combustibili de la bordul navei;”;</w:t>
      </w:r>
    </w:p>
    <w:p>
      <w:pPr>
        <w:pStyle w:val="Point2"/>
        <w:rPr>
          <w:noProof/>
        </w:rPr>
      </w:pPr>
      <w:r>
        <w:rPr>
          <w:noProof/>
        </w:rPr>
        <w:t>(2)</w:t>
      </w:r>
      <w:r>
        <w:rPr>
          <w:noProof/>
        </w:rPr>
        <w:tab/>
        <w:t xml:space="preserve">după litera (c) se introduc următoarele litere (ca)-(cg): </w:t>
      </w:r>
    </w:p>
    <w:p>
      <w:pPr>
        <w:pStyle w:val="Text3"/>
        <w:rPr>
          <w:noProof/>
        </w:rPr>
      </w:pPr>
      <w:r>
        <w:rPr>
          <w:noProof/>
        </w:rPr>
        <w:t xml:space="preserve">„(ca) o descriere a tipurilor de combustibil utilizate de sursele de emisii și de consumatorii de combustibil instalați la bord; </w:t>
      </w:r>
    </w:p>
    <w:p>
      <w:pPr>
        <w:pStyle w:val="Text3"/>
        <w:rPr>
          <w:noProof/>
        </w:rPr>
      </w:pPr>
      <w:r>
        <w:rPr>
          <w:noProof/>
        </w:rPr>
        <w:t>(cb) o descriere a surselor alternative de energie și a tehnologiilor cu emisii zero instalate la bord, precum și a puterii instalate aferente, exprimată în megawați (MW);</w:t>
      </w:r>
    </w:p>
    <w:p>
      <w:pPr>
        <w:pStyle w:val="Text3"/>
        <w:rPr>
          <w:noProof/>
        </w:rPr>
      </w:pPr>
      <w:r>
        <w:rPr>
          <w:noProof/>
        </w:rPr>
        <w:t>(cc) pentru navele menționate la articolul 6 alineatul (4) litera (b) din Regulamentul (UE) 2023/1805, o descriere a standardelor și a caracteristicilor echipamentelor care permit racordarea la OPS sau la o tehnologie cu emisii zero;</w:t>
      </w:r>
    </w:p>
    <w:p>
      <w:pPr>
        <w:pStyle w:val="Text3"/>
        <w:rPr>
          <w:noProof/>
        </w:rPr>
      </w:pPr>
      <w:r>
        <w:rPr>
          <w:noProof/>
        </w:rPr>
        <w:t>(cd) valoarea necesarului total de energie electrică stabilit al navei la dană, astfel cum este prevăzut în bilanțul energetic sau studiul privind sarcina electrică utilizat pentru a demonstra conformitatea cu regulile 40 și 41 din capitolul II-1 din Convenția internațională pentru ocrotirea vieții omenești pe mare (SOLAS), astfel cum a fost aprobat de administrația statului de pavilion sau de o organizație recunoscută, astfel cum este definită în Codul OMI pentru organizații recunoscute adoptat prin Rezoluțiile MEPC.237(65) și MSC.349(92); în cazul în care o navă nu este în măsură să furnizeze referința respectivă, valoarea luată în considerare reprezintă 25 % din totalul puterilor maxime continue ale motoarelor principale ale navei, astfel cum se specifică în certificatul EIAPP eliberat în aplicarea Convenției internaționale pentru prevenirea poluării de către nave (MARPOL) sau, dacă motoarele nu sunt obligate să dețină un certificat EIAPP, pe plăcuța indicatoare a motoarelor;</w:t>
      </w:r>
    </w:p>
    <w:p>
      <w:pPr>
        <w:pStyle w:val="Text3"/>
        <w:rPr>
          <w:noProof/>
        </w:rPr>
      </w:pPr>
      <w:r>
        <w:rPr>
          <w:noProof/>
        </w:rPr>
        <w:t>(ce) o descriere a surselor de energie care urmează să fie utilizate la bord în timpul navigării și la dană pentru a respecta cerințele prevăzute la articolele 4 și 6 din Regulamentul (UE) 2023/1805;</w:t>
      </w:r>
    </w:p>
    <w:p>
      <w:pPr>
        <w:pStyle w:val="Text3"/>
        <w:rPr>
          <w:noProof/>
        </w:rPr>
      </w:pPr>
      <w:r>
        <w:rPr>
          <w:noProof/>
        </w:rPr>
        <w:t>(cf) o descriere a procedurilor de monitorizare a emisiilor de gaze cu efect de seră și a consumului de combustibil al navei, precum și a energiei furnizate din surse alternative de energie sau de tehnologii cu emisii zero;</w:t>
      </w:r>
    </w:p>
    <w:p>
      <w:pPr>
        <w:pStyle w:val="Text3"/>
        <w:rPr>
          <w:noProof/>
        </w:rPr>
      </w:pPr>
      <w:r>
        <w:rPr>
          <w:noProof/>
        </w:rPr>
        <w:t>(cg) o descriere a procedurilor de monitorizare și raportare a factorilor de emisie aplicabili;”;</w:t>
      </w:r>
    </w:p>
    <w:p>
      <w:pPr>
        <w:pStyle w:val="Point2"/>
        <w:rPr>
          <w:noProof/>
        </w:rPr>
      </w:pPr>
      <w:r>
        <w:rPr>
          <w:noProof/>
        </w:rPr>
        <w:t>(3)</w:t>
      </w:r>
      <w:r>
        <w:rPr>
          <w:noProof/>
        </w:rPr>
        <w:tab/>
        <w:t xml:space="preserve">litera (d) se înlocuiește cu următorul text: </w:t>
      </w:r>
    </w:p>
    <w:p>
      <w:pPr>
        <w:pStyle w:val="Text3"/>
        <w:rPr>
          <w:noProof/>
        </w:rPr>
      </w:pPr>
      <w:r>
        <w:rPr>
          <w:noProof/>
        </w:rPr>
        <w:t>„(d) o descriere a procedurilor, sistemelor și responsabilităților utilizate pentru actualizarea listei surselor de emisii de gaze cu efect de seră, a consumatorilor de combustibili, a surselor alternative de energie și a tehnologiilor cu emisii zero în cursul perioadei de raportare;”;</w:t>
      </w:r>
    </w:p>
    <w:p>
      <w:pPr>
        <w:pStyle w:val="Point2"/>
        <w:rPr>
          <w:noProof/>
        </w:rPr>
      </w:pPr>
      <w:r>
        <w:rPr>
          <w:noProof/>
        </w:rPr>
        <w:t>(4)</w:t>
      </w:r>
      <w:r>
        <w:rPr>
          <w:noProof/>
        </w:rPr>
        <w:tab/>
        <w:t xml:space="preserve">litera (f) punctul (i) se înlocuiește cu următorul text: </w:t>
      </w:r>
    </w:p>
    <w:p>
      <w:pPr>
        <w:pStyle w:val="Text3"/>
        <w:rPr>
          <w:noProof/>
        </w:rPr>
      </w:pPr>
      <w:r>
        <w:rPr>
          <w:noProof/>
        </w:rPr>
        <w:t>„(i) metoda aleasă dintre metodele prevăzute în anexa I pentru calcularea consumului de combustibil al fiecărei surse de emisii de gaze cu efect de seră și consumator de combustibil, inclusiv o descriere a instrumentului de măsurare utilizat, după caz;”;</w:t>
      </w:r>
    </w:p>
    <w:p>
      <w:pPr>
        <w:pStyle w:val="Point2"/>
        <w:rPr>
          <w:noProof/>
        </w:rPr>
      </w:pPr>
      <w:r>
        <w:rPr>
          <w:noProof/>
        </w:rPr>
        <w:t>(5)</w:t>
      </w:r>
      <w:r>
        <w:rPr>
          <w:noProof/>
        </w:rPr>
        <w:tab/>
        <w:t>litera (g) se elimină;</w:t>
      </w:r>
    </w:p>
    <w:p>
      <w:pPr>
        <w:pStyle w:val="Point2"/>
        <w:rPr>
          <w:noProof/>
        </w:rPr>
      </w:pPr>
      <w:r>
        <w:rPr>
          <w:noProof/>
        </w:rPr>
        <w:t>(6)</w:t>
      </w:r>
      <w:r>
        <w:rPr>
          <w:noProof/>
        </w:rPr>
        <w:tab/>
        <w:t xml:space="preserve">litera (h) punctul (iii) se înlocuiește cu următorul text: </w:t>
      </w:r>
    </w:p>
    <w:p>
      <w:pPr>
        <w:pStyle w:val="Text3"/>
        <w:rPr>
          <w:noProof/>
        </w:rPr>
      </w:pPr>
      <w:r>
        <w:rPr>
          <w:noProof/>
        </w:rPr>
        <w:t>„(iii) procedurile, responsabilitățile, formulele și sursele de date pentru determinarea și înregistrarea timpului petrecut pe mare între portul de plecare și portul de sosire și a timpului petrecut la dană;”;</w:t>
      </w:r>
    </w:p>
    <w:p>
      <w:pPr>
        <w:pStyle w:val="Point2"/>
        <w:rPr>
          <w:noProof/>
        </w:rPr>
      </w:pPr>
      <w:r>
        <w:rPr>
          <w:noProof/>
        </w:rPr>
        <w:t>(7)</w:t>
      </w:r>
      <w:r>
        <w:rPr>
          <w:noProof/>
        </w:rPr>
        <w:tab/>
        <w:t>se adaugă următoarea literă (ha):</w:t>
      </w:r>
    </w:p>
    <w:p>
      <w:pPr>
        <w:pStyle w:val="Text3"/>
        <w:rPr>
          <w:noProof/>
        </w:rPr>
      </w:pPr>
      <w:r>
        <w:rPr>
          <w:noProof/>
        </w:rPr>
        <w:t>„(ha) pentru o navă echipată cu propulsie asistată de vânt, o descriere a echipamentelor de propulsie eoliană instalate la bord și valorile P</w:t>
      </w:r>
      <w:r>
        <w:rPr>
          <w:noProof/>
          <w:vertAlign w:val="subscript"/>
        </w:rPr>
        <w:t>vânt</w:t>
      </w:r>
      <w:r>
        <w:rPr>
          <w:noProof/>
        </w:rPr>
        <w:t xml:space="preserve"> și P</w:t>
      </w:r>
      <w:r>
        <w:rPr>
          <w:noProof/>
          <w:vertAlign w:val="subscript"/>
        </w:rPr>
        <w:t>Prop</w:t>
      </w:r>
      <w:r>
        <w:rPr>
          <w:noProof/>
        </w:rPr>
        <w:t>, astfel cum sunt menționate în anexa I la Regulamentul (UE) 2023/1805;”;</w:t>
      </w:r>
    </w:p>
    <w:p>
      <w:pPr>
        <w:pStyle w:val="Point2"/>
        <w:rPr>
          <w:noProof/>
        </w:rPr>
      </w:pPr>
      <w:r>
        <w:rPr>
          <w:noProof/>
        </w:rPr>
        <w:t>(8)</w:t>
      </w:r>
      <w:r>
        <w:rPr>
          <w:noProof/>
        </w:rPr>
        <w:tab/>
        <w:t xml:space="preserve">se adaugă următoarele litere (k)-(n): </w:t>
      </w:r>
    </w:p>
    <w:p>
      <w:pPr>
        <w:pStyle w:val="Text3"/>
        <w:rPr>
          <w:noProof/>
        </w:rPr>
      </w:pPr>
      <w:r>
        <w:rPr>
          <w:noProof/>
        </w:rPr>
        <w:t>„(k) în cazul în care compania solicită excluderea energiei suplimentare utilizate în virtutea clasei de gheață a navei din calculul bilanțului de conformitate în conformitate cu anexa IV la Regulamentul (UE) 2023/1805, informații privind clasa de gheață a navei;”;</w:t>
      </w:r>
    </w:p>
    <w:p>
      <w:pPr>
        <w:pStyle w:val="Text3"/>
        <w:rPr>
          <w:noProof/>
        </w:rPr>
      </w:pPr>
      <w:r>
        <w:rPr>
          <w:noProof/>
        </w:rPr>
        <w:t>(l) în scopul calculării energiei utilizate de navele din clasa de gheață, în cazul în care compania solicită excluderea energiei suplimentare utilizate ca urmare a navigării în condiții de gheață din calculul bilanțului de conformitate prevăzut în anexa IV la Regulamentul (UE) 2023/1805, o descriere a unei proceduri verificabile pentru monitorizarea distanței parcurse pentru întreaga călătorie, precum și a distanței parcurse atunci când navighează în condiții de gheață, a datei, orei și poziției la intrarea și ieșirea din condiții de gheață și a consumului de combustibil atunci când navighează în condiții de gheață;</w:t>
      </w:r>
    </w:p>
    <w:p>
      <w:pPr>
        <w:pStyle w:val="Text3"/>
        <w:rPr>
          <w:noProof/>
        </w:rPr>
      </w:pPr>
      <w:r>
        <w:rPr>
          <w:noProof/>
        </w:rPr>
        <w:t xml:space="preserve">(m) o descriere a procedurilor de alocare a consumului de energie pentru aplicarea oricărei derogări sau ajustări relevante în temeiul Regulamentului (UE) 2023/1805, după caz; </w:t>
      </w:r>
    </w:p>
    <w:p>
      <w:pPr>
        <w:pStyle w:val="Text3"/>
        <w:rPr>
          <w:noProof/>
        </w:rPr>
      </w:pPr>
      <w:r>
        <w:rPr>
          <w:noProof/>
        </w:rPr>
        <w:t>(n) o descriere a procedurilor de aplicare a oricărei derogări sau ajustări relevante în temeiul Directivei 2003/87/CE, după caz.”;</w:t>
      </w:r>
    </w:p>
    <w:p>
      <w:pPr>
        <w:pStyle w:val="Point1"/>
        <w:rPr>
          <w:noProof/>
        </w:rPr>
      </w:pPr>
      <w:r>
        <w:rPr>
          <w:noProof/>
        </w:rPr>
        <w:t>(c)</w:t>
      </w:r>
      <w:r>
        <w:rPr>
          <w:noProof/>
        </w:rPr>
        <w:tab/>
        <w:t xml:space="preserve">alineatul (4) se înlocuiește cu următorul text: </w:t>
      </w:r>
    </w:p>
    <w:p>
      <w:pPr>
        <w:pStyle w:val="Text2"/>
        <w:rPr>
          <w:noProof/>
        </w:rPr>
      </w:pPr>
      <w:r>
        <w:rPr>
          <w:noProof/>
        </w:rPr>
        <w:t>„(4) Planul de monitorizare poate conține, de asemenea, informații privind clasa de gheață a navei și/sau procedurile, responsabilitățile, formulele și sursele de date pentru determinarea și înregistrarea distanței parcurse și a timpului petrecut pe mare atunci când se navighează prin gheață.”;</w:t>
      </w:r>
    </w:p>
    <w:p>
      <w:pPr>
        <w:pStyle w:val="Point1"/>
        <w:rPr>
          <w:noProof/>
        </w:rPr>
      </w:pPr>
      <w:r>
        <w:rPr>
          <w:noProof/>
        </w:rPr>
        <w:t>(d)</w:t>
      </w:r>
      <w:r>
        <w:rPr>
          <w:noProof/>
        </w:rPr>
        <w:tab/>
        <w:t>la alineatul (6), se adaugă următorul paragraf:</w:t>
      </w:r>
    </w:p>
    <w:p>
      <w:pPr>
        <w:pStyle w:val="Text2"/>
        <w:rPr>
          <w:noProof/>
        </w:rPr>
      </w:pPr>
      <w:r>
        <w:rPr>
          <w:noProof/>
        </w:rPr>
        <w:t>„Până la 1 aprilie 2029, companiile transmit autorității de administrare responsabile, pentru fiecare dintre navele lor care intră în domeniul de aplicare al prezentului regulament, un plan de monitorizare care a fost evaluat de către verificator ca fiind în conformitate cu prezentul regulament și care reflectă includerea consumului de energie, a emisiilor de la sondă la siaj și a altor informații relevante necesare pentru punerea în aplicare a obligațiilor prevăzute în Regulamentul (UE) 2023/1805.”;</w:t>
      </w:r>
    </w:p>
    <w:p>
      <w:pPr>
        <w:pStyle w:val="Point1"/>
        <w:rPr>
          <w:noProof/>
        </w:rPr>
      </w:pPr>
      <w:r>
        <w:rPr>
          <w:noProof/>
        </w:rPr>
        <w:t>(e)</w:t>
      </w:r>
      <w:r>
        <w:rPr>
          <w:noProof/>
        </w:rPr>
        <w:tab/>
        <w:t>alineatul (7) se înlocuiește cu următorul text:</w:t>
      </w:r>
    </w:p>
    <w:p>
      <w:pPr>
        <w:pStyle w:val="Text2"/>
        <w:rPr>
          <w:noProof/>
        </w:rPr>
      </w:pPr>
      <w:r>
        <w:rPr>
          <w:noProof/>
        </w:rPr>
        <w:t>„(7) Fără a aduce atingere alineatului (6), în cazul navelor care intră sub incidența prezentului regulament pentru prima dată după 1 ianuarie 2029, companiile transmit autorității de administrare responsabile un plan de monitorizare în conformitate cu cerințele prevăzute de prezentul regulament, fără întârzieri nejustificate și în cel mult două luni de la prima escală a fiecărei nave într-un port aflat sub jurisdicția unui stat membru.”;</w:t>
      </w:r>
    </w:p>
    <w:p>
      <w:pPr>
        <w:pStyle w:val="Point1"/>
        <w:rPr>
          <w:noProof/>
        </w:rPr>
      </w:pPr>
      <w:r>
        <w:rPr>
          <w:noProof/>
        </w:rPr>
        <w:t>(f)</w:t>
      </w:r>
      <w:r>
        <w:rPr>
          <w:noProof/>
        </w:rPr>
        <w:tab/>
        <w:t xml:space="preserve">alineatul (8) se modifică după cum urmează: </w:t>
      </w:r>
    </w:p>
    <w:p>
      <w:pPr>
        <w:pStyle w:val="Point2"/>
        <w:rPr>
          <w:noProof/>
        </w:rPr>
      </w:pPr>
      <w:r>
        <w:rPr>
          <w:noProof/>
        </w:rPr>
        <w:t>(1)</w:t>
      </w:r>
      <w:r>
        <w:rPr>
          <w:noProof/>
        </w:rPr>
        <w:tab/>
        <w:t>primul paragraf se înlocuiește cu următorul text:</w:t>
      </w:r>
    </w:p>
    <w:p>
      <w:pPr>
        <w:pStyle w:val="Text3"/>
        <w:rPr>
          <w:noProof/>
        </w:rPr>
      </w:pPr>
      <w:r>
        <w:rPr>
          <w:noProof/>
        </w:rPr>
        <w:t xml:space="preserve">„(8) Până la 31 decembrie 2029, autoritățile de administrare responsabile aprobă planurile de monitorizare prezentate de companii în conformitate cu normele stabilite în actele delegate adoptate în temeiul prezentului paragraf. Pentru navele care intră în domeniul de aplicare al prezentului regulament pentru prima dată după 1 ianuarie 2029, autoritatea de administrare responsabilă aprobă planul de monitorizare prezentat în termen de patru luni de la prima escală a navei într-un port aflat sub jurisdicția unui stat membru în conformitate cu normele prevăzute în actele delegate adoptate de Comisie în temeiul celui de al treilea paragraf de la prezentul alineat.”; </w:t>
      </w:r>
    </w:p>
    <w:p>
      <w:pPr>
        <w:pStyle w:val="Point2"/>
        <w:rPr>
          <w:noProof/>
        </w:rPr>
      </w:pPr>
      <w:r>
        <w:rPr>
          <w:noProof/>
        </w:rPr>
        <w:t>(2)</w:t>
      </w:r>
      <w:r>
        <w:rPr>
          <w:noProof/>
        </w:rPr>
        <w:tab/>
        <w:t xml:space="preserve">al doilea paragraf se elimină; </w:t>
      </w:r>
    </w:p>
    <w:p>
      <w:pPr>
        <w:pStyle w:val="Point1"/>
        <w:rPr>
          <w:noProof/>
        </w:rPr>
      </w:pPr>
      <w:r>
        <w:rPr>
          <w:noProof/>
        </w:rPr>
        <w:t>(g)</w:t>
      </w:r>
      <w:r>
        <w:rPr>
          <w:noProof/>
        </w:rPr>
        <w:tab/>
        <w:t xml:space="preserve">se adaugă următorul alineat (9): </w:t>
      </w:r>
    </w:p>
    <w:p>
      <w:pPr>
        <w:pStyle w:val="Text2"/>
        <w:rPr>
          <w:noProof/>
        </w:rPr>
      </w:pPr>
      <w:r>
        <w:rPr>
          <w:noProof/>
        </w:rPr>
        <w:t>„(9) Comisia este împuternicită să adopte acte delegate în conformitate cu articolul 23 pentru a modifica articolele 6-10 în ceea ce privește normele prevăzute la articolele respective pentru planurile de monitorizare, pentru a ține seama de includerea în domeniul de aplicare al prezentului regulament a emisiilor de gaze cu efect de seră și a energiei utilizate de categoriile de nave cu un tonaj brut mai mic de 5 000 de tone, în conformitate cu articolul 2 alineatele (1a) și (1d), inclusiv pentru a prevedea cerințe de monitorizare simplificate, și pentru a ține seama de includerea în domeniul de aplicare al prezentului regulament a emisiilor de gaze cu efect de seră și a energiei utilizate de navele care efectuează sau sprijină operațiuni offshore, în conformitate cu articolul 2 alineatele (1aa) și (1b).”;</w:t>
      </w:r>
    </w:p>
    <w:p>
      <w:pPr>
        <w:pStyle w:val="Point0"/>
        <w:rPr>
          <w:noProof/>
        </w:rPr>
      </w:pPr>
      <w:r>
        <w:rPr>
          <w:noProof/>
        </w:rPr>
        <w:t>(9)</w:t>
      </w:r>
      <w:r>
        <w:rPr>
          <w:noProof/>
        </w:rPr>
        <w:tab/>
        <w:t xml:space="preserve">articolul 7 se modifică după cum urmează: </w:t>
      </w:r>
    </w:p>
    <w:p>
      <w:pPr>
        <w:pStyle w:val="Point1"/>
        <w:rPr>
          <w:noProof/>
        </w:rPr>
      </w:pPr>
      <w:r>
        <w:rPr>
          <w:noProof/>
        </w:rPr>
        <w:t>(a)</w:t>
      </w:r>
      <w:r>
        <w:rPr>
          <w:noProof/>
        </w:rPr>
        <w:tab/>
        <w:t>alineatul (2) se modifică după cum urmează:</w:t>
      </w:r>
    </w:p>
    <w:p>
      <w:pPr>
        <w:pStyle w:val="Point2"/>
        <w:rPr>
          <w:noProof/>
        </w:rPr>
      </w:pPr>
      <w:r>
        <w:rPr>
          <w:noProof/>
        </w:rPr>
        <w:t>(1)</w:t>
      </w:r>
      <w:r>
        <w:rPr>
          <w:noProof/>
        </w:rPr>
        <w:tab/>
        <w:t xml:space="preserve">litera (b) se înlocuiește cu următorul text: </w:t>
      </w:r>
    </w:p>
    <w:p>
      <w:pPr>
        <w:pStyle w:val="Text3"/>
        <w:rPr>
          <w:noProof/>
        </w:rPr>
      </w:pPr>
      <w:r>
        <w:rPr>
          <w:noProof/>
        </w:rPr>
        <w:t>„(b) dacă apar noi emisii de gaze cu efect de seră sau un consum nou de combustibil, generate de surse noi de emisii sau consumatori noi de combustibil sau datorate utilizării de noi combustibili care nu au fost încă incluși în planul de monitorizare; sau dacă sunt introduse în uz noi tipuri de energie, noi sisteme de racordare la OPS ori noi surse alternative de energie sau noi tehnologii cu emisii zero;”;</w:t>
      </w:r>
    </w:p>
    <w:p>
      <w:pPr>
        <w:pStyle w:val="Point2"/>
        <w:rPr>
          <w:noProof/>
        </w:rPr>
      </w:pPr>
      <w:r>
        <w:rPr>
          <w:noProof/>
        </w:rPr>
        <w:t>(2)</w:t>
      </w:r>
      <w:r>
        <w:rPr>
          <w:noProof/>
        </w:rPr>
        <w:tab/>
        <w:t xml:space="preserve">litera (c) se înlocuiește cu următorul text: </w:t>
      </w:r>
    </w:p>
    <w:p>
      <w:pPr>
        <w:pStyle w:val="Text3"/>
        <w:rPr>
          <w:noProof/>
        </w:rPr>
      </w:pPr>
      <w:r>
        <w:rPr>
          <w:noProof/>
        </w:rPr>
        <w:t>„(c) dacă o modificare în ceea ce privește disponibilitatea datelor, ca urmare a utilizării unor noi tipuri de instrumente de măsură, a unor noi metode de eșantionare sau metode de analiză, ori din alte motive, poate afecta acuratețea datelor colectate;”;</w:t>
      </w:r>
    </w:p>
    <w:p>
      <w:pPr>
        <w:pStyle w:val="Point2"/>
        <w:rPr>
          <w:noProof/>
        </w:rPr>
      </w:pPr>
      <w:r>
        <w:rPr>
          <w:noProof/>
        </w:rPr>
        <w:t>(3)</w:t>
      </w:r>
      <w:r>
        <w:rPr>
          <w:noProof/>
        </w:rPr>
        <w:tab/>
        <w:t>litera (d) se înlocuiește cu următorul text:</w:t>
      </w:r>
    </w:p>
    <w:p>
      <w:pPr>
        <w:pStyle w:val="Text3"/>
        <w:rPr>
          <w:noProof/>
        </w:rPr>
      </w:pPr>
      <w:r>
        <w:rPr>
          <w:noProof/>
        </w:rPr>
        <w:t>„(d) dacă companiile, verificatorii sau autoritatea de administrare responsabilă au constatat că datele obținute cu ajutorul metodei de monitorizare aplicate sunt incorecte;”;</w:t>
      </w:r>
    </w:p>
    <w:p>
      <w:pPr>
        <w:pStyle w:val="Point2"/>
        <w:rPr>
          <w:noProof/>
        </w:rPr>
      </w:pPr>
      <w:r>
        <w:rPr>
          <w:noProof/>
        </w:rPr>
        <w:t>(4)</w:t>
      </w:r>
      <w:r>
        <w:rPr>
          <w:noProof/>
        </w:rPr>
        <w:tab/>
        <w:t>se introduce următoarea literă (da):</w:t>
      </w:r>
    </w:p>
    <w:p>
      <w:pPr>
        <w:pStyle w:val="Text3"/>
        <w:rPr>
          <w:noProof/>
        </w:rPr>
      </w:pPr>
      <w:r>
        <w:rPr>
          <w:noProof/>
        </w:rPr>
        <w:t>„(da) dacă companiile, verificatorii sau autoritatea de administrare responsabilă au constatat că metodele de prevenire a lacunelor în materie de date și de identificare a erorilor de date nu sunt adecvate pentru a asigura acuratețea, exhaustivitatea și transparența datelor;”;</w:t>
      </w:r>
    </w:p>
    <w:p>
      <w:pPr>
        <w:pStyle w:val="Point2"/>
        <w:rPr>
          <w:noProof/>
        </w:rPr>
      </w:pPr>
      <w:r>
        <w:rPr>
          <w:noProof/>
        </w:rPr>
        <w:t>(5)</w:t>
      </w:r>
      <w:r>
        <w:rPr>
          <w:noProof/>
        </w:rPr>
        <w:tab/>
        <w:t>litera (e) se înlocuiește cu următorul text:</w:t>
      </w:r>
    </w:p>
    <w:p>
      <w:pPr>
        <w:pStyle w:val="Text3"/>
        <w:rPr>
          <w:noProof/>
        </w:rPr>
      </w:pPr>
      <w:r>
        <w:rPr>
          <w:noProof/>
        </w:rPr>
        <w:t>„(e) dacă verificatorii au identificat oricare parte a planului de monitorizare ca nefiind în conformitate cu cerințele prezentului regulament, iar verificatorul îi solicită companiei să îl revizuiască în conformitate cu articolul 13 alineatul (1).”;</w:t>
      </w:r>
    </w:p>
    <w:p>
      <w:pPr>
        <w:pStyle w:val="Point1"/>
        <w:rPr>
          <w:noProof/>
        </w:rPr>
      </w:pPr>
      <w:r>
        <w:rPr>
          <w:noProof/>
        </w:rPr>
        <w:t>(b)</w:t>
      </w:r>
      <w:r>
        <w:rPr>
          <w:noProof/>
        </w:rPr>
        <w:tab/>
        <w:t>alineatul (4) se înlocuiește cu următorul text:</w:t>
      </w:r>
    </w:p>
    <w:p>
      <w:pPr>
        <w:pStyle w:val="Text2"/>
        <w:rPr>
          <w:noProof/>
        </w:rPr>
      </w:pPr>
      <w:r>
        <w:rPr>
          <w:noProof/>
        </w:rPr>
        <w:t>„(4) Modificările aduse planului de monitorizare în temeiul alineatului (2) literele (b), (c), (d) și (da) de la prezentul articol sunt supuse unei evaluări din partea verificatorului, în conformitate cu articolul 13 alineatul (1). În urma evaluării, verificatorul notifică compania dacă modificările respective sunt conforme. Compania își prezintă planul de monitorizare modificat autorității de administrare responsabile de îndată ce a fost înștiințată de către verificator cu privire la conformitatea planului de monitorizare.”;</w:t>
      </w:r>
    </w:p>
    <w:p>
      <w:pPr>
        <w:pStyle w:val="Point1"/>
        <w:rPr>
          <w:noProof/>
        </w:rPr>
      </w:pPr>
      <w:r>
        <w:rPr>
          <w:noProof/>
        </w:rPr>
        <w:t>(c)</w:t>
      </w:r>
      <w:r>
        <w:rPr>
          <w:noProof/>
        </w:rPr>
        <w:tab/>
        <w:t xml:space="preserve">la alineatul (5), primul paragraf se înlocuiește cu următorul text: </w:t>
      </w:r>
    </w:p>
    <w:p>
      <w:pPr>
        <w:pStyle w:val="Text2"/>
        <w:rPr>
          <w:noProof/>
        </w:rPr>
      </w:pPr>
      <w:r>
        <w:rPr>
          <w:noProof/>
        </w:rPr>
        <w:t>„Autoritatea de administrare responsabilă aprobă modificările planului de monitorizare în temeiul alineatului (2) literele (a)-(da), în conformitate cu normele prevăzute în actele delegate adoptate de Comisie în temeiul celui de al doilea paragraf de la prezentul alineat.”;</w:t>
      </w:r>
    </w:p>
    <w:p>
      <w:pPr>
        <w:pStyle w:val="Point0"/>
        <w:rPr>
          <w:noProof/>
        </w:rPr>
      </w:pPr>
      <w:r>
        <w:rPr>
          <w:noProof/>
        </w:rPr>
        <w:t>(10)</w:t>
      </w:r>
      <w:r>
        <w:rPr>
          <w:noProof/>
        </w:rPr>
        <w:tab/>
        <w:t xml:space="preserve">în secțiunea 3, titlul se înlocuiește cu următorul text: </w:t>
      </w:r>
    </w:p>
    <w:p>
      <w:pPr>
        <w:pStyle w:val="Text2"/>
        <w:rPr>
          <w:noProof/>
        </w:rPr>
      </w:pPr>
      <w:r>
        <w:rPr>
          <w:noProof/>
        </w:rPr>
        <w:t>„</w:t>
      </w:r>
      <w:r>
        <w:rPr>
          <w:b/>
          <w:noProof/>
        </w:rPr>
        <w:t>Monitorizarea informațiilor relevante</w:t>
      </w:r>
      <w:r>
        <w:rPr>
          <w:noProof/>
        </w:rPr>
        <w:t>”;</w:t>
      </w:r>
    </w:p>
    <w:p>
      <w:pPr>
        <w:pStyle w:val="Point0"/>
        <w:rPr>
          <w:noProof/>
        </w:rPr>
      </w:pPr>
      <w:r>
        <w:rPr>
          <w:noProof/>
        </w:rPr>
        <w:t>(11)</w:t>
      </w:r>
      <w:r>
        <w:rPr>
          <w:noProof/>
        </w:rPr>
        <w:tab/>
        <w:t xml:space="preserve">articolul 8 se înlocuiește cu următorul text: </w:t>
      </w:r>
    </w:p>
    <w:p>
      <w:pPr>
        <w:pStyle w:val="Text2"/>
        <w:jc w:val="center"/>
        <w:rPr>
          <w:i/>
          <w:noProof/>
        </w:rPr>
      </w:pPr>
      <w:r>
        <w:rPr>
          <w:noProof/>
        </w:rPr>
        <w:t>„</w:t>
      </w:r>
      <w:r>
        <w:rPr>
          <w:i/>
          <w:noProof/>
        </w:rPr>
        <w:t>Articolul 8</w:t>
      </w:r>
    </w:p>
    <w:p>
      <w:pPr>
        <w:pStyle w:val="Text2"/>
        <w:jc w:val="center"/>
        <w:rPr>
          <w:b/>
          <w:bCs/>
          <w:noProof/>
        </w:rPr>
      </w:pPr>
      <w:r>
        <w:rPr>
          <w:b/>
          <w:noProof/>
        </w:rPr>
        <w:t>Monitorizarea activităților într-o perioadă de raportare</w:t>
      </w:r>
    </w:p>
    <w:p>
      <w:pPr>
        <w:pStyle w:val="Text2"/>
        <w:rPr>
          <w:noProof/>
        </w:rPr>
      </w:pPr>
      <w:r>
        <w:rPr>
          <w:noProof/>
        </w:rPr>
        <w:t>Pe baza planului de monitorizare evaluat în conformitate cu articolul 13 alineatul (1), companiile monitorizează emisiile de gaze cu efect de seră și consumul de energie la bord pentru fiecare navă, pentru fiecare călătorie și pentru fiecare an, prin aplicarea metodei corespunzătoare de determinare a emisiilor de gaze cu efect de seră și a energiei utilizate dintre cele prezentate în anexa I partea B și prin calcularea emisiilor de gaze cu efect de seră și a energiei utilizate în conformitate cu anexa I partea A.”;</w:t>
      </w:r>
    </w:p>
    <w:p>
      <w:pPr>
        <w:pStyle w:val="Point0"/>
        <w:rPr>
          <w:noProof/>
        </w:rPr>
      </w:pPr>
      <w:r>
        <w:rPr>
          <w:noProof/>
        </w:rPr>
        <w:t>(12)</w:t>
      </w:r>
      <w:r>
        <w:rPr>
          <w:noProof/>
        </w:rPr>
        <w:tab/>
        <w:t>articolul 9 alineatul (1) se modifică după cum urmează:</w:t>
      </w:r>
    </w:p>
    <w:p>
      <w:pPr>
        <w:pStyle w:val="Point1"/>
        <w:rPr>
          <w:noProof/>
        </w:rPr>
      </w:pPr>
      <w:r>
        <w:rPr>
          <w:noProof/>
        </w:rPr>
        <w:t>(a)</w:t>
      </w:r>
      <w:r>
        <w:rPr>
          <w:noProof/>
        </w:rPr>
        <w:tab/>
        <w:t>litera (b) se înlocuiește cu următorul text:</w:t>
      </w:r>
    </w:p>
    <w:p>
      <w:pPr>
        <w:pStyle w:val="Text2"/>
        <w:rPr>
          <w:noProof/>
        </w:rPr>
      </w:pPr>
      <w:r>
        <w:rPr>
          <w:noProof/>
        </w:rPr>
        <w:t>„(b) cantitatea și factorul de emisie pentru fiecare tip de consumator de combustibil și energie utilizată, per total;”;</w:t>
      </w:r>
    </w:p>
    <w:p>
      <w:pPr>
        <w:pStyle w:val="Point1letter0"/>
        <w:numPr>
          <w:ilvl w:val="3"/>
          <w:numId w:val="1"/>
        </w:numPr>
        <w:rPr>
          <w:noProof/>
        </w:rPr>
      </w:pPr>
      <w:r>
        <w:rPr>
          <w:noProof/>
        </w:rPr>
        <w:t xml:space="preserve">se introduc următoarele litere (ea)-(ec): </w:t>
      </w:r>
    </w:p>
    <w:p>
      <w:pPr>
        <w:pStyle w:val="Text2"/>
        <w:rPr>
          <w:noProof/>
        </w:rPr>
      </w:pPr>
      <w:r>
        <w:rPr>
          <w:noProof/>
        </w:rPr>
        <w:t xml:space="preserve">„(ea) timpul petrecut la dană; </w:t>
      </w:r>
    </w:p>
    <w:p>
      <w:pPr>
        <w:pStyle w:val="Text2"/>
        <w:rPr>
          <w:noProof/>
        </w:rPr>
      </w:pPr>
      <w:r>
        <w:rPr>
          <w:noProof/>
        </w:rPr>
        <w:t xml:space="preserve">(eb) timpul petrecut la chei sau timpul petrecut la locul de ancoraj; </w:t>
      </w:r>
    </w:p>
    <w:p>
      <w:pPr>
        <w:pStyle w:val="Text2"/>
        <w:rPr>
          <w:noProof/>
        </w:rPr>
      </w:pPr>
      <w:r>
        <w:rPr>
          <w:noProof/>
        </w:rPr>
        <w:t>(ec) scopul portului de escală;”;</w:t>
      </w:r>
    </w:p>
    <w:p>
      <w:pPr>
        <w:pStyle w:val="Point1letter0"/>
        <w:numPr>
          <w:ilvl w:val="3"/>
          <w:numId w:val="1"/>
        </w:numPr>
        <w:rPr>
          <w:noProof/>
        </w:rPr>
      </w:pPr>
      <w:r>
        <w:rPr>
          <w:noProof/>
        </w:rPr>
        <w:t xml:space="preserve">se adaugă următoarele litere (h)-(l): </w:t>
      </w:r>
    </w:p>
    <w:p>
      <w:pPr>
        <w:pStyle w:val="Text2"/>
        <w:rPr>
          <w:noProof/>
        </w:rPr>
      </w:pPr>
      <w:r>
        <w:rPr>
          <w:noProof/>
        </w:rPr>
        <w:t>„(h) cantitatea de energie electrică livrată navei prin intermediul OPS;</w:t>
      </w:r>
    </w:p>
    <w:p>
      <w:pPr>
        <w:pStyle w:val="Text2"/>
        <w:rPr>
          <w:noProof/>
        </w:rPr>
      </w:pPr>
      <w:r>
        <w:rPr>
          <w:noProof/>
        </w:rPr>
        <w:t>(i) pentru fiecare navă căreia i se aplică articolul 6 alineatul (1) din Regulamentul (UE) 2023/1805, racordarea la OPS și utilizarea unor astfel de surse sau existența uneia dintre excepțiile prevăzute la articolul 6 alineatul (5) din acesta, astfel cum este confirmată în temeiul articolului 6 alineatul (9) litera (a) din regulamentul respectiv;</w:t>
      </w:r>
    </w:p>
    <w:p>
      <w:pPr>
        <w:pStyle w:val="Text2"/>
        <w:rPr>
          <w:noProof/>
        </w:rPr>
      </w:pPr>
      <w:r>
        <w:rPr>
          <w:noProof/>
        </w:rPr>
        <w:t>(j) pentru fiecare tip de combustibil consumat la dană și pe mare, factorul de emisie de la sondă la rezervor, factorii de emisie de la rezervor la siaj ai combustibilului ars și factorii de emisie de la rezervor la siaj ai combustibilului supus efectului de alunecare asociați diferiților consumatori de combustibil de la bord, acoperind toate gazele cu efect de seră relevante;</w:t>
      </w:r>
    </w:p>
    <w:p>
      <w:pPr>
        <w:pStyle w:val="Text2"/>
        <w:rPr>
          <w:noProof/>
        </w:rPr>
      </w:pPr>
      <w:r>
        <w:rPr>
          <w:noProof/>
        </w:rPr>
        <w:t>(k) clasa de gheață a navei, în cazul în care compania solicită excluderea energiei suplimentare utilizate în virtutea clasei de gheață a navei din calculul bilanțului de conformitate prevăzut în anexa IV la Regulamentul (UE) 2023/1805, utilizând Recomandarea 25/7 a Comisiei pentru protecția mediului marin al Mării Baltice (HELCOM) privind siguranța navigării pe timpul iernii în Marea Baltică pentru a stabili corespondența între clasele de gheață;</w:t>
      </w:r>
    </w:p>
    <w:p>
      <w:pPr>
        <w:pStyle w:val="Text2"/>
        <w:rPr>
          <w:noProof/>
        </w:rPr>
      </w:pPr>
      <w:r>
        <w:rPr>
          <w:noProof/>
        </w:rPr>
        <w:t>(l) clasa de gheață a navei, data, ora și poziția la intrarea și ieșirea din condiții de gheață, cantitatea din fiecare tip de combustibil consumat și distanța parcursă în timpul navigării în condiții de gheață, precum și distanța totală parcursă în timpul tuturor călătoriilor în cursul perioadei de raportare, dacă compania solicită excluderea energiei suplimentare utilizate ca urmare a navigării în condiții de gheață din calculul bilanțului de conformitate prevăzut în anexa IV la Regulamentul (UE) 2023/1805.”;</w:t>
      </w:r>
    </w:p>
    <w:p>
      <w:pPr>
        <w:pStyle w:val="Point1letter0"/>
        <w:numPr>
          <w:ilvl w:val="3"/>
          <w:numId w:val="1"/>
        </w:numPr>
        <w:rPr>
          <w:noProof/>
        </w:rPr>
      </w:pPr>
      <w:r>
        <w:rPr>
          <w:noProof/>
        </w:rPr>
        <w:t xml:space="preserve">al doilea paragraf se înlocuiește cu următorul text: </w:t>
      </w:r>
    </w:p>
    <w:p>
      <w:pPr>
        <w:pStyle w:val="Text2"/>
        <w:rPr>
          <w:noProof/>
        </w:rPr>
      </w:pPr>
      <w:r>
        <w:rPr>
          <w:noProof/>
        </w:rPr>
        <w:t>„Companiile pot monitoriza, de asemenea, în mod voluntar, informațiile referitoare la clasa de gheață a navei și la navigarea prin gheață, după caz.”;</w:t>
      </w:r>
    </w:p>
    <w:p>
      <w:pPr>
        <w:pStyle w:val="Point0"/>
        <w:rPr>
          <w:noProof/>
        </w:rPr>
      </w:pPr>
      <w:r>
        <w:rPr>
          <w:noProof/>
        </w:rPr>
        <w:t>(13)</w:t>
      </w:r>
      <w:r>
        <w:rPr>
          <w:noProof/>
        </w:rPr>
        <w:tab/>
        <w:t>articolul 10 se modifică după cum urmează:</w:t>
      </w:r>
    </w:p>
    <w:p>
      <w:pPr>
        <w:pStyle w:val="Point1letter0"/>
        <w:numPr>
          <w:ilvl w:val="3"/>
          <w:numId w:val="1"/>
        </w:numPr>
        <w:rPr>
          <w:noProof/>
        </w:rPr>
      </w:pPr>
      <w:r>
        <w:rPr>
          <w:noProof/>
        </w:rPr>
        <w:t xml:space="preserve">primul paragraf se modifică după cum urmează: </w:t>
      </w:r>
    </w:p>
    <w:p>
      <w:pPr>
        <w:pStyle w:val="Point2"/>
        <w:rPr>
          <w:noProof/>
        </w:rPr>
      </w:pPr>
      <w:r>
        <w:rPr>
          <w:noProof/>
        </w:rPr>
        <w:t>(1)</w:t>
      </w:r>
      <w:r>
        <w:rPr>
          <w:noProof/>
        </w:rPr>
        <w:tab/>
        <w:t>literele (b)-(f) se înlocuiesc cu următorul text:</w:t>
      </w:r>
    </w:p>
    <w:p>
      <w:pPr>
        <w:pStyle w:val="Text3"/>
        <w:rPr>
          <w:noProof/>
        </w:rPr>
      </w:pPr>
      <w:r>
        <w:rPr>
          <w:noProof/>
        </w:rPr>
        <w:t>„(b) emisiile de gaze cu efect de seră agregate totale generate și energia utilizată în domeniul de aplicare a prezentului regulament;</w:t>
      </w:r>
    </w:p>
    <w:p>
      <w:pPr>
        <w:pStyle w:val="Text3"/>
        <w:rPr>
          <w:noProof/>
        </w:rPr>
      </w:pPr>
      <w:r>
        <w:rPr>
          <w:noProof/>
        </w:rPr>
        <w:t>(c) emisiile de gaze cu efect de seră agregate generate și energia utilizată din toate călătoriile între porturi aflate sub jurisdicția unui stat membru;</w:t>
      </w:r>
    </w:p>
    <w:p>
      <w:pPr>
        <w:pStyle w:val="Text3"/>
        <w:rPr>
          <w:noProof/>
        </w:rPr>
      </w:pPr>
      <w:r>
        <w:rPr>
          <w:noProof/>
        </w:rPr>
        <w:t>(d) emisiile de gaze cu efect de seră agregate generate și energia utilizată din toate călătoriile care au început din porturi aflate sub jurisdicția unui stat membru;</w:t>
      </w:r>
    </w:p>
    <w:p>
      <w:pPr>
        <w:pStyle w:val="Text3"/>
        <w:rPr>
          <w:noProof/>
        </w:rPr>
      </w:pPr>
      <w:r>
        <w:rPr>
          <w:noProof/>
        </w:rPr>
        <w:t>(e) emisiile de gaze cu efect de seră agregate generate și energia utilizată din toate călătoriile spre porturi aflate sub jurisdicția unui stat membru;</w:t>
      </w:r>
    </w:p>
    <w:p>
      <w:pPr>
        <w:pStyle w:val="Text3"/>
        <w:rPr>
          <w:noProof/>
        </w:rPr>
      </w:pPr>
      <w:r>
        <w:rPr>
          <w:noProof/>
        </w:rPr>
        <w:t>(f) emisiile de gaze cu efect de seră și energia utilizată care au avut loc în porturile aflate sub jurisdicția unui stat membru, emisiile de gaze cu efect de seră și energia utilizată care au avut loc la dană fiind monitorizate separat;”;</w:t>
      </w:r>
    </w:p>
    <w:p>
      <w:pPr>
        <w:pStyle w:val="Point2"/>
        <w:rPr>
          <w:noProof/>
        </w:rPr>
      </w:pPr>
      <w:r>
        <w:rPr>
          <w:noProof/>
        </w:rPr>
        <w:t>(2)</w:t>
      </w:r>
      <w:r>
        <w:rPr>
          <w:noProof/>
        </w:rPr>
        <w:tab/>
        <w:t>se adaugă următoarea literă (l):</w:t>
      </w:r>
    </w:p>
    <w:p>
      <w:pPr>
        <w:pStyle w:val="Text3"/>
        <w:rPr>
          <w:noProof/>
        </w:rPr>
      </w:pPr>
      <w:r>
        <w:rPr>
          <w:noProof/>
        </w:rPr>
        <w:t>„(l) consumul total agregat de energie care intră sub incidența Regulamentului (UE) 2023/1805, diferențiat în funcție de tipul de combustibil și de energie, de factorul de emisie și de activitate, împreună cu informațiile necesare pentru a justifica aplicarea oricărei derogări sau ajustări relevante în temeiul Regulamentului (UE) 2023/1805.”;</w:t>
      </w:r>
    </w:p>
    <w:p>
      <w:pPr>
        <w:pStyle w:val="Point1letter0"/>
        <w:numPr>
          <w:ilvl w:val="3"/>
          <w:numId w:val="1"/>
        </w:numPr>
        <w:rPr>
          <w:noProof/>
        </w:rPr>
      </w:pPr>
      <w:r>
        <w:rPr>
          <w:noProof/>
        </w:rPr>
        <w:t>al doilea paragraf se înlocuiește cu următorul text:</w:t>
      </w:r>
    </w:p>
    <w:p>
      <w:pPr>
        <w:pStyle w:val="Text2"/>
        <w:rPr>
          <w:noProof/>
        </w:rPr>
      </w:pPr>
      <w:r>
        <w:rPr>
          <w:noProof/>
        </w:rPr>
        <w:t>„Companiile pot monitoriza, de asemenea, în mod voluntar, informațiile referitoare la clasa de gheață a navei și la navigarea prin gheață, după caz.”;</w:t>
      </w:r>
    </w:p>
    <w:p>
      <w:pPr>
        <w:pStyle w:val="Point1letter0"/>
        <w:numPr>
          <w:ilvl w:val="3"/>
          <w:numId w:val="1"/>
        </w:numPr>
        <w:rPr>
          <w:noProof/>
        </w:rPr>
      </w:pPr>
      <w:r>
        <w:rPr>
          <w:noProof/>
        </w:rPr>
        <w:t>al treilea paragraf se înlocuiește cu următorul text:</w:t>
      </w:r>
    </w:p>
    <w:p>
      <w:pPr>
        <w:pStyle w:val="Text2"/>
        <w:rPr>
          <w:noProof/>
        </w:rPr>
      </w:pPr>
      <w:r>
        <w:rPr>
          <w:noProof/>
        </w:rPr>
        <w:t>„Companiile pot monitoriza, de asemenea, consumul de combustibil, emisiile de gaze cu efect de seră și energia utilizată, făcând diferențierea pe baza altor criterii definite în planul de monitorizare.”;</w:t>
      </w:r>
    </w:p>
    <w:p>
      <w:pPr>
        <w:pStyle w:val="Point0"/>
        <w:rPr>
          <w:noProof/>
        </w:rPr>
      </w:pPr>
      <w:r>
        <w:rPr>
          <w:noProof/>
        </w:rPr>
        <w:t>(14)</w:t>
      </w:r>
      <w:r>
        <w:rPr>
          <w:noProof/>
        </w:rPr>
        <w:tab/>
        <w:t xml:space="preserve">articolul 11 se modifică după cum urmează: </w:t>
      </w:r>
    </w:p>
    <w:p>
      <w:pPr>
        <w:pStyle w:val="Point1letter0"/>
        <w:numPr>
          <w:ilvl w:val="3"/>
          <w:numId w:val="1"/>
        </w:numPr>
        <w:rPr>
          <w:noProof/>
        </w:rPr>
      </w:pPr>
      <w:r>
        <w:rPr>
          <w:noProof/>
        </w:rPr>
        <w:t xml:space="preserve">alineatul (1) se înlocuiește cu următorul text: </w:t>
      </w:r>
    </w:p>
    <w:p>
      <w:pPr>
        <w:pStyle w:val="Text2"/>
        <w:rPr>
          <w:noProof/>
        </w:rPr>
      </w:pPr>
      <w:r>
        <w:rPr>
          <w:noProof/>
        </w:rPr>
        <w:t>„(1) Până la data de 28 februarie a perioadei de verificare, companiile îi furnizează verificatorului un raport („raportul MRV”) care conține toate informațiile menționate la alineatul (3) de la prezentul articol, precum și datele și documentația de monitorizare menționate la articolul 4 alineatul (4) pentru perioada de raportare a anului anterior.</w:t>
      </w:r>
    </w:p>
    <w:p>
      <w:pPr>
        <w:pStyle w:val="Text2"/>
        <w:rPr>
          <w:noProof/>
        </w:rPr>
      </w:pPr>
      <w:r>
        <w:rPr>
          <w:noProof/>
        </w:rPr>
        <w:t xml:space="preserve">Până la data de 31 martie a perioadei de verificare, companiile prezintă, pentru fiecare navă aflată sub responsabilitatea lor, autorității de administrare responsabile, autorităților statelor de pavilion în cauză pentru navele care arborează pavilionul unui stat membru și Comisiei un raport MRV pentru întreaga perioadă de raportare, raport care a fost verificat și considerat ca fiind satisfăcător de către un verificator, în conformitate cu articolul 13. </w:t>
      </w:r>
    </w:p>
    <w:p>
      <w:pPr>
        <w:pStyle w:val="Text2"/>
        <w:rPr>
          <w:noProof/>
        </w:rPr>
      </w:pPr>
      <w:r>
        <w:rPr>
          <w:noProof/>
        </w:rPr>
        <w:t>Până la data de 30 aprilie a perioadei de verificare, companiile transmit autorităților statelor de pavilion în cauză un raport MRV pentru întreaga perioadă de raportare și pentru fiecare navă aflată în responsabilitatea lor, raport care a fost verificat și considerat ca fiind satisfăcător de către un verificator, în conformitate cu articolul 13.”;</w:t>
      </w:r>
    </w:p>
    <w:p>
      <w:pPr>
        <w:pStyle w:val="Point1letter0"/>
        <w:numPr>
          <w:ilvl w:val="3"/>
          <w:numId w:val="1"/>
        </w:numPr>
        <w:rPr>
          <w:noProof/>
        </w:rPr>
      </w:pPr>
      <w:r>
        <w:rPr>
          <w:noProof/>
        </w:rPr>
        <w:t>alineatul (2) se înlocuiește cu următorul text:</w:t>
      </w:r>
    </w:p>
    <w:p>
      <w:pPr>
        <w:pStyle w:val="Text2"/>
        <w:rPr>
          <w:noProof/>
        </w:rPr>
      </w:pPr>
      <w:r>
        <w:rPr>
          <w:noProof/>
        </w:rPr>
        <w:t>„(2) Atunci când se schimbă compania, compania anterioară transmite autorității de administrare responsabile, autorităților statelor de pavilion în cauză pentru navele care arborează pavilionul unui stat membru, noii companii și Comisiei, la o dată cât mai apropiată posibil de data finalizării schimbării și în termen de cel mult o lună de la data respectivă, un raport verificat care cuprinde aceleași elemente ca și raportul menționat la alineatul (1), dar care este limitat la perioada corespunzătoare activităților desfășurate sub responsabilitatea sa.”;</w:t>
      </w:r>
    </w:p>
    <w:p>
      <w:pPr>
        <w:pStyle w:val="Point1letter0"/>
        <w:numPr>
          <w:ilvl w:val="3"/>
          <w:numId w:val="1"/>
        </w:numPr>
        <w:rPr>
          <w:noProof/>
        </w:rPr>
      </w:pPr>
      <w:r>
        <w:rPr>
          <w:noProof/>
        </w:rPr>
        <w:t>alineatul (3) se modifică după cum urmează:</w:t>
      </w:r>
    </w:p>
    <w:p>
      <w:pPr>
        <w:pStyle w:val="Point2"/>
        <w:rPr>
          <w:noProof/>
        </w:rPr>
      </w:pPr>
      <w:r>
        <w:rPr>
          <w:noProof/>
        </w:rPr>
        <w:t>(1)</w:t>
      </w:r>
      <w:r>
        <w:rPr>
          <w:noProof/>
        </w:rPr>
        <w:tab/>
        <w:t>litera (a) punctul (v) se înlocuiește cu următorul text:</w:t>
      </w:r>
    </w:p>
    <w:p>
      <w:pPr>
        <w:pStyle w:val="Text3"/>
        <w:rPr>
          <w:noProof/>
        </w:rPr>
      </w:pPr>
      <w:r>
        <w:rPr>
          <w:noProof/>
        </w:rPr>
        <w:t>„(v)</w:t>
      </w:r>
      <w:r>
        <w:rPr>
          <w:noProof/>
        </w:rPr>
        <w:tab/>
        <w:t>eficiența tehnică a navei [indicele eficienței energetice de proiectare (EEDI), indicele existent al eficienței energetice a navelor (EEXI) sau valoarea estimată a indicelui (EIV) în conformitate cu Rezoluția MEPC.215 (63) a OMI, după caz];”;</w:t>
      </w:r>
    </w:p>
    <w:p>
      <w:pPr>
        <w:pStyle w:val="Point2"/>
        <w:rPr>
          <w:noProof/>
        </w:rPr>
      </w:pPr>
      <w:r>
        <w:rPr>
          <w:noProof/>
        </w:rPr>
        <w:t>(2)</w:t>
      </w:r>
      <w:r>
        <w:rPr>
          <w:noProof/>
        </w:rPr>
        <w:tab/>
        <w:t>la litera (a) se adaugă punctele (xi)-(xiv):</w:t>
      </w:r>
    </w:p>
    <w:p>
      <w:pPr>
        <w:pStyle w:val="Text3"/>
        <w:rPr>
          <w:noProof/>
        </w:rPr>
      </w:pPr>
      <w:r>
        <w:rPr>
          <w:noProof/>
        </w:rPr>
        <w:t>„(xi) cel mai recent calificativ acordat pe baza indicatorului de intensitate a carbonului (CII) disponibil, după caz;</w:t>
      </w:r>
    </w:p>
    <w:p>
      <w:pPr>
        <w:pStyle w:val="Text3"/>
        <w:rPr>
          <w:noProof/>
        </w:rPr>
      </w:pPr>
      <w:r>
        <w:rPr>
          <w:noProof/>
        </w:rPr>
        <w:t>(xii) tonajul brut al navei;</w:t>
      </w:r>
    </w:p>
    <w:p>
      <w:pPr>
        <w:pStyle w:val="Text3"/>
        <w:rPr>
          <w:noProof/>
        </w:rPr>
      </w:pPr>
      <w:r>
        <w:rPr>
          <w:noProof/>
        </w:rPr>
        <w:t>(xiii) tonajul deadweight al navei;</w:t>
      </w:r>
    </w:p>
    <w:p>
      <w:pPr>
        <w:pStyle w:val="Text3"/>
        <w:rPr>
          <w:noProof/>
        </w:rPr>
      </w:pPr>
      <w:r>
        <w:rPr>
          <w:noProof/>
        </w:rPr>
        <w:t>(xiv) pavilionul navei;”;</w:t>
      </w:r>
    </w:p>
    <w:p>
      <w:pPr>
        <w:pStyle w:val="Point2"/>
        <w:rPr>
          <w:noProof/>
        </w:rPr>
      </w:pPr>
      <w:r>
        <w:rPr>
          <w:noProof/>
        </w:rPr>
        <w:t>(3)</w:t>
      </w:r>
      <w:r>
        <w:rPr>
          <w:noProof/>
        </w:rPr>
        <w:tab/>
        <w:t>se introduce următoarea literă (aa):</w:t>
      </w:r>
    </w:p>
    <w:p>
      <w:pPr>
        <w:pStyle w:val="Text3"/>
        <w:rPr>
          <w:noProof/>
        </w:rPr>
      </w:pPr>
      <w:r>
        <w:rPr>
          <w:noProof/>
        </w:rPr>
        <w:t>„(aa) informații privind instalarea la bordul unei nave a unor tehnologii inovatoare în materie de eficiență energetică, în conformitate cu clasificarea cuprinsă în documentul MEPC.1/Circ.896, după caz;”;</w:t>
      </w:r>
    </w:p>
    <w:p>
      <w:pPr>
        <w:pStyle w:val="Point2"/>
        <w:rPr>
          <w:noProof/>
        </w:rPr>
      </w:pPr>
      <w:r>
        <w:rPr>
          <w:noProof/>
        </w:rPr>
        <w:t>(4)</w:t>
      </w:r>
      <w:r>
        <w:rPr>
          <w:noProof/>
        </w:rPr>
        <w:tab/>
        <w:t xml:space="preserve">se introduce următoarea literă (e): </w:t>
      </w:r>
    </w:p>
    <w:p>
      <w:pPr>
        <w:pStyle w:val="Text3"/>
        <w:rPr>
          <w:noProof/>
        </w:rPr>
      </w:pPr>
      <w:r>
        <w:rPr>
          <w:noProof/>
        </w:rPr>
        <w:t>„(e) pentru fiecare călătorie și escală în port, parametrii menționați la articolul 9, cu excepția mărfurilor transportate și a lucrărilor de transport.”;</w:t>
      </w:r>
    </w:p>
    <w:p>
      <w:pPr>
        <w:pStyle w:val="Point1letter0"/>
        <w:numPr>
          <w:ilvl w:val="3"/>
          <w:numId w:val="1"/>
        </w:numPr>
        <w:rPr>
          <w:noProof/>
        </w:rPr>
      </w:pPr>
      <w:r>
        <w:rPr>
          <w:noProof/>
        </w:rPr>
        <w:t xml:space="preserve">alineatul (4) se înlocuiește cu următorul text: </w:t>
      </w:r>
    </w:p>
    <w:p>
      <w:pPr>
        <w:pStyle w:val="Text2"/>
        <w:rPr>
          <w:noProof/>
        </w:rPr>
      </w:pPr>
      <w:r>
        <w:rPr>
          <w:noProof/>
        </w:rPr>
        <w:t>„(4) Comisia este împuternicită să adopte acte delegate în conformitate cu articolul 23 pentru a modifica articolele 11, 11a și 12 în ceea ce privește normele de raportare, pentru a ține seama de includerea în domeniul de aplicare al prezentului regulament a emisiilor de gaze cu efect de seră și a energiei utilizate de categoriile de nave cu un tonaj brut mai mic de 5 000 de tone, în conformitate cu articolul 2 alineatele (1a) și (1d), inclusiv pentru a prevedea cerințe de raportare simplificate, și pentru a ține seama de includerea în domeniul de aplicare al prezentului regulament a emisiilor de gaze cu efect de seră și a energiei utilizate de navele care efectuează sau sprijină operațiuni offshore, în conformitate cu articolul 2 alineatele (1aa) și (1b).”;</w:t>
      </w:r>
    </w:p>
    <w:p>
      <w:pPr>
        <w:pStyle w:val="Point0"/>
        <w:rPr>
          <w:noProof/>
        </w:rPr>
      </w:pPr>
      <w:r>
        <w:rPr>
          <w:noProof/>
        </w:rPr>
        <w:t>(15)</w:t>
      </w:r>
      <w:r>
        <w:rPr>
          <w:noProof/>
        </w:rPr>
        <w:tab/>
        <w:t xml:space="preserve">la articolul 11a, se elimină alineatul (3); </w:t>
      </w:r>
    </w:p>
    <w:p>
      <w:pPr>
        <w:pStyle w:val="Point0"/>
        <w:rPr>
          <w:noProof/>
        </w:rPr>
      </w:pPr>
      <w:r>
        <w:rPr>
          <w:noProof/>
        </w:rPr>
        <w:t>(16)</w:t>
      </w:r>
      <w:r>
        <w:rPr>
          <w:noProof/>
        </w:rPr>
        <w:tab/>
        <w:t xml:space="preserve">la articolul 13, se adaugă următorul alineat (7): </w:t>
      </w:r>
    </w:p>
    <w:p>
      <w:pPr>
        <w:pStyle w:val="Text1"/>
        <w:rPr>
          <w:noProof/>
        </w:rPr>
      </w:pPr>
      <w:r>
        <w:rPr>
          <w:noProof/>
        </w:rPr>
        <w:t>„(7) Verificatorul emite rapoartele de verificare utilizând sisteme automatizate și formate pentru schimbul de date, inclusiv formate-cadru electronice. Prin acte de punere în aplicare, Comisia stabilește regulile tehnice referitoare la formatul pentru schimbul de date, inclusiv formatele-cadru electronice. Respectivele acte de punere în aplicare se adoptă în conformitate cu procedura de examinare menționată la articolul 24 alineatul (2).”;</w:t>
      </w:r>
    </w:p>
    <w:p>
      <w:pPr>
        <w:pStyle w:val="Point0"/>
        <w:rPr>
          <w:noProof/>
        </w:rPr>
      </w:pPr>
      <w:r>
        <w:rPr>
          <w:noProof/>
        </w:rPr>
        <w:t>(17)</w:t>
      </w:r>
      <w:r>
        <w:rPr>
          <w:noProof/>
        </w:rPr>
        <w:tab/>
        <w:t xml:space="preserve">articolul 14 se modifică după cum urmează: </w:t>
      </w:r>
    </w:p>
    <w:p>
      <w:pPr>
        <w:pStyle w:val="Point1letter0"/>
        <w:numPr>
          <w:ilvl w:val="3"/>
          <w:numId w:val="1"/>
        </w:numPr>
        <w:rPr>
          <w:noProof/>
        </w:rPr>
      </w:pPr>
      <w:r>
        <w:rPr>
          <w:noProof/>
        </w:rPr>
        <w:t xml:space="preserve">alineatul (2) se modifică după cum urmează: </w:t>
      </w:r>
    </w:p>
    <w:p>
      <w:pPr>
        <w:pStyle w:val="Point2"/>
        <w:rPr>
          <w:noProof/>
        </w:rPr>
      </w:pPr>
      <w:r>
        <w:rPr>
          <w:noProof/>
        </w:rPr>
        <w:t>(1)</w:t>
      </w:r>
      <w:r>
        <w:rPr>
          <w:noProof/>
        </w:rPr>
        <w:tab/>
        <w:t xml:space="preserve">litera (a) se înlocuiește cu următorul text: </w:t>
      </w:r>
    </w:p>
    <w:p>
      <w:pPr>
        <w:pStyle w:val="Text3"/>
        <w:rPr>
          <w:noProof/>
        </w:rPr>
      </w:pPr>
      <w:r>
        <w:rPr>
          <w:noProof/>
        </w:rPr>
        <w:t>„(a) atribuirea consumului de combustibil la călătorii și utilizarea unor surse alternative de energie la călătorii și la dană;”;</w:t>
      </w:r>
    </w:p>
    <w:p>
      <w:pPr>
        <w:pStyle w:val="Point2"/>
        <w:rPr>
          <w:noProof/>
        </w:rPr>
      </w:pPr>
      <w:r>
        <w:rPr>
          <w:noProof/>
        </w:rPr>
        <w:t>(2)</w:t>
      </w:r>
      <w:r>
        <w:rPr>
          <w:noProof/>
        </w:rPr>
        <w:tab/>
        <w:t>se adaugă următoarele litere (f) și (g):</w:t>
      </w:r>
    </w:p>
    <w:p>
      <w:pPr>
        <w:pStyle w:val="Text3"/>
        <w:rPr>
          <w:noProof/>
        </w:rPr>
      </w:pPr>
      <w:r>
        <w:rPr>
          <w:noProof/>
        </w:rPr>
        <w:t>„(f) datele cerute în temeiul articolului 10 alineatul (3) din Regulamentul (UE) 2023/1805;</w:t>
      </w:r>
    </w:p>
    <w:p>
      <w:pPr>
        <w:pStyle w:val="Text3"/>
        <w:rPr>
          <w:noProof/>
        </w:rPr>
      </w:pPr>
      <w:r>
        <w:rPr>
          <w:noProof/>
        </w:rPr>
        <w:t>(g) utilizarea OPS sau aplicarea oricăreia dintre excepțiile înregistrate în baza de date FuelEU în conformitate cu articolul 6 alineatul (9) litera (a) din Regulamentul (UE) 2023/1805.”;</w:t>
      </w:r>
    </w:p>
    <w:p>
      <w:pPr>
        <w:pStyle w:val="Point1letter0"/>
        <w:numPr>
          <w:ilvl w:val="3"/>
          <w:numId w:val="1"/>
        </w:numPr>
        <w:rPr>
          <w:noProof/>
        </w:rPr>
      </w:pPr>
      <w:r>
        <w:rPr>
          <w:noProof/>
        </w:rPr>
        <w:t>alineatul (3) se înlocuiește cu următorul text:</w:t>
      </w:r>
    </w:p>
    <w:p>
      <w:pPr>
        <w:pStyle w:val="Text2"/>
        <w:rPr>
          <w:noProof/>
        </w:rPr>
      </w:pPr>
      <w:r>
        <w:rPr>
          <w:noProof/>
        </w:rPr>
        <w:t>„(3) Verificatorul ia în considerare numai rapoartele MRV transmise în conformitate cu articolul 12, atunci când datele și informațiile fiabile și credibile permit determinarea cu un grad rezonabil de certitudine a emisiilor de gaze cu efect de seră și a energiei utilizate și cu condiția să fie îndeplinite următoarele condiții:</w:t>
      </w:r>
    </w:p>
    <w:p>
      <w:pPr>
        <w:pStyle w:val="Text3"/>
        <w:rPr>
          <w:noProof/>
        </w:rPr>
      </w:pPr>
      <w:r>
        <w:rPr>
          <w:noProof/>
        </w:rPr>
        <w:t>(a) datele raportate sunt coerente, având în vedere datele estimate bazate pe datele rezultate din monitorizarea navelor și pe caracteristicile navelor, cum ar fi puterea instalată a motorului;</w:t>
      </w:r>
    </w:p>
    <w:p>
      <w:pPr>
        <w:pStyle w:val="Text3"/>
        <w:rPr>
          <w:noProof/>
        </w:rPr>
      </w:pPr>
      <w:r>
        <w:rPr>
          <w:noProof/>
        </w:rPr>
        <w:t>(b) datele raportate nu conțin neconcordanțe, mai ales când se compară volumul total al combustibilului achiziționat anual de fiecare navă cu consumul agregat de combustibil din timpul călătoriilor;</w:t>
      </w:r>
    </w:p>
    <w:p>
      <w:pPr>
        <w:pStyle w:val="Text3"/>
        <w:rPr>
          <w:noProof/>
        </w:rPr>
      </w:pPr>
      <w:r>
        <w:rPr>
          <w:noProof/>
        </w:rPr>
        <w:t>(c) colectarea datelor s-a efectuat în conformitate cu normele aplicabile și</w:t>
      </w:r>
    </w:p>
    <w:p>
      <w:pPr>
        <w:pStyle w:val="Text3"/>
        <w:rPr>
          <w:noProof/>
        </w:rPr>
      </w:pPr>
      <w:r>
        <w:rPr>
          <w:noProof/>
        </w:rPr>
        <w:t>(d) înregistrările relevante ale navei sunt complete și coerente.”;</w:t>
      </w:r>
    </w:p>
    <w:p>
      <w:pPr>
        <w:pStyle w:val="Point0"/>
        <w:rPr>
          <w:noProof/>
        </w:rPr>
      </w:pPr>
      <w:r>
        <w:rPr>
          <w:noProof/>
        </w:rPr>
        <w:t>(18)</w:t>
      </w:r>
      <w:r>
        <w:rPr>
          <w:noProof/>
        </w:rPr>
        <w:tab/>
        <w:t xml:space="preserve">articolul 15 se modifică după cum urmează: </w:t>
      </w:r>
    </w:p>
    <w:p>
      <w:pPr>
        <w:pStyle w:val="Point1letter0"/>
        <w:numPr>
          <w:ilvl w:val="3"/>
          <w:numId w:val="1"/>
        </w:numPr>
        <w:rPr>
          <w:noProof/>
        </w:rPr>
      </w:pPr>
      <w:r>
        <w:rPr>
          <w:noProof/>
        </w:rPr>
        <w:t>alineatul (1) se înlocuiește cu următorul text:</w:t>
      </w:r>
    </w:p>
    <w:p>
      <w:pPr>
        <w:pStyle w:val="Text2"/>
        <w:rPr>
          <w:noProof/>
        </w:rPr>
      </w:pPr>
      <w:r>
        <w:rPr>
          <w:noProof/>
        </w:rPr>
        <w:t>„(1) Verificatorul identifică potențialele riscuri legate de procesul de monitorizare și raportare prin compararea emisiilor de gaze cu efect de seră raportate și a cantității, tipului și factorului de emisie raportate pentru energie cu datele estimate bazate pe datele rezultate din monitorizarea navelor și pe caracteristicile navelor, cum ar fi puterea instalată a motorului. Dacă se constată abateri semnificative, verificatorul efectuează analize suplimentare.”;</w:t>
      </w:r>
    </w:p>
    <w:p>
      <w:pPr>
        <w:pStyle w:val="Point1letter0"/>
        <w:numPr>
          <w:ilvl w:val="3"/>
          <w:numId w:val="1"/>
        </w:numPr>
        <w:rPr>
          <w:noProof/>
        </w:rPr>
      </w:pPr>
      <w:r>
        <w:rPr>
          <w:noProof/>
        </w:rPr>
        <w:t>alineatul (4) se înlocuiește cu următorul text:</w:t>
      </w:r>
    </w:p>
    <w:p>
      <w:pPr>
        <w:pStyle w:val="Text2"/>
        <w:rPr>
          <w:noProof/>
        </w:rPr>
      </w:pPr>
      <w:r>
        <w:rPr>
          <w:noProof/>
        </w:rPr>
        <w:t>„(4) Compania furnizează verificatorului orice informație suplimentară care îi permite să desfășoare procedurile de verificare. În timpul procesului de verificare, verificatorul poate efectua controale la fața locului pentru a determina fiabilitatea, credibilitatea, acuratețea și exhaustivitatea datelor și informațiilor raportate.”;</w:t>
      </w:r>
    </w:p>
    <w:p>
      <w:pPr>
        <w:pStyle w:val="Point0"/>
        <w:rPr>
          <w:noProof/>
        </w:rPr>
      </w:pPr>
      <w:r>
        <w:rPr>
          <w:noProof/>
        </w:rPr>
        <w:t>(19)</w:t>
      </w:r>
      <w:r>
        <w:rPr>
          <w:noProof/>
        </w:rPr>
        <w:tab/>
        <w:t xml:space="preserve">la articolul 16, alineatul (1) se înlocuiește cu următorul text: </w:t>
      </w:r>
    </w:p>
    <w:p>
      <w:pPr>
        <w:pStyle w:val="Text2"/>
        <w:rPr>
          <w:noProof/>
        </w:rPr>
      </w:pPr>
      <w:r>
        <w:rPr>
          <w:noProof/>
        </w:rPr>
        <w:t>„(1) Verificatorii sunt acreditați pentru activități de verificare care se încadrează în domeniul de aplicare al prezentului regulament de către un organism național de acreditare în temeiul Regulamentului (CE) nr. 765/2008. Până la sfârșitul fiecărui an, organismul național de acreditare notifică Comisiei lista verificatorilor acreditați, împreună cu toate datele de contact relevante.”;</w:t>
      </w:r>
    </w:p>
    <w:p>
      <w:pPr>
        <w:pStyle w:val="Point0"/>
        <w:rPr>
          <w:noProof/>
        </w:rPr>
      </w:pPr>
      <w:r>
        <w:rPr>
          <w:noProof/>
        </w:rPr>
        <w:t>(20)</w:t>
      </w:r>
      <w:r>
        <w:rPr>
          <w:noProof/>
        </w:rPr>
        <w:tab/>
        <w:t xml:space="preserve">articolul 17 se modifică după cum urmează: </w:t>
      </w:r>
    </w:p>
    <w:p>
      <w:pPr>
        <w:pStyle w:val="Point1letter0"/>
        <w:numPr>
          <w:ilvl w:val="3"/>
          <w:numId w:val="1"/>
        </w:numPr>
        <w:rPr>
          <w:noProof/>
        </w:rPr>
      </w:pPr>
      <w:r>
        <w:rPr>
          <w:noProof/>
        </w:rPr>
        <w:t xml:space="preserve">titlul se înlocuiește cu următorul text: </w:t>
      </w:r>
    </w:p>
    <w:p>
      <w:pPr>
        <w:pStyle w:val="Text2"/>
        <w:rPr>
          <w:noProof/>
        </w:rPr>
      </w:pPr>
      <w:r>
        <w:rPr>
          <w:noProof/>
        </w:rPr>
        <w:t>„Documentul de conformitate MRV”;</w:t>
      </w:r>
    </w:p>
    <w:p>
      <w:pPr>
        <w:pStyle w:val="Point1letter0"/>
        <w:numPr>
          <w:ilvl w:val="3"/>
          <w:numId w:val="1"/>
        </w:numPr>
        <w:rPr>
          <w:noProof/>
        </w:rPr>
      </w:pPr>
      <w:r>
        <w:rPr>
          <w:noProof/>
        </w:rPr>
        <w:t>alineatul (1) se înlocuiește cu următorul text:</w:t>
      </w:r>
    </w:p>
    <w:p>
      <w:pPr>
        <w:pStyle w:val="Text2"/>
        <w:rPr>
          <w:noProof/>
        </w:rPr>
      </w:pPr>
      <w:r>
        <w:rPr>
          <w:noProof/>
        </w:rPr>
        <w:t>„(1) În cazul în care raportul MRV care îndeplinește cerințele prevăzute la articolele 11-15 și pe cele din anexele I și II a fost transmis autorității de administrare responsabile, autorităților statelor de pavilion în cauză pentru navele care arborează pavilionul unui stat membru și Comisiei, verificatorul emite, pe baza raportului de verificare, un document de conformitate pentru nava în cauză.”;</w:t>
      </w:r>
    </w:p>
    <w:p>
      <w:pPr>
        <w:pStyle w:val="Point1letter0"/>
        <w:numPr>
          <w:ilvl w:val="3"/>
          <w:numId w:val="1"/>
        </w:numPr>
        <w:rPr>
          <w:noProof/>
        </w:rPr>
      </w:pPr>
      <w:r>
        <w:rPr>
          <w:noProof/>
        </w:rPr>
        <w:t>se introduce următorul alineat (3a):</w:t>
      </w:r>
    </w:p>
    <w:p>
      <w:pPr>
        <w:pStyle w:val="Text2"/>
        <w:rPr>
          <w:noProof/>
        </w:rPr>
      </w:pPr>
      <w:r>
        <w:rPr>
          <w:noProof/>
        </w:rPr>
        <w:t>„(3a) În cazul în care autoritatea de administrare identifică, în raportul MRV menționat la articolul 11 alineatul (1), inexactități, neconformități sau calcule eronate care conduc la o neconformitate cu cerințele prevăzute la articolele 8-12 și în anexele I și II, documentul de conformitate relevant pentru nava în cauză este retras. Autoritatea de administrare notifică compania responsabilă și elimină documentul de conformitate din sistemele automatizate menționate la articolul 17 alineatul (4).”;</w:t>
      </w:r>
    </w:p>
    <w:p>
      <w:pPr>
        <w:pStyle w:val="Point1letter0"/>
        <w:numPr>
          <w:ilvl w:val="3"/>
          <w:numId w:val="1"/>
        </w:numPr>
        <w:rPr>
          <w:noProof/>
        </w:rPr>
      </w:pPr>
      <w:r>
        <w:rPr>
          <w:noProof/>
        </w:rPr>
        <w:t>alineatul (4) se înlocuiește cu următorul text:</w:t>
      </w:r>
    </w:p>
    <w:p>
      <w:pPr>
        <w:pStyle w:val="Text2"/>
        <w:rPr>
          <w:noProof/>
        </w:rPr>
      </w:pPr>
      <w:r>
        <w:rPr>
          <w:noProof/>
        </w:rPr>
        <w:t xml:space="preserve">„(4) Verificatorul emite documentul de conformitate, inclusiv informațiile menționate la alineatul (2), cu ajutorul sistemelor automatizate și al formatelor pentru schimbul de date, inclusiv al unor formate-cadru electronice. Documentul de conformitate se pune la dispoziția Comisiei, a autorității statului de pavilion și a autorității de administrare responsabile.”; </w:t>
      </w:r>
    </w:p>
    <w:p>
      <w:pPr>
        <w:pStyle w:val="Point0"/>
        <w:rPr>
          <w:noProof/>
        </w:rPr>
      </w:pPr>
      <w:r>
        <w:rPr>
          <w:noProof/>
        </w:rPr>
        <w:t>(21)</w:t>
      </w:r>
      <w:r>
        <w:rPr>
          <w:noProof/>
        </w:rPr>
        <w:tab/>
        <w:t xml:space="preserve">articolul 18 se înlocuiește cu următorul text: </w:t>
      </w:r>
    </w:p>
    <w:p>
      <w:pPr>
        <w:pStyle w:val="Text2"/>
        <w:jc w:val="center"/>
        <w:rPr>
          <w:i/>
          <w:iCs/>
          <w:noProof/>
        </w:rPr>
      </w:pPr>
      <w:r>
        <w:rPr>
          <w:i/>
          <w:noProof/>
        </w:rPr>
        <w:t>„Articolul 18</w:t>
      </w:r>
    </w:p>
    <w:p>
      <w:pPr>
        <w:pStyle w:val="Text2"/>
        <w:jc w:val="center"/>
        <w:rPr>
          <w:b/>
          <w:bCs/>
          <w:strike/>
          <w:noProof/>
          <w:color w:val="FF0000"/>
        </w:rPr>
      </w:pPr>
      <w:r>
        <w:rPr>
          <w:b/>
          <w:noProof/>
        </w:rPr>
        <w:t xml:space="preserve">Obligația de a </w:t>
      </w:r>
      <w:r>
        <w:rPr>
          <w:b/>
          <w:noProof/>
          <w:color w:val="000000" w:themeColor="text1"/>
        </w:rPr>
        <w:t xml:space="preserve">deține </w:t>
      </w:r>
      <w:r>
        <w:rPr>
          <w:b/>
          <w:noProof/>
        </w:rPr>
        <w:t>un document de conformitate valabil</w:t>
      </w:r>
    </w:p>
    <w:p>
      <w:pPr>
        <w:pStyle w:val="Text1"/>
        <w:rPr>
          <w:noProof/>
        </w:rPr>
      </w:pPr>
      <w:r>
        <w:rPr>
          <w:noProof/>
        </w:rPr>
        <w:t xml:space="preserve">Până la data de 30 iunie a anului următor sfârșitului unei perioade de raportare, navele care sosesc în, se află în sau pleacă dintr-un port aflat sub jurisdicția unui stat membru și care au efectuat călătorii în perioada de raportare respectivă </w:t>
      </w:r>
      <w:r>
        <w:rPr>
          <w:noProof/>
          <w:color w:val="000000" w:themeColor="text1"/>
        </w:rPr>
        <w:t xml:space="preserve">trebuie să dețină </w:t>
      </w:r>
      <w:r>
        <w:rPr>
          <w:noProof/>
        </w:rPr>
        <w:t>un document de conformitate valabil.”;</w:t>
      </w:r>
    </w:p>
    <w:p>
      <w:pPr>
        <w:pStyle w:val="Point0"/>
        <w:rPr>
          <w:noProof/>
        </w:rPr>
      </w:pPr>
      <w:r>
        <w:rPr>
          <w:noProof/>
        </w:rPr>
        <w:t>(22)</w:t>
      </w:r>
      <w:r>
        <w:rPr>
          <w:noProof/>
        </w:rPr>
        <w:tab/>
        <w:t xml:space="preserve">articolul 19 se modifică după cum urmează: </w:t>
      </w:r>
    </w:p>
    <w:p>
      <w:pPr>
        <w:pStyle w:val="Point1letter0"/>
        <w:numPr>
          <w:ilvl w:val="3"/>
          <w:numId w:val="1"/>
        </w:numPr>
        <w:rPr>
          <w:noProof/>
        </w:rPr>
      </w:pPr>
      <w:r>
        <w:rPr>
          <w:noProof/>
        </w:rPr>
        <w:t xml:space="preserve">alineatul (2) se înlocuiește cu următorul text: </w:t>
      </w:r>
    </w:p>
    <w:p>
      <w:pPr>
        <w:pStyle w:val="Text2"/>
        <w:rPr>
          <w:noProof/>
        </w:rPr>
      </w:pPr>
      <w:r>
        <w:rPr>
          <w:noProof/>
        </w:rPr>
        <w:t>„(2) Fiecare stat membru se asigură că orice inspecție a unei nave într-un port aflat sub jurisdicția sa efectuată în conformitate cu Directiva 2009/16/CE include verificarea deținerii de către navă a unui document de conformitate valabil.”;</w:t>
      </w:r>
    </w:p>
    <w:p>
      <w:pPr>
        <w:pStyle w:val="Point1letter0"/>
        <w:numPr>
          <w:ilvl w:val="3"/>
          <w:numId w:val="1"/>
        </w:numPr>
        <w:rPr>
          <w:noProof/>
        </w:rPr>
      </w:pPr>
      <w:r>
        <w:rPr>
          <w:noProof/>
        </w:rPr>
        <w:t xml:space="preserve">alineatul (3) se înlocuiește cu următorul text: </w:t>
      </w:r>
    </w:p>
    <w:p>
      <w:pPr>
        <w:pStyle w:val="Text2"/>
        <w:rPr>
          <w:noProof/>
        </w:rPr>
      </w:pPr>
      <w:r>
        <w:rPr>
          <w:noProof/>
        </w:rPr>
        <w:t>„(3) Pentru fiecare navă pentru care nu sunt disponibile informațiile menționate la articolul 21 alineatul (2) literele (i) și (j) și care a intrat într-un port aflat sub jurisdicția unui stat membru, respectivul stat membru poate să verifice dacă nava deține un document de conformitate valabil.”;</w:t>
      </w:r>
    </w:p>
    <w:p>
      <w:pPr>
        <w:pStyle w:val="Point0"/>
        <w:rPr>
          <w:noProof/>
        </w:rPr>
      </w:pPr>
      <w:r>
        <w:rPr>
          <w:noProof/>
        </w:rPr>
        <w:t>(23)</w:t>
      </w:r>
      <w:r>
        <w:rPr>
          <w:noProof/>
        </w:rPr>
        <w:tab/>
        <w:t xml:space="preserve">articolul 21 se modifică după cum urmează: </w:t>
      </w:r>
    </w:p>
    <w:p>
      <w:pPr>
        <w:pStyle w:val="Point1letter0"/>
        <w:numPr>
          <w:ilvl w:val="3"/>
          <w:numId w:val="1"/>
        </w:numPr>
        <w:rPr>
          <w:noProof/>
        </w:rPr>
      </w:pPr>
      <w:r>
        <w:rPr>
          <w:noProof/>
        </w:rPr>
        <w:t xml:space="preserve">alineatul (1) se înlocuiește cu următorul text: </w:t>
      </w:r>
    </w:p>
    <w:p>
      <w:pPr>
        <w:pStyle w:val="Text2"/>
        <w:rPr>
          <w:noProof/>
        </w:rPr>
      </w:pPr>
      <w:r>
        <w:rPr>
          <w:noProof/>
        </w:rPr>
        <w:t>„(1) Până la data de 30 iunie a fiecărui an, Comisia pune la dispoziția publicului informațiile privind emisiile de gaze cu efect de seră și energia utilizată în urma monitorizării anuale a parametrilor în conformitate cu articolul 10, astfel cum au fost raportate în conformitate cu articolul 11, precum și informațiile prevăzute la alineatul (2) de la prezentul articol.”;</w:t>
      </w:r>
    </w:p>
    <w:p>
      <w:pPr>
        <w:pStyle w:val="Point1letter0"/>
        <w:numPr>
          <w:ilvl w:val="3"/>
          <w:numId w:val="1"/>
        </w:numPr>
        <w:rPr>
          <w:noProof/>
        </w:rPr>
      </w:pPr>
      <w:r>
        <w:rPr>
          <w:noProof/>
        </w:rPr>
        <w:t>alineatul (2) se modifică după cum urmează:</w:t>
      </w:r>
    </w:p>
    <w:p>
      <w:pPr>
        <w:pStyle w:val="Point2"/>
        <w:rPr>
          <w:noProof/>
        </w:rPr>
      </w:pPr>
      <w:r>
        <w:rPr>
          <w:noProof/>
        </w:rPr>
        <w:t>(1)</w:t>
      </w:r>
      <w:r>
        <w:rPr>
          <w:noProof/>
        </w:rPr>
        <w:tab/>
        <w:t>se introduc următoarele litere (aa)-(ac):</w:t>
      </w:r>
    </w:p>
    <w:p>
      <w:pPr>
        <w:pStyle w:val="Text3"/>
        <w:rPr>
          <w:noProof/>
        </w:rPr>
      </w:pPr>
      <w:r>
        <w:rPr>
          <w:noProof/>
        </w:rPr>
        <w:t xml:space="preserve">„(aa) tonajul brut al navei; </w:t>
      </w:r>
    </w:p>
    <w:p>
      <w:pPr>
        <w:pStyle w:val="Text3"/>
        <w:rPr>
          <w:noProof/>
        </w:rPr>
      </w:pPr>
      <w:r>
        <w:rPr>
          <w:noProof/>
        </w:rPr>
        <w:t xml:space="preserve">(ab) tonajul deadweight al navei; </w:t>
      </w:r>
    </w:p>
    <w:p>
      <w:pPr>
        <w:pStyle w:val="Text3"/>
        <w:rPr>
          <w:noProof/>
        </w:rPr>
      </w:pPr>
      <w:r>
        <w:rPr>
          <w:noProof/>
        </w:rPr>
        <w:t>(ac) pavilionul navei;”;</w:t>
      </w:r>
    </w:p>
    <w:p>
      <w:pPr>
        <w:pStyle w:val="Point2"/>
        <w:rPr>
          <w:noProof/>
        </w:rPr>
      </w:pPr>
      <w:r>
        <w:rPr>
          <w:noProof/>
        </w:rPr>
        <w:t>(2)</w:t>
      </w:r>
      <w:r>
        <w:rPr>
          <w:noProof/>
        </w:rPr>
        <w:tab/>
        <w:t>se introduc următoarele litere (ba) și (bb):</w:t>
      </w:r>
    </w:p>
    <w:p>
      <w:pPr>
        <w:pStyle w:val="Text3"/>
        <w:rPr>
          <w:noProof/>
        </w:rPr>
      </w:pPr>
      <w:r>
        <w:rPr>
          <w:noProof/>
        </w:rPr>
        <w:t>„(ba) cel mai recent calificativ acordat pe baza indicatorului de intensitate a carbonului (CII) disponibil, după caz;</w:t>
      </w:r>
    </w:p>
    <w:p>
      <w:pPr>
        <w:pStyle w:val="Text3"/>
        <w:rPr>
          <w:noProof/>
        </w:rPr>
      </w:pPr>
      <w:r>
        <w:rPr>
          <w:noProof/>
        </w:rPr>
        <w:t>(bb) informații privind instalarea la bordul unei nave a unor tehnologii inovatoare în materie de eficiență energetică, în conformitate cu clasificarea cuprinsă în documentul MEPC.1/Circ.896, după caz;”;</w:t>
      </w:r>
    </w:p>
    <w:p>
      <w:pPr>
        <w:pStyle w:val="Point2"/>
        <w:rPr>
          <w:noProof/>
        </w:rPr>
      </w:pPr>
      <w:r>
        <w:rPr>
          <w:noProof/>
        </w:rPr>
        <w:t>(3)</w:t>
      </w:r>
      <w:r>
        <w:rPr>
          <w:noProof/>
        </w:rPr>
        <w:tab/>
        <w:t>litera (i) se înlocuiește cu următorul text:</w:t>
      </w:r>
    </w:p>
    <w:p>
      <w:pPr>
        <w:pStyle w:val="Text3"/>
        <w:rPr>
          <w:noProof/>
        </w:rPr>
      </w:pPr>
      <w:r>
        <w:rPr>
          <w:noProof/>
        </w:rPr>
        <w:t>„(i) data emiterii și data expirării documentului de conformitate MRV;”;</w:t>
      </w:r>
    </w:p>
    <w:p>
      <w:pPr>
        <w:pStyle w:val="Point1letter0"/>
        <w:numPr>
          <w:ilvl w:val="3"/>
          <w:numId w:val="1"/>
        </w:numPr>
        <w:rPr>
          <w:noProof/>
        </w:rPr>
      </w:pPr>
      <w:r>
        <w:rPr>
          <w:noProof/>
        </w:rPr>
        <w:t xml:space="preserve">alineatul (4) se înlocuiește cu următorul text: </w:t>
      </w:r>
    </w:p>
    <w:p>
      <w:pPr>
        <w:pStyle w:val="Text2"/>
        <w:rPr>
          <w:noProof/>
        </w:rPr>
      </w:pPr>
      <w:r>
        <w:rPr>
          <w:noProof/>
        </w:rPr>
        <w:t>„(4) Din trei în trei ani, Comisia publică un raport anual privind emisiile de gaze cu efect de seră, energia utilizată și alte informații relevante provenite din sectorul transportului maritim, inclusiv rezultate agregate și explicate, cu scopul de a informa publicul și de a permite evaluarea emisiilor de gaze cu efect de seră, a energiei utilizate și a eficienței energetice a transportului maritim, în funcție de mărime, tip de nave, activitate sau orice altă categorie considerată relevantă. Raportul trebuie să conțină o evaluare a impactului global al activităților de transport maritim asupra climei planetei, inclusiv având în vedere emisiile și efectele gazelor cu efect de seră, altele decât CO</w:t>
      </w:r>
      <w:r>
        <w:rPr>
          <w:noProof/>
          <w:vertAlign w:val="subscript"/>
        </w:rPr>
        <w:t>2</w:t>
      </w:r>
      <w:r>
        <w:rPr>
          <w:noProof/>
        </w:rPr>
        <w:t>, și particulele cu potențial de încălzire globală care nu sunt reglementate de prezentul regulament.”;</w:t>
      </w:r>
    </w:p>
    <w:p>
      <w:pPr>
        <w:pStyle w:val="Point1letter0"/>
        <w:numPr>
          <w:ilvl w:val="3"/>
          <w:numId w:val="1"/>
        </w:numPr>
        <w:rPr>
          <w:noProof/>
        </w:rPr>
      </w:pPr>
      <w:r>
        <w:rPr>
          <w:noProof/>
        </w:rPr>
        <w:t xml:space="preserve">alineatul (5) se elimină; </w:t>
      </w:r>
    </w:p>
    <w:p>
      <w:pPr>
        <w:pStyle w:val="Point1letter0"/>
        <w:numPr>
          <w:ilvl w:val="3"/>
          <w:numId w:val="1"/>
        </w:numPr>
        <w:rPr>
          <w:noProof/>
        </w:rPr>
      </w:pPr>
      <w:r>
        <w:rPr>
          <w:noProof/>
        </w:rPr>
        <w:t xml:space="preserve">alineatul (6) se înlocuiește cu următorul text: </w:t>
      </w:r>
    </w:p>
    <w:p>
      <w:pPr>
        <w:pStyle w:val="Text2"/>
        <w:rPr>
          <w:noProof/>
        </w:rPr>
      </w:pPr>
      <w:r>
        <w:rPr>
          <w:noProof/>
        </w:rPr>
        <w:t>„(6) În limitele mandatului său, EMSA sprijină Comisia în activitatea sa de respectare a prezentului articol și a articolelor 12 și 17 din prezentul regulament, în conformitate cu Regulamentul (UE) 2025/2434 al Parlamentului European și al Consiliului*.</w:t>
      </w:r>
    </w:p>
    <w:p>
      <w:pPr>
        <w:pStyle w:val="Text2"/>
        <w:rPr>
          <w:noProof/>
        </w:rPr>
      </w:pPr>
      <w:r>
        <w:rPr>
          <w:noProof/>
        </w:rPr>
        <w:t>_________________</w:t>
      </w:r>
    </w:p>
    <w:p>
      <w:pPr>
        <w:pStyle w:val="Text2"/>
        <w:rPr>
          <w:noProof/>
        </w:rPr>
      </w:pPr>
      <w:r>
        <w:rPr>
          <w:noProof/>
        </w:rPr>
        <w:t xml:space="preserve">* Regulamentul (UE) 2025/2434 al Parlamentului European și al Consiliului din 26 noiembrie 2025 privind Agenția Europeană pentru Siguranță Maritimă și de abrogare a Regulamentului (CE) nr. 1406/2002 (JO L, 2025/2434, 29.12.2025, ELI: http://data.europa.eu/eli/reg/2025/2434/oj).”; </w:t>
      </w:r>
    </w:p>
    <w:p>
      <w:pPr>
        <w:pStyle w:val="Point0"/>
        <w:rPr>
          <w:noProof/>
        </w:rPr>
      </w:pPr>
      <w:r>
        <w:rPr>
          <w:noProof/>
        </w:rPr>
        <w:t>(24)</w:t>
      </w:r>
      <w:r>
        <w:rPr>
          <w:noProof/>
        </w:rPr>
        <w:tab/>
        <w:t xml:space="preserve">la articolul 22, se adaugă următorul alineat (4): </w:t>
      </w:r>
    </w:p>
    <w:p>
      <w:pPr>
        <w:pStyle w:val="Text2"/>
        <w:rPr>
          <w:noProof/>
        </w:rPr>
      </w:pPr>
      <w:r>
        <w:rPr>
          <w:noProof/>
        </w:rPr>
        <w:t xml:space="preserve">„(4) Comisia, asistată de EMSA, depune eforturi pentru a pune la dispoziția țărilor terțe care solicită sprijin și coordonare în temeiul articolului 25b din Directiva 2003/87/CE instrumentele și orientările necesare pentru a facilita stabilirea prețurilor pentru emisiile de gaze cu efect de seră, inclusiv un sistem MRV care acoperă călătoriile care nu intră în domeniul de aplicare al prezentului regulament, dacă acest sistem MRV este în conformitate cu principiile și metodele MRV prevăzute în prezentul regulament.”; </w:t>
      </w:r>
    </w:p>
    <w:p>
      <w:pPr>
        <w:pStyle w:val="Point0"/>
        <w:rPr>
          <w:noProof/>
        </w:rPr>
      </w:pPr>
      <w:r>
        <w:rPr>
          <w:noProof/>
        </w:rPr>
        <w:t>(25)</w:t>
      </w:r>
      <w:r>
        <w:rPr>
          <w:noProof/>
        </w:rPr>
        <w:tab/>
        <w:t xml:space="preserve">articolul 23 se modifică după cum urmează: </w:t>
      </w:r>
    </w:p>
    <w:p>
      <w:pPr>
        <w:pStyle w:val="Point1letter0"/>
        <w:numPr>
          <w:ilvl w:val="3"/>
          <w:numId w:val="1"/>
        </w:numPr>
        <w:rPr>
          <w:noProof/>
        </w:rPr>
      </w:pPr>
      <w:r>
        <w:rPr>
          <w:noProof/>
        </w:rPr>
        <w:t xml:space="preserve">alineatele (2) și (3) se înlocuiesc cu următorul text: </w:t>
      </w:r>
    </w:p>
    <w:p>
      <w:pPr>
        <w:pStyle w:val="Text2"/>
        <w:rPr>
          <w:noProof/>
        </w:rPr>
      </w:pPr>
      <w:r>
        <w:rPr>
          <w:noProof/>
        </w:rPr>
        <w:t>„(2) Competența de a adopta acte delegate menționată la articolul 5 alineatul (2), la articolul 15 alineatul (5) și la articolul 16 alineatul (3) este conferită Comisiei pe o perioadă de cinci ani de la 1 iulie 2015.</w:t>
      </w:r>
    </w:p>
    <w:p>
      <w:pPr>
        <w:pStyle w:val="Text2"/>
        <w:rPr>
          <w:noProof/>
        </w:rPr>
      </w:pPr>
      <w:r>
        <w:rPr>
          <w:noProof/>
        </w:rPr>
        <w:t>Competența de a adopta acte delegate menționată la articolul 6 alineatul (8), la articolul 7 alineatul (5), la articolul 11a alineatul (4) și la articolul 13 alineatul (6) este conferită Comisiei pe o perioadă de cinci ani de la 5 iunie 2023.</w:t>
      </w:r>
    </w:p>
    <w:p>
      <w:pPr>
        <w:pStyle w:val="Text2"/>
        <w:rPr>
          <w:noProof/>
        </w:rPr>
      </w:pPr>
      <w:r>
        <w:rPr>
          <w:noProof/>
        </w:rPr>
        <w:t>Competența de a adopta acte delegate menționată la articolul 5 alineatul (3), la articolul 6 alineatul (9) și la articolul 11 alineatul (4) este conferită Comisiei pe o perioadă de cinci ani de la [data intrării în vigoare].</w:t>
      </w:r>
    </w:p>
    <w:p>
      <w:pPr>
        <w:pStyle w:val="Text2"/>
        <w:rPr>
          <w:noProof/>
        </w:rPr>
      </w:pPr>
      <w:r>
        <w:rPr>
          <w:noProof/>
        </w:rPr>
        <w:t>Comisia elaborează un raport privind delegarea de competențe cu cel puțin nouă luni înainte de încheierea perioadei respective de cinci ani. Delegarea de competențe se prelungește tacit cu perioade de timp identice, cu excepția cazului în care Parlamentul European sau Consiliul se opune prelungirii respective cu cel puțin trei luni înainte de încheierea fiecărei perioade.</w:t>
      </w:r>
    </w:p>
    <w:p>
      <w:pPr>
        <w:pStyle w:val="Text2"/>
        <w:rPr>
          <w:noProof/>
        </w:rPr>
      </w:pPr>
      <w:r>
        <w:rPr>
          <w:noProof/>
        </w:rPr>
        <w:t xml:space="preserve">(3) Delegarea de competențe menționată la articolul 5 alineatele (2) și (3), la articolul 6 alineatele (8) și (9), la articolul 7 alineatul (5), la articolul 11 alineatul (4), la articolul 11a alineatul (4), la articolul 13 alineatul (6), la articolul 15 alineatul (5) și la articolul 16 alineatul (3) poate fi revocată oricând de Parlamentul European sau de Consiliu. O decizie de revocare pune capăt delegării de competențe specificate în decizia respectivă. Decizia produce efecte din ziua care urmează datei publicării acesteia în </w:t>
      </w:r>
      <w:r>
        <w:rPr>
          <w:i/>
          <w:iCs/>
          <w:noProof/>
        </w:rPr>
        <w:t>Jurnalul Oficial al Uniunii Europene</w:t>
      </w:r>
      <w:r>
        <w:rPr>
          <w:noProof/>
        </w:rPr>
        <w:t xml:space="preserve"> sau de la o dată ulterioară menționată în decizie. Decizia nu afectează valabilitatea actelor delegate care sunt deja în vigoare.”;</w:t>
      </w:r>
    </w:p>
    <w:p>
      <w:pPr>
        <w:pStyle w:val="Point1letter0"/>
        <w:numPr>
          <w:ilvl w:val="3"/>
          <w:numId w:val="1"/>
        </w:numPr>
        <w:rPr>
          <w:noProof/>
        </w:rPr>
      </w:pPr>
      <w:r>
        <w:rPr>
          <w:noProof/>
        </w:rPr>
        <w:t xml:space="preserve">la alineatul (5), primul paragraf se înlocuiește cu următorul text: </w:t>
      </w:r>
    </w:p>
    <w:p>
      <w:pPr>
        <w:pStyle w:val="Text2"/>
        <w:rPr>
          <w:noProof/>
        </w:rPr>
      </w:pPr>
      <w:r>
        <w:rPr>
          <w:noProof/>
        </w:rPr>
        <w:t>„Un act delegat adoptat în temeiul articolului 5 alineatele (2) și (3), al articolului 6 alineatele (8) și (9), al articolului 7 alineatul (5), al articolului 11 alineatul (4), al articolului 11a alineatul (4), al articolului 13 alineatul (6), al articolului 15 alineatul (5) sau al articolului 16 alineatul (3)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p>
      <w:pPr>
        <w:pStyle w:val="Point0"/>
        <w:rPr>
          <w:noProof/>
        </w:rPr>
      </w:pPr>
      <w:r>
        <w:rPr>
          <w:noProof/>
        </w:rPr>
        <w:t>(26)</w:t>
      </w:r>
      <w:r>
        <w:rPr>
          <w:noProof/>
        </w:rPr>
        <w:tab/>
        <w:t xml:space="preserve">anexa I se modifică conform dispozițiilor din anexa la prezentul regulament; </w:t>
      </w:r>
    </w:p>
    <w:p>
      <w:pPr>
        <w:pStyle w:val="Point0"/>
        <w:rPr>
          <w:noProof/>
        </w:rPr>
      </w:pPr>
      <w:r>
        <w:rPr>
          <w:noProof/>
        </w:rPr>
        <w:t>(27)</w:t>
      </w:r>
      <w:r>
        <w:rPr>
          <w:noProof/>
        </w:rPr>
        <w:tab/>
        <w:t xml:space="preserve">anexa II se modifică după cum urmează: </w:t>
      </w:r>
    </w:p>
    <w:p>
      <w:pPr>
        <w:pStyle w:val="Point1letter0"/>
        <w:numPr>
          <w:ilvl w:val="3"/>
          <w:numId w:val="1"/>
        </w:numPr>
        <w:rPr>
          <w:noProof/>
        </w:rPr>
      </w:pPr>
      <w:r>
        <w:rPr>
          <w:noProof/>
        </w:rPr>
        <w:t>în partea A, punctul 1 litera (b) se înlocuiește cu următorul text:</w:t>
      </w:r>
    </w:p>
    <w:p>
      <w:pPr>
        <w:pStyle w:val="Text2"/>
        <w:rPr>
          <w:noProof/>
        </w:rPr>
      </w:pPr>
      <w:r>
        <w:rPr>
          <w:noProof/>
        </w:rPr>
        <w:t>„(b) distanța parcursă se calculează ca distanța față de sol. În cazul în care se utilizează distanța celei mai directe rute între portul de pornire și cel de sosire, în scopul completării datelor lipsă, trebuie luat în considerare factorul de corecție conservator, pentru a se garanta că distanța parcursă nu este subestimată în mod semnificativ. Planul de monitorizare specifică ce calcul este utilizat pentru distanță și, dacă este necesar, factorul de corecție folosit. Distanța parcursă se calculează de la dana portului de plecare la dana portului de sosire și se exprimă în mile marine;”;</w:t>
      </w:r>
    </w:p>
    <w:p>
      <w:pPr>
        <w:pStyle w:val="Point1letter0"/>
        <w:numPr>
          <w:ilvl w:val="3"/>
          <w:numId w:val="1"/>
        </w:numPr>
        <w:rPr>
          <w:noProof/>
        </w:rPr>
      </w:pPr>
      <w:r>
        <w:rPr>
          <w:noProof/>
        </w:rPr>
        <w:t xml:space="preserve">în partea A, punctul 1 litera (f) se înlocuiește cu următorul text: </w:t>
      </w:r>
    </w:p>
    <w:p>
      <w:pPr>
        <w:pStyle w:val="Text2"/>
        <w:rPr>
          <w:noProof/>
        </w:rPr>
      </w:pPr>
      <w:r>
        <w:rPr>
          <w:noProof/>
        </w:rPr>
        <w:t>„(f) pentru navele container, marfa transportată se definește ca fiind greutatea totală în tone metrice a mărfurilor și drept cantitatea de unități echivalente cu douăzeci de picioare (</w:t>
      </w:r>
      <w:r>
        <w:rPr>
          <w:i/>
          <w:noProof/>
        </w:rPr>
        <w:t xml:space="preserve">Twenty-foot Equivalent Units </w:t>
      </w:r>
      <w:r>
        <w:rPr>
          <w:noProof/>
        </w:rPr>
        <w:t>– TEU) transportată la bord. Greutatea totală în tone metrice a mărfurilor poate fi determinată drept cantitatea de unități echivalente cu douăzeci de picioare (</w:t>
      </w:r>
      <w:r>
        <w:rPr>
          <w:i/>
          <w:iCs/>
          <w:noProof/>
        </w:rPr>
        <w:t>Twenty-foot Equivalent Units</w:t>
      </w:r>
      <w:r>
        <w:rPr>
          <w:noProof/>
        </w:rPr>
        <w:t xml:space="preserve"> – TEU) înmulțită cu valori implicite pentru greutatea acestora. În cazul în care mărfurile transportate de o navă container sunt definite în conformitate cu orientările OMI aplicabile sau prin intermediul instrumentelor existente în temeiul Convenției privind siguranța vieții pe mare (Convenția SOLAS), această definiție se consideră conformă cu prezentul regulament.</w:t>
      </w:r>
    </w:p>
    <w:p>
      <w:pPr>
        <w:pStyle w:val="Text2"/>
        <w:rPr>
          <w:noProof/>
        </w:rPr>
      </w:pPr>
      <w:r>
        <w:rPr>
          <w:noProof/>
        </w:rPr>
        <w:t>În sensul prezentului regulament, «navă container» înseamnă o navă concepută exclusiv pentru transportul de containere în cale și pe punte;”;</w:t>
      </w:r>
    </w:p>
    <w:p>
      <w:pPr>
        <w:pStyle w:val="Point1letter0"/>
        <w:numPr>
          <w:ilvl w:val="3"/>
          <w:numId w:val="1"/>
        </w:numPr>
        <w:rPr>
          <w:noProof/>
        </w:rPr>
      </w:pPr>
      <w:r>
        <w:rPr>
          <w:noProof/>
        </w:rPr>
        <w:t xml:space="preserve">în partea C, punctul 1.1 se înlocuiește cu următorul text: </w:t>
      </w:r>
    </w:p>
    <w:p>
      <w:pPr>
        <w:pStyle w:val="Text2"/>
        <w:rPr>
          <w:noProof/>
        </w:rPr>
      </w:pPr>
      <w:r>
        <w:rPr>
          <w:noProof/>
        </w:rPr>
        <w:t>„1.1. Principii generale</w:t>
      </w:r>
    </w:p>
    <w:p>
      <w:pPr>
        <w:pStyle w:val="Text2"/>
        <w:rPr>
          <w:noProof/>
        </w:rPr>
      </w:pPr>
      <w:r>
        <w:rPr>
          <w:noProof/>
        </w:rPr>
        <w:t>În scopul monitorizării emisiilor totale agregate de gaze cu efect de seră ale navei care trebuie raportate în temeiul Directivei 2003/87/CE, companiile aplică formulele stabilite în partea A din anexa I la prezentul regulament, având în vedere emisiile de la rezervor la siaj (TTW) pentru tipurile de emisii de gaze cu efect de seră reglementate de Directiva 2003/87/CE.”.</w:t>
      </w:r>
    </w:p>
    <w:p>
      <w:pPr>
        <w:jc w:val="center"/>
        <w:rPr>
          <w:i/>
          <w:iCs/>
          <w:noProof/>
        </w:rPr>
      </w:pPr>
      <w:r>
        <w:rPr>
          <w:i/>
          <w:noProof/>
        </w:rPr>
        <w:t>Articolul 2</w:t>
      </w:r>
    </w:p>
    <w:p>
      <w:pPr>
        <w:jc w:val="center"/>
        <w:rPr>
          <w:b/>
          <w:bCs/>
          <w:noProof/>
        </w:rPr>
      </w:pPr>
      <w:r>
        <w:rPr>
          <w:b/>
          <w:noProof/>
        </w:rPr>
        <w:t>Modificarea Regulamentului (UE) 2023/1805</w:t>
      </w:r>
    </w:p>
    <w:p>
      <w:pPr>
        <w:rPr>
          <w:noProof/>
        </w:rPr>
      </w:pPr>
      <w:r>
        <w:rPr>
          <w:noProof/>
        </w:rPr>
        <w:t>Regulamentul (UE) 2023/1805 se modifică după cum urmează:</w:t>
      </w:r>
    </w:p>
    <w:p>
      <w:pPr>
        <w:pStyle w:val="Point0"/>
        <w:rPr>
          <w:noProof/>
        </w:rPr>
      </w:pPr>
      <w:r>
        <w:rPr>
          <w:noProof/>
        </w:rPr>
        <w:t>(1)</w:t>
      </w:r>
      <w:r>
        <w:rPr>
          <w:noProof/>
        </w:rPr>
        <w:tab/>
        <w:t>în întregul regulament, termenul „raport FuelEU” se înlocuiește cu „raport MRV” și se efectuează toate modificările gramaticale necesare;</w:t>
      </w:r>
    </w:p>
    <w:p>
      <w:pPr>
        <w:pStyle w:val="Point0"/>
        <w:rPr>
          <w:noProof/>
        </w:rPr>
      </w:pPr>
      <w:r>
        <w:rPr>
          <w:noProof/>
        </w:rPr>
        <w:t>(2)</w:t>
      </w:r>
      <w:r>
        <w:rPr>
          <w:noProof/>
        </w:rPr>
        <w:tab/>
        <w:t>articolul 3 se modifică după cum urmează:</w:t>
      </w:r>
    </w:p>
    <w:p>
      <w:pPr>
        <w:pStyle w:val="Point1letter0"/>
        <w:numPr>
          <w:ilvl w:val="3"/>
          <w:numId w:val="19"/>
        </w:numPr>
        <w:rPr>
          <w:noProof/>
        </w:rPr>
      </w:pPr>
      <w:r>
        <w:rPr>
          <w:noProof/>
        </w:rPr>
        <w:t>punctul 8 se înlocuiește cu următorul text:</w:t>
      </w:r>
    </w:p>
    <w:p>
      <w:pPr>
        <w:pStyle w:val="Text2"/>
        <w:rPr>
          <w:noProof/>
        </w:rPr>
      </w:pPr>
      <w:r>
        <w:rPr>
          <w:noProof/>
        </w:rPr>
        <w:t>„8. «surse alternative de energie» înseamnă energie din surse regenerabile produsă la bord, energie electrică furnizată de sursa de alimentare cu energie electrică de la mal («OPS») sau sisteme de propulsie asistate de vânt;”;</w:t>
      </w:r>
    </w:p>
    <w:p>
      <w:pPr>
        <w:pStyle w:val="Point1letter0"/>
        <w:numPr>
          <w:ilvl w:val="3"/>
          <w:numId w:val="1"/>
        </w:numPr>
        <w:rPr>
          <w:noProof/>
        </w:rPr>
      </w:pPr>
      <w:r>
        <w:rPr>
          <w:noProof/>
        </w:rPr>
        <w:t xml:space="preserve">punctul 13 se înlocuiește cu următorul text: </w:t>
      </w:r>
    </w:p>
    <w:p>
      <w:pPr>
        <w:pStyle w:val="Text2"/>
        <w:rPr>
          <w:noProof/>
        </w:rPr>
      </w:pPr>
      <w:r>
        <w:rPr>
          <w:noProof/>
        </w:rPr>
        <w:t>„13. «companie» înseamnă compania de transport maritim, în sensul definiției de la articolul 3 litera (w) din Directiva 2003/87/CE;”;</w:t>
      </w:r>
    </w:p>
    <w:p>
      <w:pPr>
        <w:pStyle w:val="Point1letter0"/>
        <w:numPr>
          <w:ilvl w:val="3"/>
          <w:numId w:val="1"/>
        </w:numPr>
        <w:rPr>
          <w:noProof/>
        </w:rPr>
      </w:pPr>
      <w:r>
        <w:rPr>
          <w:noProof/>
        </w:rPr>
        <w:t>punctul 17 se înlocuiește cu următorul text:</w:t>
      </w:r>
    </w:p>
    <w:p>
      <w:pPr>
        <w:pStyle w:val="Text2"/>
        <w:rPr>
          <w:noProof/>
        </w:rPr>
      </w:pPr>
      <w:r>
        <w:rPr>
          <w:noProof/>
        </w:rPr>
        <w:t>„17. «consum de energie la bord» înseamnă cantitatea de energie, exprimată în gigajouli (GJ), utilizată de o navă pentru propulsie și pentru operarea oricărui echipament de la bord, pe mare sau la dană;”;</w:t>
      </w:r>
    </w:p>
    <w:p>
      <w:pPr>
        <w:pStyle w:val="Point1letter0"/>
        <w:numPr>
          <w:ilvl w:val="3"/>
          <w:numId w:val="1"/>
        </w:numPr>
        <w:rPr>
          <w:noProof/>
        </w:rPr>
      </w:pPr>
      <w:r>
        <w:rPr>
          <w:noProof/>
        </w:rPr>
        <w:t>punctul 21 se înlocuiește cu următorul text:</w:t>
      </w:r>
    </w:p>
    <w:p>
      <w:pPr>
        <w:pStyle w:val="Text2"/>
        <w:rPr>
          <w:noProof/>
        </w:rPr>
      </w:pPr>
      <w:r>
        <w:rPr>
          <w:noProof/>
        </w:rPr>
        <w:t>„21. «clasă de gheață» înseamnă clasă de gheață astfel cum este definită la articolul 3 litera (o) din Regulamentul (UE) 2015/757;”;</w:t>
      </w:r>
    </w:p>
    <w:p>
      <w:pPr>
        <w:pStyle w:val="Point1letter0"/>
        <w:numPr>
          <w:ilvl w:val="3"/>
          <w:numId w:val="1"/>
        </w:numPr>
        <w:rPr>
          <w:noProof/>
        </w:rPr>
      </w:pPr>
      <w:r>
        <w:rPr>
          <w:noProof/>
        </w:rPr>
        <w:t>punctul 40 se înlocuiește cu următorul text:</w:t>
      </w:r>
    </w:p>
    <w:p>
      <w:pPr>
        <w:pStyle w:val="Text2"/>
        <w:rPr>
          <w:noProof/>
        </w:rPr>
      </w:pPr>
      <w:r>
        <w:rPr>
          <w:noProof/>
        </w:rPr>
        <w:t>„40. «stat de administrare» înseamnă autoritatea de administrare responsabilă astfel cum este definită la articolul 3 litera (p) din Regulamentul (UE) 2015/757;”;</w:t>
      </w:r>
    </w:p>
    <w:p>
      <w:pPr>
        <w:pStyle w:val="Point0"/>
        <w:rPr>
          <w:noProof/>
        </w:rPr>
      </w:pPr>
      <w:r>
        <w:rPr>
          <w:noProof/>
        </w:rPr>
        <w:t>(3)</w:t>
      </w:r>
      <w:r>
        <w:rPr>
          <w:noProof/>
        </w:rPr>
        <w:tab/>
        <w:t>la articolul 4, alineatul (4) se elimină;</w:t>
      </w:r>
    </w:p>
    <w:p>
      <w:pPr>
        <w:pStyle w:val="Point0"/>
        <w:rPr>
          <w:noProof/>
        </w:rPr>
      </w:pPr>
      <w:r>
        <w:rPr>
          <w:noProof/>
        </w:rPr>
        <w:t>(4)</w:t>
      </w:r>
      <w:r>
        <w:rPr>
          <w:noProof/>
        </w:rPr>
        <w:tab/>
        <w:t xml:space="preserve">articolul 7 se modifică după cum urmează: </w:t>
      </w:r>
    </w:p>
    <w:p>
      <w:pPr>
        <w:pStyle w:val="Point1letter0"/>
        <w:numPr>
          <w:ilvl w:val="3"/>
          <w:numId w:val="1"/>
        </w:numPr>
        <w:rPr>
          <w:noProof/>
        </w:rPr>
      </w:pPr>
      <w:r>
        <w:rPr>
          <w:noProof/>
        </w:rPr>
        <w:t xml:space="preserve">alineatul (1) se înlocuiește cu următorul text: </w:t>
      </w:r>
    </w:p>
    <w:p>
      <w:pPr>
        <w:pStyle w:val="Text2"/>
        <w:rPr>
          <w:noProof/>
        </w:rPr>
      </w:pPr>
      <w:r>
        <w:rPr>
          <w:noProof/>
        </w:rPr>
        <w:t>„(1) În conformitate cu articolele 8, 9 și 10 din prezentul regulament, companiile monitorizează și raportează, pentru fiecare dintre navele pe care le dețin, datele relevante în cursul unei perioade de raportare, în conformitate cu principiile comune de monitorizare și raportare prevăzute la articolul 4 din Regulamentul (UE) 2015/757.”;</w:t>
      </w:r>
    </w:p>
    <w:p>
      <w:pPr>
        <w:pStyle w:val="Point1letter0"/>
        <w:numPr>
          <w:ilvl w:val="3"/>
          <w:numId w:val="1"/>
        </w:numPr>
        <w:rPr>
          <w:noProof/>
        </w:rPr>
      </w:pPr>
      <w:r>
        <w:rPr>
          <w:noProof/>
        </w:rPr>
        <w:t>alineatele (2)-(5) se elimină;</w:t>
      </w:r>
    </w:p>
    <w:p>
      <w:pPr>
        <w:pStyle w:val="Point0"/>
        <w:rPr>
          <w:noProof/>
        </w:rPr>
      </w:pPr>
      <w:r>
        <w:rPr>
          <w:noProof/>
        </w:rPr>
        <w:t>(5)</w:t>
      </w:r>
      <w:r>
        <w:rPr>
          <w:noProof/>
        </w:rPr>
        <w:tab/>
        <w:t xml:space="preserve">articolul 8 se modifică după cum urmează: </w:t>
      </w:r>
    </w:p>
    <w:p>
      <w:pPr>
        <w:pStyle w:val="Point1letter0"/>
        <w:numPr>
          <w:ilvl w:val="3"/>
          <w:numId w:val="1"/>
        </w:numPr>
        <w:rPr>
          <w:noProof/>
        </w:rPr>
      </w:pPr>
      <w:r>
        <w:rPr>
          <w:noProof/>
        </w:rPr>
        <w:t>alineatul (1) se elimină;</w:t>
      </w:r>
    </w:p>
    <w:p>
      <w:pPr>
        <w:pStyle w:val="Point1letter0"/>
        <w:numPr>
          <w:ilvl w:val="3"/>
          <w:numId w:val="1"/>
        </w:numPr>
        <w:rPr>
          <w:noProof/>
        </w:rPr>
      </w:pPr>
      <w:r>
        <w:rPr>
          <w:noProof/>
        </w:rPr>
        <w:t>alineatul (2) se înlocuiește cu următorul text:</w:t>
      </w:r>
    </w:p>
    <w:p>
      <w:pPr>
        <w:pStyle w:val="Text2"/>
        <w:rPr>
          <w:noProof/>
        </w:rPr>
      </w:pPr>
      <w:r>
        <w:rPr>
          <w:noProof/>
        </w:rPr>
        <w:t>„(2) Pentru fiecare navă care intră în domeniul de aplicare al prezentului regulament, companiile transmit verificatorului și statului de administrare planul de monitorizare menționat la articolul 6 din Regulamentul (UE) 2015/757.”;</w:t>
      </w:r>
    </w:p>
    <w:p>
      <w:pPr>
        <w:pStyle w:val="Point1letter0"/>
        <w:numPr>
          <w:ilvl w:val="3"/>
          <w:numId w:val="1"/>
        </w:numPr>
        <w:rPr>
          <w:noProof/>
        </w:rPr>
      </w:pPr>
      <w:r>
        <w:rPr>
          <w:noProof/>
        </w:rPr>
        <w:t>alineatele (3) și (4) se elimină;</w:t>
      </w:r>
    </w:p>
    <w:p>
      <w:pPr>
        <w:pStyle w:val="Point0"/>
        <w:rPr>
          <w:noProof/>
        </w:rPr>
      </w:pPr>
      <w:r>
        <w:rPr>
          <w:noProof/>
        </w:rPr>
        <w:t>(6)</w:t>
      </w:r>
      <w:r>
        <w:rPr>
          <w:noProof/>
        </w:rPr>
        <w:tab/>
        <w:t xml:space="preserve">articolul 9 se modifică după cum urmează: </w:t>
      </w:r>
    </w:p>
    <w:p>
      <w:pPr>
        <w:pStyle w:val="Point1letter0"/>
        <w:numPr>
          <w:ilvl w:val="3"/>
          <w:numId w:val="19"/>
        </w:numPr>
        <w:rPr>
          <w:noProof/>
        </w:rPr>
      </w:pPr>
      <w:r>
        <w:rPr>
          <w:noProof/>
        </w:rPr>
        <w:t>alineatul (1) se elimină;</w:t>
      </w:r>
    </w:p>
    <w:p>
      <w:pPr>
        <w:pStyle w:val="Point1letter0"/>
        <w:numPr>
          <w:ilvl w:val="3"/>
          <w:numId w:val="19"/>
        </w:numPr>
        <w:rPr>
          <w:noProof/>
        </w:rPr>
      </w:pPr>
      <w:r>
        <w:rPr>
          <w:noProof/>
        </w:rPr>
        <w:t>alineatul (2) se înlocuiește cu următorul text:</w:t>
      </w:r>
    </w:p>
    <w:p>
      <w:pPr>
        <w:pStyle w:val="Text2"/>
        <w:rPr>
          <w:noProof/>
        </w:rPr>
      </w:pPr>
      <w:r>
        <w:rPr>
          <w:noProof/>
        </w:rPr>
        <w:t xml:space="preserve">„(2) Companiile respectă normele prevăzute la articolul 7 din Regulamentul (UE) 2015/757 și, după caz, modifică planul de monitorizare în conformitate cu normele prevăzute la articolul respectiv.”; </w:t>
      </w:r>
    </w:p>
    <w:p>
      <w:pPr>
        <w:pStyle w:val="Point1letter0"/>
        <w:numPr>
          <w:ilvl w:val="3"/>
          <w:numId w:val="19"/>
        </w:numPr>
        <w:rPr>
          <w:noProof/>
        </w:rPr>
      </w:pPr>
      <w:r>
        <w:rPr>
          <w:noProof/>
        </w:rPr>
        <w:t>alineatul (3) se elimină;</w:t>
      </w:r>
    </w:p>
    <w:p>
      <w:pPr>
        <w:pStyle w:val="Point0"/>
        <w:rPr>
          <w:noProof/>
        </w:rPr>
      </w:pPr>
      <w:r>
        <w:rPr>
          <w:noProof/>
        </w:rPr>
        <w:t>(7)</w:t>
      </w:r>
      <w:r>
        <w:rPr>
          <w:noProof/>
        </w:rPr>
        <w:tab/>
        <w:t xml:space="preserve">articolul 10 se modifică după cum urmează: </w:t>
      </w:r>
    </w:p>
    <w:p>
      <w:pPr>
        <w:pStyle w:val="Point1letter0"/>
        <w:numPr>
          <w:ilvl w:val="3"/>
          <w:numId w:val="1"/>
        </w:numPr>
        <w:rPr>
          <w:noProof/>
        </w:rPr>
      </w:pPr>
      <w:r>
        <w:rPr>
          <w:noProof/>
        </w:rPr>
        <w:t>alineatul (4) se înlocuiește cu următorul text:</w:t>
      </w:r>
    </w:p>
    <w:p>
      <w:pPr>
        <w:pStyle w:val="Text2"/>
        <w:rPr>
          <w:noProof/>
        </w:rPr>
      </w:pPr>
      <w:r>
        <w:rPr>
          <w:noProof/>
        </w:rPr>
        <w:t xml:space="preserve">„(4) Companiile nu se abat de la valorile implicite pentru factorii de emisie de la sondă la rezervor stabiliți în anexa I la Regulamentul (UE) 2015/757 pentru combustibilii fosili. Fără a aduce atingere alineatului (1) de la prezentul articol, companiile au dreptul să se abată de la valorile implicite pentru factorii de emisie de la sondă la rezervor stabiliți în anexa I la Regulamentul (UE) 2015/757, cu condiția ca valorile reale să fie certificate în cadrul unui sistem recunoscut de Comisie. Certificarea respectivă se efectuează pentru biocombustibili, biogaz, RFNBO și combustibili pe bază de carbon reciclat, în conformitate cu articolul 30 alineatele (5) și (6) din Directiva (UE) 2018/2001 sau, după caz, cu dispozițiile relevante din actele juridice ale Uniunii privind piețele interne ale gazelor din surse regenerabile, gazelor naturale și hidrogenului.”; </w:t>
      </w:r>
    </w:p>
    <w:p>
      <w:pPr>
        <w:pStyle w:val="Point1letter0"/>
        <w:numPr>
          <w:ilvl w:val="3"/>
          <w:numId w:val="1"/>
        </w:numPr>
        <w:rPr>
          <w:noProof/>
        </w:rPr>
      </w:pPr>
      <w:r>
        <w:rPr>
          <w:noProof/>
        </w:rPr>
        <w:t>alineatul (5) se înlocuiește cu următorul text:</w:t>
      </w:r>
    </w:p>
    <w:p>
      <w:pPr>
        <w:pStyle w:val="Text2"/>
        <w:rPr>
          <w:noProof/>
        </w:rPr>
      </w:pPr>
      <w:r>
        <w:rPr>
          <w:noProof/>
        </w:rPr>
        <w:t>„(5) Companiile au dreptul să se abată de la valorile implicite pentru factorii de emisie de la rezervor la siaj stabiliți în anexa I la Regulamentul (UE) 2015/757, cu excepția factorilor de emisie de CO</w:t>
      </w:r>
      <w:r>
        <w:rPr>
          <w:noProof/>
          <w:vertAlign w:val="subscript"/>
        </w:rPr>
        <w:t xml:space="preserve">2 </w:t>
      </w:r>
      <w:r>
        <w:rPr>
          <w:noProof/>
        </w:rPr>
        <w:t>de la rezervor la siaj pentru combustibilii fosili, cu condiția ca valorile reale să fie certificate prin încercări de laborator sau măsurători directe ale emisiilor.”;</w:t>
      </w:r>
    </w:p>
    <w:p>
      <w:pPr>
        <w:pStyle w:val="Point0"/>
        <w:rPr>
          <w:noProof/>
        </w:rPr>
      </w:pPr>
      <w:r>
        <w:rPr>
          <w:noProof/>
        </w:rPr>
        <w:t>(8)</w:t>
      </w:r>
      <w:r>
        <w:rPr>
          <w:noProof/>
        </w:rPr>
        <w:tab/>
        <w:t>la articolul 11, alineatele (1), (2) și (3) se înlocuiesc cu următorul text:</w:t>
      </w:r>
    </w:p>
    <w:p>
      <w:pPr>
        <w:pStyle w:val="Text1"/>
        <w:rPr>
          <w:noProof/>
        </w:rPr>
      </w:pPr>
      <w:r>
        <w:rPr>
          <w:noProof/>
        </w:rPr>
        <w:t>„(1) Pentru fiecare navă și în cazul unei schimbări a verificatorului, verificatorul evaluează conformitatea planului de monitorizare cu dispozițiile articolului 13 din Regulamentul (UE) 2015/757.</w:t>
      </w:r>
    </w:p>
    <w:p>
      <w:pPr>
        <w:pStyle w:val="Text1"/>
        <w:rPr>
          <w:noProof/>
        </w:rPr>
      </w:pPr>
      <w:r>
        <w:rPr>
          <w:noProof/>
        </w:rPr>
        <w:t>(2) Modificările aduse planului de monitorizare în temeiul articolului 7 alineatul (4) din Regulamentul (UE) 2015/757 fac obiectul unei evaluări de către verificator în conformitate cu articolul 13 alineatul (1) din Regulamentul (UE) 2015/757.</w:t>
      </w:r>
    </w:p>
    <w:p>
      <w:pPr>
        <w:pStyle w:val="Text1"/>
        <w:rPr>
          <w:noProof/>
        </w:rPr>
      </w:pPr>
      <w:r>
        <w:rPr>
          <w:noProof/>
        </w:rPr>
        <w:t>(3) După o evaluare cu rezultat satisfăcător a planului de monitorizare și a planului de monitorizare modificat, verificatorul trebuie să îndeplinească obligațiile prevăzute la articolul 13 din Regulamentul (UE) 2015/757.”;</w:t>
      </w:r>
    </w:p>
    <w:p>
      <w:pPr>
        <w:pStyle w:val="Point0"/>
        <w:rPr>
          <w:noProof/>
        </w:rPr>
      </w:pPr>
      <w:r>
        <w:rPr>
          <w:noProof/>
        </w:rPr>
        <w:t>(9)</w:t>
      </w:r>
      <w:r>
        <w:rPr>
          <w:noProof/>
        </w:rPr>
        <w:tab/>
        <w:t>articolul 12 se modifică după cum urmează:</w:t>
      </w:r>
    </w:p>
    <w:p>
      <w:pPr>
        <w:pStyle w:val="Point1letter0"/>
        <w:numPr>
          <w:ilvl w:val="3"/>
          <w:numId w:val="1"/>
        </w:numPr>
        <w:rPr>
          <w:noProof/>
        </w:rPr>
      </w:pPr>
      <w:r>
        <w:rPr>
          <w:noProof/>
        </w:rPr>
        <w:t>alineatele (1) și (2) se înlocuiesc cu următorul text:</w:t>
      </w:r>
    </w:p>
    <w:p>
      <w:pPr>
        <w:pStyle w:val="Text2"/>
        <w:rPr>
          <w:noProof/>
        </w:rPr>
      </w:pPr>
      <w:r>
        <w:rPr>
          <w:noProof/>
        </w:rPr>
        <w:t>„(1) Verificatorul îndeplinește obligațiile generale și respectă principiile prevăzute la articolul 14 din Regulamentul (UE) 2015/757.</w:t>
      </w:r>
    </w:p>
    <w:p>
      <w:pPr>
        <w:pStyle w:val="Text2"/>
        <w:rPr>
          <w:noProof/>
        </w:rPr>
      </w:pPr>
      <w:r>
        <w:rPr>
          <w:noProof/>
        </w:rPr>
        <w:t>(2) Verificatorul evaluează fiabilitatea, credibilitatea, acuratețea și exhaustivitatea datelor și informațiilor referitoare la cantitatea, tipul și factorul de emisie pentru consumul de energie la bordul navelor în conformitate cu articolul 14 alineatul (2) din Regulamentul (UE) 2015/757.</w:t>
      </w:r>
    </w:p>
    <w:p>
      <w:pPr>
        <w:pStyle w:val="Text2"/>
        <w:rPr>
          <w:noProof/>
        </w:rPr>
      </w:pPr>
      <w:r>
        <w:rPr>
          <w:noProof/>
        </w:rPr>
        <w:t>Verificatorul evaluează în continuare fiabilitatea, credibilitatea, acuratețea și exhaustivitatea datelor și informațiilor cuprinse în raportul privind bilanțul de conformitate menționat la articolul 15 din prezentul regulament, în conformitate cu articolul 16, precum și aplicarea mecanismului de flexibilitate, astfel cum se prevede la articolul 20 și la articolul 21 din prezentul regulament. Atunci când analizează verificarea raportului privind bilanțul de conformitate, verificatorul evaluează caracterul complet al datelor raportate și coerența respectivelor date raportate cu informațiile furnizate de companie, inclusiv cu raportul său MRV menționat la articolul 11 din Regulamentul (UE) 2015/757.”;</w:t>
      </w:r>
    </w:p>
    <w:p>
      <w:pPr>
        <w:pStyle w:val="Point1letter0"/>
        <w:numPr>
          <w:ilvl w:val="3"/>
          <w:numId w:val="1"/>
        </w:numPr>
        <w:rPr>
          <w:noProof/>
        </w:rPr>
      </w:pPr>
      <w:r>
        <w:rPr>
          <w:noProof/>
        </w:rPr>
        <w:t>alineatul (3) se elimină;</w:t>
      </w:r>
    </w:p>
    <w:p>
      <w:pPr>
        <w:pStyle w:val="Point0"/>
        <w:rPr>
          <w:noProof/>
        </w:rPr>
      </w:pPr>
      <w:r>
        <w:rPr>
          <w:noProof/>
        </w:rPr>
        <w:t>(10)</w:t>
      </w:r>
      <w:r>
        <w:rPr>
          <w:noProof/>
        </w:rPr>
        <w:tab/>
        <w:t>articolul 13 se modifică după cum urmează:</w:t>
      </w:r>
    </w:p>
    <w:p>
      <w:pPr>
        <w:pStyle w:val="Point1letter0"/>
        <w:numPr>
          <w:ilvl w:val="3"/>
          <w:numId w:val="19"/>
        </w:numPr>
        <w:rPr>
          <w:noProof/>
        </w:rPr>
      </w:pPr>
      <w:r>
        <w:rPr>
          <w:noProof/>
        </w:rPr>
        <w:t>alineatul (1) se înlocuiește cu următorul text:</w:t>
      </w:r>
    </w:p>
    <w:p>
      <w:pPr>
        <w:pStyle w:val="Text2"/>
        <w:rPr>
          <w:noProof/>
        </w:rPr>
      </w:pPr>
      <w:r>
        <w:rPr>
          <w:noProof/>
        </w:rPr>
        <w:t>„(1) Verificatorul respectă obligațiile legate de procedurile de verificare prevăzute la articolul 15 din Regulamentul (UE) 2015/757.”;</w:t>
      </w:r>
    </w:p>
    <w:p>
      <w:pPr>
        <w:pStyle w:val="Point1letter0"/>
        <w:numPr>
          <w:ilvl w:val="3"/>
          <w:numId w:val="19"/>
        </w:numPr>
        <w:rPr>
          <w:noProof/>
        </w:rPr>
      </w:pPr>
      <w:r>
        <w:rPr>
          <w:noProof/>
        </w:rPr>
        <w:t>alineatele (2)-(4) se elimină;</w:t>
      </w:r>
    </w:p>
    <w:p>
      <w:pPr>
        <w:pStyle w:val="Point1letter0"/>
        <w:numPr>
          <w:ilvl w:val="3"/>
          <w:numId w:val="19"/>
        </w:numPr>
        <w:rPr>
          <w:noProof/>
        </w:rPr>
      </w:pPr>
      <w:r>
        <w:rPr>
          <w:noProof/>
        </w:rPr>
        <w:t>alineatul (5) se înlocuiește cu următorul text:</w:t>
      </w:r>
    </w:p>
    <w:p>
      <w:pPr>
        <w:pStyle w:val="Text2"/>
        <w:rPr>
          <w:noProof/>
        </w:rPr>
      </w:pPr>
      <w:r>
        <w:rPr>
          <w:noProof/>
        </w:rPr>
        <w:t>„(5) Comisia adoptă acte de punere în aplicare în vederea precizării mai detaliate a regulilor referitoare la activitățile de verificare menționate în prezentul regulament, cel puțin cu privire la următoarele elemente: competențele verificatorilor; documentele pe care companiile trebuie să le furnizeze verificatorilor; evaluarea riscurilor, inclusiv verificările, care trebuie efectuate de către verificatori; verificarea raportului privind bilanțul de conformitate menționat la articolul 15; pragul de semnificație; asigurarea rezonabilă din partea verificatorilor; inexactități și neconformități; conținutul raportului de verificare; recomandări pentru îmbunătățiri; vizite la fața locului și comunicarea între companii, verificatori, autoritățile competente și Comisie. Normele prevăzute în respectivele acte de punere în aplicare se bazează pe principiile referitoare la verificare prevăzute la articolele 11 și 12, precum și în prezentul articol, și pe standardele relevante acceptate la nivel internațional. Respectivele acte de punere în aplicare se adoptă în conformitate cu procedura de examinare menționată la articolul 29 alineatul (3).”;</w:t>
      </w:r>
    </w:p>
    <w:p>
      <w:pPr>
        <w:pStyle w:val="Point0"/>
        <w:rPr>
          <w:noProof/>
        </w:rPr>
      </w:pPr>
      <w:r>
        <w:rPr>
          <w:noProof/>
        </w:rPr>
        <w:t>(11)</w:t>
      </w:r>
      <w:r>
        <w:rPr>
          <w:noProof/>
        </w:rPr>
        <w:tab/>
        <w:t>articolul 14 se modifică după cum urmează:</w:t>
      </w:r>
    </w:p>
    <w:p>
      <w:pPr>
        <w:pStyle w:val="Point1"/>
        <w:rPr>
          <w:noProof/>
        </w:rPr>
      </w:pPr>
      <w:r>
        <w:rPr>
          <w:noProof/>
        </w:rPr>
        <w:t>(a)</w:t>
      </w:r>
      <w:r>
        <w:rPr>
          <w:noProof/>
        </w:rPr>
        <w:tab/>
        <w:t>alineatul (1) se înlocuiește cu următorul text:</w:t>
      </w:r>
    </w:p>
    <w:p>
      <w:pPr>
        <w:pStyle w:val="Text2"/>
        <w:rPr>
          <w:noProof/>
        </w:rPr>
      </w:pPr>
      <w:r>
        <w:rPr>
          <w:noProof/>
        </w:rPr>
        <w:t>„(1) Acreditarea pentru activitățile de verificare care intră în domeniul de aplicare al prezentului regulament se eliberează numai verificatorilor care dețin o acreditare valabilă pentru activitățile de verificare care intră în domeniul de aplicare al Regulamentului (UE) 2015/757.”;</w:t>
      </w:r>
    </w:p>
    <w:p>
      <w:pPr>
        <w:pStyle w:val="Point1"/>
        <w:rPr>
          <w:noProof/>
        </w:rPr>
      </w:pPr>
      <w:r>
        <w:rPr>
          <w:noProof/>
        </w:rPr>
        <w:t>(b)</w:t>
      </w:r>
      <w:r>
        <w:rPr>
          <w:noProof/>
        </w:rPr>
        <w:tab/>
        <w:t>alineatele (2)-(5) se elimină;</w:t>
      </w:r>
    </w:p>
    <w:p>
      <w:pPr>
        <w:pStyle w:val="Point0"/>
        <w:rPr>
          <w:noProof/>
        </w:rPr>
      </w:pPr>
      <w:r>
        <w:rPr>
          <w:noProof/>
        </w:rPr>
        <w:t>(12)</w:t>
      </w:r>
      <w:r>
        <w:rPr>
          <w:noProof/>
        </w:rPr>
        <w:tab/>
        <w:t xml:space="preserve">la capitolul V, titlul se înlocuiește cu următorul text: </w:t>
      </w:r>
    </w:p>
    <w:p>
      <w:pPr>
        <w:pStyle w:val="Text2"/>
        <w:rPr>
          <w:noProof/>
        </w:rPr>
      </w:pPr>
      <w:r>
        <w:rPr>
          <w:noProof/>
        </w:rPr>
        <w:t>„Monitorizarea, verificarea, raportarea și evaluarea conformității”;</w:t>
      </w:r>
    </w:p>
    <w:p>
      <w:pPr>
        <w:pStyle w:val="Point0"/>
        <w:rPr>
          <w:noProof/>
        </w:rPr>
      </w:pPr>
      <w:r>
        <w:rPr>
          <w:noProof/>
        </w:rPr>
        <w:t>(13)</w:t>
      </w:r>
      <w:r>
        <w:rPr>
          <w:noProof/>
        </w:rPr>
        <w:tab/>
        <w:t xml:space="preserve">articolul 15 se modifică după cum urmează: </w:t>
      </w:r>
    </w:p>
    <w:p>
      <w:pPr>
        <w:pStyle w:val="Point1letter0"/>
        <w:numPr>
          <w:ilvl w:val="3"/>
          <w:numId w:val="19"/>
        </w:numPr>
        <w:rPr>
          <w:noProof/>
        </w:rPr>
      </w:pPr>
      <w:r>
        <w:rPr>
          <w:noProof/>
        </w:rPr>
        <w:t xml:space="preserve">titlul se înlocuiește cu următorul text: </w:t>
      </w:r>
    </w:p>
    <w:p>
      <w:pPr>
        <w:pStyle w:val="Text2"/>
        <w:rPr>
          <w:noProof/>
        </w:rPr>
      </w:pPr>
      <w:r>
        <w:rPr>
          <w:noProof/>
        </w:rPr>
        <w:t>„Monitorizare și raportare”</w:t>
      </w:r>
    </w:p>
    <w:p>
      <w:pPr>
        <w:pStyle w:val="Point1letter0"/>
        <w:numPr>
          <w:ilvl w:val="3"/>
          <w:numId w:val="19"/>
        </w:numPr>
        <w:rPr>
          <w:noProof/>
        </w:rPr>
      </w:pPr>
      <w:r>
        <w:rPr>
          <w:noProof/>
        </w:rPr>
        <w:t xml:space="preserve">alineatul (1) se înlocuiește cu următorul text: </w:t>
      </w:r>
    </w:p>
    <w:p>
      <w:pPr>
        <w:pStyle w:val="Text2"/>
        <w:rPr>
          <w:noProof/>
        </w:rPr>
      </w:pPr>
      <w:r>
        <w:rPr>
          <w:noProof/>
        </w:rPr>
        <w:t>„(1) Companiile monitorizează și raportează datele relevante în conformitate cu normele prevăzute la articolele 8-11 din Regulamentul (UE) 2015/757.”;</w:t>
      </w:r>
    </w:p>
    <w:p>
      <w:pPr>
        <w:pStyle w:val="Point1letter0"/>
        <w:numPr>
          <w:ilvl w:val="3"/>
          <w:numId w:val="1"/>
        </w:numPr>
        <w:rPr>
          <w:noProof/>
        </w:rPr>
      </w:pPr>
      <w:r>
        <w:rPr>
          <w:noProof/>
        </w:rPr>
        <w:t xml:space="preserve">alineatul (2) se elimină; </w:t>
      </w:r>
    </w:p>
    <w:p>
      <w:pPr>
        <w:pStyle w:val="Point1letter0"/>
        <w:numPr>
          <w:ilvl w:val="3"/>
          <w:numId w:val="1"/>
        </w:numPr>
        <w:rPr>
          <w:noProof/>
        </w:rPr>
      </w:pPr>
      <w:r>
        <w:rPr>
          <w:noProof/>
        </w:rPr>
        <w:t xml:space="preserve">alineatul (3) se înlocuiește cu următorul text: </w:t>
      </w:r>
    </w:p>
    <w:p>
      <w:pPr>
        <w:pStyle w:val="Text2"/>
        <w:rPr>
          <w:noProof/>
        </w:rPr>
      </w:pPr>
      <w:r>
        <w:rPr>
          <w:noProof/>
        </w:rPr>
        <w:t>„(3) Până la data de 28 februarie a perioadei de verificare, pe baza raportului MRV în conformitate cu articolul 11 din Regulamentul (UE) 2015/757, companiile furnizează verificatorului un raport specific navei („raportul privind bilanțul de conformitate”) care conține următoarele informații privind consumul de energie care intră în domeniul de aplicare al prezentului regulament:</w:t>
      </w:r>
    </w:p>
    <w:p>
      <w:pPr>
        <w:pStyle w:val="Text2"/>
        <w:rPr>
          <w:noProof/>
        </w:rPr>
      </w:pPr>
      <w:r>
        <w:rPr>
          <w:noProof/>
        </w:rPr>
        <w:t>(a) utilizând metoda specificată în anexa I la prezentul Regulament, intensitatea medie anuală a GES generate de energia utilizată la bordul navei în cauză;</w:t>
      </w:r>
    </w:p>
    <w:p>
      <w:pPr>
        <w:pStyle w:val="Text2"/>
        <w:rPr>
          <w:noProof/>
        </w:rPr>
      </w:pPr>
      <w:r>
        <w:rPr>
          <w:noProof/>
        </w:rPr>
        <w:t>(b) utilizând formula specificată în partea A din anexa IV la prezentul regulament, bilanțul de conformitate al navei;</w:t>
      </w:r>
    </w:p>
    <w:p>
      <w:pPr>
        <w:pStyle w:val="Text2"/>
        <w:rPr>
          <w:noProof/>
        </w:rPr>
      </w:pPr>
      <w:r>
        <w:rPr>
          <w:noProof/>
        </w:rPr>
        <w:t>(c) numărul de escale în port neconforme din perioada de raportare anterioară, inclusiv timpul petrecut la cheu și, după caz, în conformitate cu articolul 6 alineatul (9) din prezentul regulament, la ancoraj, pentru fiecare escală în port a navei care nu respectă cerințele prevăzute la articolul 6 din prezentul regulament;</w:t>
      </w:r>
    </w:p>
    <w:p>
      <w:pPr>
        <w:pStyle w:val="Text2"/>
        <w:rPr>
          <w:noProof/>
        </w:rPr>
      </w:pPr>
      <w:r>
        <w:rPr>
          <w:noProof/>
        </w:rPr>
        <w:t>(d) cantitatea de energie utilizată anual la bordul unei nave, excluzând energia de la OPS;</w:t>
      </w:r>
    </w:p>
    <w:p>
      <w:pPr>
        <w:pStyle w:val="Text2"/>
        <w:rPr>
          <w:noProof/>
        </w:rPr>
      </w:pPr>
      <w:r>
        <w:rPr>
          <w:noProof/>
        </w:rPr>
        <w:t>(e) cantitatea de energie utilizată anual la bordul unei nave din RFNBO.”;</w:t>
      </w:r>
    </w:p>
    <w:p>
      <w:pPr>
        <w:pStyle w:val="Point1letter0"/>
        <w:numPr>
          <w:ilvl w:val="3"/>
          <w:numId w:val="1"/>
        </w:numPr>
        <w:rPr>
          <w:noProof/>
        </w:rPr>
      </w:pPr>
      <w:r>
        <w:rPr>
          <w:noProof/>
        </w:rPr>
        <w:t xml:space="preserve">alineatul (4) se înlocuiește cu următorul text: </w:t>
      </w:r>
    </w:p>
    <w:p>
      <w:pPr>
        <w:pStyle w:val="Text2"/>
        <w:rPr>
          <w:noProof/>
        </w:rPr>
      </w:pPr>
      <w:r>
        <w:rPr>
          <w:noProof/>
        </w:rPr>
        <w:t xml:space="preserve">„(4) În cazul transferului unei nave de la o companie la alta: </w:t>
      </w:r>
    </w:p>
    <w:p>
      <w:pPr>
        <w:pStyle w:val="Text2"/>
        <w:rPr>
          <w:noProof/>
        </w:rPr>
      </w:pPr>
      <w:r>
        <w:rPr>
          <w:noProof/>
        </w:rPr>
        <w:t xml:space="preserve">(a) compania care efectuează transferul notifică verificatorului informațiile menționate la alineatul (2) de la prezentul articol, sub rezerva disponibilității unui raport MRV parțial, astfel cum se menționează la articolul 11 din Regulamentul (UE) 2015/757, pentru perioada în care a fost responsabilă de exploatarea navei; </w:t>
      </w:r>
    </w:p>
    <w:p>
      <w:pPr>
        <w:pStyle w:val="Text2"/>
        <w:rPr>
          <w:noProof/>
        </w:rPr>
      </w:pPr>
      <w:r>
        <w:rPr>
          <w:noProof/>
        </w:rPr>
        <w:t>(b) cât mai aproape posibil de ziua finalizării transferului și nu mai târziu de o lună de la această dată, informațiile menționate la litera (a) de la prezentul alineat sunt verificate și înregistrate în baza de date FuelEU în conformitate cu articolul 16 de către verificatorul care a efectuat activitățile de verificare pentru navă în cadrul companiei care efectuează transferul și</w:t>
      </w:r>
    </w:p>
    <w:p>
      <w:pPr>
        <w:pStyle w:val="Text2"/>
        <w:rPr>
          <w:noProof/>
        </w:rPr>
      </w:pPr>
      <w:r>
        <w:rPr>
          <w:noProof/>
        </w:rPr>
        <w:t>(c) fără a aduce atingere literelor (a) și (b), compania care are responsabilitatea pentru operarea navei la data de 31 decembrie a perioadei de raportare este responsabilă pentru respectarea de către navă a cerințelor prevăzute la articolele 4 și 6 pe întreaga perioadă de raportare în care a avut sau au avut loc transferul sau transferurile multiple.”;</w:t>
      </w:r>
    </w:p>
    <w:p>
      <w:pPr>
        <w:pStyle w:val="Point1letter0"/>
        <w:numPr>
          <w:ilvl w:val="3"/>
          <w:numId w:val="1"/>
        </w:numPr>
        <w:rPr>
          <w:noProof/>
        </w:rPr>
      </w:pPr>
      <w:r>
        <w:rPr>
          <w:noProof/>
        </w:rPr>
        <w:t xml:space="preserve">se adaugă următorul alineat (5): </w:t>
      </w:r>
    </w:p>
    <w:p>
      <w:pPr>
        <w:pStyle w:val="Text2"/>
        <w:rPr>
          <w:noProof/>
        </w:rPr>
      </w:pPr>
      <w:r>
        <w:rPr>
          <w:noProof/>
        </w:rPr>
        <w:t>„(5) Companiile utilizează rapoarte privind bilanțul de conformitate standardizate, bazate pe formate-cadru și transmit rapoartele respective cu ajutorul unor sisteme automatizate și al unor formate pentru schimbul de date. Comisia este împuternicită să adopte acte de punere în aplicare prin care stabilește respectivele formate-cadru, inclusiv regulile tehnice pentru aplicarea lor uniformă. Respectivele acte de punere în aplicare se adoptă în conformitate cu procedura de examinare menționată la articolul 29 alineatul (3).”;</w:t>
      </w:r>
    </w:p>
    <w:p>
      <w:pPr>
        <w:pStyle w:val="Point0"/>
        <w:rPr>
          <w:noProof/>
        </w:rPr>
      </w:pPr>
      <w:r>
        <w:rPr>
          <w:noProof/>
        </w:rPr>
        <w:t>(14)</w:t>
      </w:r>
      <w:r>
        <w:rPr>
          <w:noProof/>
        </w:rPr>
        <w:tab/>
        <w:t>articolul 16 se modifică după cum urmează:</w:t>
      </w:r>
    </w:p>
    <w:p>
      <w:pPr>
        <w:pStyle w:val="Point1letter0"/>
        <w:numPr>
          <w:ilvl w:val="3"/>
          <w:numId w:val="1"/>
        </w:numPr>
        <w:rPr>
          <w:noProof/>
        </w:rPr>
      </w:pPr>
      <w:r>
        <w:rPr>
          <w:noProof/>
        </w:rPr>
        <w:t>titlul se înlocuiește cu următorul text:</w:t>
      </w:r>
    </w:p>
    <w:p>
      <w:pPr>
        <w:pStyle w:val="Text2"/>
        <w:rPr>
          <w:noProof/>
        </w:rPr>
      </w:pPr>
      <w:r>
        <w:rPr>
          <w:noProof/>
        </w:rPr>
        <w:t xml:space="preserve">„Verificarea raportului privind bilanțul de conformitate”; </w:t>
      </w:r>
    </w:p>
    <w:p>
      <w:pPr>
        <w:pStyle w:val="Point1letter0"/>
        <w:numPr>
          <w:ilvl w:val="3"/>
          <w:numId w:val="1"/>
        </w:numPr>
        <w:rPr>
          <w:noProof/>
        </w:rPr>
      </w:pPr>
      <w:r>
        <w:rPr>
          <w:noProof/>
        </w:rPr>
        <w:t>alineatul (1) se înlocuiește cu următorul text:</w:t>
      </w:r>
    </w:p>
    <w:p>
      <w:pPr>
        <w:pStyle w:val="Text2"/>
        <w:rPr>
          <w:noProof/>
        </w:rPr>
      </w:pPr>
      <w:r>
        <w:rPr>
          <w:noProof/>
        </w:rPr>
        <w:t>„(1) Verificatorul evaluează calitatea, exhaustivitatea și acuratețea raportului privind bilanțul de conformitate. În acest scop, verificatorul utilizează toate informațiile conținute în baza de date FuelEU, inclusiv informații din raportul MRV verificat și informații furnizate cu privire la escalele în port în conformitate cu articolul 6.”;</w:t>
      </w:r>
    </w:p>
    <w:p>
      <w:pPr>
        <w:pStyle w:val="Point1letter0"/>
        <w:numPr>
          <w:ilvl w:val="3"/>
          <w:numId w:val="1"/>
        </w:numPr>
        <w:rPr>
          <w:noProof/>
        </w:rPr>
      </w:pPr>
      <w:r>
        <w:rPr>
          <w:noProof/>
        </w:rPr>
        <w:t>alineatul (2) se înlocuiește cu următorul text:</w:t>
      </w:r>
    </w:p>
    <w:p>
      <w:pPr>
        <w:pStyle w:val="Text2"/>
        <w:rPr>
          <w:noProof/>
        </w:rPr>
      </w:pPr>
      <w:r>
        <w:rPr>
          <w:noProof/>
        </w:rPr>
        <w:t>„(2) În cazul în care verificatorul, oferind asigurare rezonabilă, concluzionează în evaluarea verificării menționată la alineatul (1) că raportul privind bilanțul de conformitate nu conține inexactități sau neconformități semnificative, verificatorul notifică companiei în cauză un raport de verificare în care declară că raportul privind bilanțul de conformitate respectă prezentul regulament. Raportul de verificare precizează toate aspectele relevante pentru activitatea desfășurată de verificator.”;</w:t>
      </w:r>
    </w:p>
    <w:p>
      <w:pPr>
        <w:pStyle w:val="Point1letter0"/>
        <w:numPr>
          <w:ilvl w:val="3"/>
          <w:numId w:val="1"/>
        </w:numPr>
        <w:rPr>
          <w:noProof/>
        </w:rPr>
      </w:pPr>
      <w:r>
        <w:rPr>
          <w:noProof/>
        </w:rPr>
        <w:t>alineatul (3) se înlocuiește cu următorul text:</w:t>
      </w:r>
    </w:p>
    <w:p>
      <w:pPr>
        <w:pStyle w:val="Text2"/>
        <w:rPr>
          <w:noProof/>
        </w:rPr>
      </w:pPr>
      <w:r>
        <w:rPr>
          <w:noProof/>
        </w:rPr>
        <w:t>„(3) În cazul în care evaluarea verificării identifică inexactități sau neconformități în raport cu prezentul regulament, verificatorul informează în timp util compania în legătură cu acest lucru. Compania corectează fără întârzieri nejustificate inexactitățile sau neconformitățile pentru a permite finalizarea la timp a procesului de verificare și îi prezintă verificatorului un raport privind bilanțul de conformitate modificat și orice alte informații necesare pentru corectarea inexactităților sau neconformităților identificate. În raportul său de verificare, verificatorul precizează dacă raportul privind bilanțul de conformitate modificat respectă prezentul regulament. În cazul în care inexactitățile sau neconformitățile comunicate nu au fost corectate și conduc la neconformități semnificative, verificatorul notifică companiei un raport de verificare în care declară că raportul privind bilanțul de conformitate nu respectă prezentul regulament.”;</w:t>
      </w:r>
    </w:p>
    <w:p>
      <w:pPr>
        <w:pStyle w:val="Point1letter0"/>
        <w:numPr>
          <w:ilvl w:val="3"/>
          <w:numId w:val="1"/>
        </w:numPr>
        <w:rPr>
          <w:noProof/>
        </w:rPr>
      </w:pPr>
      <w:r>
        <w:rPr>
          <w:noProof/>
        </w:rPr>
        <w:t>alineatul (4) se elimină;</w:t>
      </w:r>
    </w:p>
    <w:p>
      <w:pPr>
        <w:pStyle w:val="Point1letter0"/>
        <w:numPr>
          <w:ilvl w:val="3"/>
          <w:numId w:val="1"/>
        </w:numPr>
        <w:rPr>
          <w:noProof/>
        </w:rPr>
      </w:pPr>
      <w:r>
        <w:rPr>
          <w:noProof/>
        </w:rPr>
        <w:t>la alineatul (5), primul paragraf se înlocuiește cu următorul text:</w:t>
      </w:r>
    </w:p>
    <w:p>
      <w:pPr>
        <w:pStyle w:val="Text2"/>
        <w:rPr>
          <w:noProof/>
        </w:rPr>
      </w:pPr>
      <w:r>
        <w:rPr>
          <w:noProof/>
        </w:rPr>
        <w:t>„Până la data de 31 martie a perioadei de verificare, verificatorul înregistrează în baza de date FuelEU raportul privind bilanțul de conformitate în privința căruia a constatat că este în conformitate cu prezentul regulament. Toate informațiile relevante înregistrate în baza de date FuelEU sunt accesibile statului de administrare.”;</w:t>
      </w:r>
    </w:p>
    <w:p>
      <w:pPr>
        <w:pStyle w:val="Point1"/>
        <w:rPr>
          <w:noProof/>
        </w:rPr>
      </w:pPr>
      <w:r>
        <w:rPr>
          <w:noProof/>
        </w:rPr>
        <w:t>(a)</w:t>
      </w:r>
      <w:r>
        <w:rPr>
          <w:noProof/>
        </w:rPr>
        <w:tab/>
        <w:t>se adaugă următorul alineat (6):</w:t>
      </w:r>
    </w:p>
    <w:p>
      <w:pPr>
        <w:pStyle w:val="Text2"/>
        <w:rPr>
          <w:noProof/>
        </w:rPr>
      </w:pPr>
      <w:r>
        <w:rPr>
          <w:noProof/>
        </w:rPr>
        <w:t>„(6) Companiile utilizează rapoarte de verificare standardizate, bazate pe formate-cadru și transmit rapoartele respective cu ajutorul unor sisteme automatizate și al unor formate pentru schimbul de date. Comisia adoptă acte de punere în aplicare prin care stabilește respectivele formate-cadru, inclusiv regulile tehnice pentru aplicarea lor uniformă. Respectivele acte de punere în aplicare se adoptă în conformitate cu procedura de examinare menționată la articolul 29 alineatul (3).”;</w:t>
      </w:r>
    </w:p>
    <w:p>
      <w:pPr>
        <w:pStyle w:val="Point0"/>
        <w:rPr>
          <w:noProof/>
        </w:rPr>
      </w:pPr>
      <w:r>
        <w:rPr>
          <w:noProof/>
        </w:rPr>
        <w:t>(15)</w:t>
      </w:r>
      <w:r>
        <w:rPr>
          <w:noProof/>
        </w:rPr>
        <w:tab/>
        <w:t xml:space="preserve">la articolul 17 alineatul (1), litera (c) se înlocuiește cu următorul text: </w:t>
      </w:r>
    </w:p>
    <w:p>
      <w:pPr>
        <w:pStyle w:val="Text1"/>
        <w:rPr>
          <w:noProof/>
        </w:rPr>
      </w:pPr>
      <w:r>
        <w:rPr>
          <w:noProof/>
        </w:rPr>
        <w:t>„(c) raportul privind bilanțul de conformitate menționat la articolul 15.”;</w:t>
      </w:r>
    </w:p>
    <w:p>
      <w:pPr>
        <w:pStyle w:val="Point0"/>
        <w:rPr>
          <w:noProof/>
        </w:rPr>
      </w:pPr>
      <w:r>
        <w:rPr>
          <w:noProof/>
        </w:rPr>
        <w:t>(16)</w:t>
      </w:r>
      <w:r>
        <w:rPr>
          <w:noProof/>
        </w:rPr>
        <w:tab/>
        <w:t xml:space="preserve">la articolul 20, alineatele (1) și (2) se înlocuiesc cu următorul text: </w:t>
      </w:r>
    </w:p>
    <w:p>
      <w:pPr>
        <w:pStyle w:val="Text1"/>
        <w:rPr>
          <w:noProof/>
        </w:rPr>
      </w:pPr>
      <w:r>
        <w:rPr>
          <w:noProof/>
        </w:rPr>
        <w:t>„(1) Pe baza verificării efectuate în conformitate cu articolul 16, în cazul în care nava are, pentru perioada de raportare, un excedent de conformitate în ceea ce privește intensitatea GES, astfel cum se menționează la articolul 4 alineatul (2), sau, dacă este cazul, în ceea ce privește obiectivul secundar pentru RFNBO menționat la articolul 5 alineatul (3), compania îl poate reporta în bilanțul de conformitate al aceleiași nave pentru următoarea perioadă de raportare. Compania înregistrează în baza de date FuelEU reportarea excedentului de conformitate pentru următoarea perioadă de raportare, sub rezerva aprobării de către verificatorul său. Compania nu mai poate reporta excedentul de conformitate după emiterea documentului de conformitate FuelEU.</w:t>
      </w:r>
    </w:p>
    <w:p>
      <w:pPr>
        <w:pStyle w:val="Text1"/>
        <w:rPr>
          <w:noProof/>
        </w:rPr>
      </w:pPr>
      <w:r>
        <w:rPr>
          <w:noProof/>
        </w:rPr>
        <w:t>(2) Pe baza verificării efectuate în conformitate cu articolul 16, în cazul în care nava are, pentru perioada de raportare, un deficit de conformitate, compania poate împrumuta un excedent de conformitate anticipat cu valoarea corespunzătoare de la următoarea perioadă de raportare. Excedentul de conformitate anticipat se adaugă la bilanțul de conformitate al navei în perioada de raportare, iar excedentul de conformitate anticipat înmulțit cu 1,1 se scade din bilanțul de conformitate al aceleiași nave în următoarea perioadă de raportare. Excedentul de conformitate anticipat nu poate fi împrumutat:</w:t>
      </w:r>
    </w:p>
    <w:p>
      <w:pPr>
        <w:pStyle w:val="Text2"/>
        <w:rPr>
          <w:noProof/>
        </w:rPr>
      </w:pPr>
      <w:r>
        <w:rPr>
          <w:noProof/>
        </w:rPr>
        <w:t>(a) pentru un cuantum care depășește cu mai mult de 2 % limita prevăzută la articolul 4 alineatul (2), înmulțit cu consumul de energie al navei, calculat în conformitate cu anexa I;</w:t>
      </w:r>
    </w:p>
    <w:p>
      <w:pPr>
        <w:pStyle w:val="Text2"/>
        <w:rPr>
          <w:noProof/>
        </w:rPr>
      </w:pPr>
      <w:r>
        <w:rPr>
          <w:noProof/>
        </w:rPr>
        <w:t>(b) pentru două perioade de raportare consecutive.”;</w:t>
      </w:r>
    </w:p>
    <w:p>
      <w:pPr>
        <w:pStyle w:val="Point0"/>
        <w:rPr>
          <w:noProof/>
        </w:rPr>
      </w:pPr>
      <w:r>
        <w:rPr>
          <w:noProof/>
        </w:rPr>
        <w:t>(17)</w:t>
      </w:r>
      <w:r>
        <w:rPr>
          <w:noProof/>
        </w:rPr>
        <w:tab/>
        <w:t xml:space="preserve">articolul 21 se modifică după cum urmează: </w:t>
      </w:r>
    </w:p>
    <w:p>
      <w:pPr>
        <w:pStyle w:val="Point1"/>
        <w:rPr>
          <w:noProof/>
        </w:rPr>
      </w:pPr>
      <w:r>
        <w:rPr>
          <w:noProof/>
        </w:rPr>
        <w:t>(a)</w:t>
      </w:r>
      <w:r>
        <w:rPr>
          <w:noProof/>
        </w:rPr>
        <w:tab/>
        <w:t xml:space="preserve">alineatul (1) se înlocuiește cu următorul text: </w:t>
      </w:r>
    </w:p>
    <w:p>
      <w:pPr>
        <w:pStyle w:val="Text2"/>
        <w:rPr>
          <w:noProof/>
        </w:rPr>
      </w:pPr>
      <w:r>
        <w:rPr>
          <w:noProof/>
        </w:rPr>
        <w:t>„(1) Bilanțurile de conformitate pentru intensitatea GES menționate la articolul 4 alineatul (2) și, dacă este cazul, obiectivele secundare pentru RFNBO, astfel cum sunt menționate la articolul 5 alineatul (3), pentru două sau mai multe nave, astfel cum sunt verificate în conformitate cu articolul 16, pot fi grupate în scopul îndeplinirii cerințelor prevăzute la articolul 4 și, dacă este cazul, la articolul 5 alineatul (3). Bilanțul de conformitate al unei nave nu poate fi inclus în mai multe grupări în aceeași perioadă de raportare.”;</w:t>
      </w:r>
    </w:p>
    <w:p>
      <w:pPr>
        <w:pStyle w:val="Point1"/>
        <w:rPr>
          <w:noProof/>
        </w:rPr>
      </w:pPr>
      <w:r>
        <w:rPr>
          <w:noProof/>
        </w:rPr>
        <w:t>(b)</w:t>
      </w:r>
      <w:r>
        <w:rPr>
          <w:noProof/>
        </w:rPr>
        <w:tab/>
        <w:t xml:space="preserve">alineatul (4) se înlocuiește cu următorul text: </w:t>
      </w:r>
    </w:p>
    <w:p>
      <w:pPr>
        <w:pStyle w:val="Text2"/>
        <w:rPr>
          <w:noProof/>
        </w:rPr>
      </w:pPr>
      <w:r>
        <w:rPr>
          <w:noProof/>
        </w:rPr>
        <w:t>„(4) O grupare este valabilă numai în cazul în care conformitatea totală cumulată este pozitivă, în cazul în care navele care aveau un deficit de conformitate, verificat în conformitate cu articolul 16, nu înregistrează un deficit de conformitate mai mare după alocarea conformității cumulate și în cazul în care navele care înregistrau un excedent de conformitate, verificat în conformitate cu articolul 16, nu înregistrează un deficit de conformitate după alocarea conformității cumulate.”;</w:t>
      </w:r>
    </w:p>
    <w:p>
      <w:pPr>
        <w:pStyle w:val="Point0"/>
        <w:rPr>
          <w:noProof/>
        </w:rPr>
      </w:pPr>
      <w:r>
        <w:rPr>
          <w:noProof/>
        </w:rPr>
        <w:t>(18)</w:t>
      </w:r>
      <w:r>
        <w:rPr>
          <w:noProof/>
        </w:rPr>
        <w:tab/>
        <w:t xml:space="preserve">articolul 23 se modifică după cum urmează: </w:t>
      </w:r>
    </w:p>
    <w:p>
      <w:pPr>
        <w:pStyle w:val="Point1"/>
        <w:rPr>
          <w:noProof/>
        </w:rPr>
      </w:pPr>
      <w:r>
        <w:rPr>
          <w:noProof/>
        </w:rPr>
        <w:t>(a)</w:t>
      </w:r>
      <w:r>
        <w:rPr>
          <w:noProof/>
        </w:rPr>
        <w:tab/>
        <w:t xml:space="preserve">alineatul (1) se înlocuiește cu următorul text: </w:t>
      </w:r>
    </w:p>
    <w:p>
      <w:pPr>
        <w:pStyle w:val="Text2"/>
        <w:rPr>
          <w:noProof/>
        </w:rPr>
      </w:pPr>
      <w:r>
        <w:rPr>
          <w:noProof/>
        </w:rPr>
        <w:t>„(1) Înainte de data de 1 mai a perioadei de verificare, pe baza verificării efectuate în temeiul articolului 16 și după posibila aplicare a articolelor 20 și 21, verificatorul înregistrează în baza de date FuelEU bilanțurile de conformitate verificate ale navei pentru intensitatea GES, astfel cum se menționează la articolul 4 alineatul (2), și, dacă este cazul, pentru obiectivul secundar pentru RFNBO menționat la articolul 5 alineatul (3).</w:t>
      </w:r>
    </w:p>
    <w:p>
      <w:pPr>
        <w:pStyle w:val="Text2"/>
        <w:rPr>
          <w:noProof/>
        </w:rPr>
      </w:pPr>
      <w:r>
        <w:rPr>
          <w:noProof/>
        </w:rPr>
        <w:t>În cazul în care o navă are un deficit de conformitate pentru obiectivul secundar pentru RFNBO menționat la articolul 5 alineatul (3), penalitatea FuelEU se calculează în conformitate cu formula specificată în anexa IV partea B.”;</w:t>
      </w:r>
    </w:p>
    <w:p>
      <w:pPr>
        <w:pStyle w:val="Point1"/>
        <w:rPr>
          <w:noProof/>
        </w:rPr>
      </w:pPr>
      <w:r>
        <w:rPr>
          <w:noProof/>
        </w:rPr>
        <w:t>(b)</w:t>
      </w:r>
      <w:r>
        <w:rPr>
          <w:noProof/>
        </w:rPr>
        <w:tab/>
        <w:t xml:space="preserve">alineatul (4) se înlocuiește cu următorul text: </w:t>
      </w:r>
    </w:p>
    <w:p>
      <w:pPr>
        <w:pStyle w:val="Text2"/>
        <w:rPr>
          <w:noProof/>
        </w:rPr>
      </w:pPr>
      <w:r>
        <w:rPr>
          <w:noProof/>
        </w:rPr>
        <w:t>„(4) Înainte de data de 1 mai a perioadei de verificare, dacă este cazul pe baza verificării efectuate în conformitate cu articolul 16, verificatorul înregistrează în baza de date FuelEU numărul total de ore pe care nava le-a petrecut amarată la cheu fără respectarea cerințelor prevăzute la articolul 6.”;</w:t>
      </w:r>
    </w:p>
    <w:p>
      <w:pPr>
        <w:pStyle w:val="Point0"/>
        <w:rPr>
          <w:noProof/>
        </w:rPr>
      </w:pPr>
      <w:r>
        <w:rPr>
          <w:noProof/>
        </w:rPr>
        <w:t>(19)</w:t>
      </w:r>
      <w:r>
        <w:rPr>
          <w:noProof/>
        </w:rPr>
        <w:tab/>
        <w:t>la articolul 30 alineatul (2), litera (e) se înlocuiește cu următorul text:</w:t>
      </w:r>
    </w:p>
    <w:p>
      <w:pPr>
        <w:pStyle w:val="Text1"/>
        <w:rPr>
          <w:noProof/>
        </w:rPr>
      </w:pPr>
      <w:r>
        <w:rPr>
          <w:noProof/>
        </w:rPr>
        <w:t>„(e) contabilizarea energiei electrice furnizate prin OPS prevăzute în anexa I la prezentul regulament și factorul de emisie de la sondă la rezervor asociat acestei energii electrice, definit în anexa I la Regulamentul (UE) 2015/757;”;</w:t>
      </w:r>
    </w:p>
    <w:p>
      <w:pPr>
        <w:pStyle w:val="Point0"/>
        <w:rPr>
          <w:noProof/>
        </w:rPr>
      </w:pPr>
      <w:r>
        <w:rPr>
          <w:noProof/>
        </w:rPr>
        <w:t>(20)</w:t>
      </w:r>
      <w:r>
        <w:rPr>
          <w:noProof/>
        </w:rPr>
        <w:tab/>
        <w:t>anexa I se modifică după cum urmează:</w:t>
      </w:r>
    </w:p>
    <w:p>
      <w:pPr>
        <w:pStyle w:val="Point1letter0"/>
        <w:numPr>
          <w:ilvl w:val="3"/>
          <w:numId w:val="1"/>
        </w:numPr>
        <w:rPr>
          <w:noProof/>
        </w:rPr>
      </w:pPr>
      <w:r>
        <w:rPr>
          <w:noProof/>
        </w:rPr>
        <w:t xml:space="preserve">teza „Masa de combustibil [Mi] se determină utilizând cantitatea raportată conform cadrului de raportare prevăzut în Regulamentul (UE) 2015/757 pentru călătoriile care se încadrează în domeniul de aplicare al prezentului regulament, pe baza metodologiei de monitorizare alese de societate.” se înlocuiește cu următorul text: </w:t>
      </w:r>
    </w:p>
    <w:p>
      <w:pPr>
        <w:pStyle w:val="Text2"/>
        <w:rPr>
          <w:noProof/>
        </w:rPr>
      </w:pPr>
      <w:r>
        <w:rPr>
          <w:noProof/>
        </w:rPr>
        <w:t>„Masa de combustibil [M</w:t>
      </w:r>
      <w:r>
        <w:rPr>
          <w:noProof/>
          <w:vertAlign w:val="subscript"/>
        </w:rPr>
        <w:t>i</w:t>
      </w:r>
      <w:r>
        <w:rPr>
          <w:noProof/>
        </w:rPr>
        <w:t>] se determină utilizând cantitatea raportată conform cadrului de raportare prevăzut în Regulamentul (UE) 2015/757 pentru activitățile care se încadrează în domeniul de aplicare al prezentului regulament, pe baza metodologiei de monitorizare alese de companie.”;</w:t>
      </w:r>
    </w:p>
    <w:p>
      <w:pPr>
        <w:pStyle w:val="Point1letter0"/>
        <w:numPr>
          <w:ilvl w:val="3"/>
          <w:numId w:val="1"/>
        </w:numPr>
        <w:rPr>
          <w:noProof/>
        </w:rPr>
      </w:pPr>
      <w:r>
        <w:rPr>
          <w:noProof/>
        </w:rPr>
        <w:t>în tot cuprinsul anexei I, „anexa II” se înlocuiește cu „anexa I la Regulamentul (UE) 2015/757”;</w:t>
      </w:r>
    </w:p>
    <w:p>
      <w:pPr>
        <w:pStyle w:val="Point0"/>
        <w:rPr>
          <w:noProof/>
        </w:rPr>
      </w:pPr>
      <w:r>
        <w:rPr>
          <w:noProof/>
        </w:rPr>
        <w:t>(21)</w:t>
      </w:r>
      <w:r>
        <w:rPr>
          <w:noProof/>
        </w:rPr>
        <w:tab/>
        <w:t>anexa II se elimină.</w:t>
      </w:r>
    </w:p>
    <w:p>
      <w:pPr>
        <w:pStyle w:val="Titrearticle"/>
        <w:rPr>
          <w:noProof/>
        </w:rPr>
      </w:pPr>
      <w:r>
        <w:rPr>
          <w:noProof/>
        </w:rPr>
        <w:t>Articolul 3</w:t>
      </w:r>
    </w:p>
    <w:p>
      <w:pPr>
        <w:rPr>
          <w:noProof/>
        </w:rPr>
      </w:pPr>
      <w:r>
        <w:rPr>
          <w:noProof/>
        </w:rPr>
        <w:t xml:space="preserve">Prezentul regulament intră în vigoare în a douăzecea zi de la data publicării în </w:t>
      </w:r>
      <w:r>
        <w:rPr>
          <w:i/>
          <w:noProof/>
        </w:rPr>
        <w:t>Jurnalul Oficial al Uniunii Europene</w:t>
      </w:r>
      <w:r>
        <w:rPr>
          <w:noProof/>
        </w:rPr>
        <w:t>.</w:t>
      </w:r>
    </w:p>
    <w:p>
      <w:pPr>
        <w:rPr>
          <w:noProof/>
        </w:rPr>
      </w:pPr>
      <w:r>
        <w:rPr>
          <w:noProof/>
        </w:rPr>
        <w:t>Prezentul regulament se aplică de la 1 ianuarie [2029/al doilea an de la intrarea în vigoare]. Cu toate acestea, articolul 1 alineatul (7), în ceea ce privește articolul 5 alineatele (2)-(4) din Regulamentul (UE) 2015/757, articolul 1 alineatul (8) litera (f), în ceea ce privește articolul 6 alineatul (9) din Regulamentul (UE) 2015/757, articolul 3 alineatul (14) litera (d), în ceea ce privește articolul 11 alineatul (4) din Regulamentul (UE) 2015/757, articolul 1 alineatul (16), în ceea ce privește articolul 13 alineatul (7) din Regulamentul (UE) 2015/757, articolul 1 alineatul (23), în ceea ce privește articolul 23 din Regulamentul (UE) 2015/757, articolul 2 alineatul (13) litera (f), în ceea ce privește articolul 15 alineatul (5) din Regulamentul (UE) 2023/1805, articolul 2 alineatul (10) litera (b), în ceea ce privește articolul 13 alineatul (5) din Regulamentul (UE) 2023/1805, articolul 2 alineatul (14) litera (g), și în ceea ce privește articolul 16 alineatul (6) din Regulamentul (UE) 2023/1805 se aplică de la [data intrării în vigoare].</w:t>
      </w:r>
    </w:p>
    <w:p>
      <w:pPr>
        <w:pStyle w:val="Applicationdirecte"/>
        <w:keepNext/>
        <w:keepLines/>
        <w:rPr>
          <w:noProof/>
        </w:rPr>
      </w:pPr>
      <w:r>
        <w:rPr>
          <w:noProof/>
        </w:rPr>
        <w:t>Prezentul regulament este obligatoriu în toate elementele sale și se aplică direct în toate statele membre.</w:t>
      </w:r>
    </w:p>
    <w:p>
      <w:pPr>
        <w:pStyle w:val="Fait"/>
        <w:rPr>
          <w:noProof/>
        </w:rPr>
      </w:pPr>
      <w:r>
        <w:rPr>
          <w:noProof/>
        </w:rPr>
        <w:t>Adoptat la Bruxelles,</w:t>
      </w:r>
    </w:p>
    <w:p>
      <w:pPr>
        <w:pStyle w:val="Institutionquisigne"/>
        <w:rPr>
          <w:noProof/>
        </w:rPr>
      </w:pPr>
      <w:r>
        <w:rPr>
          <w:noProof/>
        </w:rPr>
        <w:t>Pentru Parlamentul European</w:t>
      </w:r>
      <w:r>
        <w:rPr>
          <w:noProof/>
        </w:rPr>
        <w:tab/>
        <w:t>Pentru Consiliu</w:t>
      </w:r>
    </w:p>
    <w:p>
      <w:pPr>
        <w:pStyle w:val="Personnequisigne"/>
        <w:rPr>
          <w:noProof/>
        </w:rPr>
      </w:pPr>
      <w:r>
        <w:rPr>
          <w:noProof/>
        </w:rPr>
        <w:t>Președinta</w:t>
      </w:r>
      <w:r>
        <w:rPr>
          <w:noProof/>
        </w:rPr>
        <w:tab/>
        <w:t>Președintele</w:t>
      </w:r>
      <w:r>
        <w:rPr>
          <w:noProof/>
        </w:rPr>
        <w:br w:type="page"/>
      </w:r>
    </w:p>
    <w:sect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EUAlbertina">
    <w:altName w:val="Cambria"/>
    <w:charset w:val="00"/>
    <w:family w:val="roman"/>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Propunere de directivă a Parlamentului European și a Consiliului de modificare a Directivei 2003/87/CE și a Deciziei (UE) 2015/1814 în ceea ce privește stimularea competitivității și a decarbonizării eficiente din punctul de vedere al costurilor, COM(2026) 616.</w:t>
      </w:r>
    </w:p>
  </w:footnote>
  <w:footnote w:id="2">
    <w:p>
      <w:pPr>
        <w:pStyle w:val="FootnoteText"/>
      </w:pPr>
      <w:r>
        <w:rPr>
          <w:rStyle w:val="FootnoteReference"/>
        </w:rPr>
        <w:footnoteRef/>
      </w:r>
      <w:r>
        <w:tab/>
        <w:t>JO C , , p. .</w:t>
      </w:r>
    </w:p>
  </w:footnote>
  <w:footnote w:id="3">
    <w:p>
      <w:pPr>
        <w:pStyle w:val="FootnoteText"/>
      </w:pPr>
      <w:r>
        <w:rPr>
          <w:rStyle w:val="FootnoteReference"/>
        </w:rPr>
        <w:footnoteRef/>
      </w:r>
      <w:r>
        <w:tab/>
        <w:t>JO C , , p. .</w:t>
      </w:r>
    </w:p>
  </w:footnote>
  <w:footnote w:id="4">
    <w:p>
      <w:pPr>
        <w:pStyle w:val="FootnoteText"/>
      </w:pPr>
      <w:r>
        <w:rPr>
          <w:rStyle w:val="FootnoteReference"/>
        </w:rPr>
        <w:footnoteRef/>
      </w:r>
      <w:r>
        <w:tab/>
        <w:t>Regulamentul (UE) 2015/757 al Parlamentului European și al Consiliului din 29 aprilie 2015 privind monitorizarea, raportarea și verificarea emisiilor de gaze cu efect de seră generate de transportul maritim și de modificare a Directivei 2009/16/CE (JO L 123, 19.5.2015, p. 55, ELI: http://data.europa.eu/eli/reg/2015/757/oj).</w:t>
      </w:r>
    </w:p>
  </w:footnote>
  <w:footnote w:id="5">
    <w:p>
      <w:pPr>
        <w:pStyle w:val="FootnoteText"/>
        <w:tabs>
          <w:tab w:val="left" w:pos="870"/>
        </w:tabs>
      </w:pPr>
      <w:r>
        <w:rPr>
          <w:rStyle w:val="FootnoteReference"/>
        </w:rPr>
        <w:footnoteRef/>
      </w:r>
      <w:r>
        <w:tab/>
        <w:t>Regulamentul (UE) 2023/1805 al Parlamentului European și al Consiliului din 13 septembrie 2023 privind utilizarea combustibililor din surse regenerabile și cu emisii scăzute de carbon în transportul maritim și de modificare a Directivei 2009/16/CE (JO L 234, 22.9.2023, p. 48, , ELI: http://data.europa.eu/eli/reg/2023/1805/oj).</w:t>
      </w:r>
    </w:p>
  </w:footnote>
  <w:footnote w:id="6">
    <w:p>
      <w:pPr>
        <w:pStyle w:val="FootnoteText"/>
      </w:pPr>
      <w:r>
        <w:rPr>
          <w:rStyle w:val="FootnoteReference"/>
        </w:rPr>
        <w:footnoteRef/>
      </w:r>
      <w:r>
        <w:tab/>
        <w:t xml:space="preserve">JO L 123, 12.5.2016, p. 1, ELI: </w:t>
      </w:r>
      <w:hyperlink r:id="rId1" w:history="1">
        <w:r>
          <w:rPr>
            <w:rStyle w:val="Hyperlink"/>
          </w:rPr>
          <w:t>http://data.europa.eu/eli/agree_interinstit/2016/512/oj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104E2C"/>
    <w:multiLevelType w:val="hybridMultilevel"/>
    <w:tmpl w:val="C5E20E26"/>
    <w:lvl w:ilvl="0" w:tplc="C22CB030">
      <w:start w:val="1"/>
      <w:numFmt w:val="lowerRoman"/>
      <w:pStyle w:val="Considrant1"/>
      <w:lvlText w:val="(%1)"/>
      <w:lvlJc w:val="left"/>
      <w:pPr>
        <w:ind w:left="1196" w:hanging="720"/>
      </w:pPr>
      <w:rPr>
        <w:rFonts w:hint="default"/>
      </w:rPr>
    </w:lvl>
    <w:lvl w:ilvl="1" w:tplc="18090019" w:tentative="1">
      <w:start w:val="1"/>
      <w:numFmt w:val="lowerLetter"/>
      <w:lvlText w:val="%2."/>
      <w:lvlJc w:val="left"/>
      <w:pPr>
        <w:ind w:left="1556" w:hanging="360"/>
      </w:pPr>
    </w:lvl>
    <w:lvl w:ilvl="2" w:tplc="1809001B" w:tentative="1">
      <w:start w:val="1"/>
      <w:numFmt w:val="lowerRoman"/>
      <w:lvlText w:val="%3."/>
      <w:lvlJc w:val="right"/>
      <w:pPr>
        <w:ind w:left="2276" w:hanging="180"/>
      </w:pPr>
    </w:lvl>
    <w:lvl w:ilvl="3" w:tplc="1809000F" w:tentative="1">
      <w:start w:val="1"/>
      <w:numFmt w:val="decimal"/>
      <w:lvlText w:val="%4."/>
      <w:lvlJc w:val="left"/>
      <w:pPr>
        <w:ind w:left="2996" w:hanging="360"/>
      </w:pPr>
    </w:lvl>
    <w:lvl w:ilvl="4" w:tplc="18090019" w:tentative="1">
      <w:start w:val="1"/>
      <w:numFmt w:val="lowerLetter"/>
      <w:lvlText w:val="%5."/>
      <w:lvlJc w:val="left"/>
      <w:pPr>
        <w:ind w:left="3716" w:hanging="360"/>
      </w:pPr>
    </w:lvl>
    <w:lvl w:ilvl="5" w:tplc="1809001B" w:tentative="1">
      <w:start w:val="1"/>
      <w:numFmt w:val="lowerRoman"/>
      <w:lvlText w:val="%6."/>
      <w:lvlJc w:val="right"/>
      <w:pPr>
        <w:ind w:left="4436" w:hanging="180"/>
      </w:pPr>
    </w:lvl>
    <w:lvl w:ilvl="6" w:tplc="1809000F" w:tentative="1">
      <w:start w:val="1"/>
      <w:numFmt w:val="decimal"/>
      <w:lvlText w:val="%7."/>
      <w:lvlJc w:val="left"/>
      <w:pPr>
        <w:ind w:left="5156" w:hanging="360"/>
      </w:pPr>
    </w:lvl>
    <w:lvl w:ilvl="7" w:tplc="18090019" w:tentative="1">
      <w:start w:val="1"/>
      <w:numFmt w:val="lowerLetter"/>
      <w:lvlText w:val="%8."/>
      <w:lvlJc w:val="left"/>
      <w:pPr>
        <w:ind w:left="5876" w:hanging="360"/>
      </w:pPr>
    </w:lvl>
    <w:lvl w:ilvl="8" w:tplc="1809001B" w:tentative="1">
      <w:start w:val="1"/>
      <w:numFmt w:val="lowerRoman"/>
      <w:lvlText w:val="%9."/>
      <w:lvlJc w:val="right"/>
      <w:pPr>
        <w:ind w:left="6596" w:hanging="180"/>
      </w:p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0"/>
  </w:num>
  <w:num w:numId="3">
    <w:abstractNumId w:val="21"/>
  </w:num>
  <w:num w:numId="4">
    <w:abstractNumId w:val="8"/>
  </w:num>
  <w:num w:numId="5">
    <w:abstractNumId w:val="18"/>
  </w:num>
  <w:num w:numId="6">
    <w:abstractNumId w:val="17"/>
  </w:num>
  <w:num w:numId="7">
    <w:abstractNumId w:val="28"/>
  </w:num>
  <w:num w:numId="8">
    <w:abstractNumId w:val="25"/>
  </w:num>
  <w:num w:numId="9">
    <w:abstractNumId w:val="29"/>
  </w:num>
  <w:num w:numId="10">
    <w:abstractNumId w:val="30"/>
  </w:num>
  <w:num w:numId="11">
    <w:abstractNumId w:val="1"/>
  </w:num>
  <w:num w:numId="12">
    <w:abstractNumId w:val="10"/>
  </w:num>
  <w:num w:numId="13">
    <w:abstractNumId w:val="2"/>
  </w:num>
  <w:num w:numId="14">
    <w:abstractNumId w:val="11"/>
  </w:num>
  <w:num w:numId="15">
    <w:abstractNumId w:val="9"/>
  </w:num>
  <w:num w:numId="16">
    <w:abstractNumId w:val="19"/>
  </w:num>
  <w:num w:numId="17">
    <w:abstractNumId w:val="7"/>
  </w:num>
  <w:num w:numId="18">
    <w:abstractNumId w:val="16"/>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num>
  <w:num w:numId="21">
    <w:abstractNumId w:val="12"/>
    <w:lvlOverride w:ilvl="0">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num>
  <w:num w:numId="31">
    <w:abstractNumId w:val="12"/>
  </w:num>
  <w:num w:numId="32">
    <w:abstractNumId w:val="27"/>
  </w:num>
  <w:num w:numId="33">
    <w:abstractNumId w:val="6"/>
  </w:num>
  <w:num w:numId="34">
    <w:abstractNumId w:val="13"/>
  </w:num>
  <w:num w:numId="35">
    <w:abstractNumId w:val="14"/>
  </w:num>
  <w:num w:numId="36">
    <w:abstractNumId w:val="4"/>
  </w:num>
  <w:num w:numId="37">
    <w:abstractNumId w:val="26"/>
  </w:num>
  <w:num w:numId="38">
    <w:abstractNumId w:val="3"/>
  </w:num>
  <w:num w:numId="39">
    <w:abstractNumId w:val="15"/>
  </w:num>
  <w:num w:numId="40">
    <w:abstractNumId w:val="22"/>
  </w:num>
  <w:num w:numId="41">
    <w:abstractNumId w:val="23"/>
  </w:num>
  <w:num w:numId="42">
    <w:abstractNumId w:val="5"/>
  </w:num>
  <w:num w:numId="43">
    <w:abstractNumId w:val="20"/>
  </w:num>
  <w:num w:numId="44">
    <w:abstractNumId w:val="3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R_RefLast" w:val="0"/>
    <w:docVar w:name="DQCDateTime" w:val="2026-09-08 15:06:2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DD78211-C99A-4159-878C-43B7DCEC5788"/>
    <w:docVar w:name="LW_COVERPAGE_TYPE" w:val="1"/>
    <w:docVar w:name="LW_CreatedUtc" w:val="2026-07-06T13:40:52.5038132Z"/>
    <w:docVar w:name="LW_CROSSREFERENCE" w:val="{SEC(2026) 616 final} - {SWD(2026) 616 final} - {SWD(2026) 617 final} - {SWD(2026) 618 final}"/>
    <w:docVar w:name="LW_DocType" w:val="COM"/>
    <w:docVar w:name="LW_EMISSION" w:val="17.7.2026"/>
    <w:docVar w:name="LW_EMISSION_ISODATE" w:val="2026-07-17"/>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210"/>
    <w:docVar w:name="LW_REF.II.NEW.CP_YEAR" w:val="2026"/>
    <w:docVar w:name="LW_REF.INST.NEW" w:val="COM"/>
    <w:docVar w:name="LW_REF.INST.NEW_ADOPTED" w:val="final"/>
    <w:docVar w:name="LW_REF.INST.NEW_TEXT" w:val="(2026) 62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Regulamentelor (UE) 2015/757 \u537?i (UE) 2023/1805 pentru a simplifica \u537?i a ra\u539?ionaliza monitorizarea, raportarea \u537?i verificarea \u537?i pentru alinierea la revizuirile schemei UE de comercializare a certificatelor de emisii"/>
    <w:docVar w:name="LW_TYPE.DOC.CP" w:val="REGULAMENT AL PARLAMENTULUI EUROPEAN \u536?I AL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3"/>
      </w:numPr>
      <w:tabs>
        <w:tab w:val="clear" w:pos="1134"/>
        <w:tab w:val="num" w:pos="360"/>
      </w:tabs>
      <w:ind w:left="0" w:firstLine="0"/>
    </w:pPr>
    <w:rPr>
      <w:rFonts w:eastAsia="Times New Roman"/>
      <w:lang w:eastAsia="de-DE"/>
    </w:rPr>
  </w:style>
  <w:style w:type="paragraph" w:styleId="ListNumber">
    <w:name w:val="List Number"/>
    <w:basedOn w:val="Normal"/>
    <w:pPr>
      <w:numPr>
        <w:numId w:val="7"/>
      </w:numPr>
      <w:tabs>
        <w:tab w:val="clear" w:pos="709"/>
      </w:tabs>
      <w:ind w:left="0" w:firstLine="0"/>
    </w:pPr>
    <w:rPr>
      <w:rFonts w:eastAsia="Times New Roman"/>
      <w:lang w:eastAsia="de-DE"/>
    </w:rPr>
  </w:style>
  <w:style w:type="paragraph" w:customStyle="1" w:styleId="ListBullet1">
    <w:name w:val="List Bullet 1"/>
    <w:basedOn w:val="Normal"/>
    <w:pPr>
      <w:numPr>
        <w:numId w:val="2"/>
      </w:numPr>
      <w:tabs>
        <w:tab w:val="clear" w:pos="1134"/>
      </w:tabs>
      <w:ind w:left="0" w:firstLine="0"/>
    </w:pPr>
    <w:rPr>
      <w:rFonts w:eastAsia="Times New Roman"/>
      <w:lang w:eastAsia="de-DE"/>
    </w:rPr>
  </w:style>
  <w:style w:type="paragraph" w:customStyle="1" w:styleId="ListDash">
    <w:name w:val="List Dash"/>
    <w:basedOn w:val="Normal"/>
    <w:pPr>
      <w:numPr>
        <w:numId w:val="4"/>
      </w:numPr>
      <w:tabs>
        <w:tab w:val="clear" w:pos="283"/>
      </w:tabs>
      <w:ind w:left="0" w:firstLine="0"/>
    </w:pPr>
    <w:rPr>
      <w:rFonts w:eastAsia="Times New Roman"/>
      <w:lang w:eastAsia="de-DE"/>
    </w:rPr>
  </w:style>
  <w:style w:type="paragraph" w:customStyle="1" w:styleId="ListDash1">
    <w:name w:val="List Dash 1"/>
    <w:basedOn w:val="Normal"/>
    <w:pPr>
      <w:numPr>
        <w:numId w:val="5"/>
      </w:numPr>
      <w:tabs>
        <w:tab w:val="clear" w:pos="1134"/>
      </w:tabs>
      <w:ind w:left="0" w:firstLine="0"/>
    </w:pPr>
    <w:rPr>
      <w:rFonts w:eastAsia="Times New Roman"/>
      <w:lang w:eastAsia="de-DE"/>
    </w:rPr>
  </w:style>
  <w:style w:type="paragraph" w:customStyle="1" w:styleId="ListDash2">
    <w:name w:val="List Dash 2"/>
    <w:basedOn w:val="Normal"/>
    <w:pPr>
      <w:numPr>
        <w:numId w:val="6"/>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7"/>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7"/>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7"/>
      </w:numPr>
      <w:tabs>
        <w:tab w:val="clear" w:pos="2835"/>
      </w:tabs>
      <w:ind w:left="0" w:firstLine="0"/>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aliases w:val=" Znak Znak Znak,Znak Znak Znak,toc 2,TOC 21"/>
    <w:uiPriority w:val="99"/>
    <w:qFormat/>
    <w:rPr>
      <w:color w:val="0000FF"/>
      <w:u w:val="single"/>
    </w:rPr>
  </w:style>
  <w:style w:type="paragraph" w:styleId="ListBullet">
    <w:name w:val="List Bullet"/>
    <w:basedOn w:val="Normal"/>
    <w:pPr>
      <w:numPr>
        <w:numId w:val="8"/>
      </w:numPr>
      <w:tabs>
        <w:tab w:val="clear" w:pos="283"/>
      </w:tabs>
      <w:ind w:left="0" w:firstLine="0"/>
    </w:pPr>
    <w:rPr>
      <w:rFonts w:eastAsia="Times New Roman"/>
      <w:lang w:eastAsia="en-GB"/>
    </w:rPr>
  </w:style>
  <w:style w:type="paragraph" w:styleId="ListBullet2">
    <w:name w:val="List Bullet 2"/>
    <w:basedOn w:val="Normal"/>
    <w:pPr>
      <w:numPr>
        <w:numId w:val="9"/>
      </w:numPr>
      <w:tabs>
        <w:tab w:val="clear" w:pos="1134"/>
      </w:tabs>
      <w:ind w:left="0" w:firstLine="0"/>
    </w:pPr>
    <w:rPr>
      <w:rFonts w:eastAsia="Times New Roman"/>
      <w:lang w:eastAsia="en-GB"/>
    </w:rPr>
  </w:style>
  <w:style w:type="paragraph" w:styleId="ListBullet3">
    <w:name w:val="List Bullet 3"/>
    <w:basedOn w:val="Normal"/>
    <w:pPr>
      <w:numPr>
        <w:numId w:val="10"/>
      </w:numPr>
      <w:tabs>
        <w:tab w:val="clear" w:pos="1134"/>
      </w:tabs>
      <w:ind w:left="0" w:firstLine="0"/>
    </w:pPr>
    <w:rPr>
      <w:rFonts w:eastAsia="Times New Roman"/>
      <w:lang w:eastAsia="en-GB"/>
    </w:rPr>
  </w:style>
  <w:style w:type="paragraph" w:styleId="ListNumber2">
    <w:name w:val="List Number 2"/>
    <w:basedOn w:val="Normal"/>
    <w:pPr>
      <w:numPr>
        <w:numId w:val="14"/>
      </w:numPr>
      <w:tabs>
        <w:tab w:val="clear" w:pos="1560"/>
      </w:tabs>
      <w:ind w:left="0" w:firstLine="0"/>
    </w:pPr>
    <w:rPr>
      <w:rFonts w:eastAsia="Times New Roman"/>
      <w:lang w:eastAsia="en-GB"/>
    </w:rPr>
  </w:style>
  <w:style w:type="paragraph" w:styleId="ListNumber3">
    <w:name w:val="List Number 3"/>
    <w:basedOn w:val="Normal"/>
    <w:pPr>
      <w:numPr>
        <w:numId w:val="15"/>
      </w:numPr>
      <w:tabs>
        <w:tab w:val="clear" w:pos="1560"/>
      </w:tabs>
      <w:ind w:left="0" w:firstLine="0"/>
    </w:pPr>
    <w:rPr>
      <w:rFonts w:eastAsia="Times New Roman"/>
      <w:lang w:eastAsia="en-GB"/>
    </w:rPr>
  </w:style>
  <w:style w:type="paragraph" w:styleId="ListNumber4">
    <w:name w:val="List Number 4"/>
    <w:basedOn w:val="Normal"/>
    <w:pPr>
      <w:numPr>
        <w:numId w:val="16"/>
      </w:numPr>
      <w:tabs>
        <w:tab w:val="clear" w:pos="1560"/>
      </w:tabs>
      <w:ind w:left="0" w:firstLine="0"/>
    </w:pPr>
    <w:rPr>
      <w:rFonts w:eastAsia="Times New Roman"/>
      <w:lang w:eastAsia="en-GB"/>
    </w:rPr>
  </w:style>
  <w:style w:type="paragraph" w:customStyle="1" w:styleId="ListDash3">
    <w:name w:val="List Dash 3"/>
    <w:basedOn w:val="Normal"/>
    <w:pPr>
      <w:numPr>
        <w:numId w:val="11"/>
      </w:numPr>
      <w:tabs>
        <w:tab w:val="clear" w:pos="1134"/>
      </w:tabs>
      <w:ind w:left="0" w:firstLine="0"/>
    </w:pPr>
    <w:rPr>
      <w:rFonts w:eastAsia="Times New Roman"/>
      <w:lang w:eastAsia="en-GB"/>
    </w:rPr>
  </w:style>
  <w:style w:type="paragraph" w:customStyle="1" w:styleId="ListDash4">
    <w:name w:val="List Dash 4"/>
    <w:basedOn w:val="Normal"/>
    <w:pPr>
      <w:numPr>
        <w:numId w:val="12"/>
      </w:numPr>
      <w:tabs>
        <w:tab w:val="clear" w:pos="1134"/>
      </w:tabs>
      <w:ind w:left="0" w:firstLine="0"/>
    </w:pPr>
    <w:rPr>
      <w:rFonts w:eastAsia="Times New Roman"/>
      <w:lang w:eastAsia="en-GB"/>
    </w:rPr>
  </w:style>
  <w:style w:type="paragraph" w:customStyle="1" w:styleId="ListNumber1">
    <w:name w:val="List Number 1"/>
    <w:basedOn w:val="Text1"/>
    <w:pPr>
      <w:numPr>
        <w:numId w:val="13"/>
      </w:numPr>
      <w:tabs>
        <w:tab w:val="clear" w:pos="1560"/>
      </w:tabs>
      <w:ind w:left="0" w:firstLine="0"/>
    </w:pPr>
    <w:rPr>
      <w:rFonts w:eastAsia="Times New Roman"/>
      <w:lang w:eastAsia="en-GB"/>
    </w:rPr>
  </w:style>
  <w:style w:type="paragraph" w:customStyle="1" w:styleId="ListNumber1Level2">
    <w:name w:val="List Number 1 (Level 2)"/>
    <w:basedOn w:val="Text1"/>
    <w:pPr>
      <w:numPr>
        <w:ilvl w:val="1"/>
        <w:numId w:val="13"/>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4"/>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5"/>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6"/>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3"/>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4"/>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5"/>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6"/>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3"/>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4"/>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5"/>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6"/>
      </w:numPr>
      <w:tabs>
        <w:tab w:val="clear" w:pos="3686"/>
      </w:tabs>
      <w:ind w:left="0" w:firstLine="0"/>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uiPriority w:val="99"/>
    <w:rPr>
      <w:rFonts w:cs="Times New Roman"/>
      <w:sz w:val="16"/>
      <w:szCs w:val="16"/>
    </w:rPr>
  </w:style>
  <w:style w:type="paragraph" w:styleId="CommentText">
    <w:name w:val="annotation text"/>
    <w:aliases w:val="Text poznámky"/>
    <w:basedOn w:val="Normal"/>
    <w:link w:val="CommentTextChar"/>
    <w:uiPriority w:val="99"/>
    <w:rPr>
      <w:rFonts w:eastAsia="Times New Roman"/>
      <w:sz w:val="20"/>
      <w:szCs w:val="20"/>
      <w:lang w:eastAsia="en-GB"/>
    </w:rPr>
  </w:style>
  <w:style w:type="character" w:customStyle="1" w:styleId="CommentTextChar">
    <w:name w:val="Comment Text Char"/>
    <w:aliases w:val="Text poznámky Char"/>
    <w:basedOn w:val="DefaultParagraphFont"/>
    <w:link w:val="CommentText"/>
    <w:uiPriority w:val="99"/>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ro-RO"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uiPriority w:val="99"/>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ro-RO"/>
    </w:rPr>
  </w:style>
  <w:style w:type="character" w:customStyle="1" w:styleId="FooterCoverPageChar">
    <w:name w:val="Footer Cover Page Char"/>
    <w:link w:val="FooterCoverPage"/>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ro-RO" w:eastAsia="en-GB"/>
    </w:rPr>
  </w:style>
  <w:style w:type="character" w:customStyle="1" w:styleId="FooterSensitivityChar">
    <w:name w:val="Footer Sensitivity Char"/>
    <w:rPr>
      <w:rFonts w:ascii="Times New Roman" w:hAnsi="Times New Roman" w:cs="Times New Roman"/>
      <w:b/>
      <w:sz w:val="32"/>
      <w:lang w:val="ro-RO"/>
    </w:rPr>
  </w:style>
  <w:style w:type="character" w:customStyle="1" w:styleId="HeaderSensitivityChar">
    <w:name w:val="Header Sensitivity Char"/>
    <w:rPr>
      <w:rFonts w:ascii="Times New Roman" w:hAnsi="Times New Roman" w:cs="Times New Roman"/>
      <w:b/>
      <w:sz w:val="32"/>
      <w:lang w:val="ro-RO"/>
    </w:rPr>
  </w:style>
  <w:style w:type="character" w:customStyle="1" w:styleId="HeaderSensitivityRightChar">
    <w:name w:val="Header Sensitivity Right Char"/>
    <w:rPr>
      <w:rFonts w:ascii="Times New Roman" w:hAnsi="Times New Roman" w:cs="Times New Roman"/>
      <w:sz w:val="28"/>
      <w:lang w:val="ro-RO"/>
    </w:rPr>
  </w:style>
  <w:style w:type="paragraph" w:customStyle="1" w:styleId="LegalNumPar">
    <w:name w:val="LegalNumPar"/>
    <w:basedOn w:val="Normal"/>
    <w:pPr>
      <w:numPr>
        <w:numId w:val="17"/>
      </w:numPr>
      <w:spacing w:line="360" w:lineRule="auto"/>
      <w:ind w:left="0" w:firstLine="0"/>
    </w:pPr>
    <w:rPr>
      <w:rFonts w:eastAsia="Times New Roman"/>
      <w:lang w:eastAsia="en-GB"/>
    </w:rPr>
  </w:style>
  <w:style w:type="paragraph" w:customStyle="1" w:styleId="LegalNumPar2">
    <w:name w:val="LegalNumPar2"/>
    <w:basedOn w:val="Normal"/>
    <w:pPr>
      <w:numPr>
        <w:ilvl w:val="1"/>
        <w:numId w:val="17"/>
      </w:numPr>
      <w:spacing w:line="360" w:lineRule="auto"/>
      <w:ind w:left="0" w:firstLine="0"/>
    </w:pPr>
    <w:rPr>
      <w:rFonts w:eastAsia="Times New Roman"/>
      <w:lang w:eastAsia="en-GB"/>
    </w:rPr>
  </w:style>
  <w:style w:type="paragraph" w:customStyle="1" w:styleId="LegalNumPar3">
    <w:name w:val="LegalNumPar3"/>
    <w:basedOn w:val="Normal"/>
    <w:pPr>
      <w:numPr>
        <w:ilvl w:val="2"/>
        <w:numId w:val="17"/>
      </w:numPr>
      <w:spacing w:line="360" w:lineRule="auto"/>
      <w:ind w:left="0" w:firstLine="0"/>
    </w:pPr>
    <w:rPr>
      <w:rFonts w:eastAsia="Times New Roman"/>
      <w:lang w:eastAsia="en-GB"/>
    </w:rPr>
  </w:style>
  <w:style w:type="paragraph" w:styleId="ListParagraph">
    <w:name w:val="List Paragraph"/>
    <w:aliases w:val="Numbered Para 1,Dot pt,No Spacing1,List Paragraph Char Char Char,Indicator Text,List Paragraph1,Bullet Points,MAIN CONTENT,List Paragraph12,F5 List Paragraph,Heading 2_sj,1st level - Bullet List Paragraph,Lettre d'introduction,L"/>
    <w:basedOn w:val="Normal"/>
    <w:link w:val="ListParagraphChar"/>
    <w:uiPriority w:val="34"/>
    <w:qFormat/>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customStyle="1" w:styleId="Mention1">
    <w:name w:val="Mention1"/>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paragraph" w:styleId="NormalWeb">
    <w:name w:val="Normal (Web)"/>
    <w:basedOn w:val="Normal"/>
    <w:uiPriority w:val="99"/>
    <w:unhideWhenUsed/>
    <w:pPr>
      <w:spacing w:before="100" w:beforeAutospacing="1" w:after="100" w:afterAutospacing="1"/>
      <w:jc w:val="left"/>
    </w:pPr>
    <w:rPr>
      <w:rFonts w:eastAsia="Times New Roman"/>
      <w:szCs w:val="20"/>
      <w:lang w:eastAsia="en-GB"/>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0"/>
      <w:lang w:eastAsia="en-GB"/>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Helvetica" w:eastAsia="Times New Roman" w:hAnsi="Helvetica" w:cs="Helvetica"/>
      <w:color w:val="404040"/>
      <w:szCs w:val="20"/>
      <w:lang w:eastAsia="en-GB"/>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Helvetica" w:eastAsia="Times New Roman" w:hAnsi="Helvetica" w:cs="Helvetica"/>
      <w:color w:val="404040"/>
      <w:szCs w:val="20"/>
      <w:lang w:eastAsia="en-GB"/>
    </w:rPr>
  </w:style>
  <w:style w:type="paragraph" w:customStyle="1" w:styleId="CM3">
    <w:name w:val="CM3"/>
    <w:basedOn w:val="Normal"/>
    <w:uiPriority w:val="99"/>
    <w:pPr>
      <w:autoSpaceDE w:val="0"/>
      <w:autoSpaceDN w:val="0"/>
      <w:spacing w:before="0" w:after="0"/>
      <w:jc w:val="left"/>
    </w:pPr>
    <w:rPr>
      <w:rFonts w:ascii="EUAlbertina" w:eastAsia="Calibri" w:hAnsi="EUAlbertina"/>
      <w:szCs w:val="20"/>
      <w:lang w:eastAsia="en-GB"/>
    </w:rPr>
  </w:style>
  <w:style w:type="paragraph" w:styleId="NoSpacing">
    <w:name w:val="No Spacing"/>
    <w:uiPriority w:val="1"/>
    <w:qFormat/>
    <w:pPr>
      <w:spacing w:after="0" w:line="240" w:lineRule="auto"/>
    </w:pPr>
    <w:rPr>
      <w:kern w:val="2"/>
      <w:sz w:val="24"/>
      <w:szCs w:val="24"/>
      <w14:ligatures w14:val="standardContextual"/>
    </w:rPr>
  </w:style>
  <w:style w:type="character" w:customStyle="1" w:styleId="TOC211">
    <w:name w:val="TOC 211"/>
    <w:uiPriority w:val="99"/>
    <w:unhideWhenUsed/>
    <w:qFormat/>
    <w:rPr>
      <w:color w:val="0000FF"/>
      <w:u w:val="single"/>
    </w:rPr>
  </w:style>
  <w:style w:type="paragraph" w:customStyle="1" w:styleId="1letter">
    <w:name w:val="'1 (letter)"/>
    <w:basedOn w:val="Point1letter"/>
    <w:pPr>
      <w:numPr>
        <w:ilvl w:val="0"/>
        <w:numId w:val="0"/>
      </w:numPr>
      <w:ind w:left="1417"/>
    </w:p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paragraph" w:customStyle="1" w:styleId="oj-normal">
    <w:name w:val="oj-normal"/>
    <w:basedOn w:val="Normal"/>
    <w:pPr>
      <w:spacing w:before="100" w:beforeAutospacing="1" w:after="100" w:afterAutospacing="1"/>
      <w:jc w:val="left"/>
    </w:pPr>
    <w:rPr>
      <w:rFonts w:eastAsia="Times New Roman"/>
      <w:szCs w:val="24"/>
      <w:lang w:eastAsia="en-IE"/>
    </w:r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L Char"/>
    <w:link w:val="ListParagraph"/>
    <w:uiPriority w:val="34"/>
    <w:qFormat/>
    <w:rPr>
      <w:rFonts w:ascii="Times New Roman" w:eastAsia="Times New Roman" w:hAnsi="Times New Roman" w:cs="Times New Roman"/>
      <w:sz w:val="24"/>
      <w:lang w:val="ro-RO" w:eastAsia="en-GB"/>
    </w:rPr>
  </w:style>
  <w:style w:type="character" w:customStyle="1" w:styleId="no-parag">
    <w:name w:val="no-parag"/>
    <w:basedOn w:val="DefaultParagraphFont"/>
  </w:style>
  <w:style w:type="paragraph" w:customStyle="1" w:styleId="norm">
    <w:name w:val="norm"/>
    <w:basedOn w:val="Normal"/>
    <w:pPr>
      <w:spacing w:before="100" w:beforeAutospacing="1" w:after="100" w:afterAutospacing="1"/>
      <w:jc w:val="left"/>
    </w:pPr>
    <w:rPr>
      <w:rFonts w:eastAsia="Times New Roman"/>
      <w:szCs w:val="24"/>
      <w:lang w:eastAsia="en-IE"/>
    </w:rPr>
  </w:style>
  <w:style w:type="character" w:customStyle="1" w:styleId="boldface">
    <w:name w:val="boldface"/>
    <w:basedOn w:val="DefaultParagraphFont"/>
  </w:style>
  <w:style w:type="paragraph" w:customStyle="1" w:styleId="modref">
    <w:name w:val="modref"/>
    <w:basedOn w:val="Normal"/>
    <w:pPr>
      <w:spacing w:before="100" w:beforeAutospacing="1" w:after="100" w:afterAutospacing="1"/>
      <w:jc w:val="left"/>
    </w:pPr>
    <w:rPr>
      <w:rFonts w:eastAsia="Times New Roman"/>
      <w:szCs w:val="24"/>
      <w:lang w:eastAsia="en-IE"/>
    </w:rPr>
  </w:style>
  <w:style w:type="paragraph" w:customStyle="1" w:styleId="Point">
    <w:name w:val="Point"/>
    <w:basedOn w:val="Point0number"/>
    <w:pPr>
      <w:numPr>
        <w:numId w:val="0"/>
      </w:numPr>
    </w:pPr>
  </w:style>
  <w:style w:type="character" w:customStyle="1" w:styleId="CommentReference1">
    <w:name w:val="Comment Reference1"/>
    <w:basedOn w:val="DefaultParagraphFont"/>
    <w:uiPriority w:val="99"/>
    <w:unhideWhenUsed/>
    <w:rPr>
      <w:sz w:val="16"/>
      <w:szCs w:val="16"/>
    </w:rPr>
  </w:style>
  <w:style w:type="paragraph" w:customStyle="1" w:styleId="Considrant1">
    <w:name w:val="Considérant (1)"/>
    <w:basedOn w:val="Considrant"/>
    <w:pPr>
      <w:numPr>
        <w:numId w:val="18"/>
      </w:numPr>
      <w:ind w:left="0" w:firstLine="0"/>
    </w:pPr>
    <w:rPr>
      <w:iCs/>
    </w:rPr>
  </w:style>
  <w:style w:type="character" w:customStyle="1" w:styleId="CommentTextChar1">
    <w:name w:val="Comment Text Char1"/>
    <w:basedOn w:val="DefaultParagraphFont"/>
    <w:uiPriority w:val="99"/>
    <w:rPr>
      <w:rFonts w:ascii="Times New Roman" w:hAnsi="Times New Roman" w:cs="Times New Roman"/>
      <w:sz w:val="20"/>
      <w:szCs w:val="20"/>
      <w:lang w:val="ro-RO"/>
    </w:rPr>
  </w:style>
  <w:style w:type="paragraph" w:customStyle="1" w:styleId="Point00">
    <w:name w:val="Point 00"/>
    <w:basedOn w:val="Normal"/>
    <w:pPr>
      <w:ind w:left="850" w:hanging="850"/>
    </w:pPr>
  </w:style>
  <w:style w:type="paragraph" w:customStyle="1" w:styleId="Point1letter0">
    <w:name w:val="Point 1 (letter)0"/>
    <w:basedOn w:val="Normal"/>
    <w:pPr>
      <w:tabs>
        <w:tab w:val="num" w:pos="1417"/>
      </w:tabs>
      <w:ind w:left="1417" w:hanging="567"/>
    </w:pPr>
  </w:style>
  <w:style w:type="paragraph" w:customStyle="1" w:styleId="Text">
    <w:name w:val="Text"/>
    <w:basedOn w:val="Text2"/>
  </w:style>
  <w:style w:type="paragraph" w:customStyle="1" w:styleId="Point1letter1">
    <w:name w:val="Point 1(letter)"/>
    <w:basedOn w:val="Point0letter"/>
    <w:pPr>
      <w:numPr>
        <w:ilvl w:val="0"/>
        <w:numId w:val="0"/>
      </w:numPr>
      <w:tabs>
        <w:tab w:val="num" w:pos="850"/>
      </w:tabs>
    </w:p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Mention2">
    <w:name w:val="Mention2"/>
    <w:basedOn w:val="DefaultParagraphFont"/>
    <w:uiPriority w:val="99"/>
    <w:unhideWhenUsed/>
    <w:rPr>
      <w:color w:val="2B579A"/>
      <w:shd w:val="clear" w:color="auto" w:fill="E1DFDD"/>
    </w:rPr>
  </w:style>
  <w:style w:type="paragraph" w:customStyle="1" w:styleId="Point01">
    <w:name w:val="Point 01"/>
    <w:basedOn w:val="Normal"/>
    <w:pPr>
      <w:ind w:left="850" w:hanging="850"/>
    </w:pPr>
  </w:style>
  <w:style w:type="paragraph" w:customStyle="1" w:styleId="Point02">
    <w:name w:val="Point 02"/>
    <w:basedOn w:val="Normal"/>
    <w:pPr>
      <w:ind w:left="850" w:hanging="85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0"/>
      </w:numPr>
    </w:pPr>
  </w:style>
  <w:style w:type="paragraph" w:customStyle="1" w:styleId="Tiret1">
    <w:name w:val="Tiret 1"/>
    <w:basedOn w:val="Point1"/>
    <w:pPr>
      <w:numPr>
        <w:numId w:val="31"/>
      </w:numPr>
    </w:pPr>
  </w:style>
  <w:style w:type="paragraph" w:customStyle="1" w:styleId="Tiret2">
    <w:name w:val="Tiret 2"/>
    <w:basedOn w:val="Point2"/>
    <w:pPr>
      <w:numPr>
        <w:numId w:val="32"/>
      </w:numPr>
    </w:pPr>
  </w:style>
  <w:style w:type="paragraph" w:customStyle="1" w:styleId="Tiret3">
    <w:name w:val="Tiret 3"/>
    <w:basedOn w:val="Point3"/>
    <w:pPr>
      <w:numPr>
        <w:numId w:val="33"/>
      </w:numPr>
    </w:pPr>
  </w:style>
  <w:style w:type="paragraph" w:customStyle="1" w:styleId="Tiret4">
    <w:name w:val="Tiret 4"/>
    <w:basedOn w:val="Point4"/>
    <w:pPr>
      <w:numPr>
        <w:numId w:val="34"/>
      </w:numPr>
    </w:pPr>
  </w:style>
  <w:style w:type="paragraph" w:customStyle="1" w:styleId="Tiret5">
    <w:name w:val="Tiret 5"/>
    <w:basedOn w:val="Point5"/>
    <w:pPr>
      <w:numPr>
        <w:numId w:val="3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6"/>
      </w:numPr>
    </w:pPr>
  </w:style>
  <w:style w:type="paragraph" w:customStyle="1" w:styleId="NumPar2">
    <w:name w:val="NumPar 2"/>
    <w:basedOn w:val="Normal"/>
    <w:next w:val="Text1"/>
    <w:pPr>
      <w:numPr>
        <w:ilvl w:val="1"/>
        <w:numId w:val="36"/>
      </w:numPr>
    </w:pPr>
  </w:style>
  <w:style w:type="paragraph" w:customStyle="1" w:styleId="NumPar3">
    <w:name w:val="NumPar 3"/>
    <w:basedOn w:val="Normal"/>
    <w:next w:val="Text1"/>
    <w:pPr>
      <w:numPr>
        <w:ilvl w:val="2"/>
        <w:numId w:val="36"/>
      </w:numPr>
    </w:pPr>
  </w:style>
  <w:style w:type="paragraph" w:customStyle="1" w:styleId="NumPar4">
    <w:name w:val="NumPar 4"/>
    <w:basedOn w:val="Normal"/>
    <w:next w:val="Text1"/>
    <w:pPr>
      <w:numPr>
        <w:ilvl w:val="3"/>
        <w:numId w:val="36"/>
      </w:numPr>
    </w:pPr>
  </w:style>
  <w:style w:type="paragraph" w:customStyle="1" w:styleId="NumPar5">
    <w:name w:val="NumPar 5"/>
    <w:basedOn w:val="Normal"/>
    <w:next w:val="Text2"/>
    <w:pPr>
      <w:numPr>
        <w:ilvl w:val="4"/>
        <w:numId w:val="36"/>
      </w:numPr>
    </w:pPr>
  </w:style>
  <w:style w:type="paragraph" w:customStyle="1" w:styleId="NumPar6">
    <w:name w:val="NumPar 6"/>
    <w:basedOn w:val="Normal"/>
    <w:next w:val="Text2"/>
    <w:pPr>
      <w:numPr>
        <w:ilvl w:val="5"/>
        <w:numId w:val="36"/>
      </w:numPr>
    </w:pPr>
  </w:style>
  <w:style w:type="paragraph" w:customStyle="1" w:styleId="NumPar7">
    <w:name w:val="NumPar 7"/>
    <w:basedOn w:val="Normal"/>
    <w:next w:val="Text2"/>
    <w:pPr>
      <w:numPr>
        <w:ilvl w:val="6"/>
        <w:numId w:val="3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8"/>
      </w:numPr>
    </w:pPr>
  </w:style>
  <w:style w:type="paragraph" w:customStyle="1" w:styleId="Point1number">
    <w:name w:val="Point 1 (number)"/>
    <w:basedOn w:val="Normal"/>
    <w:pPr>
      <w:numPr>
        <w:ilvl w:val="2"/>
        <w:numId w:val="38"/>
      </w:numPr>
    </w:pPr>
  </w:style>
  <w:style w:type="paragraph" w:customStyle="1" w:styleId="Point2number">
    <w:name w:val="Point 2 (number)"/>
    <w:basedOn w:val="Normal"/>
    <w:pPr>
      <w:numPr>
        <w:ilvl w:val="4"/>
        <w:numId w:val="38"/>
      </w:numPr>
    </w:pPr>
  </w:style>
  <w:style w:type="paragraph" w:customStyle="1" w:styleId="Point3number">
    <w:name w:val="Point 3 (number)"/>
    <w:basedOn w:val="Normal"/>
    <w:pPr>
      <w:numPr>
        <w:ilvl w:val="6"/>
        <w:numId w:val="38"/>
      </w:numPr>
    </w:pPr>
  </w:style>
  <w:style w:type="paragraph" w:customStyle="1" w:styleId="Point0letter">
    <w:name w:val="Point 0 (letter)"/>
    <w:basedOn w:val="Normal"/>
    <w:pPr>
      <w:numPr>
        <w:ilvl w:val="1"/>
        <w:numId w:val="38"/>
      </w:numPr>
    </w:pPr>
  </w:style>
  <w:style w:type="paragraph" w:customStyle="1" w:styleId="Point1letter">
    <w:name w:val="Point 1 (letter)"/>
    <w:basedOn w:val="Normal"/>
    <w:pPr>
      <w:numPr>
        <w:ilvl w:val="3"/>
        <w:numId w:val="38"/>
      </w:numPr>
    </w:pPr>
  </w:style>
  <w:style w:type="paragraph" w:customStyle="1" w:styleId="Point2letter">
    <w:name w:val="Point 2 (letter)"/>
    <w:basedOn w:val="Normal"/>
    <w:pPr>
      <w:numPr>
        <w:ilvl w:val="5"/>
        <w:numId w:val="38"/>
      </w:numPr>
    </w:pPr>
  </w:style>
  <w:style w:type="paragraph" w:customStyle="1" w:styleId="Point3letter">
    <w:name w:val="Point 3 (letter)"/>
    <w:basedOn w:val="Normal"/>
    <w:pPr>
      <w:numPr>
        <w:ilvl w:val="7"/>
        <w:numId w:val="38"/>
      </w:numPr>
    </w:pPr>
  </w:style>
  <w:style w:type="paragraph" w:customStyle="1" w:styleId="Point4letter">
    <w:name w:val="Point 4 (letter)"/>
    <w:basedOn w:val="Normal"/>
    <w:pPr>
      <w:numPr>
        <w:ilvl w:val="8"/>
        <w:numId w:val="38"/>
      </w:numPr>
    </w:pPr>
  </w:style>
  <w:style w:type="paragraph" w:customStyle="1" w:styleId="Bullet0">
    <w:name w:val="Bullet 0"/>
    <w:basedOn w:val="Normal"/>
    <w:pPr>
      <w:numPr>
        <w:numId w:val="39"/>
      </w:numPr>
    </w:pPr>
  </w:style>
  <w:style w:type="paragraph" w:customStyle="1" w:styleId="Bullet1">
    <w:name w:val="Bullet 1"/>
    <w:basedOn w:val="Normal"/>
    <w:pPr>
      <w:numPr>
        <w:numId w:val="40"/>
      </w:numPr>
    </w:pPr>
  </w:style>
  <w:style w:type="paragraph" w:customStyle="1" w:styleId="Bullet2">
    <w:name w:val="Bullet 2"/>
    <w:basedOn w:val="Normal"/>
    <w:pPr>
      <w:numPr>
        <w:numId w:val="41"/>
      </w:numPr>
    </w:pPr>
  </w:style>
  <w:style w:type="paragraph" w:customStyle="1" w:styleId="Bullet3">
    <w:name w:val="Bullet 3"/>
    <w:basedOn w:val="Normal"/>
    <w:pPr>
      <w:numPr>
        <w:numId w:val="42"/>
      </w:numPr>
    </w:pPr>
  </w:style>
  <w:style w:type="paragraph" w:customStyle="1" w:styleId="Bullet4">
    <w:name w:val="Bullet 4"/>
    <w:basedOn w:val="Normal"/>
    <w:pPr>
      <w:numPr>
        <w:numId w:val="4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653236">
      <w:bodyDiv w:val="1"/>
      <w:marLeft w:val="0"/>
      <w:marRight w:val="0"/>
      <w:marTop w:val="0"/>
      <w:marBottom w:val="0"/>
      <w:divBdr>
        <w:top w:val="none" w:sz="0" w:space="0" w:color="auto"/>
        <w:left w:val="none" w:sz="0" w:space="0" w:color="auto"/>
        <w:bottom w:val="none" w:sz="0" w:space="0" w:color="auto"/>
        <w:right w:val="none" w:sz="0" w:space="0" w:color="auto"/>
      </w:divBdr>
    </w:div>
    <w:div w:id="454062714">
      <w:bodyDiv w:val="1"/>
      <w:marLeft w:val="0"/>
      <w:marRight w:val="0"/>
      <w:marTop w:val="0"/>
      <w:marBottom w:val="0"/>
      <w:divBdr>
        <w:top w:val="none" w:sz="0" w:space="0" w:color="auto"/>
        <w:left w:val="none" w:sz="0" w:space="0" w:color="auto"/>
        <w:bottom w:val="none" w:sz="0" w:space="0" w:color="auto"/>
        <w:right w:val="none" w:sz="0" w:space="0" w:color="auto"/>
      </w:divBdr>
    </w:div>
    <w:div w:id="1111242359">
      <w:bodyDiv w:val="1"/>
      <w:marLeft w:val="0"/>
      <w:marRight w:val="0"/>
      <w:marTop w:val="0"/>
      <w:marBottom w:val="0"/>
      <w:divBdr>
        <w:top w:val="none" w:sz="0" w:space="0" w:color="auto"/>
        <w:left w:val="none" w:sz="0" w:space="0" w:color="auto"/>
        <w:bottom w:val="none" w:sz="0" w:space="0" w:color="auto"/>
        <w:right w:val="none" w:sz="0" w:space="0" w:color="auto"/>
      </w:divBdr>
    </w:div>
    <w:div w:id="1140803629">
      <w:bodyDiv w:val="1"/>
      <w:marLeft w:val="0"/>
      <w:marRight w:val="0"/>
      <w:marTop w:val="0"/>
      <w:marBottom w:val="0"/>
      <w:divBdr>
        <w:top w:val="none" w:sz="0" w:space="0" w:color="auto"/>
        <w:left w:val="none" w:sz="0" w:space="0" w:color="auto"/>
        <w:bottom w:val="none" w:sz="0" w:space="0" w:color="auto"/>
        <w:right w:val="none" w:sz="0" w:space="0" w:color="auto"/>
      </w:divBdr>
    </w:div>
    <w:div w:id="1804998341">
      <w:bodyDiv w:val="1"/>
      <w:marLeft w:val="0"/>
      <w:marRight w:val="0"/>
      <w:marTop w:val="0"/>
      <w:marBottom w:val="0"/>
      <w:divBdr>
        <w:top w:val="none" w:sz="0" w:space="0" w:color="auto"/>
        <w:left w:val="none" w:sz="0" w:space="0" w:color="auto"/>
        <w:bottom w:val="none" w:sz="0" w:space="0" w:color="auto"/>
        <w:right w:val="none" w:sz="0" w:space="0" w:color="auto"/>
      </w:divBdr>
    </w:div>
    <w:div w:id="1945308838">
      <w:bodyDiv w:val="1"/>
      <w:marLeft w:val="0"/>
      <w:marRight w:val="0"/>
      <w:marTop w:val="0"/>
      <w:marBottom w:val="0"/>
      <w:divBdr>
        <w:top w:val="none" w:sz="0" w:space="0" w:color="auto"/>
        <w:left w:val="none" w:sz="0" w:space="0" w:color="auto"/>
        <w:bottom w:val="none" w:sz="0" w:space="0" w:color="auto"/>
        <w:right w:val="none" w:sz="0" w:space="0" w:color="auto"/>
      </w:divBdr>
    </w:div>
    <w:div w:id="214381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16/51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43c966-cb45-4885-93fc-2ce78a94204b">
      <Terms xmlns="http://schemas.microsoft.com/office/infopath/2007/PartnerControls"/>
    </lcf76f155ced4ddcb4097134ff3c332f>
    <TaxCatchAll xmlns="ac131f03-315b-4cd8-8e3a-6189969fd4f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99782AF6692CB4E8097BF428225D135" ma:contentTypeVersion="17" ma:contentTypeDescription="Create a new document." ma:contentTypeScope="" ma:versionID="59ff5651a4f3a1a5cb8238938fd32999">
  <xsd:schema xmlns:xsd="http://www.w3.org/2001/XMLSchema" xmlns:xs="http://www.w3.org/2001/XMLSchema" xmlns:p="http://schemas.microsoft.com/office/2006/metadata/properties" xmlns:ns2="5843c966-cb45-4885-93fc-2ce78a94204b" xmlns:ns3="ac131f03-315b-4cd8-8e3a-6189969fd4f0" targetNamespace="http://schemas.microsoft.com/office/2006/metadata/properties" ma:root="true" ma:fieldsID="f35b6c5cbc38fcaa39852b720d769a3f" ns2:_="" ns3:_="">
    <xsd:import namespace="5843c966-cb45-4885-93fc-2ce78a94204b"/>
    <xsd:import namespace="ac131f03-315b-4cd8-8e3a-6189969fd4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3c966-cb45-4885-93fc-2ce78a9420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131f03-315b-4cd8-8e3a-6189969fd4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9a683dc-7c89-45b8-ab9d-480aec8b90de}" ma:internalName="TaxCatchAll" ma:showField="CatchAllData" ma:web="ac131f03-315b-4cd8-8e3a-6189969fd4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855A48-E9A4-4224-8111-11A221B902B1}">
  <ds:schemaRefs>
    <ds:schemaRef ds:uri="http://schemas.openxmlformats.org/officeDocument/2006/bibliography"/>
  </ds:schemaRefs>
</ds:datastoreItem>
</file>

<file path=customXml/itemProps2.xml><?xml version="1.0" encoding="utf-8"?>
<ds:datastoreItem xmlns:ds="http://schemas.openxmlformats.org/officeDocument/2006/customXml" ds:itemID="{A3E05927-21E2-483E-A700-D7C116F0087A}">
  <ds:schemaRefs>
    <ds:schemaRef ds:uri="http://schemas.microsoft.com/sharepoint/v3/contenttype/forms"/>
  </ds:schemaRefs>
</ds:datastoreItem>
</file>

<file path=customXml/itemProps3.xml><?xml version="1.0" encoding="utf-8"?>
<ds:datastoreItem xmlns:ds="http://schemas.openxmlformats.org/officeDocument/2006/customXml" ds:itemID="{005110C7-EA9A-4F7F-90E3-032CB0B63719}">
  <ds:schemaRefs>
    <ds:schemaRef ds:uri="http://schemas.microsoft.com/office/2006/metadata/properties"/>
    <ds:schemaRef ds:uri="http://schemas.microsoft.com/office/infopath/2007/PartnerControls"/>
    <ds:schemaRef ds:uri="5843c966-cb45-4885-93fc-2ce78a94204b"/>
    <ds:schemaRef ds:uri="ac131f03-315b-4cd8-8e3a-6189969fd4f0"/>
  </ds:schemaRefs>
</ds:datastoreItem>
</file>

<file path=customXml/itemProps4.xml><?xml version="1.0" encoding="utf-8"?>
<ds:datastoreItem xmlns:ds="http://schemas.openxmlformats.org/officeDocument/2006/customXml" ds:itemID="{F2752E34-FDB1-415F-A108-AFD5D9A2AA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3c966-cb45-4885-93fc-2ce78a94204b"/>
    <ds:schemaRef ds:uri="ac131f03-315b-4cd8-8e3a-6189969fd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0</TotalTime>
  <Pages>8</Pages>
  <Words>13790</Words>
  <Characters>78606</Characters>
  <Application>Microsoft Office Word</Application>
  <DocSecurity>0</DocSecurity>
  <Lines>655</Lines>
  <Paragraphs>184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2026-07-16T13:51:00Z</dcterms:created>
  <dcterms:modified xsi:type="dcterms:W3CDTF">2026-09-08T13:06:00Z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2026-07-14T21:28:38Z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bdee753c-db26-4f1f-b5e5-1929f6aa3187</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ContentTypeId">
    <vt:lpwstr>0x010100199782AF6692CB4E8097BF428225D135</vt:lpwstr>
  </property>
  <property fmtid="{D5CDD505-2E9C-101B-9397-08002B2CF9AE}" pid="17" name="MediaServiceImageTags">
    <vt:lpwstr/>
  </property>
  <property fmtid="{D5CDD505-2E9C-101B-9397-08002B2CF9AE}" pid="18" name="DQCStatus">
    <vt:lpwstr>Green (DQC version 03)</vt:lpwstr>
  </property>
</Properties>
</file>