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71913BF-F22E-4E19-99E0-92E6AD792585" style="width:455.25pt;height:450.75pt">
            <v:imagedata r:id="rId8" o:title=""/>
          </v:shape>
        </w:pict>
      </w:r>
    </w:p>
    <w:p>
      <w:pPr>
        <w:rPr>
          <w:noProof/>
        </w:rPr>
        <w:sectPr>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pPr>
        <w:pStyle w:val="Annexetitre"/>
        <w:rPr>
          <w:noProof/>
        </w:rPr>
      </w:pPr>
      <w:r>
        <w:rPr>
          <w:noProof/>
        </w:rPr>
        <w:lastRenderedPageBreak/>
        <w:t xml:space="preserve">ANEXĂ </w:t>
      </w:r>
    </w:p>
    <w:p>
      <w:pPr>
        <w:rPr>
          <w:noProof/>
        </w:rPr>
      </w:pPr>
      <w:r>
        <w:rPr>
          <w:noProof/>
        </w:rPr>
        <w:t xml:space="preserve">Anexa I la Regulamentul (UE) 2015/757 se modifică după cum urmează: </w:t>
      </w:r>
    </w:p>
    <w:p>
      <w:pPr>
        <w:pStyle w:val="Point0number"/>
        <w:numPr>
          <w:ilvl w:val="0"/>
          <w:numId w:val="18"/>
        </w:numPr>
        <w:rPr>
          <w:noProof/>
        </w:rPr>
      </w:pPr>
      <w:r>
        <w:rPr>
          <w:noProof/>
        </w:rPr>
        <w:t xml:space="preserve">titlul anexei I se înlocuiește cu următorul text: </w:t>
      </w:r>
    </w:p>
    <w:p>
      <w:pPr>
        <w:pStyle w:val="Text1"/>
        <w:rPr>
          <w:noProof/>
        </w:rPr>
      </w:pPr>
      <w:r>
        <w:rPr>
          <w:b/>
          <w:noProof/>
        </w:rPr>
        <w:t>„Metode pentru monitorizarea emisiilor de gaze cu efect de seră și a energiei utilizate”</w:t>
      </w:r>
      <w:r>
        <w:rPr>
          <w:bCs/>
          <w:noProof/>
        </w:rPr>
        <w:t>;</w:t>
      </w:r>
    </w:p>
    <w:p>
      <w:pPr>
        <w:pStyle w:val="Point0number"/>
        <w:rPr>
          <w:noProof/>
        </w:rPr>
      </w:pPr>
      <w:r>
        <w:rPr>
          <w:noProof/>
        </w:rPr>
        <w:t xml:space="preserve">partea A se modifică după cum urmează: </w:t>
      </w:r>
    </w:p>
    <w:p>
      <w:pPr>
        <w:pStyle w:val="Point1letter"/>
        <w:rPr>
          <w:noProof/>
        </w:rPr>
      </w:pPr>
      <w:r>
        <w:rPr>
          <w:noProof/>
        </w:rPr>
        <w:t xml:space="preserve">titlul părții A se înlocuiește cu următorul text: </w:t>
      </w:r>
    </w:p>
    <w:p>
      <w:pPr>
        <w:rPr>
          <w:noProof/>
        </w:rPr>
      </w:pPr>
      <w:r>
        <w:rPr>
          <w:b/>
          <w:i/>
          <w:noProof/>
        </w:rPr>
        <w:t>„CALCULAREA EMISIILOR DE GAZE CU EFECT DE SERĂ ȘI A ENERGIEI UTILIZATE (ARTICOLUL 9)”</w:t>
      </w:r>
      <w:r>
        <w:rPr>
          <w:bCs/>
          <w:iCs/>
          <w:noProof/>
        </w:rPr>
        <w:t>;</w:t>
      </w:r>
    </w:p>
    <w:p>
      <w:pPr>
        <w:pStyle w:val="Point1letter"/>
        <w:rPr>
          <w:noProof/>
        </w:rPr>
      </w:pPr>
      <w:r>
        <w:rPr>
          <w:noProof/>
        </w:rPr>
        <w:t xml:space="preserve">punctul 1 se înlocuiește cu următorul text: </w:t>
      </w:r>
    </w:p>
    <w:p>
      <w:pPr>
        <w:rPr>
          <w:b/>
          <w:noProof/>
        </w:rPr>
      </w:pPr>
      <w:bookmarkStart w:id="0" w:name="_Hlk230033787"/>
      <w:r>
        <w:rPr>
          <w:b/>
          <w:noProof/>
        </w:rPr>
        <w:t>„1. Formule pentru calcularea emisiilor de gaze cu efect de seră</w:t>
      </w:r>
    </w:p>
    <w:p>
      <w:pPr>
        <w:rPr>
          <w:noProof/>
        </w:rPr>
      </w:pPr>
      <w:r>
        <w:rPr>
          <w:noProof/>
        </w:rPr>
        <w:t>În scopul calculării emisiilor de gaze cu efect de seră, companiile aplică următoarea formulă:</w:t>
      </w:r>
    </w:p>
    <w:p>
      <w:pPr>
        <w:rPr>
          <w:noProof/>
          <w:vertAlign w:val="subscript"/>
        </w:rPr>
      </w:pPr>
      <w:r>
        <w:rPr>
          <w:noProof/>
        </w:rPr>
        <w:t>GHG</w:t>
      </w:r>
      <w:r>
        <w:rPr>
          <w:noProof/>
          <w:vertAlign w:val="subscript"/>
        </w:rPr>
        <w:t xml:space="preserve">MRV </w:t>
      </w:r>
      <w:r>
        <w:rPr>
          <w:noProof/>
        </w:rPr>
        <w:t xml:space="preserve">= GHG WtT </w:t>
      </w:r>
      <w:r>
        <w:rPr>
          <w:noProof/>
          <w:vertAlign w:val="subscript"/>
        </w:rPr>
        <w:t xml:space="preserve">MRV </w:t>
      </w:r>
      <w:r>
        <w:rPr>
          <w:noProof/>
        </w:rPr>
        <w:t xml:space="preserve">+ GHG TtW </w:t>
      </w:r>
      <w:r>
        <w:rPr>
          <w:noProof/>
          <w:vertAlign w:val="subscript"/>
        </w:rPr>
        <w:t>MRV</w:t>
      </w:r>
    </w:p>
    <w:p>
      <w:pPr>
        <w:rPr>
          <w:noProof/>
        </w:rPr>
      </w:pPr>
      <w:r>
        <w:rPr>
          <w:noProof/>
        </w:rPr>
        <w:t xml:space="preserve">Unde GHG WtT </w:t>
      </w:r>
      <w:r>
        <w:rPr>
          <w:noProof/>
          <w:vertAlign w:val="subscript"/>
        </w:rPr>
        <w:t xml:space="preserve">MRV </w:t>
      </w:r>
      <w:r>
        <w:rPr>
          <w:noProof/>
        </w:rPr>
        <w:t xml:space="preserve">= </w:t>
      </w:r>
    </w:p>
    <w:p>
      <w:pPr>
        <w:rPr>
          <w:noProof/>
        </w:rPr>
      </w:pPr>
      <m:oMathPara>
        <m:oMath>
          <m:nary>
            <m:naryPr>
              <m:chr m:val="∑"/>
              <m:limLoc m:val="subSup"/>
              <m:grow m:val="1"/>
              <m:ctrlPr>
                <w:rPr>
                  <w:rFonts w:ascii="Cambria Math" w:hAnsi="Cambria Math"/>
                  <w:i/>
                  <w:noProof/>
                </w:rPr>
              </m:ctrlPr>
            </m:naryPr>
            <m:sub>
              <m:r>
                <w:rPr>
                  <w:rFonts w:ascii="Cambria Math" w:hAnsi="Cambria Math"/>
                  <w:noProof/>
                </w:rPr>
                <m:t>i</m:t>
              </m:r>
            </m:sub>
            <m:sup>
              <m:r>
                <w:rPr>
                  <w:rFonts w:ascii="Cambria Math" w:hAnsi="Cambria Math"/>
                  <w:noProof/>
                </w:rPr>
                <m:t>n carburant</m:t>
              </m:r>
            </m:sup>
            <m:e>
              <m:sSub>
                <m:sSubPr>
                  <m:ctrlPr>
                    <w:rPr>
                      <w:rFonts w:ascii="Cambria Math" w:hAnsi="Cambria Math"/>
                      <w:i/>
                      <w:noProof/>
                    </w:rPr>
                  </m:ctrlPr>
                </m:sSubPr>
                <m:e>
                  <m:r>
                    <w:rPr>
                      <w:rFonts w:ascii="Cambria Math" w:hAnsi="Cambria Math"/>
                      <w:noProof/>
                    </w:rPr>
                    <m:t>M</m:t>
                  </m:r>
                </m:e>
                <m:sub>
                  <m:r>
                    <w:rPr>
                      <w:rFonts w:ascii="Cambria Math" w:hAnsi="Cambria Math"/>
                      <w:noProof/>
                    </w:rPr>
                    <m:t>i</m:t>
                  </m:r>
                </m:sub>
              </m:sSub>
            </m:e>
          </m:nary>
          <m:r>
            <w:rPr>
              <w:rFonts w:ascii="Cambria Math" w:hAnsi="Cambria Math"/>
              <w:noProof/>
            </w:rPr>
            <m:t>×</m:t>
          </m:r>
          <m:sSub>
            <m:sSubPr>
              <m:ctrlPr>
                <w:rPr>
                  <w:rFonts w:ascii="Cambria Math" w:hAnsi="Cambria Math"/>
                  <w:i/>
                  <w:noProof/>
                </w:rPr>
              </m:ctrlPr>
            </m:sSubPr>
            <m:e>
              <m:r>
                <w:rPr>
                  <w:rFonts w:ascii="Cambria Math" w:hAnsi="Cambria Math"/>
                  <w:noProof/>
                </w:rPr>
                <m:t>CO</m:t>
              </m:r>
            </m:e>
            <m:sub>
              <m:r>
                <w:rPr>
                  <w:rFonts w:ascii="Cambria Math" w:hAnsi="Cambria Math"/>
                  <w:noProof/>
                </w:rPr>
                <m:t>2 echivalent WtT, i</m:t>
              </m:r>
            </m:sub>
          </m:sSub>
          <m:r>
            <w:rPr>
              <w:rFonts w:ascii="Cambria Math" w:hAnsi="Cambria Math"/>
              <w:noProof/>
            </w:rPr>
            <m:t>×</m:t>
          </m:r>
          <m:sSub>
            <m:sSubPr>
              <m:ctrlPr>
                <w:rPr>
                  <w:rFonts w:ascii="Cambria Math" w:hAnsi="Cambria Math"/>
                  <w:i/>
                  <w:noProof/>
                </w:rPr>
              </m:ctrlPr>
            </m:sSubPr>
            <m:e>
              <m:r>
                <w:rPr>
                  <w:rFonts w:ascii="Cambria Math" w:hAnsi="Cambria Math"/>
                  <w:noProof/>
                </w:rPr>
                <m:t>LCV</m:t>
              </m:r>
            </m:e>
            <m:sub>
              <m:r>
                <w:rPr>
                  <w:rFonts w:ascii="Cambria Math" w:hAnsi="Cambria Math"/>
                  <w:noProof/>
                </w:rPr>
                <m:t>i</m:t>
              </m:r>
            </m:sub>
          </m:sSub>
          <m:r>
            <w:rPr>
              <w:rFonts w:ascii="Cambria Math" w:hAnsi="Cambria Math"/>
              <w:noProof/>
            </w:rPr>
            <m:t>+</m:t>
          </m:r>
          <m:nary>
            <m:naryPr>
              <m:chr m:val="∑"/>
              <m:limLoc m:val="subSup"/>
              <m:ctrlPr>
                <w:rPr>
                  <w:rFonts w:ascii="Cambria Math" w:hAnsi="Cambria Math"/>
                  <w:i/>
                  <w:noProof/>
                </w:rPr>
              </m:ctrlPr>
            </m:naryPr>
            <m:sub>
              <m:r>
                <w:rPr>
                  <w:rFonts w:ascii="Cambria Math" w:hAnsi="Cambria Math"/>
                  <w:noProof/>
                </w:rPr>
                <m:t>k</m:t>
              </m:r>
            </m:sub>
            <m:sup>
              <m:r>
                <w:rPr>
                  <w:rFonts w:ascii="Cambria Math" w:hAnsi="Cambria Math"/>
                  <w:noProof/>
                </w:rPr>
                <m:t>c</m:t>
              </m:r>
            </m:sup>
            <m:e>
              <m:sSub>
                <m:sSubPr>
                  <m:ctrlPr>
                    <w:rPr>
                      <w:rFonts w:ascii="Cambria Math" w:hAnsi="Cambria Math"/>
                      <w:i/>
                      <w:noProof/>
                    </w:rPr>
                  </m:ctrlPr>
                </m:sSubPr>
                <m:e>
                  <m:r>
                    <w:rPr>
                      <w:rFonts w:ascii="Cambria Math" w:hAnsi="Cambria Math"/>
                      <w:noProof/>
                    </w:rPr>
                    <m:t>E</m:t>
                  </m:r>
                </m:e>
                <m:sub>
                  <m:r>
                    <w:rPr>
                      <w:rFonts w:ascii="Cambria Math" w:hAnsi="Cambria Math"/>
                      <w:noProof/>
                    </w:rPr>
                    <m:t>k</m:t>
                  </m:r>
                </m:sub>
              </m:sSub>
            </m:e>
          </m:nary>
          <m:r>
            <w:rPr>
              <w:rFonts w:ascii="Cambria Math" w:hAnsi="Cambria Math"/>
              <w:noProof/>
            </w:rPr>
            <m:t>×</m:t>
          </m:r>
          <m:sSub>
            <m:sSubPr>
              <m:ctrlPr>
                <w:rPr>
                  <w:rFonts w:ascii="Cambria Math" w:hAnsi="Cambria Math"/>
                  <w:i/>
                  <w:noProof/>
                </w:rPr>
              </m:ctrlPr>
            </m:sSubPr>
            <m:e>
              <m:r>
                <w:rPr>
                  <w:rFonts w:ascii="Cambria Math" w:hAnsi="Cambria Math"/>
                  <w:noProof/>
                </w:rPr>
                <m:t>CO</m:t>
              </m:r>
            </m:e>
            <m:sub>
              <m:r>
                <w:rPr>
                  <w:rFonts w:ascii="Cambria Math" w:hAnsi="Cambria Math"/>
                  <w:noProof/>
                </w:rPr>
                <m:t>2 echivalent energie electrică, k</m:t>
              </m:r>
            </m:sub>
          </m:sSub>
        </m:oMath>
      </m:oMathPara>
    </w:p>
    <w:p>
      <w:pPr>
        <w:jc w:val="left"/>
        <w:rPr>
          <w:noProof/>
        </w:rPr>
      </w:pPr>
      <w:r>
        <w:rPr>
          <w:noProof/>
        </w:rPr>
        <w:t xml:space="preserve">Și GHG TtW </w:t>
      </w:r>
      <w:r>
        <w:rPr>
          <w:noProof/>
          <w:vertAlign w:val="subscript"/>
        </w:rPr>
        <w:t xml:space="preserve">MRV </w:t>
      </w:r>
      <w:r>
        <w:rPr>
          <w:noProof/>
        </w:rPr>
        <w:t xml:space="preserve">= </w:t>
      </w:r>
    </w:p>
    <w:p>
      <w:pPr>
        <w:spacing w:before="0" w:after="200" w:line="276" w:lineRule="auto"/>
        <w:jc w:val="left"/>
        <w:rPr>
          <w:rFonts w:eastAsia="MS PMincho"/>
          <w:noProof/>
          <w:kern w:val="2"/>
          <w:sz w:val="22"/>
          <w14:ligatures w14:val="standardContextual"/>
        </w:rPr>
      </w:pPr>
      <m:oMathPara>
        <m:oMath>
          <m:nary>
            <m:naryPr>
              <m:chr m:val="∑"/>
              <m:limLoc m:val="subSup"/>
              <m:ctrlPr>
                <w:rPr>
                  <w:rFonts w:ascii="Cambria Math" w:eastAsia="MS PMincho" w:hAnsi="Cambria Math"/>
                  <w:i/>
                  <w:noProof/>
                  <w:kern w:val="2"/>
                  <w:sz w:val="22"/>
                  <w14:ligatures w14:val="standardContextual"/>
                </w:rPr>
              </m:ctrlPr>
            </m:naryPr>
            <m:sub>
              <m:r>
                <w:rPr>
                  <w:rFonts w:ascii="Cambria Math" w:eastAsia="MS PMincho" w:hAnsi="Cambria Math"/>
                  <w:noProof/>
                  <w:kern w:val="2"/>
                  <w:sz w:val="22"/>
                  <w14:ligatures w14:val="standardContextual"/>
                </w:rPr>
                <m:t>i</m:t>
              </m:r>
            </m:sub>
            <m:sup>
              <m:r>
                <w:rPr>
                  <w:rFonts w:ascii="Cambria Math" w:eastAsia="MS PMincho" w:hAnsi="Cambria Math"/>
                  <w:noProof/>
                  <w:kern w:val="2"/>
                  <w:sz w:val="22"/>
                  <w14:ligatures w14:val="standardContextual"/>
                </w:rPr>
                <m:t>n combustibil</m:t>
              </m:r>
            </m:sup>
            <m:e>
              <m:nary>
                <m:naryPr>
                  <m:chr m:val="∑"/>
                  <m:limLoc m:val="subSup"/>
                  <m:ctrlPr>
                    <w:rPr>
                      <w:rFonts w:ascii="Cambria Math" w:eastAsia="MS PMincho" w:hAnsi="Cambria Math"/>
                      <w:i/>
                      <w:noProof/>
                      <w:kern w:val="2"/>
                      <w:sz w:val="22"/>
                      <w14:ligatures w14:val="standardContextual"/>
                    </w:rPr>
                  </m:ctrlPr>
                </m:naryPr>
                <m:sub>
                  <m:r>
                    <w:rPr>
                      <w:rFonts w:ascii="Cambria Math" w:eastAsia="MS PMincho" w:hAnsi="Cambria Math"/>
                      <w:noProof/>
                      <w:kern w:val="2"/>
                      <w:sz w:val="22"/>
                      <w14:ligatures w14:val="standardContextual"/>
                    </w:rPr>
                    <m:t>j</m:t>
                  </m:r>
                </m:sub>
                <m:sup>
                  <m:r>
                    <w:rPr>
                      <w:rFonts w:ascii="Cambria Math" w:eastAsia="MS PMincho" w:hAnsi="Cambria Math"/>
                      <w:noProof/>
                      <w:kern w:val="2"/>
                      <w:sz w:val="22"/>
                      <w14:ligatures w14:val="standardContextual"/>
                    </w:rPr>
                    <m:t xml:space="preserve">m </m:t>
                  </m:r>
                </m:sup>
                <m:e>
                  <m:sSub>
                    <m:sSubPr>
                      <m:ctrlPr>
                        <w:rPr>
                          <w:rFonts w:ascii="Cambria Math" w:eastAsia="MS PMincho" w:hAnsi="Cambria Math"/>
                          <w:i/>
                          <w:noProof/>
                          <w:kern w:val="2"/>
                          <w:sz w:val="22"/>
                          <w14:ligatures w14:val="standardContextual"/>
                        </w:rPr>
                      </m:ctrlPr>
                    </m:sSubPr>
                    <m:e>
                      <m:r>
                        <w:rPr>
                          <w:rFonts w:ascii="Cambria Math" w:eastAsia="MS PMincho" w:hAnsi="Cambria Math"/>
                          <w:noProof/>
                          <w:kern w:val="2"/>
                          <w:sz w:val="22"/>
                          <w14:ligatures w14:val="standardContextual"/>
                        </w:rPr>
                        <m:t>M</m:t>
                      </m:r>
                    </m:e>
                    <m:sub>
                      <m:r>
                        <w:rPr>
                          <w:rFonts w:ascii="Cambria Math" w:eastAsia="MS PMincho" w:hAnsi="Cambria Math"/>
                          <w:noProof/>
                          <w:kern w:val="2"/>
                          <w:sz w:val="22"/>
                          <w14:ligatures w14:val="standardContextual"/>
                        </w:rPr>
                        <m:t>i,j</m:t>
                      </m:r>
                    </m:sub>
                  </m:sSub>
                </m:e>
              </m:nary>
            </m:e>
          </m:nary>
          <m:r>
            <w:rPr>
              <w:rFonts w:ascii="Cambria Math" w:eastAsia="MS PMincho" w:hAnsi="Cambria Math"/>
              <w:noProof/>
              <w:kern w:val="2"/>
              <w:sz w:val="22"/>
              <w14:ligatures w14:val="standardContextual"/>
            </w:rPr>
            <m:t>×</m:t>
          </m:r>
          <m:d>
            <m:dPr>
              <m:begChr m:val="["/>
              <m:endChr m:val="]"/>
              <m:ctrlPr>
                <w:rPr>
                  <w:rFonts w:ascii="Cambria Math" w:eastAsia="MS PMincho" w:hAnsi="Cambria Math"/>
                  <w:i/>
                  <w:noProof/>
                  <w:kern w:val="2"/>
                  <w:sz w:val="22"/>
                  <w14:ligatures w14:val="standardContextual"/>
                </w:rPr>
              </m:ctrlPr>
            </m:dPr>
            <m:e>
              <m:d>
                <m:dPr>
                  <m:ctrlPr>
                    <w:rPr>
                      <w:rFonts w:ascii="Cambria Math" w:eastAsia="MS PMincho" w:hAnsi="Cambria Math"/>
                      <w:i/>
                      <w:noProof/>
                      <w:kern w:val="2"/>
                      <w:sz w:val="22"/>
                      <w14:ligatures w14:val="standardContextual"/>
                    </w:rPr>
                  </m:ctrlPr>
                </m:dPr>
                <m:e>
                  <m:r>
                    <w:rPr>
                      <w:rFonts w:ascii="Cambria Math" w:eastAsia="MS PMincho" w:hAnsi="Cambria Math"/>
                      <w:noProof/>
                      <w:kern w:val="2"/>
                      <w:sz w:val="22"/>
                      <w14:ligatures w14:val="standardContextual"/>
                    </w:rPr>
                    <m:t>1-</m:t>
                  </m:r>
                  <m:f>
                    <m:fPr>
                      <m:ctrlPr>
                        <w:rPr>
                          <w:rFonts w:ascii="Cambria Math" w:eastAsia="MS PMincho" w:hAnsi="Cambria Math"/>
                          <w:i/>
                          <w:noProof/>
                          <w:kern w:val="2"/>
                          <w:sz w:val="22"/>
                          <w14:ligatures w14:val="standardContextual"/>
                        </w:rPr>
                      </m:ctrlPr>
                    </m:fPr>
                    <m:num>
                      <m:r>
                        <w:rPr>
                          <w:rFonts w:ascii="Cambria Math" w:eastAsia="MS PMincho" w:hAnsi="Cambria Math"/>
                          <w:noProof/>
                          <w:kern w:val="2"/>
                          <w:sz w:val="22"/>
                          <w14:ligatures w14:val="standardContextual"/>
                        </w:rPr>
                        <m:t>1</m:t>
                      </m:r>
                    </m:num>
                    <m:den>
                      <m:r>
                        <w:rPr>
                          <w:rFonts w:ascii="Cambria Math" w:eastAsia="MS PMincho" w:hAnsi="Cambria Math"/>
                          <w:noProof/>
                          <w:kern w:val="2"/>
                          <w:sz w:val="22"/>
                          <w14:ligatures w14:val="standardContextual"/>
                        </w:rPr>
                        <m:t>100</m:t>
                      </m:r>
                    </m:den>
                  </m:f>
                  <m:sSub>
                    <m:sSubPr>
                      <m:ctrlPr>
                        <w:rPr>
                          <w:rFonts w:ascii="Cambria Math" w:eastAsia="MS PMincho" w:hAnsi="Cambria Math"/>
                          <w:i/>
                          <w:noProof/>
                          <w:kern w:val="2"/>
                          <w:sz w:val="22"/>
                          <w14:ligatures w14:val="standardContextual"/>
                        </w:rPr>
                      </m:ctrlPr>
                    </m:sSubPr>
                    <m:e>
                      <m:r>
                        <w:rPr>
                          <w:rFonts w:ascii="Cambria Math" w:eastAsia="MS PMincho" w:hAnsi="Cambria Math"/>
                          <w:noProof/>
                          <w:kern w:val="2"/>
                          <w:sz w:val="22"/>
                          <w14:ligatures w14:val="standardContextual"/>
                        </w:rPr>
                        <m:t>C</m:t>
                      </m:r>
                    </m:e>
                    <m:sub>
                      <m:r>
                        <w:rPr>
                          <w:rFonts w:ascii="Cambria Math" w:eastAsia="MS PMincho" w:hAnsi="Cambria Math"/>
                          <w:noProof/>
                          <w:kern w:val="2"/>
                          <w:sz w:val="22"/>
                          <w14:ligatures w14:val="standardContextual"/>
                        </w:rPr>
                        <m:t>alunecare j</m:t>
                      </m:r>
                    </m:sub>
                  </m:sSub>
                </m:e>
              </m:d>
              <m:r>
                <w:rPr>
                  <w:rFonts w:ascii="Cambria Math" w:eastAsia="MS PMincho" w:hAnsi="Cambria Math"/>
                  <w:noProof/>
                  <w:kern w:val="2"/>
                  <w:sz w:val="22"/>
                  <w14:ligatures w14:val="standardContextual"/>
                </w:rPr>
                <m:t>×</m:t>
              </m:r>
              <m:d>
                <m:dPr>
                  <m:ctrlPr>
                    <w:rPr>
                      <w:rFonts w:ascii="Cambria Math" w:eastAsia="MS PMincho" w:hAnsi="Cambria Math"/>
                      <w:i/>
                      <w:noProof/>
                      <w:kern w:val="2"/>
                      <w:sz w:val="22"/>
                      <w14:ligatures w14:val="standardContextual"/>
                    </w:rPr>
                  </m:ctrlPr>
                </m:dPr>
                <m:e>
                  <m:sSub>
                    <m:sSubPr>
                      <m:ctrlPr>
                        <w:rPr>
                          <w:rFonts w:ascii="Cambria Math" w:eastAsia="MS PMincho" w:hAnsi="Cambria Math"/>
                          <w:i/>
                          <w:noProof/>
                          <w:kern w:val="2"/>
                          <w:sz w:val="22"/>
                          <w14:ligatures w14:val="standardContextual"/>
                        </w:rPr>
                      </m:ctrlPr>
                    </m:sSubPr>
                    <m:e>
                      <m:r>
                        <w:rPr>
                          <w:rFonts w:ascii="Cambria Math" w:eastAsia="MS PMincho" w:hAnsi="Cambria Math"/>
                          <w:noProof/>
                          <w:kern w:val="2"/>
                          <w:sz w:val="22"/>
                          <w14:ligatures w14:val="standardContextual"/>
                        </w:rPr>
                        <m:t>CO</m:t>
                      </m:r>
                    </m:e>
                    <m:sub>
                      <m:r>
                        <w:rPr>
                          <w:rFonts w:ascii="Cambria Math" w:eastAsia="MS PMincho" w:hAnsi="Cambria Math"/>
                          <w:noProof/>
                          <w:kern w:val="2"/>
                          <w:sz w:val="22"/>
                          <w14:ligatures w14:val="standardContextual"/>
                        </w:rPr>
                        <m:t>2 echivalent, TtW,i,j</m:t>
                      </m:r>
                    </m:sub>
                  </m:sSub>
                </m:e>
              </m:d>
              <m:r>
                <w:rPr>
                  <w:rFonts w:ascii="Cambria Math" w:eastAsia="MS PMincho" w:hAnsi="Cambria Math"/>
                  <w:noProof/>
                  <w:kern w:val="2"/>
                  <w:sz w:val="22"/>
                  <w14:ligatures w14:val="standardContextual"/>
                </w:rPr>
                <m:t>+</m:t>
              </m:r>
              <m:d>
                <m:dPr>
                  <m:ctrlPr>
                    <w:rPr>
                      <w:rFonts w:ascii="Cambria Math" w:eastAsia="MS PMincho" w:hAnsi="Cambria Math"/>
                      <w:i/>
                      <w:noProof/>
                      <w:kern w:val="2"/>
                      <w:sz w:val="22"/>
                      <w14:ligatures w14:val="standardContextual"/>
                    </w:rPr>
                  </m:ctrlPr>
                </m:dPr>
                <m:e>
                  <m:f>
                    <m:fPr>
                      <m:ctrlPr>
                        <w:rPr>
                          <w:rFonts w:ascii="Cambria Math" w:eastAsia="MS PMincho" w:hAnsi="Cambria Math"/>
                          <w:i/>
                          <w:noProof/>
                          <w:kern w:val="2"/>
                          <w:sz w:val="22"/>
                          <w14:ligatures w14:val="standardContextual"/>
                        </w:rPr>
                      </m:ctrlPr>
                    </m:fPr>
                    <m:num>
                      <m:r>
                        <w:rPr>
                          <w:rFonts w:ascii="Cambria Math" w:eastAsia="MS PMincho" w:hAnsi="Cambria Math"/>
                          <w:noProof/>
                          <w:kern w:val="2"/>
                          <w:sz w:val="22"/>
                          <w14:ligatures w14:val="standardContextual"/>
                        </w:rPr>
                        <m:t>1</m:t>
                      </m:r>
                    </m:num>
                    <m:den>
                      <m:r>
                        <w:rPr>
                          <w:rFonts w:ascii="Cambria Math" w:eastAsia="MS PMincho" w:hAnsi="Cambria Math"/>
                          <w:noProof/>
                          <w:kern w:val="2"/>
                          <w:sz w:val="22"/>
                          <w14:ligatures w14:val="standardContextual"/>
                        </w:rPr>
                        <m:t>100</m:t>
                      </m:r>
                    </m:den>
                  </m:f>
                  <m:sSub>
                    <m:sSubPr>
                      <m:ctrlPr>
                        <w:rPr>
                          <w:rFonts w:ascii="Cambria Math" w:eastAsia="MS PMincho" w:hAnsi="Cambria Math"/>
                          <w:i/>
                          <w:noProof/>
                          <w:kern w:val="2"/>
                          <w:sz w:val="22"/>
                          <w14:ligatures w14:val="standardContextual"/>
                        </w:rPr>
                      </m:ctrlPr>
                    </m:sSubPr>
                    <m:e>
                      <m:r>
                        <w:rPr>
                          <w:rFonts w:ascii="Cambria Math" w:eastAsia="MS PMincho" w:hAnsi="Cambria Math"/>
                          <w:noProof/>
                          <w:kern w:val="2"/>
                          <w:sz w:val="22"/>
                          <w14:ligatures w14:val="standardContextual"/>
                        </w:rPr>
                        <m:t>C</m:t>
                      </m:r>
                    </m:e>
                    <m:sub>
                      <m:r>
                        <w:rPr>
                          <w:rFonts w:ascii="Cambria Math" w:eastAsia="MS PMincho" w:hAnsi="Cambria Math"/>
                          <w:noProof/>
                          <w:kern w:val="2"/>
                          <w:sz w:val="22"/>
                          <w14:ligatures w14:val="standardContextual"/>
                        </w:rPr>
                        <m:t>alunecare j</m:t>
                      </m:r>
                    </m:sub>
                  </m:sSub>
                  <m:r>
                    <w:rPr>
                      <w:rFonts w:ascii="Cambria Math" w:eastAsia="MS PMincho" w:hAnsi="Cambria Math"/>
                      <w:noProof/>
                      <w:kern w:val="2"/>
                      <w:sz w:val="22"/>
                      <w14:ligatures w14:val="standardContextual"/>
                    </w:rPr>
                    <m:t>×</m:t>
                  </m:r>
                  <m:sSub>
                    <m:sSubPr>
                      <m:ctrlPr>
                        <w:rPr>
                          <w:rFonts w:ascii="Cambria Math" w:eastAsia="MS PMincho" w:hAnsi="Cambria Math"/>
                          <w:i/>
                          <w:noProof/>
                          <w:kern w:val="2"/>
                          <w:sz w:val="22"/>
                          <w14:ligatures w14:val="standardContextual"/>
                        </w:rPr>
                      </m:ctrlPr>
                    </m:sSubPr>
                    <m:e>
                      <m:r>
                        <w:rPr>
                          <w:rFonts w:ascii="Cambria Math" w:eastAsia="MS PMincho" w:hAnsi="Cambria Math"/>
                          <w:noProof/>
                          <w:kern w:val="2"/>
                          <w:sz w:val="22"/>
                          <w14:ligatures w14:val="standardContextual"/>
                        </w:rPr>
                        <m:t>CO</m:t>
                      </m:r>
                    </m:e>
                    <m:sub>
                      <m:r>
                        <w:rPr>
                          <w:rFonts w:ascii="Cambria Math" w:eastAsia="MS PMincho" w:hAnsi="Cambria Math"/>
                          <w:noProof/>
                          <w:kern w:val="2"/>
                          <w:sz w:val="22"/>
                          <w14:ligatures w14:val="standardContextual"/>
                        </w:rPr>
                        <m:t>2 echivalent TtW, alunecare,i,j</m:t>
                      </m:r>
                    </m:sub>
                  </m:sSub>
                </m:e>
              </m:d>
            </m:e>
          </m:d>
        </m:oMath>
      </m:oMathPara>
    </w:p>
    <w:p>
      <w:pPr>
        <w:rPr>
          <w:noProof/>
        </w:rPr>
      </w:pPr>
      <w:r>
        <w:rPr>
          <w:noProof/>
        </w:rPr>
        <w:t>Consumul de combustibil se calculează separat pentru emisiile generate de călătoriile între porturi aflate sub jurisdicția unui stat membru, de călătoriile care au avut ca punct de plecare porturi aflate sub jurisdicția unui stat membru, de călătoriile către porturi aflate sub jurisdicția unui stat membru și pentru emisiile din interiorul porturilor aflate sub jurisdicția unui stat membru. Consumul de combustibil la dană în interiorul porturilor aflate sub jurisdicția unui stat membru se calculează separat.</w:t>
      </w:r>
    </w:p>
    <w:tbl>
      <w:tblPr>
        <w:tblW w:w="9132" w:type="dxa"/>
        <w:jc w:val="center"/>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2804"/>
        <w:gridCol w:w="6328"/>
      </w:tblGrid>
      <w:tr>
        <w:trPr>
          <w:jc w:val="center"/>
        </w:trPr>
        <w:tc>
          <w:tcPr>
            <w:tcW w:w="2727" w:type="dxa"/>
            <w:tcBorders>
              <w:top w:val="outset" w:sz="6" w:space="0" w:color="auto"/>
              <w:left w:val="outset" w:sz="6" w:space="0" w:color="auto"/>
              <w:bottom w:val="outset" w:sz="6" w:space="0" w:color="auto"/>
              <w:right w:val="outset" w:sz="6" w:space="0" w:color="auto"/>
            </w:tcBorders>
            <w:hideMark/>
          </w:tcPr>
          <w:p>
            <w:pPr>
              <w:rPr>
                <w:b/>
                <w:noProof/>
              </w:rPr>
            </w:pPr>
            <w:r>
              <w:rPr>
                <w:b/>
                <w:noProof/>
              </w:rPr>
              <w:t>Termen</w:t>
            </w:r>
          </w:p>
        </w:tc>
        <w:tc>
          <w:tcPr>
            <w:tcW w:w="6405" w:type="dxa"/>
            <w:tcBorders>
              <w:top w:val="outset" w:sz="6" w:space="0" w:color="auto"/>
              <w:left w:val="outset" w:sz="6" w:space="0" w:color="auto"/>
              <w:bottom w:val="outset" w:sz="6" w:space="0" w:color="auto"/>
              <w:right w:val="outset" w:sz="6" w:space="0" w:color="auto"/>
            </w:tcBorders>
            <w:hideMark/>
          </w:tcPr>
          <w:p>
            <w:pPr>
              <w:rPr>
                <w:b/>
                <w:noProof/>
              </w:rPr>
            </w:pPr>
            <w:r>
              <w:rPr>
                <w:b/>
                <w:noProof/>
              </w:rPr>
              <w:t>Explicație</w:t>
            </w:r>
          </w:p>
        </w:tc>
      </w:tr>
      <w:tr>
        <w:trPr>
          <w:jc w:val="center"/>
        </w:trPr>
        <w:tc>
          <w:tcPr>
            <w:tcW w:w="2727" w:type="dxa"/>
            <w:tcBorders>
              <w:top w:val="outset" w:sz="6" w:space="0" w:color="auto"/>
              <w:left w:val="outset" w:sz="6" w:space="0" w:color="auto"/>
              <w:bottom w:val="outset" w:sz="6" w:space="0" w:color="auto"/>
              <w:right w:val="outset" w:sz="6" w:space="0" w:color="auto"/>
            </w:tcBorders>
            <w:hideMark/>
          </w:tcPr>
          <w:p>
            <w:pPr>
              <w:rPr>
                <w:noProof/>
              </w:rPr>
            </w:pPr>
            <w:r>
              <w:rPr>
                <w:noProof/>
              </w:rPr>
              <w:t>GHG</w:t>
            </w:r>
            <w:r>
              <w:rPr>
                <w:noProof/>
                <w:vertAlign w:val="subscript"/>
              </w:rPr>
              <w:t>MRV</w:t>
            </w:r>
          </w:p>
        </w:tc>
        <w:tc>
          <w:tcPr>
            <w:tcW w:w="6405" w:type="dxa"/>
            <w:tcBorders>
              <w:top w:val="outset" w:sz="6" w:space="0" w:color="auto"/>
              <w:left w:val="outset" w:sz="6" w:space="0" w:color="auto"/>
              <w:bottom w:val="outset" w:sz="6" w:space="0" w:color="auto"/>
              <w:right w:val="outset" w:sz="6" w:space="0" w:color="auto"/>
            </w:tcBorders>
            <w:hideMark/>
          </w:tcPr>
          <w:p>
            <w:pPr>
              <w:rPr>
                <w:noProof/>
              </w:rPr>
            </w:pPr>
            <w:r>
              <w:rPr>
                <w:noProof/>
              </w:rPr>
              <w:t>Emisiile de gaze cu efect de seră care trebuie raportate în temeiul prezentului regulament, exprimate în tone de CO</w:t>
            </w:r>
            <w:r>
              <w:rPr>
                <w:noProof/>
                <w:vertAlign w:val="subscript"/>
              </w:rPr>
              <w:t xml:space="preserve">2 </w:t>
            </w:r>
            <w:r>
              <w:rPr>
                <w:noProof/>
              </w:rPr>
              <w:t>echivalent, unde «CO</w:t>
            </w:r>
            <w:r>
              <w:rPr>
                <w:noProof/>
                <w:vertAlign w:val="subscript"/>
              </w:rPr>
              <w:t xml:space="preserve">2 </w:t>
            </w:r>
            <w:r>
              <w:rPr>
                <w:noProof/>
              </w:rPr>
              <w:t>echivalent» înseamnă unitatea de măsură metrică utilizată pentru calcularea emisiilor de CO</w:t>
            </w:r>
            <w:r>
              <w:rPr>
                <w:noProof/>
                <w:vertAlign w:val="subscript"/>
              </w:rPr>
              <w:t>2</w:t>
            </w:r>
            <w:r>
              <w:rPr>
                <w:noProof/>
              </w:rPr>
              <w:t>, CH</w:t>
            </w:r>
            <w:r>
              <w:rPr>
                <w:noProof/>
                <w:vertAlign w:val="subscript"/>
              </w:rPr>
              <w:t xml:space="preserve">4 </w:t>
            </w:r>
            <w:r>
              <w:rPr>
                <w:noProof/>
              </w:rPr>
              <w:t>și N</w:t>
            </w:r>
            <w:r>
              <w:rPr>
                <w:noProof/>
                <w:vertAlign w:val="subscript"/>
              </w:rPr>
              <w:t>2</w:t>
            </w:r>
            <w:r>
              <w:rPr>
                <w:noProof/>
              </w:rPr>
              <w:t>O pe baza potențialului lor de încălzire globală, prin conversia cantităților de CH</w:t>
            </w:r>
            <w:r>
              <w:rPr>
                <w:noProof/>
                <w:vertAlign w:val="subscript"/>
              </w:rPr>
              <w:t xml:space="preserve">4 </w:t>
            </w:r>
            <w:r>
              <w:rPr>
                <w:noProof/>
              </w:rPr>
              <w:t>și N</w:t>
            </w:r>
            <w:r>
              <w:rPr>
                <w:noProof/>
                <w:vertAlign w:val="subscript"/>
              </w:rPr>
              <w:t>2</w:t>
            </w:r>
            <w:r>
              <w:rPr>
                <w:noProof/>
              </w:rPr>
              <w:t>O în cantitatea echivalentă de dioxid de carbon cu același potențial de încălzire globală.</w:t>
            </w:r>
          </w:p>
        </w:tc>
      </w:tr>
      <w:tr>
        <w:trPr>
          <w:trHeight w:val="300"/>
          <w:jc w:val="center"/>
        </w:trPr>
        <w:tc>
          <w:tcPr>
            <w:tcW w:w="2727" w:type="dxa"/>
            <w:tcBorders>
              <w:top w:val="outset" w:sz="6" w:space="0" w:color="auto"/>
              <w:left w:val="outset" w:sz="6" w:space="0" w:color="auto"/>
              <w:bottom w:val="outset" w:sz="6" w:space="0" w:color="auto"/>
              <w:right w:val="outset" w:sz="6" w:space="0" w:color="auto"/>
            </w:tcBorders>
            <w:hideMark/>
          </w:tcPr>
          <w:p>
            <w:pPr>
              <w:rPr>
                <w:noProof/>
                <w:vertAlign w:val="subscript"/>
              </w:rPr>
            </w:pPr>
            <w:r>
              <w:rPr>
                <w:noProof/>
              </w:rPr>
              <w:t xml:space="preserve">GHG WtT </w:t>
            </w:r>
            <w:r>
              <w:rPr>
                <w:noProof/>
                <w:vertAlign w:val="subscript"/>
              </w:rPr>
              <w:t>MRV</w:t>
            </w:r>
          </w:p>
        </w:tc>
        <w:tc>
          <w:tcPr>
            <w:tcW w:w="6405" w:type="dxa"/>
            <w:tcBorders>
              <w:top w:val="outset" w:sz="6" w:space="0" w:color="auto"/>
              <w:left w:val="outset" w:sz="6" w:space="0" w:color="auto"/>
              <w:bottom w:val="outset" w:sz="6" w:space="0" w:color="auto"/>
              <w:right w:val="outset" w:sz="6" w:space="0" w:color="auto"/>
            </w:tcBorders>
            <w:hideMark/>
          </w:tcPr>
          <w:p>
            <w:pPr>
              <w:rPr>
                <w:noProof/>
              </w:rPr>
            </w:pPr>
            <w:r>
              <w:rPr>
                <w:noProof/>
              </w:rPr>
              <w:t>Emisiile de gaze cu efect de seră de la sondă la rezervor care trebuie raportate în temeiul prezentului regulament, exprimate în tone de CO</w:t>
            </w:r>
            <w:r>
              <w:rPr>
                <w:noProof/>
                <w:vertAlign w:val="subscript"/>
              </w:rPr>
              <w:t xml:space="preserve">2 </w:t>
            </w:r>
            <w:r>
              <w:rPr>
                <w:noProof/>
              </w:rPr>
              <w:t>echivalent, unde «CO</w:t>
            </w:r>
            <w:r>
              <w:rPr>
                <w:noProof/>
                <w:vertAlign w:val="subscript"/>
              </w:rPr>
              <w:t xml:space="preserve">2 </w:t>
            </w:r>
            <w:r>
              <w:rPr>
                <w:noProof/>
              </w:rPr>
              <w:t>echivalent» înseamnă unitatea de măsură metrică utilizată pentru calcularea emisiilor de CO</w:t>
            </w:r>
            <w:r>
              <w:rPr>
                <w:noProof/>
                <w:vertAlign w:val="subscript"/>
              </w:rPr>
              <w:t>2</w:t>
            </w:r>
            <w:r>
              <w:rPr>
                <w:noProof/>
              </w:rPr>
              <w:t>, CH</w:t>
            </w:r>
            <w:r>
              <w:rPr>
                <w:noProof/>
                <w:vertAlign w:val="subscript"/>
              </w:rPr>
              <w:t xml:space="preserve">4 </w:t>
            </w:r>
            <w:r>
              <w:rPr>
                <w:noProof/>
              </w:rPr>
              <w:t>și N</w:t>
            </w:r>
            <w:r>
              <w:rPr>
                <w:noProof/>
                <w:vertAlign w:val="subscript"/>
              </w:rPr>
              <w:t>2</w:t>
            </w:r>
            <w:r>
              <w:rPr>
                <w:noProof/>
              </w:rPr>
              <w:t xml:space="preserve">O pe baza potențialului lor de încălzire </w:t>
            </w:r>
            <w:r>
              <w:rPr>
                <w:noProof/>
              </w:rPr>
              <w:lastRenderedPageBreak/>
              <w:t>globală, prin conversia cantităților de CH</w:t>
            </w:r>
            <w:r>
              <w:rPr>
                <w:noProof/>
                <w:vertAlign w:val="subscript"/>
              </w:rPr>
              <w:t xml:space="preserve">4 </w:t>
            </w:r>
            <w:r>
              <w:rPr>
                <w:noProof/>
              </w:rPr>
              <w:t>și N</w:t>
            </w:r>
            <w:r>
              <w:rPr>
                <w:noProof/>
                <w:vertAlign w:val="subscript"/>
              </w:rPr>
              <w:t>2</w:t>
            </w:r>
            <w:r>
              <w:rPr>
                <w:noProof/>
              </w:rPr>
              <w:t>O în cantitatea echivalentă de dioxid de carbon cu același potențial de încălzire globală.</w:t>
            </w:r>
          </w:p>
        </w:tc>
      </w:tr>
      <w:tr>
        <w:trPr>
          <w:trHeight w:val="300"/>
          <w:jc w:val="center"/>
        </w:trPr>
        <w:tc>
          <w:tcPr>
            <w:tcW w:w="2727" w:type="dxa"/>
            <w:tcBorders>
              <w:top w:val="outset" w:sz="6" w:space="0" w:color="auto"/>
              <w:left w:val="outset" w:sz="6" w:space="0" w:color="auto"/>
              <w:bottom w:val="outset" w:sz="6" w:space="0" w:color="auto"/>
              <w:right w:val="outset" w:sz="6" w:space="0" w:color="auto"/>
            </w:tcBorders>
            <w:hideMark/>
          </w:tcPr>
          <w:p>
            <w:pPr>
              <w:rPr>
                <w:noProof/>
                <w:vertAlign w:val="subscript"/>
              </w:rPr>
            </w:pPr>
            <w:r>
              <w:rPr>
                <w:noProof/>
              </w:rPr>
              <w:lastRenderedPageBreak/>
              <w:t xml:space="preserve">GHG TtW </w:t>
            </w:r>
            <w:r>
              <w:rPr>
                <w:noProof/>
                <w:vertAlign w:val="subscript"/>
              </w:rPr>
              <w:t>MRV</w:t>
            </w:r>
          </w:p>
        </w:tc>
        <w:tc>
          <w:tcPr>
            <w:tcW w:w="6405" w:type="dxa"/>
            <w:tcBorders>
              <w:top w:val="outset" w:sz="6" w:space="0" w:color="auto"/>
              <w:left w:val="outset" w:sz="6" w:space="0" w:color="auto"/>
              <w:bottom w:val="outset" w:sz="6" w:space="0" w:color="auto"/>
              <w:right w:val="outset" w:sz="6" w:space="0" w:color="auto"/>
            </w:tcBorders>
            <w:hideMark/>
          </w:tcPr>
          <w:p>
            <w:pPr>
              <w:rPr>
                <w:noProof/>
              </w:rPr>
            </w:pPr>
            <w:r>
              <w:rPr>
                <w:noProof/>
              </w:rPr>
              <w:t>Emisiile de gaze cu efect de seră de la de la rezervor la siaj care trebuie raportate în temeiul prezentului regulament, exprimate în tone de CO</w:t>
            </w:r>
            <w:r>
              <w:rPr>
                <w:noProof/>
                <w:vertAlign w:val="subscript"/>
              </w:rPr>
              <w:t xml:space="preserve">2 </w:t>
            </w:r>
            <w:r>
              <w:rPr>
                <w:noProof/>
              </w:rPr>
              <w:t>echivalent, unde «CO</w:t>
            </w:r>
            <w:r>
              <w:rPr>
                <w:noProof/>
                <w:vertAlign w:val="subscript"/>
              </w:rPr>
              <w:t xml:space="preserve">2 </w:t>
            </w:r>
            <w:r>
              <w:rPr>
                <w:noProof/>
              </w:rPr>
              <w:t>echivalent» înseamnă unitatea de măsură metrică utilizată pentru calcularea emisiilor de CO</w:t>
            </w:r>
            <w:r>
              <w:rPr>
                <w:noProof/>
                <w:vertAlign w:val="subscript"/>
              </w:rPr>
              <w:t>2</w:t>
            </w:r>
            <w:r>
              <w:rPr>
                <w:noProof/>
              </w:rPr>
              <w:t>, CH</w:t>
            </w:r>
            <w:r>
              <w:rPr>
                <w:noProof/>
                <w:vertAlign w:val="subscript"/>
              </w:rPr>
              <w:t xml:space="preserve">4 </w:t>
            </w:r>
            <w:r>
              <w:rPr>
                <w:noProof/>
              </w:rPr>
              <w:t>și N</w:t>
            </w:r>
            <w:r>
              <w:rPr>
                <w:noProof/>
                <w:vertAlign w:val="subscript"/>
              </w:rPr>
              <w:t>2</w:t>
            </w:r>
            <w:r>
              <w:rPr>
                <w:noProof/>
              </w:rPr>
              <w:t>O pe baza potențialului lor de încălzire globală, prin conversia cantităților de CH</w:t>
            </w:r>
            <w:r>
              <w:rPr>
                <w:noProof/>
                <w:vertAlign w:val="subscript"/>
              </w:rPr>
              <w:t xml:space="preserve">4 </w:t>
            </w:r>
            <w:r>
              <w:rPr>
                <w:noProof/>
              </w:rPr>
              <w:t>și N</w:t>
            </w:r>
            <w:r>
              <w:rPr>
                <w:noProof/>
                <w:vertAlign w:val="subscript"/>
              </w:rPr>
              <w:t>2</w:t>
            </w:r>
            <w:r>
              <w:rPr>
                <w:noProof/>
              </w:rPr>
              <w:t>O în cantitatea echivalentă de dioxid de carbon cu același potențial de încălzire globală.</w:t>
            </w:r>
          </w:p>
        </w:tc>
      </w:tr>
      <w:tr>
        <w:trPr>
          <w:trHeight w:val="300"/>
          <w:jc w:val="center"/>
        </w:trPr>
        <w:tc>
          <w:tcPr>
            <w:tcW w:w="2727" w:type="dxa"/>
            <w:tcBorders>
              <w:top w:val="outset" w:sz="6" w:space="0" w:color="auto"/>
              <w:left w:val="outset" w:sz="6" w:space="0" w:color="auto"/>
              <w:bottom w:val="outset" w:sz="6" w:space="0" w:color="auto"/>
              <w:right w:val="outset" w:sz="6" w:space="0" w:color="auto"/>
            </w:tcBorders>
            <w:hideMark/>
          </w:tcPr>
          <w:p>
            <w:pPr>
              <w:spacing w:before="60" w:after="60"/>
              <w:rPr>
                <w:rFonts w:eastAsia="Times New Roman"/>
                <w:noProof/>
                <w:sz w:val="22"/>
                <w:vertAlign w:val="subscript"/>
              </w:rPr>
            </w:pPr>
            <w:r>
              <w:rPr>
                <w:noProof/>
                <w:sz w:val="22"/>
              </w:rPr>
              <w:t>CO</w:t>
            </w:r>
            <w:r>
              <w:rPr>
                <w:noProof/>
                <w:sz w:val="22"/>
                <w:vertAlign w:val="subscript"/>
              </w:rPr>
              <w:t>2echivalent WtT,i</w:t>
            </w:r>
          </w:p>
          <w:p>
            <w:pPr>
              <w:rPr>
                <w:noProof/>
              </w:rPr>
            </w:pPr>
          </w:p>
        </w:tc>
        <w:tc>
          <w:tcPr>
            <w:tcW w:w="6405" w:type="dxa"/>
            <w:tcBorders>
              <w:top w:val="outset" w:sz="6" w:space="0" w:color="auto"/>
              <w:left w:val="outset" w:sz="6" w:space="0" w:color="auto"/>
              <w:bottom w:val="outset" w:sz="6" w:space="0" w:color="auto"/>
              <w:right w:val="outset" w:sz="6" w:space="0" w:color="auto"/>
            </w:tcBorders>
            <w:hideMark/>
          </w:tcPr>
          <w:p>
            <w:pPr>
              <w:spacing w:before="60" w:after="60"/>
              <w:rPr>
                <w:rFonts w:eastAsia="Times New Roman"/>
                <w:noProof/>
                <w:sz w:val="22"/>
              </w:rPr>
            </w:pPr>
            <w:r>
              <w:rPr>
                <w:noProof/>
                <w:sz w:val="22"/>
              </w:rPr>
              <w:t>Factorul de emisie de GES WtT pentru combustibilul i [gCO</w:t>
            </w:r>
            <w:r>
              <w:rPr>
                <w:noProof/>
                <w:sz w:val="22"/>
                <w:vertAlign w:val="subscript"/>
              </w:rPr>
              <w:t>2echivalent</w:t>
            </w:r>
            <w:r>
              <w:rPr>
                <w:noProof/>
                <w:sz w:val="22"/>
              </w:rPr>
              <w:t>/MJ].</w:t>
            </w:r>
          </w:p>
        </w:tc>
      </w:tr>
      <w:tr>
        <w:trPr>
          <w:jc w:val="center"/>
        </w:trPr>
        <w:tc>
          <w:tcPr>
            <w:tcW w:w="2727" w:type="dxa"/>
            <w:tcBorders>
              <w:top w:val="outset" w:sz="6" w:space="0" w:color="auto"/>
              <w:left w:val="outset" w:sz="6" w:space="0" w:color="auto"/>
              <w:bottom w:val="outset" w:sz="6" w:space="0" w:color="auto"/>
              <w:right w:val="outset" w:sz="6" w:space="0" w:color="auto"/>
            </w:tcBorders>
            <w:hideMark/>
          </w:tcPr>
          <w:p>
            <w:pPr>
              <w:jc w:val="left"/>
              <w:rPr>
                <w:noProof/>
              </w:rPr>
            </w:pPr>
            <m:oMathPara>
              <m:oMathParaPr>
                <m:jc m:val="left"/>
              </m:oMathParaPr>
              <m:oMath>
                <m:sSub>
                  <m:sSubPr>
                    <m:ctrlPr>
                      <w:rPr>
                        <w:rFonts w:ascii="Cambria Math" w:hAnsi="Cambria Math"/>
                        <w:i/>
                        <w:noProof/>
                      </w:rPr>
                    </m:ctrlPr>
                  </m:sSubPr>
                  <m:e>
                    <m:r>
                      <w:rPr>
                        <w:rFonts w:ascii="Cambria Math" w:hAnsi="Cambria Math"/>
                        <w:noProof/>
                      </w:rPr>
                      <m:t>GWP</m:t>
                    </m:r>
                  </m:e>
                  <m:sub>
                    <m:sSub>
                      <m:sSubPr>
                        <m:ctrlPr>
                          <w:rPr>
                            <w:rFonts w:ascii="Cambria Math" w:hAnsi="Cambria Math"/>
                            <w:i/>
                            <w:noProof/>
                          </w:rPr>
                        </m:ctrlPr>
                      </m:sSubPr>
                      <m:e>
                        <m:r>
                          <w:rPr>
                            <w:rFonts w:ascii="Cambria Math" w:hAnsi="Cambria Math"/>
                            <w:noProof/>
                          </w:rPr>
                          <m:t>CH</m:t>
                        </m:r>
                      </m:e>
                      <m:sub>
                        <m:r>
                          <w:rPr>
                            <w:rFonts w:ascii="Cambria Math" w:hAnsi="Cambria Math"/>
                            <w:noProof/>
                          </w:rPr>
                          <m:t>4</m:t>
                        </m:r>
                      </m:sub>
                    </m:sSub>
                  </m:sub>
                </m:sSub>
              </m:oMath>
            </m:oMathPara>
          </w:p>
        </w:tc>
        <w:tc>
          <w:tcPr>
            <w:tcW w:w="6405" w:type="dxa"/>
            <w:tcBorders>
              <w:top w:val="outset" w:sz="6" w:space="0" w:color="auto"/>
              <w:left w:val="outset" w:sz="6" w:space="0" w:color="auto"/>
              <w:bottom w:val="outset" w:sz="6" w:space="0" w:color="auto"/>
              <w:right w:val="outset" w:sz="6" w:space="0" w:color="auto"/>
            </w:tcBorders>
            <w:hideMark/>
          </w:tcPr>
          <w:p>
            <w:pPr>
              <w:rPr>
                <w:noProof/>
              </w:rPr>
            </w:pPr>
            <w:r>
              <w:rPr>
                <w:noProof/>
              </w:rPr>
              <w:t>Potențialul de încălzire globală al CH</w:t>
            </w:r>
            <w:r>
              <w:rPr>
                <w:noProof/>
                <w:vertAlign w:val="subscript"/>
              </w:rPr>
              <w:t>4</w:t>
            </w:r>
            <w:r>
              <w:rPr>
                <w:noProof/>
              </w:rPr>
              <w:t> pentru o perioadă de 100 de ani, menționat în anexa la Regulamentul delegat (UE) 2020/1044 al Comisiei </w:t>
            </w:r>
            <w:hyperlink r:id="rId15" w:anchor="E0006" w:history="1">
              <w:r>
                <w:rPr>
                  <w:rStyle w:val="Hyperlink"/>
                  <w:noProof/>
                  <w:color w:val="auto"/>
                </w:rPr>
                <w:t>(</w:t>
              </w:r>
              <w:r>
                <w:rPr>
                  <w:rStyle w:val="Hyperlink"/>
                  <w:noProof/>
                  <w:color w:val="auto"/>
                  <w:vertAlign w:val="superscript"/>
                </w:rPr>
                <w:t>1</w:t>
              </w:r>
              <w:r>
                <w:rPr>
                  <w:rStyle w:val="Hyperlink"/>
                  <w:noProof/>
                  <w:color w:val="auto"/>
                </w:rPr>
                <w:t>)</w:t>
              </w:r>
            </w:hyperlink>
            <w:r>
              <w:rPr>
                <w:noProof/>
              </w:rPr>
              <w:t>.</w:t>
            </w:r>
          </w:p>
        </w:tc>
      </w:tr>
      <w:tr>
        <w:trPr>
          <w:jc w:val="center"/>
        </w:trPr>
        <w:tc>
          <w:tcPr>
            <w:tcW w:w="2727" w:type="dxa"/>
            <w:tcBorders>
              <w:top w:val="outset" w:sz="6" w:space="0" w:color="auto"/>
              <w:left w:val="outset" w:sz="6" w:space="0" w:color="auto"/>
              <w:bottom w:val="outset" w:sz="6" w:space="0" w:color="auto"/>
              <w:right w:val="outset" w:sz="6" w:space="0" w:color="auto"/>
            </w:tcBorders>
            <w:hideMark/>
          </w:tcPr>
          <w:p>
            <w:pPr>
              <w:jc w:val="left"/>
              <w:rPr>
                <w:noProof/>
              </w:rPr>
            </w:pPr>
            <m:oMathPara>
              <m:oMathParaPr>
                <m:jc m:val="left"/>
              </m:oMathParaPr>
              <m:oMath>
                <m:sSub>
                  <m:sSubPr>
                    <m:ctrlPr>
                      <w:rPr>
                        <w:rFonts w:ascii="Cambria Math" w:hAnsi="Cambria Math"/>
                        <w:i/>
                        <w:noProof/>
                      </w:rPr>
                    </m:ctrlPr>
                  </m:sSubPr>
                  <m:e>
                    <m:r>
                      <w:rPr>
                        <w:rFonts w:ascii="Cambria Math" w:hAnsi="Cambria Math"/>
                        <w:noProof/>
                      </w:rPr>
                      <m:t>GWP</m:t>
                    </m:r>
                  </m:e>
                  <m:sub>
                    <m:sSub>
                      <m:sSubPr>
                        <m:ctrlPr>
                          <w:rPr>
                            <w:rFonts w:ascii="Cambria Math" w:hAnsi="Cambria Math"/>
                            <w:i/>
                            <w:noProof/>
                          </w:rPr>
                        </m:ctrlPr>
                      </m:sSubPr>
                      <m:e>
                        <m:r>
                          <w:rPr>
                            <w:rFonts w:ascii="Cambria Math" w:hAnsi="Cambria Math"/>
                            <w:noProof/>
                          </w:rPr>
                          <m:t>N</m:t>
                        </m:r>
                      </m:e>
                      <m:sub>
                        <m:r>
                          <w:rPr>
                            <w:rFonts w:ascii="Cambria Math" w:hAnsi="Cambria Math"/>
                            <w:noProof/>
                          </w:rPr>
                          <m:t>2</m:t>
                        </m:r>
                      </m:sub>
                    </m:sSub>
                    <m:r>
                      <w:rPr>
                        <w:rFonts w:ascii="Cambria Math" w:hAnsi="Cambria Math"/>
                        <w:noProof/>
                      </w:rPr>
                      <m:t>O</m:t>
                    </m:r>
                  </m:sub>
                </m:sSub>
              </m:oMath>
            </m:oMathPara>
          </w:p>
        </w:tc>
        <w:tc>
          <w:tcPr>
            <w:tcW w:w="6405" w:type="dxa"/>
            <w:tcBorders>
              <w:top w:val="outset" w:sz="6" w:space="0" w:color="auto"/>
              <w:left w:val="outset" w:sz="6" w:space="0" w:color="auto"/>
              <w:bottom w:val="outset" w:sz="6" w:space="0" w:color="auto"/>
              <w:right w:val="outset" w:sz="6" w:space="0" w:color="auto"/>
            </w:tcBorders>
            <w:hideMark/>
          </w:tcPr>
          <w:p>
            <w:pPr>
              <w:rPr>
                <w:noProof/>
              </w:rPr>
            </w:pPr>
            <w:r>
              <w:rPr>
                <w:noProof/>
              </w:rPr>
              <w:t>Potențialul de încălzire globală al N</w:t>
            </w:r>
            <w:r>
              <w:rPr>
                <w:noProof/>
                <w:vertAlign w:val="subscript"/>
              </w:rPr>
              <w:t>2</w:t>
            </w:r>
            <w:r>
              <w:rPr>
                <w:noProof/>
              </w:rPr>
              <w:t>O pentru o perioadă de 100 de ani, menționat în anexa la Regulamentul delegat (UE) 2020/1044 al Comisiei.</w:t>
            </w:r>
          </w:p>
        </w:tc>
      </w:tr>
      <w:tr>
        <w:trPr>
          <w:trHeight w:val="300"/>
          <w:jc w:val="center"/>
        </w:trPr>
        <w:tc>
          <w:tcPr>
            <w:tcW w:w="2727" w:type="dxa"/>
            <w:tcBorders>
              <w:top w:val="outset" w:sz="6" w:space="0" w:color="auto"/>
              <w:left w:val="outset" w:sz="6" w:space="0" w:color="auto"/>
              <w:bottom w:val="outset" w:sz="6" w:space="0" w:color="auto"/>
              <w:right w:val="outset" w:sz="6" w:space="0" w:color="auto"/>
            </w:tcBorders>
            <w:hideMark/>
          </w:tcPr>
          <w:p>
            <w:pPr>
              <w:jc w:val="left"/>
              <w:rPr>
                <w:noProof/>
              </w:rPr>
            </w:pPr>
            <m:oMathPara>
              <m:oMathParaPr>
                <m:jc m:val="left"/>
              </m:oMathParaPr>
              <m:oMath>
                <m:sSub>
                  <m:sSubPr>
                    <m:ctrlPr>
                      <w:rPr>
                        <w:rFonts w:ascii="Cambria Math" w:hAnsi="Cambria Math"/>
                        <w:i/>
                        <w:noProof/>
                      </w:rPr>
                    </m:ctrlPr>
                  </m:sSubPr>
                  <m:e>
                    <m:r>
                      <w:rPr>
                        <w:rFonts w:ascii="Cambria Math" w:hAnsi="Cambria Math"/>
                        <w:noProof/>
                      </w:rPr>
                      <m:t>GWP</m:t>
                    </m:r>
                  </m:e>
                  <m:sub>
                    <m:sSub>
                      <m:sSubPr>
                        <m:ctrlPr>
                          <w:rPr>
                            <w:rFonts w:ascii="Cambria Math" w:hAnsi="Cambria Math"/>
                            <w:i/>
                            <w:noProof/>
                          </w:rPr>
                        </m:ctrlPr>
                      </m:sSubPr>
                      <m:e>
                        <m:r>
                          <w:rPr>
                            <w:rFonts w:ascii="Cambria Math" w:hAnsi="Cambria Math"/>
                            <w:noProof/>
                          </w:rPr>
                          <m:t>CO</m:t>
                        </m:r>
                      </m:e>
                      <m:sub>
                        <m:r>
                          <w:rPr>
                            <w:rFonts w:ascii="Cambria Math" w:hAnsi="Cambria Math"/>
                            <w:noProof/>
                          </w:rPr>
                          <m:t>2</m:t>
                        </m:r>
                      </m:sub>
                    </m:sSub>
                  </m:sub>
                </m:sSub>
              </m:oMath>
            </m:oMathPara>
          </w:p>
        </w:tc>
        <w:tc>
          <w:tcPr>
            <w:tcW w:w="6405" w:type="dxa"/>
            <w:tcBorders>
              <w:top w:val="outset" w:sz="6" w:space="0" w:color="auto"/>
              <w:left w:val="outset" w:sz="6" w:space="0" w:color="auto"/>
              <w:bottom w:val="outset" w:sz="6" w:space="0" w:color="auto"/>
              <w:right w:val="outset" w:sz="6" w:space="0" w:color="auto"/>
            </w:tcBorders>
            <w:hideMark/>
          </w:tcPr>
          <w:p>
            <w:pPr>
              <w:rPr>
                <w:noProof/>
              </w:rPr>
            </w:pPr>
            <w:r>
              <w:rPr>
                <w:noProof/>
              </w:rPr>
              <w:t>Potențialul de încălzire globală al CO</w:t>
            </w:r>
            <w:r>
              <w:rPr>
                <w:noProof/>
                <w:vertAlign w:val="subscript"/>
              </w:rPr>
              <w:t>2</w:t>
            </w:r>
            <w:r>
              <w:rPr>
                <w:noProof/>
              </w:rPr>
              <w:t xml:space="preserve"> pentru o perioadă de 100 de ani, menționat în anexa la Regulamentul delegat (UE) 2020/1044 al Comisiei.</w:t>
            </w:r>
          </w:p>
        </w:tc>
      </w:tr>
      <w:tr>
        <w:trPr>
          <w:jc w:val="center"/>
        </w:trPr>
        <w:tc>
          <w:tcPr>
            <w:tcW w:w="2727" w:type="dxa"/>
            <w:tcBorders>
              <w:top w:val="outset" w:sz="6" w:space="0" w:color="auto"/>
              <w:left w:val="outset" w:sz="6" w:space="0" w:color="auto"/>
              <w:bottom w:val="outset" w:sz="6" w:space="0" w:color="auto"/>
              <w:right w:val="outset" w:sz="6" w:space="0" w:color="auto"/>
            </w:tcBorders>
            <w:hideMark/>
          </w:tcPr>
          <w:p>
            <w:pPr>
              <w:jc w:val="left"/>
              <w:rPr>
                <w:noProof/>
              </w:rPr>
            </w:pPr>
            <w:r>
              <w:rPr>
                <w:noProof/>
              </w:rPr>
              <w:t>i</w:t>
            </w:r>
          </w:p>
        </w:tc>
        <w:tc>
          <w:tcPr>
            <w:tcW w:w="6405" w:type="dxa"/>
            <w:tcBorders>
              <w:top w:val="outset" w:sz="6" w:space="0" w:color="auto"/>
              <w:left w:val="outset" w:sz="6" w:space="0" w:color="auto"/>
              <w:bottom w:val="outset" w:sz="6" w:space="0" w:color="auto"/>
              <w:right w:val="outset" w:sz="6" w:space="0" w:color="auto"/>
            </w:tcBorders>
            <w:hideMark/>
          </w:tcPr>
          <w:p>
            <w:pPr>
              <w:rPr>
                <w:noProof/>
              </w:rPr>
            </w:pPr>
            <w:r>
              <w:rPr>
                <w:noProof/>
              </w:rPr>
              <w:t>Indicele corespunzător combustibililor utilizați la bordul navei în perioada de raportare.</w:t>
            </w:r>
          </w:p>
        </w:tc>
      </w:tr>
      <w:tr>
        <w:trPr>
          <w:jc w:val="center"/>
        </w:trPr>
        <w:tc>
          <w:tcPr>
            <w:tcW w:w="2727" w:type="dxa"/>
            <w:tcBorders>
              <w:top w:val="outset" w:sz="6" w:space="0" w:color="auto"/>
              <w:left w:val="outset" w:sz="6" w:space="0" w:color="auto"/>
              <w:bottom w:val="outset" w:sz="6" w:space="0" w:color="auto"/>
              <w:right w:val="outset" w:sz="6" w:space="0" w:color="auto"/>
            </w:tcBorders>
            <w:hideMark/>
          </w:tcPr>
          <w:p>
            <w:pPr>
              <w:jc w:val="left"/>
              <w:rPr>
                <w:noProof/>
              </w:rPr>
            </w:pPr>
            <w:r>
              <w:rPr>
                <w:noProof/>
              </w:rPr>
              <w:t>j</w:t>
            </w:r>
          </w:p>
        </w:tc>
        <w:tc>
          <w:tcPr>
            <w:tcW w:w="6405" w:type="dxa"/>
            <w:tcBorders>
              <w:top w:val="outset" w:sz="6" w:space="0" w:color="auto"/>
              <w:left w:val="outset" w:sz="6" w:space="0" w:color="auto"/>
              <w:bottom w:val="outset" w:sz="6" w:space="0" w:color="auto"/>
              <w:right w:val="outset" w:sz="6" w:space="0" w:color="auto"/>
            </w:tcBorders>
            <w:hideMark/>
          </w:tcPr>
          <w:p>
            <w:pPr>
              <w:rPr>
                <w:noProof/>
              </w:rPr>
            </w:pPr>
            <w:r>
              <w:rPr>
                <w:noProof/>
              </w:rPr>
              <w:t xml:space="preserve">Indicele corespunzător surselor de emisii și consumatorilor de combustibil de la bordul navei. </w:t>
            </w:r>
          </w:p>
        </w:tc>
      </w:tr>
      <w:tr>
        <w:trPr>
          <w:trHeight w:val="300"/>
          <w:jc w:val="center"/>
        </w:trPr>
        <w:tc>
          <w:tcPr>
            <w:tcW w:w="2727" w:type="dxa"/>
            <w:tcBorders>
              <w:top w:val="outset" w:sz="6" w:space="0" w:color="auto"/>
              <w:left w:val="outset" w:sz="6" w:space="0" w:color="auto"/>
              <w:bottom w:val="outset" w:sz="6" w:space="0" w:color="auto"/>
              <w:right w:val="outset" w:sz="6" w:space="0" w:color="auto"/>
            </w:tcBorders>
            <w:hideMark/>
          </w:tcPr>
          <w:p>
            <w:pPr>
              <w:spacing w:before="60" w:after="60"/>
              <w:jc w:val="left"/>
              <w:rPr>
                <w:noProof/>
                <w:sz w:val="22"/>
              </w:rPr>
            </w:pPr>
            <w:r>
              <w:rPr>
                <w:noProof/>
                <w:sz w:val="22"/>
              </w:rPr>
              <w:t>k</w:t>
            </w:r>
          </w:p>
        </w:tc>
        <w:tc>
          <w:tcPr>
            <w:tcW w:w="6405" w:type="dxa"/>
            <w:tcBorders>
              <w:top w:val="outset" w:sz="6" w:space="0" w:color="auto"/>
              <w:left w:val="outset" w:sz="6" w:space="0" w:color="auto"/>
              <w:bottom w:val="outset" w:sz="6" w:space="0" w:color="auto"/>
              <w:right w:val="outset" w:sz="6" w:space="0" w:color="auto"/>
            </w:tcBorders>
            <w:hideMark/>
          </w:tcPr>
          <w:p>
            <w:pPr>
              <w:spacing w:before="60" w:after="60"/>
              <w:rPr>
                <w:noProof/>
                <w:sz w:val="22"/>
              </w:rPr>
            </w:pPr>
            <w:r>
              <w:rPr>
                <w:noProof/>
                <w:sz w:val="22"/>
              </w:rPr>
              <w:t>Indicele corespunzător surselor alternative de energie și punctelor de racordare la OPS.</w:t>
            </w:r>
          </w:p>
        </w:tc>
      </w:tr>
      <w:tr>
        <w:trPr>
          <w:trHeight w:val="300"/>
          <w:jc w:val="center"/>
        </w:trPr>
        <w:tc>
          <w:tcPr>
            <w:tcW w:w="2727" w:type="dxa"/>
            <w:tcBorders>
              <w:top w:val="outset" w:sz="6" w:space="0" w:color="auto"/>
              <w:left w:val="outset" w:sz="6" w:space="0" w:color="auto"/>
              <w:bottom w:val="outset" w:sz="6" w:space="0" w:color="auto"/>
              <w:right w:val="outset" w:sz="6" w:space="0" w:color="auto"/>
            </w:tcBorders>
            <w:hideMark/>
          </w:tcPr>
          <w:p>
            <w:pPr>
              <w:spacing w:before="60" w:after="60"/>
              <w:jc w:val="left"/>
              <w:rPr>
                <w:noProof/>
                <w:sz w:val="22"/>
              </w:rPr>
            </w:pPr>
            <w:r>
              <w:rPr>
                <w:noProof/>
                <w:sz w:val="22"/>
              </w:rPr>
              <w:t>n</w:t>
            </w:r>
          </w:p>
        </w:tc>
        <w:tc>
          <w:tcPr>
            <w:tcW w:w="6405" w:type="dxa"/>
            <w:tcBorders>
              <w:top w:val="outset" w:sz="6" w:space="0" w:color="auto"/>
              <w:left w:val="outset" w:sz="6" w:space="0" w:color="auto"/>
              <w:bottom w:val="outset" w:sz="6" w:space="0" w:color="auto"/>
              <w:right w:val="outset" w:sz="6" w:space="0" w:color="auto"/>
            </w:tcBorders>
            <w:hideMark/>
          </w:tcPr>
          <w:p>
            <w:pPr>
              <w:spacing w:before="60" w:after="60"/>
              <w:rPr>
                <w:noProof/>
                <w:sz w:val="22"/>
              </w:rPr>
            </w:pPr>
            <w:r>
              <w:rPr>
                <w:noProof/>
                <w:sz w:val="22"/>
              </w:rPr>
              <w:t>Numărul total de tipuri de combustibil furnizat navei în perioada de raportare.</w:t>
            </w:r>
          </w:p>
        </w:tc>
      </w:tr>
      <w:tr>
        <w:trPr>
          <w:trHeight w:val="300"/>
          <w:jc w:val="center"/>
        </w:trPr>
        <w:tc>
          <w:tcPr>
            <w:tcW w:w="2727" w:type="dxa"/>
            <w:tcBorders>
              <w:top w:val="outset" w:sz="6" w:space="0" w:color="auto"/>
              <w:left w:val="outset" w:sz="6" w:space="0" w:color="auto"/>
              <w:bottom w:val="outset" w:sz="6" w:space="0" w:color="auto"/>
              <w:right w:val="outset" w:sz="6" w:space="0" w:color="auto"/>
            </w:tcBorders>
            <w:hideMark/>
          </w:tcPr>
          <w:p>
            <w:pPr>
              <w:spacing w:before="60" w:after="60"/>
              <w:jc w:val="left"/>
              <w:rPr>
                <w:noProof/>
                <w:sz w:val="22"/>
              </w:rPr>
            </w:pPr>
            <w:r>
              <w:rPr>
                <w:noProof/>
                <w:sz w:val="22"/>
              </w:rPr>
              <w:t>c</w:t>
            </w:r>
          </w:p>
        </w:tc>
        <w:tc>
          <w:tcPr>
            <w:tcW w:w="6405" w:type="dxa"/>
            <w:tcBorders>
              <w:top w:val="outset" w:sz="6" w:space="0" w:color="auto"/>
              <w:left w:val="outset" w:sz="6" w:space="0" w:color="auto"/>
              <w:bottom w:val="outset" w:sz="6" w:space="0" w:color="auto"/>
              <w:right w:val="outset" w:sz="6" w:space="0" w:color="auto"/>
            </w:tcBorders>
            <w:hideMark/>
          </w:tcPr>
          <w:p>
            <w:pPr>
              <w:spacing w:before="60" w:after="60"/>
              <w:rPr>
                <w:noProof/>
                <w:sz w:val="22"/>
              </w:rPr>
            </w:pPr>
            <w:r>
              <w:rPr>
                <w:noProof/>
                <w:sz w:val="22"/>
              </w:rPr>
              <w:t>Numărul total de puncte de racordare la OPS.</w:t>
            </w:r>
          </w:p>
        </w:tc>
      </w:tr>
      <w:tr>
        <w:trPr>
          <w:trHeight w:val="300"/>
          <w:jc w:val="center"/>
        </w:trPr>
        <w:tc>
          <w:tcPr>
            <w:tcW w:w="2727" w:type="dxa"/>
            <w:tcBorders>
              <w:top w:val="outset" w:sz="6" w:space="0" w:color="auto"/>
              <w:left w:val="outset" w:sz="6" w:space="0" w:color="auto"/>
              <w:bottom w:val="outset" w:sz="6" w:space="0" w:color="auto"/>
              <w:right w:val="outset" w:sz="6" w:space="0" w:color="auto"/>
            </w:tcBorders>
            <w:hideMark/>
          </w:tcPr>
          <w:p>
            <w:pPr>
              <w:spacing w:before="60" w:after="60"/>
              <w:jc w:val="left"/>
              <w:rPr>
                <w:noProof/>
                <w:sz w:val="22"/>
              </w:rPr>
            </w:pPr>
            <w:r>
              <w:rPr>
                <w:noProof/>
                <w:sz w:val="22"/>
              </w:rPr>
              <w:t>m</w:t>
            </w:r>
          </w:p>
        </w:tc>
        <w:tc>
          <w:tcPr>
            <w:tcW w:w="6405" w:type="dxa"/>
            <w:tcBorders>
              <w:top w:val="outset" w:sz="6" w:space="0" w:color="auto"/>
              <w:left w:val="outset" w:sz="6" w:space="0" w:color="auto"/>
              <w:bottom w:val="outset" w:sz="6" w:space="0" w:color="auto"/>
              <w:right w:val="outset" w:sz="6" w:space="0" w:color="auto"/>
            </w:tcBorders>
            <w:hideMark/>
          </w:tcPr>
          <w:p>
            <w:pPr>
              <w:spacing w:before="60" w:after="60"/>
              <w:rPr>
                <w:noProof/>
                <w:sz w:val="22"/>
              </w:rPr>
            </w:pPr>
            <w:r>
              <w:rPr>
                <w:noProof/>
                <w:sz w:val="22"/>
              </w:rPr>
              <w:t>Numărul total de unități sursă de emisii și de consumatori de combustibil.</w:t>
            </w:r>
          </w:p>
        </w:tc>
      </w:tr>
      <w:tr>
        <w:trPr>
          <w:trHeight w:val="300"/>
          <w:jc w:val="center"/>
        </w:trPr>
        <w:tc>
          <w:tcPr>
            <w:tcW w:w="2727" w:type="dxa"/>
            <w:tcBorders>
              <w:top w:val="outset" w:sz="6" w:space="0" w:color="auto"/>
              <w:left w:val="outset" w:sz="6" w:space="0" w:color="auto"/>
              <w:bottom w:val="outset" w:sz="6" w:space="0" w:color="auto"/>
              <w:right w:val="outset" w:sz="6" w:space="0" w:color="auto"/>
            </w:tcBorders>
            <w:hideMark/>
          </w:tcPr>
          <w:p>
            <w:pPr>
              <w:spacing w:before="60" w:after="60"/>
              <w:jc w:val="left"/>
              <w:rPr>
                <w:noProof/>
                <w:sz w:val="22"/>
                <w:vertAlign w:val="subscript"/>
              </w:rPr>
            </w:pPr>
            <w:r>
              <w:rPr>
                <w:noProof/>
                <w:sz w:val="22"/>
              </w:rPr>
              <w:t>E</w:t>
            </w:r>
            <w:r>
              <w:rPr>
                <w:noProof/>
                <w:sz w:val="22"/>
                <w:vertAlign w:val="subscript"/>
              </w:rPr>
              <w:t>k</w:t>
            </w:r>
          </w:p>
        </w:tc>
        <w:tc>
          <w:tcPr>
            <w:tcW w:w="6405" w:type="dxa"/>
            <w:tcBorders>
              <w:top w:val="outset" w:sz="6" w:space="0" w:color="auto"/>
              <w:left w:val="outset" w:sz="6" w:space="0" w:color="auto"/>
              <w:bottom w:val="outset" w:sz="6" w:space="0" w:color="auto"/>
              <w:right w:val="outset" w:sz="6" w:space="0" w:color="auto"/>
            </w:tcBorders>
            <w:hideMark/>
          </w:tcPr>
          <w:p>
            <w:pPr>
              <w:spacing w:before="60" w:after="60"/>
              <w:rPr>
                <w:noProof/>
                <w:sz w:val="22"/>
              </w:rPr>
            </w:pPr>
            <w:r>
              <w:rPr>
                <w:noProof/>
                <w:sz w:val="22"/>
              </w:rPr>
              <w:t>Energia electrică furnizată navei per racordare la OPS sau energia din surse alternative de energie per punct k [MJ].</w:t>
            </w:r>
          </w:p>
        </w:tc>
      </w:tr>
      <w:tr>
        <w:trPr>
          <w:trHeight w:val="300"/>
          <w:jc w:val="center"/>
        </w:trPr>
        <w:tc>
          <w:tcPr>
            <w:tcW w:w="2727" w:type="dxa"/>
            <w:tcBorders>
              <w:top w:val="outset" w:sz="6" w:space="0" w:color="auto"/>
              <w:left w:val="outset" w:sz="6" w:space="0" w:color="auto"/>
              <w:bottom w:val="outset" w:sz="6" w:space="0" w:color="auto"/>
              <w:right w:val="outset" w:sz="6" w:space="0" w:color="auto"/>
            </w:tcBorders>
          </w:tcPr>
          <w:p>
            <w:pPr>
              <w:spacing w:before="60" w:after="60"/>
              <w:jc w:val="left"/>
              <w:rPr>
                <w:noProof/>
                <w:sz w:val="22"/>
              </w:rPr>
            </w:pPr>
            <w:r>
              <w:rPr>
                <w:noProof/>
                <w:sz w:val="22"/>
              </w:rPr>
              <w:t>W</w:t>
            </w:r>
          </w:p>
        </w:tc>
        <w:tc>
          <w:tcPr>
            <w:tcW w:w="6405" w:type="dxa"/>
            <w:tcBorders>
              <w:top w:val="outset" w:sz="6" w:space="0" w:color="auto"/>
              <w:left w:val="outset" w:sz="6" w:space="0" w:color="auto"/>
              <w:bottom w:val="outset" w:sz="6" w:space="0" w:color="auto"/>
              <w:right w:val="outset" w:sz="6" w:space="0" w:color="auto"/>
            </w:tcBorders>
          </w:tcPr>
          <w:p>
            <w:pPr>
              <w:spacing w:before="60" w:after="60"/>
              <w:rPr>
                <w:noProof/>
                <w:sz w:val="22"/>
              </w:rPr>
            </w:pPr>
            <w:r>
              <w:rPr>
                <w:noProof/>
                <w:sz w:val="22"/>
              </w:rPr>
              <w:t>Consumul de energie al sistemelor de propulsie asistate de vânt instalate la bord.</w:t>
            </w:r>
          </w:p>
        </w:tc>
      </w:tr>
      <w:tr>
        <w:trPr>
          <w:trHeight w:val="300"/>
          <w:jc w:val="center"/>
        </w:trPr>
        <w:tc>
          <w:tcPr>
            <w:tcW w:w="2727" w:type="dxa"/>
            <w:tcBorders>
              <w:top w:val="outset" w:sz="6" w:space="0" w:color="auto"/>
              <w:left w:val="outset" w:sz="6" w:space="0" w:color="auto"/>
              <w:bottom w:val="outset" w:sz="6" w:space="0" w:color="auto"/>
              <w:right w:val="outset" w:sz="6" w:space="0" w:color="auto"/>
            </w:tcBorders>
            <w:hideMark/>
          </w:tcPr>
          <w:p>
            <w:pPr>
              <w:spacing w:before="60" w:after="60"/>
              <w:jc w:val="left"/>
              <w:rPr>
                <w:noProof/>
                <w:sz w:val="22"/>
                <w:vertAlign w:val="subscript"/>
              </w:rPr>
            </w:pPr>
            <w:r>
              <w:rPr>
                <w:noProof/>
                <w:sz w:val="22"/>
              </w:rPr>
              <w:t>CO</w:t>
            </w:r>
            <w:r>
              <w:rPr>
                <w:noProof/>
                <w:sz w:val="22"/>
                <w:vertAlign w:val="subscript"/>
              </w:rPr>
              <w:t>2echivalent WtT,i</w:t>
            </w:r>
          </w:p>
        </w:tc>
        <w:tc>
          <w:tcPr>
            <w:tcW w:w="6405" w:type="dxa"/>
            <w:tcBorders>
              <w:top w:val="outset" w:sz="6" w:space="0" w:color="auto"/>
              <w:left w:val="outset" w:sz="6" w:space="0" w:color="auto"/>
              <w:bottom w:val="outset" w:sz="6" w:space="0" w:color="auto"/>
              <w:right w:val="outset" w:sz="6" w:space="0" w:color="auto"/>
            </w:tcBorders>
            <w:hideMark/>
          </w:tcPr>
          <w:p>
            <w:pPr>
              <w:spacing w:before="60" w:after="60"/>
              <w:rPr>
                <w:noProof/>
                <w:sz w:val="22"/>
              </w:rPr>
            </w:pPr>
            <w:r>
              <w:rPr>
                <w:noProof/>
                <w:sz w:val="22"/>
              </w:rPr>
              <w:t>Factorul de emisie de GES WtT pentru combustibilul i [gCO</w:t>
            </w:r>
            <w:r>
              <w:rPr>
                <w:noProof/>
                <w:sz w:val="22"/>
                <w:vertAlign w:val="subscript"/>
              </w:rPr>
              <w:t>2echivalent</w:t>
            </w:r>
            <w:r>
              <w:rPr>
                <w:noProof/>
                <w:sz w:val="22"/>
              </w:rPr>
              <w:t>/MJ].</w:t>
            </w:r>
          </w:p>
        </w:tc>
      </w:tr>
      <w:tr>
        <w:trPr>
          <w:trHeight w:val="300"/>
          <w:jc w:val="center"/>
        </w:trPr>
        <w:tc>
          <w:tcPr>
            <w:tcW w:w="2727" w:type="dxa"/>
            <w:tcBorders>
              <w:top w:val="outset" w:sz="6" w:space="0" w:color="auto"/>
              <w:left w:val="outset" w:sz="6" w:space="0" w:color="auto"/>
              <w:bottom w:val="outset" w:sz="6" w:space="0" w:color="auto"/>
              <w:right w:val="outset" w:sz="6" w:space="0" w:color="auto"/>
            </w:tcBorders>
            <w:hideMark/>
          </w:tcPr>
          <w:p>
            <w:pPr>
              <w:spacing w:after="0"/>
              <w:jc w:val="left"/>
              <w:rPr>
                <w:noProof/>
                <w:sz w:val="22"/>
              </w:rPr>
            </w:pPr>
            <m:oMathPara>
              <m:oMathParaPr>
                <m:jc m:val="left"/>
              </m:oMathParaPr>
              <m:oMath>
                <m:sSub>
                  <m:sSubPr>
                    <m:ctrlPr>
                      <w:rPr>
                        <w:rFonts w:ascii="Cambria Math" w:hAnsi="Cambria Math"/>
                        <w:i/>
                        <w:noProof/>
                        <w:sz w:val="22"/>
                      </w:rPr>
                    </m:ctrlPr>
                  </m:sSubPr>
                  <m:e>
                    <m:r>
                      <w:rPr>
                        <w:rFonts w:ascii="Cambria Math" w:hAnsi="Cambria Math"/>
                        <w:noProof/>
                        <w:sz w:val="22"/>
                      </w:rPr>
                      <m:t>CO</m:t>
                    </m:r>
                  </m:e>
                  <m:sub>
                    <m:r>
                      <w:rPr>
                        <w:rFonts w:ascii="Cambria Math" w:hAnsi="Cambria Math"/>
                        <w:noProof/>
                        <w:sz w:val="22"/>
                      </w:rPr>
                      <m:t>2 echivalent energie electrică, k</m:t>
                    </m:r>
                  </m:sub>
                </m:sSub>
              </m:oMath>
            </m:oMathPara>
          </w:p>
        </w:tc>
        <w:tc>
          <w:tcPr>
            <w:tcW w:w="6405" w:type="dxa"/>
            <w:tcBorders>
              <w:top w:val="outset" w:sz="6" w:space="0" w:color="auto"/>
              <w:left w:val="outset" w:sz="6" w:space="0" w:color="auto"/>
              <w:bottom w:val="outset" w:sz="6" w:space="0" w:color="auto"/>
              <w:right w:val="outset" w:sz="6" w:space="0" w:color="auto"/>
            </w:tcBorders>
            <w:hideMark/>
          </w:tcPr>
          <w:p>
            <w:pPr>
              <w:spacing w:before="60" w:after="60"/>
              <w:rPr>
                <w:noProof/>
                <w:sz w:val="22"/>
              </w:rPr>
            </w:pPr>
            <w:r>
              <w:rPr>
                <w:noProof/>
                <w:sz w:val="22"/>
              </w:rPr>
              <w:t xml:space="preserve">Factor de emisie de GES WtT asociat cu energie de electricitate </w:t>
            </w:r>
            <w:r>
              <w:rPr>
                <w:noProof/>
                <w:sz w:val="22"/>
              </w:rPr>
              <w:lastRenderedPageBreak/>
              <w:t>furnizată navei la dană per punct de racordare la OPS k [gCO</w:t>
            </w:r>
            <w:r>
              <w:rPr>
                <w:noProof/>
                <w:sz w:val="22"/>
                <w:vertAlign w:val="subscript"/>
              </w:rPr>
              <w:t>2echivalent</w:t>
            </w:r>
            <w:r>
              <w:rPr>
                <w:noProof/>
                <w:sz w:val="22"/>
              </w:rPr>
              <w:t>/MJ].</w:t>
            </w:r>
          </w:p>
        </w:tc>
      </w:tr>
      <w:tr>
        <w:trPr>
          <w:trHeight w:val="300"/>
          <w:jc w:val="center"/>
        </w:trPr>
        <w:tc>
          <w:tcPr>
            <w:tcW w:w="2727" w:type="dxa"/>
            <w:tcBorders>
              <w:top w:val="outset" w:sz="6" w:space="0" w:color="auto"/>
              <w:left w:val="outset" w:sz="6" w:space="0" w:color="auto"/>
              <w:bottom w:val="outset" w:sz="6" w:space="0" w:color="auto"/>
              <w:right w:val="outset" w:sz="6" w:space="0" w:color="auto"/>
            </w:tcBorders>
            <w:hideMark/>
          </w:tcPr>
          <w:p>
            <w:pPr>
              <w:spacing w:before="60" w:after="60"/>
              <w:jc w:val="left"/>
              <w:rPr>
                <w:noProof/>
                <w:sz w:val="22"/>
                <w:vertAlign w:val="subscript"/>
              </w:rPr>
            </w:pPr>
            <w:r>
              <w:rPr>
                <w:noProof/>
                <w:sz w:val="22"/>
              </w:rPr>
              <w:lastRenderedPageBreak/>
              <w:t>LCV</w:t>
            </w:r>
            <w:r>
              <w:rPr>
                <w:noProof/>
                <w:sz w:val="22"/>
                <w:vertAlign w:val="subscript"/>
              </w:rPr>
              <w:t>i</w:t>
            </w:r>
          </w:p>
        </w:tc>
        <w:tc>
          <w:tcPr>
            <w:tcW w:w="6405" w:type="dxa"/>
            <w:tcBorders>
              <w:top w:val="outset" w:sz="6" w:space="0" w:color="auto"/>
              <w:left w:val="outset" w:sz="6" w:space="0" w:color="auto"/>
              <w:bottom w:val="outset" w:sz="6" w:space="0" w:color="auto"/>
              <w:right w:val="outset" w:sz="6" w:space="0" w:color="auto"/>
            </w:tcBorders>
            <w:hideMark/>
          </w:tcPr>
          <w:p>
            <w:pPr>
              <w:spacing w:before="60" w:after="60"/>
              <w:rPr>
                <w:noProof/>
                <w:sz w:val="22"/>
              </w:rPr>
            </w:pPr>
            <w:r>
              <w:rPr>
                <w:noProof/>
                <w:sz w:val="22"/>
              </w:rPr>
              <w:t>Putere calorifică netă a combustibilului i [MJ/gFuel].</w:t>
            </w:r>
          </w:p>
        </w:tc>
      </w:tr>
      <w:tr>
        <w:trPr>
          <w:jc w:val="center"/>
        </w:trPr>
        <w:tc>
          <w:tcPr>
            <w:tcW w:w="2727" w:type="dxa"/>
            <w:tcBorders>
              <w:top w:val="outset" w:sz="6" w:space="0" w:color="auto"/>
              <w:left w:val="outset" w:sz="6" w:space="0" w:color="auto"/>
              <w:bottom w:val="outset" w:sz="6" w:space="0" w:color="auto"/>
              <w:right w:val="outset" w:sz="6" w:space="0" w:color="auto"/>
            </w:tcBorders>
            <w:hideMark/>
          </w:tcPr>
          <w:p>
            <w:pPr>
              <w:jc w:val="left"/>
              <w:rPr>
                <w:noProof/>
              </w:rPr>
            </w:pPr>
            <w:r>
              <w:rPr>
                <w:noProof/>
              </w:rPr>
              <w:t>M</w:t>
            </w:r>
            <w:r>
              <w:rPr>
                <w:noProof/>
                <w:vertAlign w:val="subscript"/>
              </w:rPr>
              <w:t>i, j</w:t>
            </w:r>
          </w:p>
        </w:tc>
        <w:tc>
          <w:tcPr>
            <w:tcW w:w="6405" w:type="dxa"/>
            <w:tcBorders>
              <w:top w:val="outset" w:sz="6" w:space="0" w:color="auto"/>
              <w:left w:val="outset" w:sz="6" w:space="0" w:color="auto"/>
              <w:bottom w:val="outset" w:sz="6" w:space="0" w:color="auto"/>
              <w:right w:val="outset" w:sz="6" w:space="0" w:color="auto"/>
            </w:tcBorders>
            <w:hideMark/>
          </w:tcPr>
          <w:p>
            <w:pPr>
              <w:rPr>
                <w:noProof/>
              </w:rPr>
            </w:pPr>
            <w:r>
              <w:rPr>
                <w:noProof/>
              </w:rPr>
              <w:t>Consumul de combustibil, exprimat ca masă a combustibilului specific i utilizat la sursa de emisie sau consumator de combustibil j.</w:t>
            </w:r>
          </w:p>
        </w:tc>
      </w:tr>
      <w:tr>
        <w:trPr>
          <w:jc w:val="center"/>
        </w:trPr>
        <w:tc>
          <w:tcPr>
            <w:tcW w:w="2727" w:type="dxa"/>
            <w:tcBorders>
              <w:top w:val="outset" w:sz="6" w:space="0" w:color="auto"/>
              <w:left w:val="outset" w:sz="6" w:space="0" w:color="auto"/>
              <w:bottom w:val="outset" w:sz="6" w:space="0" w:color="auto"/>
              <w:right w:val="outset" w:sz="6" w:space="0" w:color="auto"/>
            </w:tcBorders>
            <w:hideMark/>
          </w:tcPr>
          <w:p>
            <w:pPr>
              <w:jc w:val="left"/>
              <w:rPr>
                <w:noProof/>
              </w:rPr>
            </w:pPr>
            <w:r>
              <w:rPr>
                <w:noProof/>
              </w:rPr>
              <w:t>C</w:t>
            </w:r>
            <w:r>
              <w:rPr>
                <w:noProof/>
                <w:vertAlign w:val="subscript"/>
              </w:rPr>
              <w:t>alunecare j</w:t>
            </w:r>
          </w:p>
        </w:tc>
        <w:tc>
          <w:tcPr>
            <w:tcW w:w="6405" w:type="dxa"/>
            <w:tcBorders>
              <w:top w:val="outset" w:sz="6" w:space="0" w:color="auto"/>
              <w:left w:val="outset" w:sz="6" w:space="0" w:color="auto"/>
              <w:bottom w:val="outset" w:sz="6" w:space="0" w:color="auto"/>
              <w:right w:val="outset" w:sz="6" w:space="0" w:color="auto"/>
            </w:tcBorders>
            <w:hideMark/>
          </w:tcPr>
          <w:p>
            <w:pPr>
              <w:rPr>
                <w:noProof/>
              </w:rPr>
            </w:pPr>
            <w:r>
              <w:rPr>
                <w:noProof/>
              </w:rPr>
              <w:t>Factorul de emisie de la rezervor la siaj aferent pierderilor de combustibil (coeficientul de pierdere) ca procent din masa combustibilului i utilizat de sursa de emisie sau consumator de combustibil j [%].</w:t>
            </w:r>
          </w:p>
          <w:p>
            <w:pPr>
              <w:rPr>
                <w:noProof/>
              </w:rPr>
            </w:pPr>
            <w:r>
              <w:rPr>
                <w:noProof/>
              </w:rPr>
              <w:t>C</w:t>
            </w:r>
            <w:r>
              <w:rPr>
                <w:noProof/>
                <w:vertAlign w:val="subscript"/>
              </w:rPr>
              <w:t>alunecare</w:t>
            </w:r>
            <w:r>
              <w:rPr>
                <w:noProof/>
              </w:rPr>
              <w:t xml:space="preserve"> </w:t>
            </w:r>
            <w:r>
              <w:rPr>
                <w:noProof/>
                <w:vertAlign w:val="subscript"/>
              </w:rPr>
              <w:t xml:space="preserve">j </w:t>
            </w:r>
            <w:r>
              <w:rPr>
                <w:noProof/>
              </w:rPr>
              <w:t>include emisiile fugitive și pierderile de emisii. Emisiile fugitive și pierderile de emisii sunt emisii cauzate de cantitatea de combustibil care nu ajunge în camera de ardere a sursei de emisii sau a consumatorului de combustibil sau care nu este consumată de sursa de emisii sau de consumatorul de combustibil deoarece acestea nu sunt arse, sunt ventilate sau se scurg din sistem.</w:t>
            </w:r>
          </w:p>
        </w:tc>
      </w:tr>
      <w:tr>
        <w:trPr>
          <w:jc w:val="center"/>
        </w:trPr>
        <w:tc>
          <w:tcPr>
            <w:tcW w:w="2727" w:type="dxa"/>
            <w:tcBorders>
              <w:top w:val="outset" w:sz="6" w:space="0" w:color="auto"/>
              <w:left w:val="outset" w:sz="6" w:space="0" w:color="auto"/>
              <w:bottom w:val="outset" w:sz="6" w:space="0" w:color="auto"/>
              <w:right w:val="outset" w:sz="6" w:space="0" w:color="auto"/>
            </w:tcBorders>
            <w:hideMark/>
          </w:tcPr>
          <w:p>
            <w:pPr>
              <w:jc w:val="left"/>
              <w:rPr>
                <w:noProof/>
              </w:rPr>
            </w:pPr>
            <m:oMathPara>
              <m:oMathParaPr>
                <m:jc m:val="left"/>
              </m:oMathParaPr>
              <m:oMath>
                <m:sSub>
                  <m:sSubPr>
                    <m:ctrlPr>
                      <w:rPr>
                        <w:rFonts w:ascii="Cambria Math" w:hAnsi="Cambria Math"/>
                        <w:i/>
                        <w:noProof/>
                      </w:rPr>
                    </m:ctrlPr>
                  </m:sSubPr>
                  <m:e>
                    <m:r>
                      <w:rPr>
                        <w:rFonts w:ascii="Cambria Math" w:hAnsi="Cambria Math"/>
                        <w:noProof/>
                      </w:rPr>
                      <m:t>C</m:t>
                    </m:r>
                  </m:e>
                  <m:sub>
                    <m:r>
                      <w:rPr>
                        <w:rFonts w:ascii="Cambria Math" w:hAnsi="Cambria Math"/>
                        <w:noProof/>
                      </w:rPr>
                      <m:t>f</m:t>
                    </m:r>
                    <m:sSub>
                      <m:sSubPr>
                        <m:ctrlPr>
                          <w:rPr>
                            <w:rFonts w:ascii="Cambria Math" w:hAnsi="Cambria Math"/>
                            <w:i/>
                            <w:noProof/>
                          </w:rPr>
                        </m:ctrlPr>
                      </m:sSubPr>
                      <m:e>
                        <m:r>
                          <w:rPr>
                            <w:rFonts w:ascii="Cambria Math" w:hAnsi="Cambria Math"/>
                            <w:noProof/>
                          </w:rPr>
                          <m:t>CO</m:t>
                        </m:r>
                      </m:e>
                      <m:sub>
                        <m:r>
                          <w:rPr>
                            <w:rFonts w:ascii="Cambria Math" w:hAnsi="Cambria Math"/>
                            <w:noProof/>
                          </w:rPr>
                          <m:t>2i, j</m:t>
                        </m:r>
                      </m:sub>
                    </m:sSub>
                    <m:r>
                      <w:rPr>
                        <w:rFonts w:ascii="Cambria Math" w:hAnsi="Cambria Math"/>
                        <w:noProof/>
                      </w:rPr>
                      <m:t>,</m:t>
                    </m:r>
                  </m:sub>
                </m:sSub>
              </m:oMath>
            </m:oMathPara>
          </w:p>
        </w:tc>
        <w:tc>
          <w:tcPr>
            <w:tcW w:w="6405" w:type="dxa"/>
            <w:tcBorders>
              <w:top w:val="outset" w:sz="6" w:space="0" w:color="auto"/>
              <w:left w:val="outset" w:sz="6" w:space="0" w:color="auto"/>
              <w:bottom w:val="outset" w:sz="6" w:space="0" w:color="auto"/>
              <w:right w:val="outset" w:sz="6" w:space="0" w:color="auto"/>
            </w:tcBorders>
            <w:hideMark/>
          </w:tcPr>
          <w:p>
            <w:pPr>
              <w:rPr>
                <w:noProof/>
              </w:rPr>
            </w:pPr>
            <w:r>
              <w:rPr>
                <w:noProof/>
              </w:rPr>
              <w:t>Factorul de emisie de la rezervor la siaj de CO</w:t>
            </w:r>
            <w:r>
              <w:rPr>
                <w:noProof/>
                <w:vertAlign w:val="subscript"/>
              </w:rPr>
              <w:t xml:space="preserve">2 </w:t>
            </w:r>
            <w:r>
              <w:rPr>
                <w:noProof/>
              </w:rPr>
              <w:t>în funcție de combustibilul i, astfel cum este definit în coloana 6 din tabelul de la punctul 2 din prezenta parte, pentru sursa de emisii și consumatorul de combustibil j.</w:t>
            </w:r>
          </w:p>
        </w:tc>
      </w:tr>
      <w:tr>
        <w:trPr>
          <w:jc w:val="center"/>
        </w:trPr>
        <w:tc>
          <w:tcPr>
            <w:tcW w:w="2727" w:type="dxa"/>
            <w:tcBorders>
              <w:top w:val="outset" w:sz="6" w:space="0" w:color="auto"/>
              <w:left w:val="outset" w:sz="6" w:space="0" w:color="auto"/>
              <w:bottom w:val="outset" w:sz="6" w:space="0" w:color="auto"/>
              <w:right w:val="outset" w:sz="6" w:space="0" w:color="auto"/>
            </w:tcBorders>
            <w:hideMark/>
          </w:tcPr>
          <w:p>
            <w:pPr>
              <w:jc w:val="left"/>
              <w:rPr>
                <w:noProof/>
              </w:rPr>
            </w:pPr>
            <m:oMathPara>
              <m:oMathParaPr>
                <m:jc m:val="left"/>
              </m:oMathParaPr>
              <m:oMath>
                <m:sSub>
                  <m:sSubPr>
                    <m:ctrlPr>
                      <w:rPr>
                        <w:rFonts w:ascii="Cambria Math" w:hAnsi="Cambria Math"/>
                        <w:i/>
                        <w:noProof/>
                      </w:rPr>
                    </m:ctrlPr>
                  </m:sSubPr>
                  <m:e>
                    <m:r>
                      <w:rPr>
                        <w:rFonts w:ascii="Cambria Math" w:hAnsi="Cambria Math"/>
                        <w:noProof/>
                      </w:rPr>
                      <m:t>C</m:t>
                    </m:r>
                  </m:e>
                  <m:sub>
                    <m:r>
                      <w:rPr>
                        <w:rFonts w:ascii="Cambria Math" w:hAnsi="Cambria Math"/>
                        <w:noProof/>
                      </w:rPr>
                      <m:t>f</m:t>
                    </m:r>
                    <m:sSub>
                      <m:sSubPr>
                        <m:ctrlPr>
                          <w:rPr>
                            <w:rFonts w:ascii="Cambria Math" w:hAnsi="Cambria Math"/>
                            <w:i/>
                            <w:noProof/>
                          </w:rPr>
                        </m:ctrlPr>
                      </m:sSubPr>
                      <m:e>
                        <m:r>
                          <w:rPr>
                            <w:rFonts w:ascii="Cambria Math" w:hAnsi="Cambria Math"/>
                            <w:noProof/>
                          </w:rPr>
                          <m:t>CH</m:t>
                        </m:r>
                      </m:e>
                      <m:sub>
                        <m:r>
                          <w:rPr>
                            <w:rFonts w:ascii="Cambria Math" w:hAnsi="Cambria Math"/>
                            <w:noProof/>
                          </w:rPr>
                          <m:t>4,i,j</m:t>
                        </m:r>
                      </m:sub>
                    </m:sSub>
                    <m:r>
                      <w:rPr>
                        <w:rFonts w:ascii="Cambria Math" w:hAnsi="Cambria Math"/>
                        <w:noProof/>
                      </w:rPr>
                      <m:t>,</m:t>
                    </m:r>
                  </m:sub>
                </m:sSub>
              </m:oMath>
            </m:oMathPara>
          </w:p>
        </w:tc>
        <w:tc>
          <w:tcPr>
            <w:tcW w:w="6405" w:type="dxa"/>
            <w:tcBorders>
              <w:top w:val="outset" w:sz="6" w:space="0" w:color="auto"/>
              <w:left w:val="outset" w:sz="6" w:space="0" w:color="auto"/>
              <w:bottom w:val="outset" w:sz="6" w:space="0" w:color="auto"/>
              <w:right w:val="outset" w:sz="6" w:space="0" w:color="auto"/>
            </w:tcBorders>
            <w:hideMark/>
          </w:tcPr>
          <w:p>
            <w:pPr>
              <w:rPr>
                <w:noProof/>
              </w:rPr>
            </w:pPr>
            <w:r>
              <w:rPr>
                <w:noProof/>
              </w:rPr>
              <w:t>Factorul de emisie de la rezervor la siaj de CH</w:t>
            </w:r>
            <w:r>
              <w:rPr>
                <w:noProof/>
                <w:vertAlign w:val="subscript"/>
              </w:rPr>
              <w:t xml:space="preserve">4 </w:t>
            </w:r>
            <w:r>
              <w:rPr>
                <w:noProof/>
              </w:rPr>
              <w:t>în funcție de combustibilul i, astfel cum este definit în coloana 7 din tabelul de la punctul 2 din prezenta parte, pentru sursa de emisii și consumatorul de combustibil j.</w:t>
            </w:r>
          </w:p>
        </w:tc>
      </w:tr>
      <w:tr>
        <w:trPr>
          <w:jc w:val="center"/>
        </w:trPr>
        <w:tc>
          <w:tcPr>
            <w:tcW w:w="2727" w:type="dxa"/>
            <w:tcBorders>
              <w:top w:val="outset" w:sz="6" w:space="0" w:color="auto"/>
              <w:left w:val="outset" w:sz="6" w:space="0" w:color="auto"/>
              <w:bottom w:val="outset" w:sz="6" w:space="0" w:color="auto"/>
              <w:right w:val="outset" w:sz="6" w:space="0" w:color="auto"/>
            </w:tcBorders>
            <w:hideMark/>
          </w:tcPr>
          <w:p>
            <w:pPr>
              <w:jc w:val="left"/>
              <w:rPr>
                <w:noProof/>
              </w:rPr>
            </w:pPr>
            <m:oMathPara>
              <m:oMathParaPr>
                <m:jc m:val="left"/>
              </m:oMathParaPr>
              <m:oMath>
                <m:sSub>
                  <m:sSubPr>
                    <m:ctrlPr>
                      <w:rPr>
                        <w:rFonts w:ascii="Cambria Math" w:hAnsi="Cambria Math"/>
                        <w:i/>
                        <w:noProof/>
                      </w:rPr>
                    </m:ctrlPr>
                  </m:sSubPr>
                  <m:e>
                    <m:r>
                      <w:rPr>
                        <w:rFonts w:ascii="Cambria Math" w:hAnsi="Cambria Math"/>
                        <w:noProof/>
                      </w:rPr>
                      <m:t>C</m:t>
                    </m:r>
                  </m:e>
                  <m:sub>
                    <m:r>
                      <w:rPr>
                        <w:rFonts w:ascii="Cambria Math" w:hAnsi="Cambria Math"/>
                        <w:noProof/>
                      </w:rPr>
                      <m:t>f</m:t>
                    </m:r>
                    <m:sSub>
                      <m:sSubPr>
                        <m:ctrlPr>
                          <w:rPr>
                            <w:rFonts w:ascii="Cambria Math" w:hAnsi="Cambria Math"/>
                            <w:i/>
                            <w:noProof/>
                          </w:rPr>
                        </m:ctrlPr>
                      </m:sSubPr>
                      <m:e>
                        <m:r>
                          <w:rPr>
                            <w:rFonts w:ascii="Cambria Math" w:hAnsi="Cambria Math"/>
                            <w:noProof/>
                          </w:rPr>
                          <m:t>N</m:t>
                        </m:r>
                      </m:e>
                      <m:sub>
                        <m:r>
                          <w:rPr>
                            <w:rFonts w:ascii="Cambria Math" w:hAnsi="Cambria Math"/>
                            <w:noProof/>
                          </w:rPr>
                          <m:t>2</m:t>
                        </m:r>
                      </m:sub>
                    </m:sSub>
                    <m:sSub>
                      <m:sSubPr>
                        <m:ctrlPr>
                          <w:rPr>
                            <w:rFonts w:ascii="Cambria Math" w:hAnsi="Cambria Math"/>
                            <w:i/>
                            <w:noProof/>
                          </w:rPr>
                        </m:ctrlPr>
                      </m:sSubPr>
                      <m:e>
                        <m:r>
                          <w:rPr>
                            <w:rFonts w:ascii="Cambria Math" w:hAnsi="Cambria Math"/>
                            <w:noProof/>
                          </w:rPr>
                          <m:t>O</m:t>
                        </m:r>
                      </m:e>
                      <m:sub>
                        <m:r>
                          <w:rPr>
                            <w:rFonts w:ascii="Cambria Math" w:hAnsi="Cambria Math"/>
                            <w:noProof/>
                          </w:rPr>
                          <m:t>,i,j</m:t>
                        </m:r>
                      </m:sub>
                    </m:sSub>
                  </m:sub>
                </m:sSub>
              </m:oMath>
            </m:oMathPara>
          </w:p>
          <w:p>
            <w:pPr>
              <w:jc w:val="left"/>
              <w:rPr>
                <w:noProof/>
              </w:rPr>
            </w:pPr>
          </w:p>
        </w:tc>
        <w:tc>
          <w:tcPr>
            <w:tcW w:w="6405" w:type="dxa"/>
            <w:tcBorders>
              <w:top w:val="outset" w:sz="6" w:space="0" w:color="auto"/>
              <w:left w:val="outset" w:sz="6" w:space="0" w:color="auto"/>
              <w:bottom w:val="outset" w:sz="6" w:space="0" w:color="auto"/>
              <w:right w:val="outset" w:sz="6" w:space="0" w:color="auto"/>
            </w:tcBorders>
            <w:hideMark/>
          </w:tcPr>
          <w:p>
            <w:pPr>
              <w:rPr>
                <w:noProof/>
              </w:rPr>
            </w:pPr>
            <w:r>
              <w:rPr>
                <w:noProof/>
              </w:rPr>
              <w:t>Factorul de emisie de la rezervor la siaj de N</w:t>
            </w:r>
            <w:r>
              <w:rPr>
                <w:noProof/>
                <w:vertAlign w:val="subscript"/>
              </w:rPr>
              <w:t>2</w:t>
            </w:r>
            <w:r>
              <w:rPr>
                <w:noProof/>
              </w:rPr>
              <w:t>O</w:t>
            </w:r>
            <w:r>
              <w:rPr>
                <w:noProof/>
                <w:vertAlign w:val="subscript"/>
              </w:rPr>
              <w:t xml:space="preserve"> </w:t>
            </w:r>
            <w:r>
              <w:rPr>
                <w:noProof/>
              </w:rPr>
              <w:t>în funcție de combustibilul i, astfel cum este definit în coloana 8 din tabelul de la punctul 2 din prezenta parte, pentru sursa de emisii și consumatorul de combustibil j.</w:t>
            </w:r>
          </w:p>
        </w:tc>
      </w:tr>
      <w:tr>
        <w:trPr>
          <w:trHeight w:val="300"/>
          <w:jc w:val="center"/>
        </w:trPr>
        <w:tc>
          <w:tcPr>
            <w:tcW w:w="2727" w:type="dxa"/>
            <w:tcBorders>
              <w:top w:val="outset" w:sz="6" w:space="0" w:color="auto"/>
              <w:left w:val="outset" w:sz="6" w:space="0" w:color="auto"/>
              <w:bottom w:val="outset" w:sz="6" w:space="0" w:color="auto"/>
              <w:right w:val="outset" w:sz="6" w:space="0" w:color="auto"/>
            </w:tcBorders>
            <w:hideMark/>
          </w:tcPr>
          <w:p>
            <w:pPr>
              <w:jc w:val="left"/>
              <w:rPr>
                <w:noProof/>
              </w:rPr>
            </w:pPr>
          </w:p>
          <w:p>
            <w:pPr>
              <w:jc w:val="left"/>
              <w:rPr>
                <w:noProof/>
              </w:rPr>
            </w:pPr>
            <m:oMathPara>
              <m:oMath>
                <m:sSub>
                  <m:sSubPr>
                    <m:ctrlPr>
                      <w:rPr>
                        <w:rFonts w:ascii="Cambria Math" w:hAnsi="Cambria Math"/>
                        <w:i/>
                        <w:noProof/>
                      </w:rPr>
                    </m:ctrlPr>
                  </m:sSubPr>
                  <m:e>
                    <m:r>
                      <w:rPr>
                        <w:rFonts w:ascii="Cambria Math" w:hAnsi="Cambria Math"/>
                        <w:noProof/>
                      </w:rPr>
                      <m:t>C</m:t>
                    </m:r>
                  </m:e>
                  <m:sub>
                    <m:r>
                      <w:rPr>
                        <w:rFonts w:ascii="Cambria Math" w:hAnsi="Cambria Math"/>
                        <w:noProof/>
                      </w:rPr>
                      <m:t>sf</m:t>
                    </m:r>
                    <m:sSub>
                      <m:sSubPr>
                        <m:ctrlPr>
                          <w:rPr>
                            <w:rFonts w:ascii="Cambria Math" w:hAnsi="Cambria Math"/>
                            <w:i/>
                            <w:noProof/>
                          </w:rPr>
                        </m:ctrlPr>
                      </m:sSubPr>
                      <m:e>
                        <m:r>
                          <w:rPr>
                            <w:rFonts w:ascii="Cambria Math" w:hAnsi="Cambria Math"/>
                            <w:noProof/>
                          </w:rPr>
                          <m:t>CO</m:t>
                        </m:r>
                      </m:e>
                      <m:sub>
                        <m:r>
                          <w:rPr>
                            <w:rFonts w:ascii="Cambria Math" w:hAnsi="Cambria Math"/>
                            <w:noProof/>
                          </w:rPr>
                          <m:t>2i,j,</m:t>
                        </m:r>
                      </m:sub>
                    </m:sSub>
                  </m:sub>
                </m:sSub>
                <m:r>
                  <w:rPr>
                    <w:rFonts w:ascii="Cambria Math" w:hAnsi="Cambria Math"/>
                    <w:noProof/>
                  </w:rPr>
                  <m:t>,</m:t>
                </m:r>
                <m:sSub>
                  <m:sSubPr>
                    <m:ctrlPr>
                      <w:rPr>
                        <w:rFonts w:ascii="Cambria Math" w:hAnsi="Cambria Math"/>
                        <w:i/>
                        <w:noProof/>
                      </w:rPr>
                    </m:ctrlPr>
                  </m:sSubPr>
                  <m:e>
                    <m:r>
                      <w:rPr>
                        <w:rFonts w:ascii="Cambria Math" w:hAnsi="Cambria Math"/>
                        <w:noProof/>
                      </w:rPr>
                      <m:t>C</m:t>
                    </m:r>
                  </m:e>
                  <m:sub>
                    <m:r>
                      <w:rPr>
                        <w:rFonts w:ascii="Cambria Math" w:hAnsi="Cambria Math"/>
                        <w:noProof/>
                      </w:rPr>
                      <m:t>sf</m:t>
                    </m:r>
                    <m:sSub>
                      <m:sSubPr>
                        <m:ctrlPr>
                          <w:rPr>
                            <w:rFonts w:ascii="Cambria Math" w:hAnsi="Cambria Math"/>
                            <w:i/>
                            <w:noProof/>
                          </w:rPr>
                        </m:ctrlPr>
                      </m:sSubPr>
                      <m:e>
                        <m:r>
                          <w:rPr>
                            <w:rFonts w:ascii="Cambria Math" w:hAnsi="Cambria Math"/>
                            <w:noProof/>
                          </w:rPr>
                          <m:t>CH</m:t>
                        </m:r>
                      </m:e>
                      <m:sub>
                        <m:r>
                          <w:rPr>
                            <w:rFonts w:ascii="Cambria Math" w:hAnsi="Cambria Math"/>
                            <w:noProof/>
                          </w:rPr>
                          <m:t>4,i,j</m:t>
                        </m:r>
                      </m:sub>
                    </m:sSub>
                  </m:sub>
                </m:sSub>
                <m:r>
                  <w:rPr>
                    <w:rFonts w:ascii="Cambria Math" w:hAnsi="Cambria Math"/>
                    <w:noProof/>
                  </w:rPr>
                  <m:t>,</m:t>
                </m:r>
                <m:sSub>
                  <m:sSubPr>
                    <m:ctrlPr>
                      <w:rPr>
                        <w:rFonts w:ascii="Cambria Math" w:hAnsi="Cambria Math"/>
                        <w:i/>
                        <w:noProof/>
                      </w:rPr>
                    </m:ctrlPr>
                  </m:sSubPr>
                  <m:e>
                    <m:r>
                      <w:rPr>
                        <w:rFonts w:ascii="Cambria Math" w:hAnsi="Cambria Math"/>
                        <w:noProof/>
                      </w:rPr>
                      <m:t>C</m:t>
                    </m:r>
                  </m:e>
                  <m:sub>
                    <m:r>
                      <w:rPr>
                        <w:rFonts w:ascii="Cambria Math" w:hAnsi="Cambria Math"/>
                        <w:noProof/>
                      </w:rPr>
                      <m:t>sf</m:t>
                    </m:r>
                    <m:sSub>
                      <m:sSubPr>
                        <m:ctrlPr>
                          <w:rPr>
                            <w:rFonts w:ascii="Cambria Math" w:hAnsi="Cambria Math"/>
                            <w:i/>
                            <w:noProof/>
                          </w:rPr>
                        </m:ctrlPr>
                      </m:sSubPr>
                      <m:e>
                        <m:r>
                          <w:rPr>
                            <w:rFonts w:ascii="Cambria Math" w:hAnsi="Cambria Math"/>
                            <w:noProof/>
                          </w:rPr>
                          <m:t>N</m:t>
                        </m:r>
                      </m:e>
                      <m:sub>
                        <m:r>
                          <w:rPr>
                            <w:rFonts w:ascii="Cambria Math" w:hAnsi="Cambria Math"/>
                            <w:noProof/>
                          </w:rPr>
                          <m:t>2</m:t>
                        </m:r>
                      </m:sub>
                    </m:sSub>
                    <m:sSub>
                      <m:sSubPr>
                        <m:ctrlPr>
                          <w:rPr>
                            <w:rFonts w:ascii="Cambria Math" w:hAnsi="Cambria Math"/>
                            <w:i/>
                            <w:noProof/>
                          </w:rPr>
                        </m:ctrlPr>
                      </m:sSubPr>
                      <m:e>
                        <m:r>
                          <w:rPr>
                            <w:rFonts w:ascii="Cambria Math" w:hAnsi="Cambria Math"/>
                            <w:noProof/>
                          </w:rPr>
                          <m:t>O</m:t>
                        </m:r>
                      </m:e>
                      <m:sub>
                        <m:r>
                          <w:rPr>
                            <w:rFonts w:ascii="Cambria Math" w:hAnsi="Cambria Math"/>
                            <w:noProof/>
                          </w:rPr>
                          <m:t>, i,j</m:t>
                        </m:r>
                      </m:sub>
                    </m:sSub>
                  </m:sub>
                </m:sSub>
              </m:oMath>
            </m:oMathPara>
          </w:p>
        </w:tc>
        <w:tc>
          <w:tcPr>
            <w:tcW w:w="6405" w:type="dxa"/>
            <w:tcBorders>
              <w:top w:val="outset" w:sz="6" w:space="0" w:color="auto"/>
              <w:left w:val="outset" w:sz="6" w:space="0" w:color="auto"/>
              <w:bottom w:val="outset" w:sz="6" w:space="0" w:color="auto"/>
              <w:right w:val="outset" w:sz="6" w:space="0" w:color="auto"/>
            </w:tcBorders>
            <w:hideMark/>
          </w:tcPr>
          <w:p>
            <w:pPr>
              <w:rPr>
                <w:noProof/>
              </w:rPr>
            </w:pPr>
            <w:r>
              <w:rPr>
                <w:noProof/>
              </w:rPr>
              <w:t>Factorii de emisie de GES TtW în funcție de combustibilul pierdut i către sursa de emisii și consumatorul de combustibil j[gGHG/gFuel].</w:t>
            </w:r>
          </w:p>
        </w:tc>
      </w:tr>
      <w:tr>
        <w:trPr>
          <w:trHeight w:val="300"/>
          <w:jc w:val="center"/>
        </w:trPr>
        <w:tc>
          <w:tcPr>
            <w:tcW w:w="2727" w:type="dxa"/>
            <w:tcBorders>
              <w:top w:val="outset" w:sz="6" w:space="0" w:color="auto"/>
              <w:left w:val="outset" w:sz="6" w:space="0" w:color="auto"/>
              <w:bottom w:val="outset" w:sz="6" w:space="0" w:color="auto"/>
              <w:right w:val="outset" w:sz="6" w:space="0" w:color="auto"/>
            </w:tcBorders>
            <w:hideMark/>
          </w:tcPr>
          <w:p>
            <w:pPr>
              <w:jc w:val="left"/>
              <w:rPr>
                <w:noProof/>
              </w:rPr>
            </w:pPr>
            <w:r>
              <w:rPr>
                <w:noProof/>
              </w:rPr>
              <w:t>CO</w:t>
            </w:r>
            <w:r>
              <w:rPr>
                <w:noProof/>
                <w:vertAlign w:val="subscript"/>
              </w:rPr>
              <w:t>2echivalent, TtWalunecare i,j</w:t>
            </w:r>
          </w:p>
        </w:tc>
        <w:tc>
          <w:tcPr>
            <w:tcW w:w="6405" w:type="dxa"/>
            <w:tcBorders>
              <w:top w:val="outset" w:sz="6" w:space="0" w:color="auto"/>
              <w:left w:val="outset" w:sz="6" w:space="0" w:color="auto"/>
              <w:bottom w:val="outset" w:sz="6" w:space="0" w:color="auto"/>
              <w:right w:val="outset" w:sz="6" w:space="0" w:color="auto"/>
            </w:tcBorders>
            <w:hideMark/>
          </w:tcPr>
          <w:p>
            <w:pPr>
              <w:rPr>
                <w:rFonts w:eastAsiaTheme="minorEastAsia"/>
                <w:noProof/>
              </w:rPr>
            </w:pPr>
            <w:r>
              <w:rPr>
                <w:noProof/>
              </w:rPr>
              <w:t>Emisiile de CO</w:t>
            </w:r>
            <w:r>
              <w:rPr>
                <w:noProof/>
                <w:vertAlign w:val="subscript"/>
              </w:rPr>
              <w:t xml:space="preserve">2 </w:t>
            </w:r>
            <w:r>
              <w:rPr>
                <w:noProof/>
              </w:rPr>
              <w:t>echivalent TTW ale combustibilului pierdut i către sursa de emisii și consumatorul de combustibil j [gCO</w:t>
            </w:r>
            <w:r>
              <w:rPr>
                <w:noProof/>
                <w:vertAlign w:val="subscript"/>
              </w:rPr>
              <w:t>2echivalent</w:t>
            </w:r>
            <w:r>
              <w:rPr>
                <w:noProof/>
              </w:rPr>
              <w:t>/gFuel]</w:t>
            </w:r>
          </w:p>
          <w:p>
            <w:pPr>
              <w:rPr>
                <w:rFonts w:eastAsiaTheme="minorEastAsia"/>
                <w:noProof/>
                <w:sz w:val="20"/>
                <w:szCs w:val="18"/>
              </w:rPr>
            </w:pPr>
            <m:oMathPara>
              <m:oMath>
                <m:sSub>
                  <m:sSubPr>
                    <m:ctrlPr>
                      <w:rPr>
                        <w:rFonts w:ascii="Cambria Math" w:eastAsiaTheme="minorEastAsia" w:hAnsi="Cambria Math"/>
                        <w:i/>
                        <w:noProof/>
                        <w:sz w:val="20"/>
                        <w:szCs w:val="18"/>
                      </w:rPr>
                    </m:ctrlPr>
                  </m:sSubPr>
                  <m:e>
                    <m:r>
                      <w:rPr>
                        <w:rFonts w:ascii="Cambria Math" w:eastAsiaTheme="minorEastAsia" w:hAnsi="Cambria Math"/>
                        <w:noProof/>
                        <w:sz w:val="20"/>
                        <w:szCs w:val="18"/>
                      </w:rPr>
                      <m:t>CO</m:t>
                    </m:r>
                  </m:e>
                  <m:sub>
                    <m:r>
                      <w:rPr>
                        <w:rFonts w:ascii="Cambria Math" w:eastAsiaTheme="minorEastAsia" w:hAnsi="Cambria Math"/>
                        <w:noProof/>
                        <w:sz w:val="20"/>
                        <w:szCs w:val="18"/>
                      </w:rPr>
                      <m:t>2echivalent, TtWalunecarei,j</m:t>
                    </m:r>
                  </m:sub>
                </m:sSub>
                <m:r>
                  <w:rPr>
                    <w:rFonts w:ascii="Cambria Math" w:eastAsiaTheme="minorEastAsia" w:hAnsi="Cambria Math"/>
                    <w:noProof/>
                    <w:sz w:val="20"/>
                    <w:szCs w:val="18"/>
                  </w:rPr>
                  <m:t>=</m:t>
                </m:r>
                <m:sSub>
                  <m:sSubPr>
                    <m:ctrlPr>
                      <w:rPr>
                        <w:rFonts w:ascii="Cambria Math" w:eastAsiaTheme="minorEastAsia" w:hAnsi="Cambria Math"/>
                        <w:i/>
                        <w:noProof/>
                        <w:sz w:val="20"/>
                        <w:szCs w:val="18"/>
                      </w:rPr>
                    </m:ctrlPr>
                  </m:sSubPr>
                  <m:e>
                    <m:d>
                      <m:dPr>
                        <m:ctrlPr>
                          <w:rPr>
                            <w:rFonts w:ascii="Cambria Math" w:eastAsiaTheme="minorEastAsia" w:hAnsi="Cambria Math"/>
                            <w:i/>
                            <w:noProof/>
                            <w:sz w:val="20"/>
                            <w:szCs w:val="18"/>
                          </w:rPr>
                        </m:ctrlPr>
                      </m:dPr>
                      <m:e>
                        <m:sSub>
                          <m:sSubPr>
                            <m:ctrlPr>
                              <w:rPr>
                                <w:rFonts w:ascii="Cambria Math" w:eastAsiaTheme="minorEastAsia" w:hAnsi="Cambria Math"/>
                                <w:i/>
                                <w:noProof/>
                                <w:sz w:val="20"/>
                                <w:szCs w:val="18"/>
                              </w:rPr>
                            </m:ctrlPr>
                          </m:sSubPr>
                          <m:e>
                            <m:r>
                              <w:rPr>
                                <w:rFonts w:ascii="Cambria Math" w:eastAsiaTheme="minorEastAsia" w:hAnsi="Cambria Math"/>
                                <w:noProof/>
                                <w:sz w:val="20"/>
                                <w:szCs w:val="18"/>
                              </w:rPr>
                              <m:t>C</m:t>
                            </m:r>
                          </m:e>
                          <m:sub>
                            <m:r>
                              <w:rPr>
                                <w:rFonts w:ascii="Cambria Math" w:eastAsiaTheme="minorEastAsia" w:hAnsi="Cambria Math"/>
                                <w:noProof/>
                                <w:sz w:val="20"/>
                                <w:szCs w:val="18"/>
                              </w:rPr>
                              <m:t>sf</m:t>
                            </m:r>
                            <m:sSub>
                              <m:sSubPr>
                                <m:ctrlPr>
                                  <w:rPr>
                                    <w:rFonts w:ascii="Cambria Math" w:eastAsiaTheme="minorEastAsia" w:hAnsi="Cambria Math"/>
                                    <w:i/>
                                    <w:noProof/>
                                    <w:sz w:val="20"/>
                                    <w:szCs w:val="18"/>
                                  </w:rPr>
                                </m:ctrlPr>
                              </m:sSubPr>
                              <m:e>
                                <m:r>
                                  <w:rPr>
                                    <w:rFonts w:ascii="Cambria Math" w:eastAsiaTheme="minorEastAsia" w:hAnsi="Cambria Math"/>
                                    <w:noProof/>
                                    <w:sz w:val="20"/>
                                    <w:szCs w:val="18"/>
                                  </w:rPr>
                                  <m:t>CO</m:t>
                                </m:r>
                              </m:e>
                              <m:sub>
                                <m:r>
                                  <w:rPr>
                                    <w:rFonts w:ascii="Cambria Math" w:eastAsiaTheme="minorEastAsia" w:hAnsi="Cambria Math"/>
                                    <w:noProof/>
                                    <w:sz w:val="20"/>
                                    <w:szCs w:val="18"/>
                                  </w:rPr>
                                  <m:t>2, j</m:t>
                                </m:r>
                              </m:sub>
                            </m:sSub>
                          </m:sub>
                        </m:sSub>
                        <m:r>
                          <w:rPr>
                            <w:rFonts w:ascii="Cambria Math" w:eastAsiaTheme="minorEastAsia" w:hAnsi="Cambria Math"/>
                            <w:noProof/>
                            <w:sz w:val="20"/>
                            <w:szCs w:val="18"/>
                          </w:rPr>
                          <m:t>×</m:t>
                        </m:r>
                        <m:sSub>
                          <m:sSubPr>
                            <m:ctrlPr>
                              <w:rPr>
                                <w:rFonts w:ascii="Cambria Math" w:eastAsiaTheme="minorEastAsia" w:hAnsi="Cambria Math"/>
                                <w:i/>
                                <w:noProof/>
                                <w:sz w:val="20"/>
                                <w:szCs w:val="18"/>
                              </w:rPr>
                            </m:ctrlPr>
                          </m:sSubPr>
                          <m:e>
                            <m:r>
                              <w:rPr>
                                <w:rFonts w:ascii="Cambria Math" w:eastAsiaTheme="minorEastAsia" w:hAnsi="Cambria Math"/>
                                <w:noProof/>
                                <w:sz w:val="20"/>
                                <w:szCs w:val="18"/>
                              </w:rPr>
                              <m:t>GWP</m:t>
                            </m:r>
                          </m:e>
                          <m:sub>
                            <m:sSub>
                              <m:sSubPr>
                                <m:ctrlPr>
                                  <w:rPr>
                                    <w:rFonts w:ascii="Cambria Math" w:eastAsiaTheme="minorEastAsia" w:hAnsi="Cambria Math"/>
                                    <w:i/>
                                    <w:noProof/>
                                    <w:sz w:val="20"/>
                                    <w:szCs w:val="18"/>
                                  </w:rPr>
                                </m:ctrlPr>
                              </m:sSubPr>
                              <m:e>
                                <m:r>
                                  <w:rPr>
                                    <w:rFonts w:ascii="Cambria Math" w:eastAsiaTheme="minorEastAsia" w:hAnsi="Cambria Math"/>
                                    <w:noProof/>
                                    <w:sz w:val="20"/>
                                    <w:szCs w:val="18"/>
                                  </w:rPr>
                                  <m:t>CO</m:t>
                                </m:r>
                              </m:e>
                              <m:sub>
                                <m:r>
                                  <w:rPr>
                                    <w:rFonts w:ascii="Cambria Math" w:eastAsiaTheme="minorEastAsia" w:hAnsi="Cambria Math"/>
                                    <w:noProof/>
                                    <w:sz w:val="20"/>
                                    <w:szCs w:val="18"/>
                                  </w:rPr>
                                  <m:t>2</m:t>
                                </m:r>
                              </m:sub>
                            </m:sSub>
                          </m:sub>
                        </m:sSub>
                        <m:r>
                          <w:rPr>
                            <w:rFonts w:ascii="Cambria Math" w:eastAsiaTheme="minorEastAsia" w:hAnsi="Cambria Math"/>
                            <w:noProof/>
                            <w:sz w:val="20"/>
                            <w:szCs w:val="18"/>
                          </w:rPr>
                          <m:t>+</m:t>
                        </m:r>
                        <m:sSub>
                          <m:sSubPr>
                            <m:ctrlPr>
                              <w:rPr>
                                <w:rFonts w:ascii="Cambria Math" w:eastAsiaTheme="minorEastAsia" w:hAnsi="Cambria Math"/>
                                <w:i/>
                                <w:noProof/>
                                <w:sz w:val="20"/>
                                <w:szCs w:val="18"/>
                              </w:rPr>
                            </m:ctrlPr>
                          </m:sSubPr>
                          <m:e>
                            <m:r>
                              <w:rPr>
                                <w:rFonts w:ascii="Cambria Math" w:eastAsiaTheme="minorEastAsia" w:hAnsi="Cambria Math"/>
                                <w:noProof/>
                                <w:sz w:val="20"/>
                                <w:szCs w:val="18"/>
                              </w:rPr>
                              <m:t>C</m:t>
                            </m:r>
                          </m:e>
                          <m:sub>
                            <m:r>
                              <w:rPr>
                                <w:rFonts w:ascii="Cambria Math" w:eastAsiaTheme="minorEastAsia" w:hAnsi="Cambria Math"/>
                                <w:noProof/>
                                <w:sz w:val="20"/>
                                <w:szCs w:val="18"/>
                              </w:rPr>
                              <m:t>sf</m:t>
                            </m:r>
                            <m:sSub>
                              <m:sSubPr>
                                <m:ctrlPr>
                                  <w:rPr>
                                    <w:rFonts w:ascii="Cambria Math" w:eastAsiaTheme="minorEastAsia" w:hAnsi="Cambria Math"/>
                                    <w:i/>
                                    <w:noProof/>
                                    <w:sz w:val="20"/>
                                    <w:szCs w:val="18"/>
                                  </w:rPr>
                                </m:ctrlPr>
                              </m:sSubPr>
                              <m:e>
                                <m:r>
                                  <w:rPr>
                                    <w:rFonts w:ascii="Cambria Math" w:eastAsiaTheme="minorEastAsia" w:hAnsi="Cambria Math"/>
                                    <w:noProof/>
                                    <w:sz w:val="20"/>
                                    <w:szCs w:val="18"/>
                                  </w:rPr>
                                  <m:t>CH</m:t>
                                </m:r>
                              </m:e>
                              <m:sub>
                                <m:r>
                                  <w:rPr>
                                    <w:rFonts w:ascii="Cambria Math" w:eastAsiaTheme="minorEastAsia" w:hAnsi="Cambria Math"/>
                                    <w:noProof/>
                                    <w:sz w:val="20"/>
                                    <w:szCs w:val="18"/>
                                  </w:rPr>
                                  <m:t>4j</m:t>
                                </m:r>
                              </m:sub>
                            </m:sSub>
                          </m:sub>
                        </m:sSub>
                        <m:r>
                          <w:rPr>
                            <w:rFonts w:ascii="Cambria Math" w:eastAsiaTheme="minorEastAsia" w:hAnsi="Cambria Math"/>
                            <w:noProof/>
                            <w:sz w:val="20"/>
                            <w:szCs w:val="18"/>
                          </w:rPr>
                          <m:t>×</m:t>
                        </m:r>
                        <m:sSub>
                          <m:sSubPr>
                            <m:ctrlPr>
                              <w:rPr>
                                <w:rFonts w:ascii="Cambria Math" w:eastAsiaTheme="minorEastAsia" w:hAnsi="Cambria Math"/>
                                <w:i/>
                                <w:noProof/>
                                <w:sz w:val="20"/>
                                <w:szCs w:val="18"/>
                              </w:rPr>
                            </m:ctrlPr>
                          </m:sSubPr>
                          <m:e>
                            <m:r>
                              <w:rPr>
                                <w:rFonts w:ascii="Cambria Math" w:eastAsiaTheme="minorEastAsia" w:hAnsi="Cambria Math"/>
                                <w:noProof/>
                                <w:sz w:val="20"/>
                                <w:szCs w:val="18"/>
                              </w:rPr>
                              <m:t>GWP</m:t>
                            </m:r>
                          </m:e>
                          <m:sub>
                            <m:sSub>
                              <m:sSubPr>
                                <m:ctrlPr>
                                  <w:rPr>
                                    <w:rFonts w:ascii="Cambria Math" w:eastAsiaTheme="minorEastAsia" w:hAnsi="Cambria Math"/>
                                    <w:i/>
                                    <w:noProof/>
                                    <w:sz w:val="20"/>
                                    <w:szCs w:val="18"/>
                                  </w:rPr>
                                </m:ctrlPr>
                              </m:sSubPr>
                              <m:e>
                                <m:r>
                                  <w:rPr>
                                    <w:rFonts w:ascii="Cambria Math" w:eastAsiaTheme="minorEastAsia" w:hAnsi="Cambria Math"/>
                                    <w:noProof/>
                                    <w:sz w:val="20"/>
                                    <w:szCs w:val="18"/>
                                  </w:rPr>
                                  <m:t>CH</m:t>
                                </m:r>
                              </m:e>
                              <m:sub>
                                <m:r>
                                  <w:rPr>
                                    <w:rFonts w:ascii="Cambria Math" w:eastAsiaTheme="minorEastAsia" w:hAnsi="Cambria Math"/>
                                    <w:noProof/>
                                    <w:sz w:val="20"/>
                                    <w:szCs w:val="18"/>
                                  </w:rPr>
                                  <m:t>4</m:t>
                                </m:r>
                              </m:sub>
                            </m:sSub>
                          </m:sub>
                        </m:sSub>
                        <m:r>
                          <w:rPr>
                            <w:rFonts w:ascii="Cambria Math" w:eastAsiaTheme="minorEastAsia" w:hAnsi="Cambria Math"/>
                            <w:noProof/>
                            <w:sz w:val="20"/>
                            <w:szCs w:val="18"/>
                          </w:rPr>
                          <m:t>+</m:t>
                        </m:r>
                        <m:sSub>
                          <m:sSubPr>
                            <m:ctrlPr>
                              <w:rPr>
                                <w:rFonts w:ascii="Cambria Math" w:eastAsiaTheme="minorEastAsia" w:hAnsi="Cambria Math"/>
                                <w:i/>
                                <w:noProof/>
                                <w:sz w:val="20"/>
                                <w:szCs w:val="18"/>
                              </w:rPr>
                            </m:ctrlPr>
                          </m:sSubPr>
                          <m:e>
                            <m:r>
                              <w:rPr>
                                <w:rFonts w:ascii="Cambria Math" w:eastAsiaTheme="minorEastAsia" w:hAnsi="Cambria Math"/>
                                <w:noProof/>
                                <w:sz w:val="20"/>
                                <w:szCs w:val="18"/>
                              </w:rPr>
                              <m:t>C</m:t>
                            </m:r>
                          </m:e>
                          <m:sub>
                            <m:r>
                              <w:rPr>
                                <w:rFonts w:ascii="Cambria Math" w:eastAsiaTheme="minorEastAsia" w:hAnsi="Cambria Math"/>
                                <w:noProof/>
                                <w:sz w:val="20"/>
                                <w:szCs w:val="18"/>
                              </w:rPr>
                              <m:t>sf</m:t>
                            </m:r>
                            <m:sSub>
                              <m:sSubPr>
                                <m:ctrlPr>
                                  <w:rPr>
                                    <w:rFonts w:ascii="Cambria Math" w:eastAsiaTheme="minorEastAsia" w:hAnsi="Cambria Math"/>
                                    <w:i/>
                                    <w:noProof/>
                                    <w:sz w:val="20"/>
                                    <w:szCs w:val="18"/>
                                  </w:rPr>
                                </m:ctrlPr>
                              </m:sSubPr>
                              <m:e>
                                <m:r>
                                  <w:rPr>
                                    <w:rFonts w:ascii="Cambria Math" w:eastAsiaTheme="minorEastAsia" w:hAnsi="Cambria Math"/>
                                    <w:noProof/>
                                    <w:sz w:val="20"/>
                                    <w:szCs w:val="18"/>
                                  </w:rPr>
                                  <m:t>N</m:t>
                                </m:r>
                              </m:e>
                              <m:sub>
                                <m:r>
                                  <w:rPr>
                                    <w:rFonts w:ascii="Cambria Math" w:eastAsiaTheme="minorEastAsia" w:hAnsi="Cambria Math"/>
                                    <w:noProof/>
                                    <w:sz w:val="20"/>
                                    <w:szCs w:val="18"/>
                                  </w:rPr>
                                  <m:t>2</m:t>
                                </m:r>
                              </m:sub>
                            </m:sSub>
                            <m:sSub>
                              <m:sSubPr>
                                <m:ctrlPr>
                                  <w:rPr>
                                    <w:rFonts w:ascii="Cambria Math" w:eastAsiaTheme="minorEastAsia" w:hAnsi="Cambria Math"/>
                                    <w:i/>
                                    <w:noProof/>
                                    <w:sz w:val="20"/>
                                    <w:szCs w:val="18"/>
                                  </w:rPr>
                                </m:ctrlPr>
                              </m:sSubPr>
                              <m:e>
                                <m:r>
                                  <w:rPr>
                                    <w:rFonts w:ascii="Cambria Math" w:eastAsiaTheme="minorEastAsia" w:hAnsi="Cambria Math"/>
                                    <w:noProof/>
                                    <w:sz w:val="20"/>
                                    <w:szCs w:val="18"/>
                                  </w:rPr>
                                  <m:t>O,</m:t>
                                </m:r>
                              </m:e>
                              <m:sub>
                                <m:r>
                                  <w:rPr>
                                    <w:rFonts w:ascii="Cambria Math" w:eastAsiaTheme="minorEastAsia" w:hAnsi="Cambria Math"/>
                                    <w:noProof/>
                                    <w:sz w:val="20"/>
                                    <w:szCs w:val="18"/>
                                  </w:rPr>
                                  <m:t>J</m:t>
                                </m:r>
                              </m:sub>
                            </m:sSub>
                          </m:sub>
                        </m:sSub>
                        <m:r>
                          <w:rPr>
                            <w:rFonts w:ascii="Cambria Math" w:eastAsiaTheme="minorEastAsia" w:hAnsi="Cambria Math"/>
                            <w:noProof/>
                            <w:sz w:val="20"/>
                            <w:szCs w:val="18"/>
                          </w:rPr>
                          <m:t>×</m:t>
                        </m:r>
                        <m:sSub>
                          <m:sSubPr>
                            <m:ctrlPr>
                              <w:rPr>
                                <w:rFonts w:ascii="Cambria Math" w:eastAsiaTheme="minorEastAsia" w:hAnsi="Cambria Math"/>
                                <w:i/>
                                <w:noProof/>
                                <w:sz w:val="20"/>
                                <w:szCs w:val="18"/>
                              </w:rPr>
                            </m:ctrlPr>
                          </m:sSubPr>
                          <m:e>
                            <m:r>
                              <w:rPr>
                                <w:rFonts w:ascii="Cambria Math" w:eastAsiaTheme="minorEastAsia" w:hAnsi="Cambria Math"/>
                                <w:noProof/>
                                <w:sz w:val="20"/>
                                <w:szCs w:val="18"/>
                              </w:rPr>
                              <m:t>GWP</m:t>
                            </m:r>
                          </m:e>
                          <m:sub>
                            <m:sSub>
                              <m:sSubPr>
                                <m:ctrlPr>
                                  <w:rPr>
                                    <w:rFonts w:ascii="Cambria Math" w:eastAsiaTheme="minorEastAsia" w:hAnsi="Cambria Math"/>
                                    <w:i/>
                                    <w:noProof/>
                                    <w:sz w:val="20"/>
                                    <w:szCs w:val="18"/>
                                  </w:rPr>
                                </m:ctrlPr>
                              </m:sSubPr>
                              <m:e>
                                <m:r>
                                  <w:rPr>
                                    <w:rFonts w:ascii="Cambria Math" w:eastAsiaTheme="minorEastAsia" w:hAnsi="Cambria Math"/>
                                    <w:noProof/>
                                    <w:sz w:val="20"/>
                                    <w:szCs w:val="18"/>
                                  </w:rPr>
                                  <m:t>N</m:t>
                                </m:r>
                              </m:e>
                              <m:sub>
                                <m:r>
                                  <w:rPr>
                                    <w:rFonts w:ascii="Cambria Math" w:eastAsiaTheme="minorEastAsia" w:hAnsi="Cambria Math"/>
                                    <w:noProof/>
                                    <w:sz w:val="20"/>
                                    <w:szCs w:val="18"/>
                                  </w:rPr>
                                  <m:t>2</m:t>
                                </m:r>
                              </m:sub>
                            </m:sSub>
                            <m:r>
                              <w:rPr>
                                <w:rFonts w:ascii="Cambria Math" w:eastAsiaTheme="minorEastAsia" w:hAnsi="Cambria Math"/>
                                <w:noProof/>
                                <w:sz w:val="20"/>
                                <w:szCs w:val="18"/>
                              </w:rPr>
                              <m:t>O</m:t>
                            </m:r>
                          </m:sub>
                        </m:sSub>
                      </m:e>
                    </m:d>
                  </m:e>
                  <m:sub>
                    <m:r>
                      <w:rPr>
                        <w:rFonts w:ascii="Cambria Math" w:eastAsiaTheme="minorEastAsia" w:hAnsi="Cambria Math"/>
                        <w:noProof/>
                        <w:sz w:val="20"/>
                        <w:szCs w:val="18"/>
                      </w:rPr>
                      <m:t>i</m:t>
                    </m:r>
                  </m:sub>
                </m:sSub>
              </m:oMath>
            </m:oMathPara>
          </w:p>
          <w:p>
            <w:pPr>
              <w:rPr>
                <w:rFonts w:eastAsiaTheme="minorEastAsia"/>
                <w:noProof/>
              </w:rPr>
            </w:pPr>
          </w:p>
          <w:p>
            <w:pPr>
              <w:rPr>
                <w:rFonts w:eastAsiaTheme="minorEastAsia"/>
                <w:noProof/>
              </w:rPr>
            </w:pPr>
            <w:r>
              <w:rPr>
                <w:noProof/>
              </w:rPr>
              <w:t>unde: </w:t>
            </w:r>
            <w:r>
              <w:rPr>
                <w:i/>
                <w:noProof/>
              </w:rPr>
              <w:t>Csf CO</w:t>
            </w:r>
            <w:r>
              <w:rPr>
                <w:noProof/>
              </w:rPr>
              <w:t xml:space="preserve">2, și </w:t>
            </w:r>
            <w:r>
              <w:rPr>
                <w:i/>
                <w:noProof/>
              </w:rPr>
              <w:t>Csf N</w:t>
            </w:r>
            <w:r>
              <w:rPr>
                <w:noProof/>
              </w:rPr>
              <w:t>2</w:t>
            </w:r>
            <w:r>
              <w:rPr>
                <w:i/>
                <w:noProof/>
              </w:rPr>
              <w:t>O</w:t>
            </w:r>
            <w:r>
              <w:rPr>
                <w:noProof/>
              </w:rPr>
              <w:t>, = 0.</w:t>
            </w:r>
          </w:p>
          <w:p>
            <w:pPr>
              <w:rPr>
                <w:rFonts w:eastAsiaTheme="minorEastAsia"/>
                <w:noProof/>
              </w:rPr>
            </w:pPr>
            <w:r>
              <w:rPr>
                <w:noProof/>
              </w:rPr>
              <w:lastRenderedPageBreak/>
              <w:t>C</w:t>
            </w:r>
            <w:r>
              <w:rPr>
                <w:noProof/>
                <w:vertAlign w:val="subscript"/>
              </w:rPr>
              <w:t>sfCH4j</w:t>
            </w:r>
            <w:r>
              <w:rPr>
                <w:noProof/>
              </w:rPr>
              <w:t xml:space="preserve"> = 1.</w:t>
            </w:r>
          </w:p>
          <w:p>
            <w:pPr>
              <w:rPr>
                <w:rFonts w:eastAsiaTheme="minorEastAsia"/>
                <w:noProof/>
              </w:rPr>
            </w:pPr>
          </w:p>
        </w:tc>
      </w:tr>
      <w:tr>
        <w:trPr>
          <w:trHeight w:val="300"/>
          <w:jc w:val="center"/>
        </w:trPr>
        <w:tc>
          <w:tcPr>
            <w:tcW w:w="2727" w:type="dxa"/>
            <w:tcBorders>
              <w:top w:val="outset" w:sz="6" w:space="0" w:color="auto"/>
              <w:left w:val="outset" w:sz="6" w:space="0" w:color="auto"/>
              <w:bottom w:val="outset" w:sz="6" w:space="0" w:color="auto"/>
              <w:right w:val="outset" w:sz="6" w:space="0" w:color="auto"/>
            </w:tcBorders>
            <w:hideMark/>
          </w:tcPr>
          <w:p>
            <w:pPr>
              <w:spacing w:before="60" w:after="60"/>
              <w:jc w:val="left"/>
              <w:rPr>
                <w:noProof/>
                <w:sz w:val="20"/>
                <w:szCs w:val="20"/>
                <w:vertAlign w:val="subscript"/>
              </w:rPr>
            </w:pPr>
            <w:r>
              <w:rPr>
                <w:noProof/>
                <w:sz w:val="20"/>
              </w:rPr>
              <w:lastRenderedPageBreak/>
              <w:t>CO</w:t>
            </w:r>
            <w:r>
              <w:rPr>
                <w:noProof/>
                <w:sz w:val="20"/>
                <w:vertAlign w:val="subscript"/>
              </w:rPr>
              <w:t>2echivalent,TtWi,j</w:t>
            </w:r>
          </w:p>
        </w:tc>
        <w:tc>
          <w:tcPr>
            <w:tcW w:w="6405" w:type="dxa"/>
            <w:tcBorders>
              <w:top w:val="outset" w:sz="6" w:space="0" w:color="auto"/>
              <w:left w:val="outset" w:sz="6" w:space="0" w:color="auto"/>
              <w:bottom w:val="outset" w:sz="6" w:space="0" w:color="auto"/>
              <w:right w:val="outset" w:sz="6" w:space="0" w:color="auto"/>
            </w:tcBorders>
            <w:hideMark/>
          </w:tcPr>
          <w:p>
            <w:pPr>
              <w:spacing w:before="60" w:after="60"/>
              <w:rPr>
                <w:noProof/>
                <w:szCs w:val="24"/>
              </w:rPr>
            </w:pPr>
            <w:r>
              <w:rPr>
                <w:noProof/>
                <w:szCs w:val="24"/>
              </w:rPr>
              <w:t>Factorul de emisie de CO</w:t>
            </w:r>
            <w:r>
              <w:rPr>
                <w:noProof/>
                <w:szCs w:val="24"/>
                <w:vertAlign w:val="subscript"/>
              </w:rPr>
              <w:t>2</w:t>
            </w:r>
            <w:r>
              <w:rPr>
                <w:noProof/>
                <w:szCs w:val="24"/>
              </w:rPr>
              <w:t xml:space="preserve"> echivalent TTW al combustibilului ars i în sursa de emisii j [gCO</w:t>
            </w:r>
            <w:r>
              <w:rPr>
                <w:noProof/>
                <w:szCs w:val="24"/>
                <w:vertAlign w:val="subscript"/>
              </w:rPr>
              <w:t>2</w:t>
            </w:r>
            <w:r>
              <w:rPr>
                <w:noProof/>
                <w:szCs w:val="24"/>
              </w:rPr>
              <w:t>echivalent/gFuel]</w:t>
            </w:r>
          </w:p>
          <w:p>
            <w:pPr>
              <w:rPr>
                <w:rFonts w:eastAsiaTheme="minorEastAsia"/>
                <w:noProof/>
                <w:sz w:val="20"/>
                <w:szCs w:val="18"/>
              </w:rPr>
            </w:pPr>
            <m:oMathPara>
              <m:oMath>
                <m:sSub>
                  <m:sSubPr>
                    <m:ctrlPr>
                      <w:rPr>
                        <w:rFonts w:ascii="Cambria Math" w:eastAsiaTheme="minorEastAsia" w:hAnsi="Cambria Math"/>
                        <w:i/>
                        <w:noProof/>
                        <w:sz w:val="20"/>
                        <w:szCs w:val="18"/>
                      </w:rPr>
                    </m:ctrlPr>
                  </m:sSubPr>
                  <m:e>
                    <m:r>
                      <w:rPr>
                        <w:rFonts w:ascii="Cambria Math" w:eastAsiaTheme="minorEastAsia" w:hAnsi="Cambria Math"/>
                        <w:noProof/>
                        <w:sz w:val="20"/>
                        <w:szCs w:val="18"/>
                      </w:rPr>
                      <m:t>CO</m:t>
                    </m:r>
                  </m:e>
                  <m:sub>
                    <m:r>
                      <w:rPr>
                        <w:rFonts w:ascii="Cambria Math" w:eastAsiaTheme="minorEastAsia" w:hAnsi="Cambria Math"/>
                        <w:noProof/>
                        <w:sz w:val="20"/>
                        <w:szCs w:val="18"/>
                      </w:rPr>
                      <m:t>2echivalent,TtWi,j</m:t>
                    </m:r>
                  </m:sub>
                </m:sSub>
                <m:r>
                  <w:rPr>
                    <w:rFonts w:ascii="Cambria Math" w:eastAsiaTheme="minorEastAsia" w:hAnsi="Cambria Math"/>
                    <w:noProof/>
                    <w:sz w:val="20"/>
                    <w:szCs w:val="18"/>
                  </w:rPr>
                  <m:t>=</m:t>
                </m:r>
                <m:sSub>
                  <m:sSubPr>
                    <m:ctrlPr>
                      <w:rPr>
                        <w:rFonts w:ascii="Cambria Math" w:eastAsiaTheme="minorEastAsia" w:hAnsi="Cambria Math"/>
                        <w:i/>
                        <w:noProof/>
                        <w:sz w:val="20"/>
                        <w:szCs w:val="18"/>
                      </w:rPr>
                    </m:ctrlPr>
                  </m:sSubPr>
                  <m:e>
                    <m:d>
                      <m:dPr>
                        <m:ctrlPr>
                          <w:rPr>
                            <w:rFonts w:ascii="Cambria Math" w:eastAsiaTheme="minorEastAsia" w:hAnsi="Cambria Math"/>
                            <w:i/>
                            <w:noProof/>
                            <w:sz w:val="20"/>
                            <w:szCs w:val="18"/>
                          </w:rPr>
                        </m:ctrlPr>
                      </m:dPr>
                      <m:e>
                        <m:sSub>
                          <m:sSubPr>
                            <m:ctrlPr>
                              <w:rPr>
                                <w:rFonts w:ascii="Cambria Math" w:eastAsiaTheme="minorEastAsia" w:hAnsi="Cambria Math"/>
                                <w:i/>
                                <w:noProof/>
                                <w:sz w:val="20"/>
                                <w:szCs w:val="18"/>
                              </w:rPr>
                            </m:ctrlPr>
                          </m:sSubPr>
                          <m:e>
                            <m:r>
                              <w:rPr>
                                <w:rFonts w:ascii="Cambria Math" w:eastAsiaTheme="minorEastAsia" w:hAnsi="Cambria Math"/>
                                <w:noProof/>
                                <w:sz w:val="20"/>
                                <w:szCs w:val="18"/>
                              </w:rPr>
                              <m:t>C</m:t>
                            </m:r>
                          </m:e>
                          <m:sub>
                            <m:r>
                              <w:rPr>
                                <w:rFonts w:ascii="Cambria Math" w:eastAsiaTheme="minorEastAsia" w:hAnsi="Cambria Math"/>
                                <w:noProof/>
                                <w:sz w:val="20"/>
                                <w:szCs w:val="18"/>
                              </w:rPr>
                              <m:t>f</m:t>
                            </m:r>
                            <m:sSub>
                              <m:sSubPr>
                                <m:ctrlPr>
                                  <w:rPr>
                                    <w:rFonts w:ascii="Cambria Math" w:eastAsiaTheme="minorEastAsia" w:hAnsi="Cambria Math"/>
                                    <w:i/>
                                    <w:noProof/>
                                    <w:sz w:val="20"/>
                                    <w:szCs w:val="18"/>
                                  </w:rPr>
                                </m:ctrlPr>
                              </m:sSubPr>
                              <m:e>
                                <m:r>
                                  <w:rPr>
                                    <w:rFonts w:ascii="Cambria Math" w:eastAsiaTheme="minorEastAsia" w:hAnsi="Cambria Math"/>
                                    <w:noProof/>
                                    <w:sz w:val="20"/>
                                    <w:szCs w:val="18"/>
                                  </w:rPr>
                                  <m:t>CO</m:t>
                                </m:r>
                              </m:e>
                              <m:sub>
                                <m:r>
                                  <w:rPr>
                                    <w:rFonts w:ascii="Cambria Math" w:eastAsiaTheme="minorEastAsia" w:hAnsi="Cambria Math"/>
                                    <w:noProof/>
                                    <w:sz w:val="20"/>
                                    <w:szCs w:val="18"/>
                                  </w:rPr>
                                  <m:t>2, j</m:t>
                                </m:r>
                              </m:sub>
                            </m:sSub>
                          </m:sub>
                        </m:sSub>
                        <m:r>
                          <w:rPr>
                            <w:rFonts w:ascii="Cambria Math" w:eastAsiaTheme="minorEastAsia" w:hAnsi="Cambria Math"/>
                            <w:noProof/>
                            <w:sz w:val="20"/>
                            <w:szCs w:val="18"/>
                          </w:rPr>
                          <m:t>×</m:t>
                        </m:r>
                        <m:sSub>
                          <m:sSubPr>
                            <m:ctrlPr>
                              <w:rPr>
                                <w:rFonts w:ascii="Cambria Math" w:eastAsiaTheme="minorEastAsia" w:hAnsi="Cambria Math"/>
                                <w:i/>
                                <w:noProof/>
                                <w:sz w:val="20"/>
                                <w:szCs w:val="18"/>
                              </w:rPr>
                            </m:ctrlPr>
                          </m:sSubPr>
                          <m:e>
                            <m:r>
                              <w:rPr>
                                <w:rFonts w:ascii="Cambria Math" w:eastAsiaTheme="minorEastAsia" w:hAnsi="Cambria Math"/>
                                <w:noProof/>
                                <w:sz w:val="20"/>
                                <w:szCs w:val="18"/>
                              </w:rPr>
                              <m:t>GWP</m:t>
                            </m:r>
                          </m:e>
                          <m:sub>
                            <m:sSub>
                              <m:sSubPr>
                                <m:ctrlPr>
                                  <w:rPr>
                                    <w:rFonts w:ascii="Cambria Math" w:eastAsiaTheme="minorEastAsia" w:hAnsi="Cambria Math"/>
                                    <w:i/>
                                    <w:noProof/>
                                    <w:sz w:val="20"/>
                                    <w:szCs w:val="18"/>
                                  </w:rPr>
                                </m:ctrlPr>
                              </m:sSubPr>
                              <m:e>
                                <m:r>
                                  <w:rPr>
                                    <w:rFonts w:ascii="Cambria Math" w:eastAsiaTheme="minorEastAsia" w:hAnsi="Cambria Math"/>
                                    <w:noProof/>
                                    <w:sz w:val="20"/>
                                    <w:szCs w:val="18"/>
                                  </w:rPr>
                                  <m:t>CO</m:t>
                                </m:r>
                              </m:e>
                              <m:sub>
                                <m:r>
                                  <w:rPr>
                                    <w:rFonts w:ascii="Cambria Math" w:eastAsiaTheme="minorEastAsia" w:hAnsi="Cambria Math"/>
                                    <w:noProof/>
                                    <w:sz w:val="20"/>
                                    <w:szCs w:val="18"/>
                                  </w:rPr>
                                  <m:t>2</m:t>
                                </m:r>
                              </m:sub>
                            </m:sSub>
                          </m:sub>
                        </m:sSub>
                        <m:r>
                          <w:rPr>
                            <w:rFonts w:ascii="Cambria Math" w:eastAsiaTheme="minorEastAsia" w:hAnsi="Cambria Math"/>
                            <w:noProof/>
                            <w:sz w:val="20"/>
                            <w:szCs w:val="18"/>
                          </w:rPr>
                          <m:t>+</m:t>
                        </m:r>
                        <m:sSub>
                          <m:sSubPr>
                            <m:ctrlPr>
                              <w:rPr>
                                <w:rFonts w:ascii="Cambria Math" w:eastAsiaTheme="minorEastAsia" w:hAnsi="Cambria Math"/>
                                <w:i/>
                                <w:noProof/>
                                <w:sz w:val="20"/>
                                <w:szCs w:val="18"/>
                              </w:rPr>
                            </m:ctrlPr>
                          </m:sSubPr>
                          <m:e>
                            <m:r>
                              <w:rPr>
                                <w:rFonts w:ascii="Cambria Math" w:eastAsiaTheme="minorEastAsia" w:hAnsi="Cambria Math"/>
                                <w:noProof/>
                                <w:sz w:val="20"/>
                                <w:szCs w:val="18"/>
                              </w:rPr>
                              <m:t>C</m:t>
                            </m:r>
                          </m:e>
                          <m:sub>
                            <m:r>
                              <w:rPr>
                                <w:rFonts w:ascii="Cambria Math" w:eastAsiaTheme="minorEastAsia" w:hAnsi="Cambria Math"/>
                                <w:noProof/>
                                <w:sz w:val="20"/>
                                <w:szCs w:val="18"/>
                              </w:rPr>
                              <m:t>f</m:t>
                            </m:r>
                            <m:sSub>
                              <m:sSubPr>
                                <m:ctrlPr>
                                  <w:rPr>
                                    <w:rFonts w:ascii="Cambria Math" w:eastAsiaTheme="minorEastAsia" w:hAnsi="Cambria Math"/>
                                    <w:i/>
                                    <w:noProof/>
                                    <w:sz w:val="20"/>
                                    <w:szCs w:val="18"/>
                                  </w:rPr>
                                </m:ctrlPr>
                              </m:sSubPr>
                              <m:e>
                                <m:r>
                                  <w:rPr>
                                    <w:rFonts w:ascii="Cambria Math" w:eastAsiaTheme="minorEastAsia" w:hAnsi="Cambria Math"/>
                                    <w:noProof/>
                                    <w:sz w:val="20"/>
                                    <w:szCs w:val="18"/>
                                  </w:rPr>
                                  <m:t>CH</m:t>
                                </m:r>
                              </m:e>
                              <m:sub>
                                <m:r>
                                  <w:rPr>
                                    <w:rFonts w:ascii="Cambria Math" w:eastAsiaTheme="minorEastAsia" w:hAnsi="Cambria Math"/>
                                    <w:noProof/>
                                    <w:sz w:val="20"/>
                                    <w:szCs w:val="18"/>
                                  </w:rPr>
                                  <m:t>4j</m:t>
                                </m:r>
                              </m:sub>
                            </m:sSub>
                          </m:sub>
                        </m:sSub>
                        <m:r>
                          <w:rPr>
                            <w:rFonts w:ascii="Cambria Math" w:eastAsiaTheme="minorEastAsia" w:hAnsi="Cambria Math"/>
                            <w:noProof/>
                            <w:sz w:val="20"/>
                            <w:szCs w:val="18"/>
                          </w:rPr>
                          <m:t>×</m:t>
                        </m:r>
                        <m:sSub>
                          <m:sSubPr>
                            <m:ctrlPr>
                              <w:rPr>
                                <w:rFonts w:ascii="Cambria Math" w:eastAsiaTheme="minorEastAsia" w:hAnsi="Cambria Math"/>
                                <w:i/>
                                <w:noProof/>
                                <w:sz w:val="20"/>
                                <w:szCs w:val="18"/>
                              </w:rPr>
                            </m:ctrlPr>
                          </m:sSubPr>
                          <m:e>
                            <m:r>
                              <w:rPr>
                                <w:rFonts w:ascii="Cambria Math" w:eastAsiaTheme="minorEastAsia" w:hAnsi="Cambria Math"/>
                                <w:noProof/>
                                <w:sz w:val="20"/>
                                <w:szCs w:val="18"/>
                              </w:rPr>
                              <m:t>GWP</m:t>
                            </m:r>
                          </m:e>
                          <m:sub>
                            <m:sSub>
                              <m:sSubPr>
                                <m:ctrlPr>
                                  <w:rPr>
                                    <w:rFonts w:ascii="Cambria Math" w:eastAsiaTheme="minorEastAsia" w:hAnsi="Cambria Math"/>
                                    <w:i/>
                                    <w:noProof/>
                                    <w:sz w:val="20"/>
                                    <w:szCs w:val="18"/>
                                  </w:rPr>
                                </m:ctrlPr>
                              </m:sSubPr>
                              <m:e>
                                <m:r>
                                  <w:rPr>
                                    <w:rFonts w:ascii="Cambria Math" w:eastAsiaTheme="minorEastAsia" w:hAnsi="Cambria Math"/>
                                    <w:noProof/>
                                    <w:sz w:val="20"/>
                                    <w:szCs w:val="18"/>
                                  </w:rPr>
                                  <m:t>CH</m:t>
                                </m:r>
                              </m:e>
                              <m:sub>
                                <m:r>
                                  <w:rPr>
                                    <w:rFonts w:ascii="Cambria Math" w:eastAsiaTheme="minorEastAsia" w:hAnsi="Cambria Math"/>
                                    <w:noProof/>
                                    <w:sz w:val="20"/>
                                    <w:szCs w:val="18"/>
                                  </w:rPr>
                                  <m:t>4</m:t>
                                </m:r>
                              </m:sub>
                            </m:sSub>
                          </m:sub>
                        </m:sSub>
                        <m:r>
                          <w:rPr>
                            <w:rFonts w:ascii="Cambria Math" w:eastAsiaTheme="minorEastAsia" w:hAnsi="Cambria Math"/>
                            <w:noProof/>
                            <w:sz w:val="20"/>
                            <w:szCs w:val="18"/>
                          </w:rPr>
                          <m:t>+</m:t>
                        </m:r>
                        <m:sSub>
                          <m:sSubPr>
                            <m:ctrlPr>
                              <w:rPr>
                                <w:rFonts w:ascii="Cambria Math" w:eastAsiaTheme="minorEastAsia" w:hAnsi="Cambria Math"/>
                                <w:i/>
                                <w:noProof/>
                                <w:sz w:val="20"/>
                                <w:szCs w:val="18"/>
                              </w:rPr>
                            </m:ctrlPr>
                          </m:sSubPr>
                          <m:e>
                            <m:r>
                              <w:rPr>
                                <w:rFonts w:ascii="Cambria Math" w:eastAsiaTheme="minorEastAsia" w:hAnsi="Cambria Math"/>
                                <w:noProof/>
                                <w:sz w:val="20"/>
                                <w:szCs w:val="18"/>
                              </w:rPr>
                              <m:t>C</m:t>
                            </m:r>
                          </m:e>
                          <m:sub>
                            <m:r>
                              <w:rPr>
                                <w:rFonts w:ascii="Cambria Math" w:eastAsiaTheme="minorEastAsia" w:hAnsi="Cambria Math"/>
                                <w:noProof/>
                                <w:sz w:val="20"/>
                                <w:szCs w:val="18"/>
                              </w:rPr>
                              <m:t>f</m:t>
                            </m:r>
                            <m:sSub>
                              <m:sSubPr>
                                <m:ctrlPr>
                                  <w:rPr>
                                    <w:rFonts w:ascii="Cambria Math" w:eastAsiaTheme="minorEastAsia" w:hAnsi="Cambria Math"/>
                                    <w:i/>
                                    <w:noProof/>
                                    <w:sz w:val="20"/>
                                    <w:szCs w:val="18"/>
                                  </w:rPr>
                                </m:ctrlPr>
                              </m:sSubPr>
                              <m:e>
                                <m:r>
                                  <w:rPr>
                                    <w:rFonts w:ascii="Cambria Math" w:eastAsiaTheme="minorEastAsia" w:hAnsi="Cambria Math"/>
                                    <w:noProof/>
                                    <w:sz w:val="20"/>
                                    <w:szCs w:val="18"/>
                                  </w:rPr>
                                  <m:t>N</m:t>
                                </m:r>
                              </m:e>
                              <m:sub>
                                <m:r>
                                  <w:rPr>
                                    <w:rFonts w:ascii="Cambria Math" w:eastAsiaTheme="minorEastAsia" w:hAnsi="Cambria Math"/>
                                    <w:noProof/>
                                    <w:sz w:val="20"/>
                                    <w:szCs w:val="18"/>
                                  </w:rPr>
                                  <m:t>2</m:t>
                                </m:r>
                              </m:sub>
                            </m:sSub>
                            <m:sSub>
                              <m:sSubPr>
                                <m:ctrlPr>
                                  <w:rPr>
                                    <w:rFonts w:ascii="Cambria Math" w:eastAsiaTheme="minorEastAsia" w:hAnsi="Cambria Math"/>
                                    <w:i/>
                                    <w:noProof/>
                                    <w:sz w:val="20"/>
                                    <w:szCs w:val="18"/>
                                  </w:rPr>
                                </m:ctrlPr>
                              </m:sSubPr>
                              <m:e>
                                <m:r>
                                  <w:rPr>
                                    <w:rFonts w:ascii="Cambria Math" w:eastAsiaTheme="minorEastAsia" w:hAnsi="Cambria Math"/>
                                    <w:noProof/>
                                    <w:sz w:val="20"/>
                                    <w:szCs w:val="18"/>
                                  </w:rPr>
                                  <m:t>O,</m:t>
                                </m:r>
                              </m:e>
                              <m:sub>
                                <m:r>
                                  <w:rPr>
                                    <w:rFonts w:ascii="Cambria Math" w:eastAsiaTheme="minorEastAsia" w:hAnsi="Cambria Math"/>
                                    <w:noProof/>
                                    <w:sz w:val="20"/>
                                    <w:szCs w:val="18"/>
                                  </w:rPr>
                                  <m:t>J</m:t>
                                </m:r>
                              </m:sub>
                            </m:sSub>
                          </m:sub>
                        </m:sSub>
                        <m:r>
                          <w:rPr>
                            <w:rFonts w:ascii="Cambria Math" w:eastAsiaTheme="minorEastAsia" w:hAnsi="Cambria Math"/>
                            <w:noProof/>
                            <w:sz w:val="20"/>
                            <w:szCs w:val="18"/>
                          </w:rPr>
                          <m:t>×</m:t>
                        </m:r>
                        <m:sSub>
                          <m:sSubPr>
                            <m:ctrlPr>
                              <w:rPr>
                                <w:rFonts w:ascii="Cambria Math" w:eastAsiaTheme="minorEastAsia" w:hAnsi="Cambria Math"/>
                                <w:i/>
                                <w:noProof/>
                                <w:sz w:val="20"/>
                                <w:szCs w:val="18"/>
                              </w:rPr>
                            </m:ctrlPr>
                          </m:sSubPr>
                          <m:e>
                            <m:r>
                              <w:rPr>
                                <w:rFonts w:ascii="Cambria Math" w:eastAsiaTheme="minorEastAsia" w:hAnsi="Cambria Math"/>
                                <w:noProof/>
                                <w:sz w:val="20"/>
                                <w:szCs w:val="18"/>
                              </w:rPr>
                              <m:t>GWP</m:t>
                            </m:r>
                          </m:e>
                          <m:sub>
                            <m:sSub>
                              <m:sSubPr>
                                <m:ctrlPr>
                                  <w:rPr>
                                    <w:rFonts w:ascii="Cambria Math" w:eastAsiaTheme="minorEastAsia" w:hAnsi="Cambria Math"/>
                                    <w:i/>
                                    <w:noProof/>
                                    <w:sz w:val="20"/>
                                    <w:szCs w:val="18"/>
                                  </w:rPr>
                                </m:ctrlPr>
                              </m:sSubPr>
                              <m:e>
                                <m:r>
                                  <w:rPr>
                                    <w:rFonts w:ascii="Cambria Math" w:eastAsiaTheme="minorEastAsia" w:hAnsi="Cambria Math"/>
                                    <w:noProof/>
                                    <w:sz w:val="20"/>
                                    <w:szCs w:val="18"/>
                                  </w:rPr>
                                  <m:t>N</m:t>
                                </m:r>
                              </m:e>
                              <m:sub>
                                <m:r>
                                  <w:rPr>
                                    <w:rFonts w:ascii="Cambria Math" w:eastAsiaTheme="minorEastAsia" w:hAnsi="Cambria Math"/>
                                    <w:noProof/>
                                    <w:sz w:val="20"/>
                                    <w:szCs w:val="18"/>
                                  </w:rPr>
                                  <m:t>2</m:t>
                                </m:r>
                              </m:sub>
                            </m:sSub>
                            <m:r>
                              <w:rPr>
                                <w:rFonts w:ascii="Cambria Math" w:eastAsiaTheme="minorEastAsia" w:hAnsi="Cambria Math"/>
                                <w:noProof/>
                                <w:sz w:val="20"/>
                                <w:szCs w:val="18"/>
                              </w:rPr>
                              <m:t>O</m:t>
                            </m:r>
                          </m:sub>
                        </m:sSub>
                      </m:e>
                    </m:d>
                  </m:e>
                  <m:sub>
                    <m:r>
                      <w:rPr>
                        <w:rFonts w:ascii="Cambria Math" w:eastAsiaTheme="minorEastAsia" w:hAnsi="Cambria Math"/>
                        <w:noProof/>
                        <w:sz w:val="20"/>
                        <w:szCs w:val="18"/>
                      </w:rPr>
                      <m:t>i</m:t>
                    </m:r>
                  </m:sub>
                </m:sSub>
              </m:oMath>
            </m:oMathPara>
          </w:p>
          <w:p>
            <w:pPr>
              <w:spacing w:after="0"/>
              <w:rPr>
                <w:noProof/>
              </w:rPr>
            </w:pPr>
          </w:p>
          <w:p>
            <w:pPr>
              <w:spacing w:before="60" w:after="60"/>
              <w:rPr>
                <w:noProof/>
                <w:sz w:val="20"/>
                <w:szCs w:val="20"/>
              </w:rPr>
            </w:pPr>
          </w:p>
        </w:tc>
      </w:tr>
      <w:tr>
        <w:trPr>
          <w:jc w:val="center"/>
        </w:trPr>
        <w:tc>
          <w:tcPr>
            <w:tcW w:w="9132" w:type="dxa"/>
            <w:gridSpan w:val="2"/>
            <w:tcBorders>
              <w:top w:val="outset" w:sz="6" w:space="0" w:color="auto"/>
              <w:left w:val="outset" w:sz="6" w:space="0" w:color="auto"/>
              <w:bottom w:val="outset" w:sz="6" w:space="0" w:color="auto"/>
              <w:right w:val="outset" w:sz="6" w:space="0" w:color="auto"/>
            </w:tcBorders>
            <w:vAlign w:val="center"/>
            <w:hideMark/>
          </w:tcPr>
          <w:p>
            <w:pPr>
              <w:rPr>
                <w:noProof/>
              </w:rPr>
            </w:pPr>
            <w:r>
              <w:rPr>
                <w:noProof/>
              </w:rPr>
              <w:t>(</w:t>
            </w:r>
            <w:r>
              <w:rPr>
                <w:noProof/>
                <w:vertAlign w:val="superscript"/>
              </w:rPr>
              <w:t>1</w:t>
            </w:r>
            <w:r>
              <w:rPr>
                <w:noProof/>
              </w:rPr>
              <w:t xml:space="preserve">) </w:t>
            </w:r>
          </w:p>
          <w:p>
            <w:pPr>
              <w:rPr>
                <w:noProof/>
              </w:rPr>
            </w:pPr>
            <w:r>
              <w:rPr>
                <w:noProof/>
              </w:rPr>
              <w:t>Regulamentul delegat (UE) 2020/1044 al Comisiei din 8 mai 2020 de completare a Regulamentului (UE) 2018/1999 al Parlamentului European și al Consiliului în ceea ce privește valorile potențialului de încălzire globală și orientările privind inventarierea, precum și sistemul de inventariere al Uniunii și de abrogare a Regulamentului delegat (UE) nr. 666/2014 al Comisiei (JO L 230, 17.7.2020, p. 1).</w:t>
            </w:r>
          </w:p>
        </w:tc>
      </w:tr>
    </w:tbl>
    <w:p>
      <w:pPr>
        <w:rPr>
          <w:noProof/>
        </w:rPr>
      </w:pPr>
      <w:r>
        <w:rPr>
          <w:noProof/>
        </w:rPr>
        <w:t>”;</w:t>
      </w:r>
    </w:p>
    <w:bookmarkEnd w:id="0"/>
    <w:p>
      <w:pPr>
        <w:pStyle w:val="Point1letter"/>
        <w:rPr>
          <w:noProof/>
        </w:rPr>
      </w:pPr>
      <w:r>
        <w:rPr>
          <w:noProof/>
        </w:rPr>
        <w:t xml:space="preserve">se introduce următorul punct 1a: </w:t>
      </w:r>
    </w:p>
    <w:p>
      <w:pPr>
        <w:rPr>
          <w:i/>
          <w:noProof/>
        </w:rPr>
      </w:pPr>
      <w:r>
        <w:rPr>
          <w:b/>
          <w:noProof/>
        </w:rPr>
        <w:t xml:space="preserve">„1a. Formula pentru calcularea energiei utilizate </w:t>
      </w:r>
    </w:p>
    <w:p>
      <w:pPr>
        <w:rPr>
          <w:noProof/>
        </w:rPr>
      </w:pPr>
      <w:r>
        <w:rPr>
          <w:noProof/>
        </w:rPr>
        <w:t xml:space="preserve">În scopul calculării energiei utilizate în cadrul domeniului de aplicare al prezentului regulament, întreprinderile iau în considerare consumul de combustibil al tuturor consumatorilor de combustibil și energia utilizată din toate sursele alternative de energie de la bord în cursul perioadei. În acest scop, companiile aplică următoarea formulă: </w:t>
      </w:r>
    </w:p>
    <w:p>
      <w:pPr>
        <w:rPr>
          <w:noProof/>
        </w:rPr>
      </w:pPr>
      <m:oMathPara>
        <m:oMath>
          <m:r>
            <w:rPr>
              <w:rFonts w:ascii="Cambria Math" w:hAnsi="Cambria Math"/>
              <w:noProof/>
            </w:rPr>
            <m:t xml:space="preserve">Energie = </m:t>
          </m:r>
          <m:nary>
            <m:naryPr>
              <m:chr m:val="∑"/>
              <m:limLoc m:val="subSup"/>
              <m:ctrlPr>
                <w:rPr>
                  <w:rFonts w:ascii="Cambria Math" w:hAnsi="Cambria Math"/>
                  <w:i/>
                  <w:noProof/>
                </w:rPr>
              </m:ctrlPr>
            </m:naryPr>
            <m:sub>
              <m:r>
                <w:rPr>
                  <w:rFonts w:ascii="Cambria Math" w:hAnsi="Cambria Math"/>
                  <w:noProof/>
                </w:rPr>
                <m:t>i</m:t>
              </m:r>
            </m:sub>
            <m:sup>
              <m:r>
                <w:rPr>
                  <w:rFonts w:ascii="Cambria Math" w:hAnsi="Cambria Math"/>
                  <w:noProof/>
                </w:rPr>
                <m:t>n combustibil</m:t>
              </m:r>
            </m:sup>
            <m:e>
              <m:r>
                <w:rPr>
                  <w:rFonts w:ascii="Cambria Math" w:hAnsi="Cambria Math"/>
                  <w:noProof/>
                </w:rPr>
                <m:t xml:space="preserve">Mi × </m:t>
              </m:r>
              <m:sSub>
                <m:sSubPr>
                  <m:ctrlPr>
                    <w:rPr>
                      <w:rFonts w:ascii="Cambria Math" w:hAnsi="Cambria Math"/>
                      <w:i/>
                      <w:noProof/>
                    </w:rPr>
                  </m:ctrlPr>
                </m:sSubPr>
                <m:e>
                  <m:r>
                    <w:rPr>
                      <w:rFonts w:ascii="Cambria Math" w:hAnsi="Cambria Math"/>
                      <w:noProof/>
                    </w:rPr>
                    <m:t>LCV</m:t>
                  </m:r>
                </m:e>
                <m:sub>
                  <m:r>
                    <w:rPr>
                      <w:rFonts w:ascii="Cambria Math" w:hAnsi="Cambria Math"/>
                      <w:noProof/>
                    </w:rPr>
                    <m:t>i</m:t>
                  </m:r>
                </m:sub>
              </m:sSub>
            </m:e>
          </m:nary>
          <m:r>
            <w:rPr>
              <w:rFonts w:ascii="Cambria Math" w:hAnsi="Cambria Math"/>
              <w:noProof/>
            </w:rPr>
            <m:t xml:space="preserve">+ </m:t>
          </m:r>
          <m:nary>
            <m:naryPr>
              <m:chr m:val="∑"/>
              <m:limLoc m:val="subSup"/>
              <m:ctrlPr>
                <w:rPr>
                  <w:rFonts w:ascii="Cambria Math" w:hAnsi="Cambria Math"/>
                  <w:i/>
                  <w:noProof/>
                </w:rPr>
              </m:ctrlPr>
            </m:naryPr>
            <m:sub>
              <m:r>
                <w:rPr>
                  <w:rFonts w:ascii="Cambria Math" w:hAnsi="Cambria Math"/>
                  <w:noProof/>
                </w:rPr>
                <m:t>k</m:t>
              </m:r>
            </m:sub>
            <m:sup>
              <m:r>
                <w:rPr>
                  <w:rFonts w:ascii="Cambria Math" w:hAnsi="Cambria Math"/>
                  <w:noProof/>
                </w:rPr>
                <m:t>c</m:t>
              </m:r>
            </m:sup>
            <m:e>
              <m:sSub>
                <m:sSubPr>
                  <m:ctrlPr>
                    <w:rPr>
                      <w:rFonts w:ascii="Cambria Math" w:hAnsi="Cambria Math"/>
                      <w:i/>
                      <w:noProof/>
                    </w:rPr>
                  </m:ctrlPr>
                </m:sSubPr>
                <m:e>
                  <m:r>
                    <w:rPr>
                      <w:rFonts w:ascii="Cambria Math" w:hAnsi="Cambria Math"/>
                      <w:noProof/>
                    </w:rPr>
                    <m:t>E</m:t>
                  </m:r>
                </m:e>
                <m:sub>
                  <m:r>
                    <w:rPr>
                      <w:rFonts w:ascii="Cambria Math" w:hAnsi="Cambria Math"/>
                      <w:noProof/>
                    </w:rPr>
                    <m:t xml:space="preserve">k </m:t>
                  </m:r>
                </m:sub>
              </m:sSub>
              <m:r>
                <w:rPr>
                  <w:rFonts w:ascii="Cambria Math" w:hAnsi="Cambria Math"/>
                  <w:noProof/>
                </w:rPr>
                <m:t>+W</m:t>
              </m:r>
            </m:e>
          </m:nary>
        </m:oMath>
      </m:oMathPara>
    </w:p>
    <w:p>
      <w:pPr>
        <w:rPr>
          <w:noProof/>
        </w:rPr>
      </w:pPr>
      <w:r>
        <w:rPr>
          <w:noProof/>
        </w:rPr>
        <w:t>În scopul determinării masei de combustibil (</w:t>
      </w:r>
      <m:oMath>
        <m:sSub>
          <m:sSubPr>
            <m:ctrlPr>
              <w:rPr>
                <w:rFonts w:ascii="Cambria Math" w:hAnsi="Cambria Math"/>
                <w:i/>
                <w:noProof/>
              </w:rPr>
            </m:ctrlPr>
          </m:sSubPr>
          <m:e>
            <m:r>
              <w:rPr>
                <w:rFonts w:ascii="Cambria Math" w:hAnsi="Cambria Math"/>
                <w:noProof/>
              </w:rPr>
              <m:t>M</m:t>
            </m:r>
          </m:e>
          <m:sub>
            <m:r>
              <w:rPr>
                <w:rFonts w:ascii="Cambria Math" w:hAnsi="Cambria Math"/>
                <w:noProof/>
              </w:rPr>
              <m:t>i</m:t>
            </m:r>
          </m:sub>
        </m:sSub>
      </m:oMath>
      <w:r>
        <w:rPr>
          <w:noProof/>
        </w:rPr>
        <w:t xml:space="preserve">), companiile aplică metodologiile definite în secțiunea B din prezenta anexă. </w:t>
      </w:r>
    </w:p>
    <w:p>
      <w:pPr>
        <w:rPr>
          <w:noProof/>
        </w:rPr>
      </w:pPr>
      <w:r>
        <w:rPr>
          <w:noProof/>
        </w:rPr>
        <w:t>Atunci când determină cantitatea de energie utilizată din surse alternative de energie [</w:t>
      </w:r>
      <m:oMath>
        <m:nary>
          <m:naryPr>
            <m:chr m:val="∑"/>
            <m:limLoc m:val="subSup"/>
            <m:ctrlPr>
              <w:rPr>
                <w:rFonts w:ascii="Cambria Math" w:hAnsi="Cambria Math"/>
                <w:i/>
                <w:noProof/>
              </w:rPr>
            </m:ctrlPr>
          </m:naryPr>
          <m:sub>
            <m:r>
              <w:rPr>
                <w:rFonts w:ascii="Cambria Math" w:hAnsi="Cambria Math"/>
                <w:noProof/>
              </w:rPr>
              <m:t>k</m:t>
            </m:r>
          </m:sub>
          <m:sup>
            <m:r>
              <w:rPr>
                <w:rFonts w:ascii="Cambria Math" w:hAnsi="Cambria Math"/>
                <w:noProof/>
              </w:rPr>
              <m:t>c</m:t>
            </m:r>
          </m:sup>
          <m:e>
            <m:sSub>
              <m:sSubPr>
                <m:ctrlPr>
                  <w:rPr>
                    <w:rFonts w:ascii="Cambria Math" w:hAnsi="Cambria Math"/>
                    <w:i/>
                    <w:noProof/>
                  </w:rPr>
                </m:ctrlPr>
              </m:sSubPr>
              <m:e>
                <m:r>
                  <w:rPr>
                    <w:rFonts w:ascii="Cambria Math" w:hAnsi="Cambria Math"/>
                    <w:noProof/>
                  </w:rPr>
                  <m:t>E</m:t>
                </m:r>
              </m:e>
              <m:sub>
                <m:r>
                  <w:rPr>
                    <w:rFonts w:ascii="Cambria Math" w:hAnsi="Cambria Math"/>
                    <w:noProof/>
                  </w:rPr>
                  <m:t>k</m:t>
                </m:r>
              </m:sub>
            </m:sSub>
            <m:r>
              <w:rPr>
                <w:rFonts w:ascii="Cambria Math" w:hAnsi="Cambria Math"/>
                <w:noProof/>
              </w:rPr>
              <m:t>)</m:t>
            </m:r>
          </m:e>
        </m:nary>
      </m:oMath>
      <w:r>
        <w:rPr>
          <w:noProof/>
        </w:rPr>
        <w:t>], companiile se bazează pe informațiile cuprinse în nota de livrare cu privire la energia electrică, astfel cum se menționează în anexa I la Regulamentul (UE) 2023/1805 pentru energia electrică din OPS, și pe contorizarea la bord pentru alte forme de energie electrică din surse regenerabile produsă la bord.</w:t>
      </w:r>
    </w:p>
    <w:p>
      <w:pPr>
        <w:rPr>
          <w:noProof/>
        </w:rPr>
      </w:pPr>
      <w:r>
        <w:rPr>
          <w:noProof/>
        </w:rPr>
        <w:t>Pentru a determina cantitatea de energie utilizată din energia eoliană (W), companiile aplică standardele internaționale și referințele de certificare specificate în actele de punere în aplicare menționate la articolul 5 alineatul (4) din prezentul regulament. Până la intrarea în vigoare a actelor de punere în aplicare relevante, termenul W se stabilește la zero.</w:t>
      </w:r>
    </w:p>
    <w:p>
      <w:pPr>
        <w:rPr>
          <w:rFonts w:eastAsiaTheme="minorEastAsia"/>
          <w:noProof/>
          <w:u w:val="single"/>
        </w:rPr>
      </w:pPr>
      <w:r>
        <w:rPr>
          <w:noProof/>
        </w:rPr>
        <w:t>Consumul de energie se calculează separat pentru călătoriile între porturi aflate sub jurisdicția unui stat membru, pentru călătoriile care au avut ca punct de plecare porturi aflate sub jurisdicția unui stat membru, pentru călătoriile către porturi aflate sub jurisdicția unui stat membru și pentru activitățile din interiorul porturilor aflate sub jurisdicția unui stat membru. Consumul de energie la dană în interiorul porturilor aflate sub jurisdicția unui stat membru se calculează separat.”;</w:t>
      </w:r>
    </w:p>
    <w:p>
      <w:pPr>
        <w:pStyle w:val="Point1letter"/>
        <w:rPr>
          <w:noProof/>
        </w:rPr>
      </w:pPr>
      <w:r>
        <w:rPr>
          <w:noProof/>
        </w:rPr>
        <w:t xml:space="preserve">punctul 2 se înlocuiește cu următorul text: </w:t>
      </w:r>
    </w:p>
    <w:p>
      <w:pPr>
        <w:rPr>
          <w:noProof/>
        </w:rPr>
      </w:pPr>
      <w:r>
        <w:rPr>
          <w:noProof/>
        </w:rPr>
        <w:t>„2. În tabelul următor:</w:t>
      </w:r>
    </w:p>
    <w:p>
      <w:pPr>
        <w:pStyle w:val="Tiret1"/>
        <w:numPr>
          <w:ilvl w:val="0"/>
          <w:numId w:val="19"/>
        </w:numPr>
        <w:rPr>
          <w:noProof/>
        </w:rPr>
      </w:pPr>
      <w:r>
        <w:rPr>
          <w:noProof/>
        </w:rPr>
        <w:t>TBM înseamnă «urmează să fie măsurat»;</w:t>
      </w:r>
    </w:p>
    <w:p>
      <w:pPr>
        <w:pStyle w:val="Tiret1"/>
        <w:rPr>
          <w:noProof/>
        </w:rPr>
      </w:pPr>
      <w:r>
        <w:rPr>
          <w:noProof/>
        </w:rPr>
        <w:lastRenderedPageBreak/>
        <w:t>N/A înseamnă «indisponibil»;</w:t>
      </w:r>
    </w:p>
    <w:p>
      <w:pPr>
        <w:pStyle w:val="Tiret1"/>
        <w:rPr>
          <w:noProof/>
        </w:rPr>
      </w:pPr>
      <w:r>
        <w:rPr>
          <w:noProof/>
        </w:rPr>
        <w:t>Liniuța înseamnă «nu se aplică».</w:t>
      </w:r>
    </w:p>
    <w:p>
      <w:pPr>
        <w:rPr>
          <w:noProof/>
        </w:rPr>
      </w:pPr>
      <w:r>
        <w:rPr>
          <w:noProof/>
        </w:rPr>
        <w:t>E se stabilește în conformitate cu metodologiile prevăzute în Directiva (UE) 2018/2001, în anexa V partea C și în anexa VI partea B, în Regulamentul (UE) 2023/1185 și în Regulamentul (UE) 2025/2359. Pentru combustibilii din surse regenerabile și cu emisii scăzute de dioxid de carbon, valorile implicite de la sondă la rezervor ar trebui calculate utilizând valorile din dovada durabilității, astfel cum este definită în Directiva (UE) 2018/2001 și în Directiva (UE) 2024/1788. Factorul de emisie de la sondă la rezervor (</w:t>
      </w:r>
      <w:r>
        <w:rPr>
          <w:i/>
          <w:iCs/>
          <w:noProof/>
        </w:rPr>
        <w:t>Well-to-Tank</w:t>
      </w:r>
      <w:r>
        <w:rPr>
          <w:noProof/>
        </w:rPr>
        <w:t xml:space="preserve"> – WTT) se determină prin deducerea emisiilor provenite din utilizarea combustibilului (Eᵤ</w:t>
      </w:r>
      <w:r>
        <w:rPr>
          <w:rStyle w:val="FootnoteReference"/>
          <w:noProof/>
        </w:rPr>
        <w:footnoteReference w:id="1"/>
      </w:r>
      <w:r>
        <w:rPr>
          <w:noProof/>
        </w:rPr>
        <w:t>) din emisiile totale pe durata ciclului de viață (E) ale combustibilului.</w:t>
      </w:r>
    </w:p>
    <w:p>
      <w:pPr>
        <w:rPr>
          <w:noProof/>
        </w:rPr>
      </w:pPr>
      <w:r>
        <w:rPr>
          <w:noProof/>
        </w:rPr>
        <w:t>Valorile implicite, astfel cum figurează în tabelul de mai jos, pentru factorii de emisie pentru sursele de emisii ale combustibililor și pentru consumatorii de combustibil utilizate la bordul navei se aplică în sensul prezentului regulament.</w:t>
      </w:r>
    </w:p>
    <w:p>
      <w:pPr>
        <w:rPr>
          <w:noProof/>
        </w:rPr>
      </w:pPr>
      <w:r>
        <w:rPr>
          <w:noProof/>
        </w:rPr>
        <w:t>În cazul în care într-o căsuță se indică fie TBM, fie N/A, se utilizează cea mai mare valoare implicită a clasei de combustibil din aceeași coloană. În cazul în care, pentru o anumită clasă de combustibil, toate căsuțele din aceeași coloană indică fie TBM, fie N/A, se utilizează valoarea implicită a tipului de combustibil fosil cel mai puțin favorabil. Această regulă nu se aplică în cazul coloanei 9, unde TBM sau N/A se referă la valori indisponibile pentru sursa de emisii respectivă. În cazul în care nu există o valoare implicită pentru C</w:t>
      </w:r>
      <w:r>
        <w:rPr>
          <w:noProof/>
          <w:vertAlign w:val="subscript"/>
        </w:rPr>
        <w:t>alunecare</w:t>
      </w:r>
      <w:r>
        <w:rPr>
          <w:noProof/>
        </w:rPr>
        <w:t>, se utilizează o valoare certificată în conformitate cu articolul 10 alineatul (6) din Regulamentul (UE) 2023/1805 al Parlamentului European și al Consiliului*.</w:t>
      </w:r>
    </w:p>
    <w:p>
      <w:pPr>
        <w:rPr>
          <w:noProof/>
        </w:rPr>
      </w:pPr>
      <w:r>
        <w:rPr>
          <w:noProof/>
        </w:rPr>
        <w:t>Companiile se pot abate de la valorile implicite pentru factorii de emisie enumerați în tabelul de mai jos, în urma aplicării, după caz, a condițiilor și a restricțiilor prevăzute la articolul 10 alineatele (5) și (6) din Regulamentul (UE) 2023/1805.</w:t>
      </w:r>
    </w:p>
    <w:p>
      <w:pPr>
        <w:rPr>
          <w:noProof/>
        </w:rPr>
      </w:pPr>
      <w:r>
        <w:rPr>
          <w:noProof/>
        </w:rPr>
        <w:t>În cazul unui amestec de combustibili, fiecare combustibil este luat în considerare separat.</w:t>
      </w:r>
    </w:p>
    <w:tbl>
      <w:tblPr>
        <w:tblW w:w="9089" w:type="dxa"/>
        <w:jc w:val="center"/>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4A0" w:firstRow="1" w:lastRow="0" w:firstColumn="1" w:lastColumn="0" w:noHBand="0" w:noVBand="1"/>
      </w:tblPr>
      <w:tblGrid>
        <w:gridCol w:w="1020"/>
        <w:gridCol w:w="2013"/>
        <w:gridCol w:w="983"/>
        <w:gridCol w:w="1058"/>
        <w:gridCol w:w="1020"/>
        <w:gridCol w:w="784"/>
        <w:gridCol w:w="784"/>
        <w:gridCol w:w="784"/>
        <w:gridCol w:w="643"/>
      </w:tblGrid>
      <w:tr>
        <w:trPr>
          <w:jc w:val="center"/>
        </w:trPr>
        <w:tc>
          <w:tcPr>
            <w:tcW w:w="1020" w:type="dxa"/>
            <w:tcBorders>
              <w:top w:val="single" w:sz="6" w:space="0" w:color="000000"/>
              <w:left w:val="single" w:sz="6" w:space="0" w:color="000000"/>
              <w:bottom w:val="single" w:sz="6" w:space="0" w:color="000000"/>
              <w:right w:val="single" w:sz="6" w:space="0" w:color="000000"/>
            </w:tcBorders>
            <w:hideMark/>
          </w:tcPr>
          <w:p>
            <w:pPr>
              <w:rPr>
                <w:b/>
                <w:noProof/>
              </w:rPr>
            </w:pPr>
            <w:r>
              <w:rPr>
                <w:b/>
                <w:noProof/>
              </w:rPr>
              <w:t>1</w:t>
            </w:r>
          </w:p>
        </w:tc>
        <w:tc>
          <w:tcPr>
            <w:tcW w:w="2013" w:type="dxa"/>
            <w:tcBorders>
              <w:top w:val="single" w:sz="6" w:space="0" w:color="000000"/>
              <w:left w:val="single" w:sz="6" w:space="0" w:color="000000"/>
              <w:bottom w:val="single" w:sz="6" w:space="0" w:color="000000"/>
              <w:right w:val="single" w:sz="6" w:space="0" w:color="000000"/>
            </w:tcBorders>
            <w:hideMark/>
          </w:tcPr>
          <w:p>
            <w:pPr>
              <w:rPr>
                <w:b/>
                <w:noProof/>
              </w:rPr>
            </w:pPr>
            <w:r>
              <w:rPr>
                <w:b/>
                <w:noProof/>
              </w:rPr>
              <w:t>2</w:t>
            </w:r>
          </w:p>
        </w:tc>
        <w:tc>
          <w:tcPr>
            <w:tcW w:w="983" w:type="dxa"/>
            <w:tcBorders>
              <w:top w:val="single" w:sz="6" w:space="0" w:color="000000"/>
              <w:left w:val="single" w:sz="6" w:space="0" w:color="000000"/>
              <w:bottom w:val="single" w:sz="6" w:space="0" w:color="000000"/>
              <w:right w:val="single" w:sz="6" w:space="0" w:color="000000"/>
            </w:tcBorders>
            <w:hideMark/>
          </w:tcPr>
          <w:p>
            <w:pPr>
              <w:rPr>
                <w:b/>
                <w:noProof/>
              </w:rPr>
            </w:pPr>
            <w:r>
              <w:rPr>
                <w:b/>
                <w:noProof/>
              </w:rPr>
              <w:t>3</w:t>
            </w:r>
          </w:p>
        </w:tc>
        <w:tc>
          <w:tcPr>
            <w:tcW w:w="1058" w:type="dxa"/>
            <w:tcBorders>
              <w:top w:val="single" w:sz="6" w:space="0" w:color="000000"/>
              <w:left w:val="single" w:sz="6" w:space="0" w:color="000000"/>
              <w:bottom w:val="single" w:sz="6" w:space="0" w:color="000000"/>
              <w:right w:val="single" w:sz="6" w:space="0" w:color="000000"/>
            </w:tcBorders>
            <w:hideMark/>
          </w:tcPr>
          <w:p>
            <w:pPr>
              <w:rPr>
                <w:b/>
                <w:noProof/>
              </w:rPr>
            </w:pPr>
            <w:r>
              <w:rPr>
                <w:b/>
                <w:noProof/>
              </w:rPr>
              <w:t>4</w:t>
            </w:r>
          </w:p>
        </w:tc>
        <w:tc>
          <w:tcPr>
            <w:tcW w:w="1020" w:type="dxa"/>
            <w:tcBorders>
              <w:top w:val="single" w:sz="6" w:space="0" w:color="000000"/>
              <w:left w:val="single" w:sz="6" w:space="0" w:color="000000"/>
              <w:bottom w:val="single" w:sz="6" w:space="0" w:color="000000"/>
              <w:right w:val="single" w:sz="6" w:space="0" w:color="000000"/>
            </w:tcBorders>
            <w:hideMark/>
          </w:tcPr>
          <w:p>
            <w:pPr>
              <w:rPr>
                <w:b/>
                <w:noProof/>
              </w:rPr>
            </w:pPr>
            <w:r>
              <w:rPr>
                <w:b/>
                <w:noProof/>
              </w:rPr>
              <w:t>5</w:t>
            </w:r>
          </w:p>
        </w:tc>
        <w:tc>
          <w:tcPr>
            <w:tcW w:w="784" w:type="dxa"/>
            <w:tcBorders>
              <w:top w:val="single" w:sz="6" w:space="0" w:color="000000"/>
              <w:left w:val="single" w:sz="6" w:space="0" w:color="000000"/>
              <w:bottom w:val="single" w:sz="6" w:space="0" w:color="000000"/>
              <w:right w:val="single" w:sz="6" w:space="0" w:color="000000"/>
            </w:tcBorders>
            <w:hideMark/>
          </w:tcPr>
          <w:p>
            <w:pPr>
              <w:rPr>
                <w:b/>
                <w:noProof/>
              </w:rPr>
            </w:pPr>
            <w:r>
              <w:rPr>
                <w:b/>
                <w:noProof/>
              </w:rPr>
              <w:t>6</w:t>
            </w:r>
          </w:p>
        </w:tc>
        <w:tc>
          <w:tcPr>
            <w:tcW w:w="784" w:type="dxa"/>
            <w:tcBorders>
              <w:top w:val="single" w:sz="6" w:space="0" w:color="000000"/>
              <w:left w:val="single" w:sz="6" w:space="0" w:color="000000"/>
              <w:bottom w:val="single" w:sz="6" w:space="0" w:color="000000"/>
              <w:right w:val="single" w:sz="6" w:space="0" w:color="000000"/>
            </w:tcBorders>
            <w:hideMark/>
          </w:tcPr>
          <w:p>
            <w:pPr>
              <w:rPr>
                <w:b/>
                <w:noProof/>
              </w:rPr>
            </w:pPr>
            <w:r>
              <w:rPr>
                <w:b/>
                <w:noProof/>
              </w:rPr>
              <w:t>7</w:t>
            </w:r>
          </w:p>
        </w:tc>
        <w:tc>
          <w:tcPr>
            <w:tcW w:w="784" w:type="dxa"/>
            <w:tcBorders>
              <w:top w:val="single" w:sz="6" w:space="0" w:color="000000"/>
              <w:left w:val="single" w:sz="6" w:space="0" w:color="000000"/>
              <w:bottom w:val="single" w:sz="6" w:space="0" w:color="000000"/>
              <w:right w:val="single" w:sz="6" w:space="0" w:color="000000"/>
            </w:tcBorders>
            <w:hideMark/>
          </w:tcPr>
          <w:p>
            <w:pPr>
              <w:rPr>
                <w:b/>
                <w:noProof/>
              </w:rPr>
            </w:pPr>
            <w:r>
              <w:rPr>
                <w:b/>
                <w:noProof/>
              </w:rPr>
              <w:t>8</w:t>
            </w:r>
          </w:p>
        </w:tc>
        <w:tc>
          <w:tcPr>
            <w:tcW w:w="643" w:type="dxa"/>
            <w:tcBorders>
              <w:top w:val="single" w:sz="6" w:space="0" w:color="000000"/>
              <w:left w:val="single" w:sz="6" w:space="0" w:color="000000"/>
              <w:bottom w:val="single" w:sz="6" w:space="0" w:color="000000"/>
              <w:right w:val="single" w:sz="6" w:space="0" w:color="000000"/>
            </w:tcBorders>
            <w:hideMark/>
          </w:tcPr>
          <w:p>
            <w:pPr>
              <w:rPr>
                <w:b/>
                <w:noProof/>
              </w:rPr>
            </w:pPr>
            <w:r>
              <w:rPr>
                <w:b/>
                <w:noProof/>
              </w:rPr>
              <w:t>9</w:t>
            </w:r>
          </w:p>
        </w:tc>
      </w:tr>
      <w:tr>
        <w:trPr>
          <w:trHeight w:val="684"/>
          <w:jc w:val="center"/>
        </w:trPr>
        <w:tc>
          <w:tcPr>
            <w:tcW w:w="4016" w:type="dxa"/>
            <w:gridSpan w:val="3"/>
            <w:tcBorders>
              <w:top w:val="single" w:sz="6" w:space="0" w:color="000000"/>
              <w:left w:val="single" w:sz="6" w:space="0" w:color="000000"/>
              <w:bottom w:val="single" w:sz="6" w:space="0" w:color="000000"/>
              <w:right w:val="single" w:sz="6" w:space="0" w:color="000000"/>
            </w:tcBorders>
            <w:hideMark/>
          </w:tcPr>
          <w:p>
            <w:pPr>
              <w:rPr>
                <w:noProof/>
              </w:rPr>
            </w:pPr>
          </w:p>
          <w:p>
            <w:pPr>
              <w:rPr>
                <w:noProof/>
              </w:rPr>
            </w:pPr>
          </w:p>
          <w:p>
            <w:pPr>
              <w:jc w:val="center"/>
              <w:rPr>
                <w:noProof/>
              </w:rPr>
            </w:pPr>
          </w:p>
        </w:tc>
        <w:tc>
          <w:tcPr>
            <w:tcW w:w="1058" w:type="dxa"/>
            <w:tcBorders>
              <w:top w:val="single" w:sz="6" w:space="0" w:color="000000"/>
              <w:left w:val="single" w:sz="6" w:space="0" w:color="000000"/>
              <w:bottom w:val="single" w:sz="6" w:space="0" w:color="000000"/>
              <w:right w:val="single" w:sz="6" w:space="0" w:color="000000"/>
            </w:tcBorders>
            <w:hideMark/>
          </w:tcPr>
          <w:p>
            <w:pPr>
              <w:rPr>
                <w:b/>
                <w:noProof/>
              </w:rPr>
            </w:pPr>
            <w:r>
              <w:rPr>
                <w:b/>
                <w:noProof/>
              </w:rPr>
              <w:t>WtT</w:t>
            </w:r>
          </w:p>
        </w:tc>
        <w:tc>
          <w:tcPr>
            <w:tcW w:w="4015" w:type="dxa"/>
            <w:gridSpan w:val="5"/>
            <w:tcBorders>
              <w:top w:val="single" w:sz="6" w:space="0" w:color="000000"/>
              <w:left w:val="single" w:sz="6" w:space="0" w:color="000000"/>
              <w:bottom w:val="single" w:sz="6" w:space="0" w:color="000000"/>
              <w:right w:val="single" w:sz="6" w:space="0" w:color="000000"/>
            </w:tcBorders>
            <w:hideMark/>
          </w:tcPr>
          <w:p>
            <w:pPr>
              <w:rPr>
                <w:b/>
                <w:noProof/>
              </w:rPr>
            </w:pPr>
            <w:r>
              <w:rPr>
                <w:b/>
                <w:noProof/>
              </w:rPr>
              <w:t>TtW</w:t>
            </w:r>
          </w:p>
        </w:tc>
      </w:tr>
      <w:tr>
        <w:trPr>
          <w:jc w:val="center"/>
        </w:trPr>
        <w:tc>
          <w:tcPr>
            <w:tcW w:w="1020" w:type="dxa"/>
            <w:tcBorders>
              <w:top w:val="single" w:sz="6" w:space="0" w:color="000000"/>
              <w:left w:val="single" w:sz="6" w:space="0" w:color="000000"/>
              <w:bottom w:val="single" w:sz="6" w:space="0" w:color="000000"/>
              <w:right w:val="single" w:sz="6" w:space="0" w:color="000000"/>
            </w:tcBorders>
            <w:hideMark/>
          </w:tcPr>
          <w:p>
            <w:pPr>
              <w:rPr>
                <w:b/>
                <w:noProof/>
              </w:rPr>
            </w:pPr>
            <w:r>
              <w:rPr>
                <w:b/>
                <w:noProof/>
              </w:rPr>
              <w:t>Clasa de combustibil</w:t>
            </w:r>
          </w:p>
        </w:tc>
        <w:tc>
          <w:tcPr>
            <w:tcW w:w="2013" w:type="dxa"/>
            <w:tcBorders>
              <w:top w:val="single" w:sz="6" w:space="0" w:color="000000"/>
              <w:left w:val="single" w:sz="6" w:space="0" w:color="000000"/>
              <w:bottom w:val="single" w:sz="6" w:space="0" w:color="000000"/>
              <w:right w:val="single" w:sz="6" w:space="0" w:color="000000"/>
            </w:tcBorders>
            <w:hideMark/>
          </w:tcPr>
          <w:p>
            <w:pPr>
              <w:rPr>
                <w:b/>
                <w:noProof/>
              </w:rPr>
            </w:pPr>
            <w:r>
              <w:rPr>
                <w:b/>
                <w:noProof/>
              </w:rPr>
              <w:t>Denumirea filierei</w:t>
            </w:r>
          </w:p>
        </w:tc>
        <w:tc>
          <w:tcPr>
            <w:tcW w:w="983" w:type="dxa"/>
            <w:tcBorders>
              <w:top w:val="single" w:sz="6" w:space="0" w:color="000000"/>
              <w:left w:val="single" w:sz="6" w:space="0" w:color="000000"/>
              <w:bottom w:val="single" w:sz="6" w:space="0" w:color="000000"/>
              <w:right w:val="single" w:sz="6" w:space="0" w:color="000000"/>
            </w:tcBorders>
            <w:hideMark/>
          </w:tcPr>
          <w:p>
            <w:pPr>
              <w:rPr>
                <w:b/>
                <w:noProof/>
              </w:rPr>
            </w:pPr>
            <w:r>
              <w:rPr>
                <w:b/>
                <w:noProof/>
              </w:rPr>
              <w:t>LCV</w:t>
            </w:r>
          </w:p>
          <w:p>
            <w:pPr>
              <w:rPr>
                <w:noProof/>
              </w:rPr>
            </w:pPr>
          </w:p>
          <w:p>
            <w:pPr>
              <w:rPr>
                <w:noProof/>
              </w:rPr>
            </w:pPr>
            <m:oMathPara>
              <m:oMath>
                <m:d>
                  <m:dPr>
                    <m:begChr m:val="["/>
                    <m:endChr m:val="]"/>
                    <m:ctrlPr>
                      <w:rPr>
                        <w:rFonts w:ascii="Cambria Math" w:hAnsi="Cambria Math"/>
                        <w:i/>
                        <w:noProof/>
                      </w:rPr>
                    </m:ctrlPr>
                  </m:dPr>
                  <m:e>
                    <m:f>
                      <m:fPr>
                        <m:ctrlPr>
                          <w:rPr>
                            <w:rFonts w:ascii="Cambria Math" w:hAnsi="Cambria Math"/>
                            <w:i/>
                            <w:noProof/>
                          </w:rPr>
                        </m:ctrlPr>
                      </m:fPr>
                      <m:num>
                        <m:r>
                          <w:rPr>
                            <w:rFonts w:ascii="Cambria Math" w:hAnsi="Cambria Math"/>
                            <w:noProof/>
                          </w:rPr>
                          <m:t>MJ</m:t>
                        </m:r>
                      </m:num>
                      <m:den>
                        <m:r>
                          <w:rPr>
                            <w:rFonts w:ascii="Cambria Math" w:hAnsi="Cambria Math"/>
                            <w:noProof/>
                          </w:rPr>
                          <m:t>g</m:t>
                        </m:r>
                      </m:den>
                    </m:f>
                  </m:e>
                </m:d>
              </m:oMath>
            </m:oMathPara>
          </w:p>
        </w:tc>
        <w:tc>
          <w:tcPr>
            <w:tcW w:w="1058" w:type="dxa"/>
            <w:tcBorders>
              <w:top w:val="single" w:sz="6" w:space="0" w:color="000000"/>
              <w:left w:val="single" w:sz="6" w:space="0" w:color="000000"/>
              <w:bottom w:val="single" w:sz="6" w:space="0" w:color="000000"/>
              <w:right w:val="single" w:sz="6" w:space="0" w:color="000000"/>
            </w:tcBorders>
            <w:hideMark/>
          </w:tcPr>
          <w:p>
            <w:pPr>
              <w:rPr>
                <w:b/>
                <w:noProof/>
              </w:rPr>
            </w:pPr>
            <w:r>
              <w:rPr>
                <w:b/>
                <w:noProof/>
              </w:rPr>
              <w:t>CO</w:t>
            </w:r>
            <w:r>
              <w:rPr>
                <w:b/>
                <w:noProof/>
                <w:vertAlign w:val="subscript"/>
              </w:rPr>
              <w:t>2echivalent WtT</w:t>
            </w:r>
          </w:p>
          <w:p>
            <w:pPr>
              <w:rPr>
                <w:noProof/>
              </w:rPr>
            </w:pPr>
          </w:p>
          <w:p>
            <w:pPr>
              <w:rPr>
                <w:noProof/>
              </w:rPr>
            </w:pPr>
            <m:oMathPara>
              <m:oMath>
                <m:d>
                  <m:dPr>
                    <m:begChr m:val="["/>
                    <m:endChr m:val="]"/>
                    <m:ctrlPr>
                      <w:rPr>
                        <w:rFonts w:ascii="Cambria Math" w:hAnsi="Cambria Math"/>
                        <w:i/>
                        <w:noProof/>
                      </w:rPr>
                    </m:ctrlPr>
                  </m:dPr>
                  <m:e>
                    <m:f>
                      <m:fPr>
                        <m:ctrlPr>
                          <w:rPr>
                            <w:rFonts w:ascii="Cambria Math" w:hAnsi="Cambria Math"/>
                            <w:i/>
                            <w:noProof/>
                          </w:rPr>
                        </m:ctrlPr>
                      </m:fPr>
                      <m:num>
                        <m:r>
                          <w:rPr>
                            <w:rFonts w:ascii="Cambria Math" w:hAnsi="Cambria Math"/>
                            <w:noProof/>
                          </w:rPr>
                          <m:t>gCO2echivalent</m:t>
                        </m:r>
                      </m:num>
                      <m:den>
                        <m:r>
                          <w:rPr>
                            <w:rFonts w:ascii="Cambria Math" w:hAnsi="Cambria Math"/>
                            <w:noProof/>
                          </w:rPr>
                          <m:t>MJ</m:t>
                        </m:r>
                      </m:den>
                    </m:f>
                  </m:e>
                </m:d>
              </m:oMath>
            </m:oMathPara>
          </w:p>
        </w:tc>
        <w:tc>
          <w:tcPr>
            <w:tcW w:w="1020" w:type="dxa"/>
            <w:tcBorders>
              <w:top w:val="single" w:sz="6" w:space="0" w:color="000000"/>
              <w:left w:val="single" w:sz="6" w:space="0" w:color="000000"/>
              <w:bottom w:val="single" w:sz="6" w:space="0" w:color="000000"/>
              <w:right w:val="single" w:sz="6" w:space="0" w:color="000000"/>
            </w:tcBorders>
            <w:hideMark/>
          </w:tcPr>
          <w:p>
            <w:pPr>
              <w:rPr>
                <w:b/>
                <w:noProof/>
              </w:rPr>
            </w:pPr>
            <w:r>
              <w:rPr>
                <w:b/>
                <w:noProof/>
              </w:rPr>
              <w:t>Clasa unității de consum al combustibilului</w:t>
            </w:r>
          </w:p>
        </w:tc>
        <w:tc>
          <w:tcPr>
            <w:tcW w:w="784" w:type="dxa"/>
            <w:tcBorders>
              <w:top w:val="single" w:sz="6" w:space="0" w:color="000000"/>
              <w:left w:val="single" w:sz="6" w:space="0" w:color="000000"/>
              <w:bottom w:val="single" w:sz="6" w:space="0" w:color="000000"/>
              <w:right w:val="single" w:sz="6" w:space="0" w:color="000000"/>
            </w:tcBorders>
            <w:hideMark/>
          </w:tcPr>
          <w:p>
            <w:pPr>
              <w:rPr>
                <w:rFonts w:eastAsiaTheme="minorEastAsia"/>
                <w:noProof/>
              </w:rPr>
            </w:pPr>
            <m:oMathPara>
              <m:oMath>
                <m:sSub>
                  <m:sSubPr>
                    <m:ctrlPr>
                      <w:rPr>
                        <w:rFonts w:ascii="Cambria Math" w:hAnsi="Cambria Math"/>
                        <w:i/>
                        <w:noProof/>
                      </w:rPr>
                    </m:ctrlPr>
                  </m:sSubPr>
                  <m:e>
                    <m:r>
                      <w:rPr>
                        <w:rFonts w:ascii="Cambria Math" w:hAnsi="Cambria Math"/>
                        <w:noProof/>
                      </w:rPr>
                      <m:t>C</m:t>
                    </m:r>
                  </m:e>
                  <m:sub>
                    <m:r>
                      <w:rPr>
                        <w:rFonts w:ascii="Cambria Math" w:hAnsi="Cambria Math"/>
                        <w:noProof/>
                      </w:rPr>
                      <m:t>f</m:t>
                    </m:r>
                    <m:sSub>
                      <m:sSubPr>
                        <m:ctrlPr>
                          <w:rPr>
                            <w:rFonts w:ascii="Cambria Math" w:hAnsi="Cambria Math"/>
                            <w:i/>
                            <w:noProof/>
                          </w:rPr>
                        </m:ctrlPr>
                      </m:sSubPr>
                      <m:e>
                        <m:r>
                          <w:rPr>
                            <w:rFonts w:ascii="Cambria Math" w:hAnsi="Cambria Math"/>
                            <w:noProof/>
                          </w:rPr>
                          <m:t>CO</m:t>
                        </m:r>
                      </m:e>
                      <m:sub>
                        <m:r>
                          <w:rPr>
                            <w:rFonts w:ascii="Cambria Math" w:hAnsi="Cambria Math"/>
                            <w:noProof/>
                          </w:rPr>
                          <m:t>2</m:t>
                        </m:r>
                      </m:sub>
                    </m:sSub>
                  </m:sub>
                </m:sSub>
              </m:oMath>
            </m:oMathPara>
          </w:p>
          <w:p>
            <w:pPr>
              <w:rPr>
                <w:noProof/>
              </w:rPr>
            </w:pPr>
            <m:oMathPara>
              <m:oMath>
                <m:d>
                  <m:dPr>
                    <m:begChr m:val="["/>
                    <m:endChr m:val="]"/>
                    <m:ctrlPr>
                      <w:rPr>
                        <w:rFonts w:ascii="Cambria Math" w:hAnsi="Cambria Math"/>
                        <w:i/>
                        <w:noProof/>
                      </w:rPr>
                    </m:ctrlPr>
                  </m:dPr>
                  <m:e>
                    <m:f>
                      <m:fPr>
                        <m:ctrlPr>
                          <w:rPr>
                            <w:rFonts w:ascii="Cambria Math" w:hAnsi="Cambria Math"/>
                            <w:i/>
                            <w:noProof/>
                          </w:rPr>
                        </m:ctrlPr>
                      </m:fPr>
                      <m:num>
                        <m:r>
                          <w:rPr>
                            <w:rFonts w:ascii="Cambria Math" w:hAnsi="Cambria Math"/>
                            <w:noProof/>
                          </w:rPr>
                          <m:t>g</m:t>
                        </m:r>
                        <m:sSub>
                          <m:sSubPr>
                            <m:ctrlPr>
                              <w:rPr>
                                <w:rFonts w:ascii="Cambria Math" w:hAnsi="Cambria Math"/>
                                <w:i/>
                                <w:noProof/>
                              </w:rPr>
                            </m:ctrlPr>
                          </m:sSubPr>
                          <m:e>
                            <m:r>
                              <w:rPr>
                                <w:rFonts w:ascii="Cambria Math" w:hAnsi="Cambria Math"/>
                                <w:noProof/>
                              </w:rPr>
                              <m:t>CO</m:t>
                            </m:r>
                          </m:e>
                          <m:sub>
                            <m:r>
                              <w:rPr>
                                <w:rFonts w:ascii="Cambria Math" w:hAnsi="Cambria Math"/>
                                <w:noProof/>
                              </w:rPr>
                              <m:t>2</m:t>
                            </m:r>
                          </m:sub>
                        </m:sSub>
                      </m:num>
                      <m:den>
                        <m:r>
                          <w:rPr>
                            <w:rFonts w:ascii="Cambria Math" w:hAnsi="Cambria Math"/>
                            <w:noProof/>
                          </w:rPr>
                          <m:t>gFuel</m:t>
                        </m:r>
                      </m:den>
                    </m:f>
                  </m:e>
                </m:d>
              </m:oMath>
            </m:oMathPara>
          </w:p>
        </w:tc>
        <w:tc>
          <w:tcPr>
            <w:tcW w:w="784" w:type="dxa"/>
            <w:tcBorders>
              <w:top w:val="single" w:sz="6" w:space="0" w:color="000000"/>
              <w:left w:val="single" w:sz="6" w:space="0" w:color="000000"/>
              <w:bottom w:val="single" w:sz="6" w:space="0" w:color="000000"/>
              <w:right w:val="single" w:sz="6" w:space="0" w:color="000000"/>
            </w:tcBorders>
            <w:hideMark/>
          </w:tcPr>
          <w:p>
            <w:pPr>
              <w:rPr>
                <w:rFonts w:eastAsiaTheme="minorEastAsia"/>
                <w:noProof/>
              </w:rPr>
            </w:pPr>
            <m:oMathPara>
              <m:oMath>
                <m:sSub>
                  <m:sSubPr>
                    <m:ctrlPr>
                      <w:rPr>
                        <w:rFonts w:ascii="Cambria Math" w:hAnsi="Cambria Math"/>
                        <w:i/>
                        <w:noProof/>
                      </w:rPr>
                    </m:ctrlPr>
                  </m:sSubPr>
                  <m:e>
                    <m:r>
                      <w:rPr>
                        <w:rFonts w:ascii="Cambria Math" w:hAnsi="Cambria Math"/>
                        <w:noProof/>
                      </w:rPr>
                      <m:t>C</m:t>
                    </m:r>
                  </m:e>
                  <m:sub>
                    <m:r>
                      <w:rPr>
                        <w:rFonts w:ascii="Cambria Math" w:hAnsi="Cambria Math"/>
                        <w:noProof/>
                      </w:rPr>
                      <m:t>f</m:t>
                    </m:r>
                    <m:sSub>
                      <m:sSubPr>
                        <m:ctrlPr>
                          <w:rPr>
                            <w:rFonts w:ascii="Cambria Math" w:hAnsi="Cambria Math"/>
                            <w:i/>
                            <w:noProof/>
                          </w:rPr>
                        </m:ctrlPr>
                      </m:sSubPr>
                      <m:e>
                        <m:r>
                          <w:rPr>
                            <w:rFonts w:ascii="Cambria Math" w:hAnsi="Cambria Math"/>
                            <w:noProof/>
                          </w:rPr>
                          <m:t>CH</m:t>
                        </m:r>
                      </m:e>
                      <m:sub>
                        <m:r>
                          <w:rPr>
                            <w:rFonts w:ascii="Cambria Math" w:hAnsi="Cambria Math"/>
                            <w:noProof/>
                          </w:rPr>
                          <m:t>4</m:t>
                        </m:r>
                      </m:sub>
                    </m:sSub>
                  </m:sub>
                </m:sSub>
              </m:oMath>
            </m:oMathPara>
          </w:p>
          <w:p>
            <w:pPr>
              <w:rPr>
                <w:noProof/>
              </w:rPr>
            </w:pPr>
            <m:oMathPara>
              <m:oMath>
                <m:d>
                  <m:dPr>
                    <m:begChr m:val="["/>
                    <m:endChr m:val="]"/>
                    <m:ctrlPr>
                      <w:rPr>
                        <w:rFonts w:ascii="Cambria Math" w:hAnsi="Cambria Math"/>
                        <w:i/>
                        <w:noProof/>
                      </w:rPr>
                    </m:ctrlPr>
                  </m:dPr>
                  <m:e>
                    <m:f>
                      <m:fPr>
                        <m:ctrlPr>
                          <w:rPr>
                            <w:rFonts w:ascii="Cambria Math" w:hAnsi="Cambria Math"/>
                            <w:i/>
                            <w:noProof/>
                          </w:rPr>
                        </m:ctrlPr>
                      </m:fPr>
                      <m:num>
                        <m:r>
                          <w:rPr>
                            <w:rFonts w:ascii="Cambria Math" w:hAnsi="Cambria Math"/>
                            <w:noProof/>
                          </w:rPr>
                          <m:t>g</m:t>
                        </m:r>
                        <m:sSub>
                          <m:sSubPr>
                            <m:ctrlPr>
                              <w:rPr>
                                <w:rFonts w:ascii="Cambria Math" w:hAnsi="Cambria Math"/>
                                <w:i/>
                                <w:noProof/>
                              </w:rPr>
                            </m:ctrlPr>
                          </m:sSubPr>
                          <m:e>
                            <m:r>
                              <w:rPr>
                                <w:rFonts w:ascii="Cambria Math" w:hAnsi="Cambria Math"/>
                                <w:noProof/>
                              </w:rPr>
                              <m:t>CH</m:t>
                            </m:r>
                          </m:e>
                          <m:sub>
                            <m:r>
                              <w:rPr>
                                <w:rFonts w:ascii="Cambria Math" w:hAnsi="Cambria Math"/>
                                <w:noProof/>
                              </w:rPr>
                              <m:t>4</m:t>
                            </m:r>
                          </m:sub>
                        </m:sSub>
                      </m:num>
                      <m:den>
                        <m:r>
                          <w:rPr>
                            <w:rFonts w:ascii="Cambria Math" w:hAnsi="Cambria Math"/>
                            <w:noProof/>
                          </w:rPr>
                          <m:t>gFuel</m:t>
                        </m:r>
                      </m:den>
                    </m:f>
                  </m:e>
                </m:d>
              </m:oMath>
            </m:oMathPara>
          </w:p>
        </w:tc>
        <w:tc>
          <w:tcPr>
            <w:tcW w:w="784" w:type="dxa"/>
            <w:tcBorders>
              <w:top w:val="single" w:sz="6" w:space="0" w:color="000000"/>
              <w:left w:val="single" w:sz="6" w:space="0" w:color="000000"/>
              <w:bottom w:val="single" w:sz="6" w:space="0" w:color="000000"/>
              <w:right w:val="single" w:sz="6" w:space="0" w:color="000000"/>
            </w:tcBorders>
            <w:hideMark/>
          </w:tcPr>
          <w:p>
            <w:pPr>
              <w:rPr>
                <w:rFonts w:eastAsiaTheme="minorEastAsia"/>
                <w:noProof/>
              </w:rPr>
            </w:pPr>
            <m:oMathPara>
              <m:oMath>
                <m:sSub>
                  <m:sSubPr>
                    <m:ctrlPr>
                      <w:rPr>
                        <w:rFonts w:ascii="Cambria Math" w:hAnsi="Cambria Math"/>
                        <w:i/>
                        <w:noProof/>
                      </w:rPr>
                    </m:ctrlPr>
                  </m:sSubPr>
                  <m:e>
                    <m:r>
                      <w:rPr>
                        <w:rFonts w:ascii="Cambria Math" w:hAnsi="Cambria Math"/>
                        <w:noProof/>
                      </w:rPr>
                      <m:t>C</m:t>
                    </m:r>
                  </m:e>
                  <m:sub>
                    <m:r>
                      <w:rPr>
                        <w:rFonts w:ascii="Cambria Math" w:hAnsi="Cambria Math"/>
                        <w:noProof/>
                      </w:rPr>
                      <m:t>f</m:t>
                    </m:r>
                    <m:sSub>
                      <m:sSubPr>
                        <m:ctrlPr>
                          <w:rPr>
                            <w:rFonts w:ascii="Cambria Math" w:hAnsi="Cambria Math"/>
                            <w:i/>
                            <w:noProof/>
                          </w:rPr>
                        </m:ctrlPr>
                      </m:sSubPr>
                      <m:e>
                        <m:r>
                          <w:rPr>
                            <w:rFonts w:ascii="Cambria Math" w:hAnsi="Cambria Math"/>
                            <w:noProof/>
                          </w:rPr>
                          <m:t>N</m:t>
                        </m:r>
                      </m:e>
                      <m:sub>
                        <m:r>
                          <w:rPr>
                            <w:rFonts w:ascii="Cambria Math" w:hAnsi="Cambria Math"/>
                            <w:noProof/>
                          </w:rPr>
                          <m:t>2</m:t>
                        </m:r>
                      </m:sub>
                    </m:sSub>
                    <m:r>
                      <w:rPr>
                        <w:rFonts w:ascii="Cambria Math" w:hAnsi="Cambria Math"/>
                        <w:noProof/>
                      </w:rPr>
                      <m:t>O</m:t>
                    </m:r>
                  </m:sub>
                </m:sSub>
              </m:oMath>
            </m:oMathPara>
          </w:p>
          <w:p>
            <w:pPr>
              <w:rPr>
                <w:noProof/>
              </w:rPr>
            </w:pPr>
            <m:oMathPara>
              <m:oMath>
                <m:d>
                  <m:dPr>
                    <m:begChr m:val="["/>
                    <m:endChr m:val="]"/>
                    <m:ctrlPr>
                      <w:rPr>
                        <w:rFonts w:ascii="Cambria Math" w:hAnsi="Cambria Math"/>
                        <w:i/>
                        <w:noProof/>
                      </w:rPr>
                    </m:ctrlPr>
                  </m:dPr>
                  <m:e>
                    <m:f>
                      <m:fPr>
                        <m:ctrlPr>
                          <w:rPr>
                            <w:rFonts w:ascii="Cambria Math" w:hAnsi="Cambria Math"/>
                            <w:i/>
                            <w:noProof/>
                          </w:rPr>
                        </m:ctrlPr>
                      </m:fPr>
                      <m:num>
                        <m:r>
                          <w:rPr>
                            <w:rFonts w:ascii="Cambria Math" w:hAnsi="Cambria Math"/>
                            <w:noProof/>
                          </w:rPr>
                          <m:t>g</m:t>
                        </m:r>
                        <m:sSub>
                          <m:sSubPr>
                            <m:ctrlPr>
                              <w:rPr>
                                <w:rFonts w:ascii="Cambria Math" w:hAnsi="Cambria Math"/>
                                <w:i/>
                                <w:noProof/>
                              </w:rPr>
                            </m:ctrlPr>
                          </m:sSubPr>
                          <m:e>
                            <m:r>
                              <w:rPr>
                                <w:rFonts w:ascii="Cambria Math" w:hAnsi="Cambria Math"/>
                                <w:noProof/>
                              </w:rPr>
                              <m:t>N</m:t>
                            </m:r>
                          </m:e>
                          <m:sub>
                            <m:r>
                              <w:rPr>
                                <w:rFonts w:ascii="Cambria Math" w:hAnsi="Cambria Math"/>
                                <w:noProof/>
                              </w:rPr>
                              <m:t>2</m:t>
                            </m:r>
                          </m:sub>
                        </m:sSub>
                        <m:r>
                          <w:rPr>
                            <w:rFonts w:ascii="Cambria Math" w:hAnsi="Cambria Math"/>
                            <w:noProof/>
                          </w:rPr>
                          <m:t>O</m:t>
                        </m:r>
                      </m:num>
                      <m:den>
                        <m:r>
                          <w:rPr>
                            <w:rFonts w:ascii="Cambria Math" w:hAnsi="Cambria Math"/>
                            <w:noProof/>
                          </w:rPr>
                          <m:t>gFuel</m:t>
                        </m:r>
                      </m:den>
                    </m:f>
                  </m:e>
                </m:d>
              </m:oMath>
            </m:oMathPara>
          </w:p>
        </w:tc>
        <w:tc>
          <w:tcPr>
            <w:tcW w:w="643" w:type="dxa"/>
            <w:tcBorders>
              <w:top w:val="single" w:sz="6" w:space="0" w:color="000000"/>
              <w:left w:val="single" w:sz="6" w:space="0" w:color="000000"/>
              <w:bottom w:val="single" w:sz="6" w:space="0" w:color="000000"/>
              <w:right w:val="single" w:sz="6" w:space="0" w:color="000000"/>
            </w:tcBorders>
            <w:hideMark/>
          </w:tcPr>
          <w:p>
            <w:pPr>
              <w:rPr>
                <w:b/>
                <w:noProof/>
              </w:rPr>
            </w:pPr>
            <w:r>
              <w:rPr>
                <w:b/>
                <w:noProof/>
              </w:rPr>
              <w:t>C</w:t>
            </w:r>
            <w:r>
              <w:rPr>
                <w:b/>
                <w:noProof/>
                <w:vertAlign w:val="subscript"/>
              </w:rPr>
              <w:t>alunecare</w:t>
            </w:r>
          </w:p>
          <w:p>
            <w:pPr>
              <w:rPr>
                <w:b/>
                <w:noProof/>
              </w:rPr>
            </w:pPr>
            <w:r>
              <w:rPr>
                <w:b/>
                <w:noProof/>
              </w:rPr>
              <w:t>Exprimat sub formă de % din masa carburantului utilizat de motor</w:t>
            </w:r>
          </w:p>
        </w:tc>
      </w:tr>
      <w:tr>
        <w:trPr>
          <w:jc w:val="center"/>
        </w:trPr>
        <w:tc>
          <w:tcPr>
            <w:tcW w:w="1020" w:type="dxa"/>
            <w:vMerge w:val="restart"/>
            <w:tcBorders>
              <w:top w:val="single" w:sz="6" w:space="0" w:color="000000"/>
              <w:left w:val="single" w:sz="6" w:space="0" w:color="000000"/>
              <w:bottom w:val="single" w:sz="6" w:space="0" w:color="000000"/>
              <w:right w:val="single" w:sz="6" w:space="0" w:color="000000"/>
            </w:tcBorders>
            <w:hideMark/>
          </w:tcPr>
          <w:p>
            <w:pPr>
              <w:rPr>
                <w:noProof/>
              </w:rPr>
            </w:pPr>
            <w:r>
              <w:rPr>
                <w:noProof/>
              </w:rPr>
              <w:lastRenderedPageBreak/>
              <w:t>Combustibili fosili</w:t>
            </w:r>
          </w:p>
        </w:tc>
        <w:tc>
          <w:tcPr>
            <w:tcW w:w="2013" w:type="dxa"/>
            <w:tcBorders>
              <w:top w:val="single" w:sz="6" w:space="0" w:color="000000"/>
              <w:left w:val="single" w:sz="6" w:space="0" w:color="000000"/>
              <w:bottom w:val="single" w:sz="6" w:space="0" w:color="000000"/>
              <w:right w:val="single" w:sz="6" w:space="0" w:color="000000"/>
            </w:tcBorders>
            <w:hideMark/>
          </w:tcPr>
          <w:p>
            <w:pPr>
              <w:rPr>
                <w:noProof/>
              </w:rPr>
            </w:pPr>
            <w:r>
              <w:rPr>
                <w:noProof/>
              </w:rPr>
              <w:t>Păcură grea</w:t>
            </w:r>
          </w:p>
          <w:p>
            <w:pPr>
              <w:rPr>
                <w:noProof/>
                <w:color w:val="000000" w:themeColor="text1"/>
              </w:rPr>
            </w:pPr>
            <w:r>
              <w:rPr>
                <w:noProof/>
              </w:rPr>
              <w:t>ISO 821</w:t>
            </w:r>
            <w:r>
              <w:rPr>
                <w:noProof/>
                <w:color w:val="000000" w:themeColor="text1"/>
              </w:rPr>
              <w:t>7:2024 </w:t>
            </w:r>
          </w:p>
          <w:p>
            <w:pPr>
              <w:rPr>
                <w:noProof/>
                <w:color w:val="000000" w:themeColor="text1"/>
              </w:rPr>
            </w:pPr>
            <w:r>
              <w:rPr>
                <w:noProof/>
                <w:color w:val="000000" w:themeColor="text1"/>
              </w:rPr>
              <w:t>Gradele RME-RMK și componenta fosilă a RF80-RF500</w:t>
            </w:r>
          </w:p>
          <w:p>
            <w:pPr>
              <w:rPr>
                <w:noProof/>
              </w:rPr>
            </w:pPr>
          </w:p>
        </w:tc>
        <w:tc>
          <w:tcPr>
            <w:tcW w:w="983" w:type="dxa"/>
            <w:tcBorders>
              <w:top w:val="single" w:sz="6" w:space="0" w:color="000000"/>
              <w:left w:val="single" w:sz="6" w:space="0" w:color="000000"/>
              <w:bottom w:val="single" w:sz="6" w:space="0" w:color="000000"/>
              <w:right w:val="single" w:sz="6" w:space="0" w:color="000000"/>
            </w:tcBorders>
            <w:hideMark/>
          </w:tcPr>
          <w:p>
            <w:pPr>
              <w:rPr>
                <w:noProof/>
              </w:rPr>
            </w:pPr>
            <w:r>
              <w:rPr>
                <w:noProof/>
              </w:rPr>
              <w:t>0,0405</w:t>
            </w:r>
          </w:p>
        </w:tc>
        <w:tc>
          <w:tcPr>
            <w:tcW w:w="1058" w:type="dxa"/>
            <w:tcBorders>
              <w:top w:val="single" w:sz="6" w:space="0" w:color="000000"/>
              <w:left w:val="single" w:sz="6" w:space="0" w:color="000000"/>
              <w:bottom w:val="single" w:sz="6" w:space="0" w:color="000000"/>
              <w:right w:val="single" w:sz="6" w:space="0" w:color="000000"/>
            </w:tcBorders>
            <w:hideMark/>
          </w:tcPr>
          <w:p>
            <w:pPr>
              <w:rPr>
                <w:noProof/>
              </w:rPr>
            </w:pPr>
            <w:r>
              <w:rPr>
                <w:noProof/>
              </w:rPr>
              <w:t>13,5</w:t>
            </w:r>
          </w:p>
        </w:tc>
        <w:tc>
          <w:tcPr>
            <w:tcW w:w="1020" w:type="dxa"/>
            <w:tcBorders>
              <w:top w:val="single" w:sz="6" w:space="0" w:color="000000"/>
              <w:left w:val="single" w:sz="6" w:space="0" w:color="000000"/>
              <w:bottom w:val="single" w:sz="6" w:space="0" w:color="000000"/>
              <w:right w:val="single" w:sz="6" w:space="0" w:color="000000"/>
            </w:tcBorders>
            <w:hideMark/>
          </w:tcPr>
          <w:p>
            <w:pPr>
              <w:rPr>
                <w:noProof/>
              </w:rPr>
            </w:pPr>
            <w:r>
              <w:rPr>
                <w:noProof/>
              </w:rPr>
              <w:t xml:space="preserve">TOATE </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3,114</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0,00005</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0,00018</w:t>
            </w:r>
          </w:p>
        </w:tc>
        <w:tc>
          <w:tcPr>
            <w:tcW w:w="643" w:type="dxa"/>
            <w:tcBorders>
              <w:top w:val="single" w:sz="6" w:space="0" w:color="000000"/>
              <w:left w:val="single" w:sz="6" w:space="0" w:color="000000"/>
              <w:bottom w:val="single" w:sz="6" w:space="0" w:color="000000"/>
              <w:right w:val="single" w:sz="6" w:space="0" w:color="000000"/>
            </w:tcBorders>
            <w:hideMark/>
          </w:tcPr>
          <w:p>
            <w:pPr>
              <w:rPr>
                <w:noProof/>
              </w:rPr>
            </w:pPr>
            <w:r>
              <w:rPr>
                <w:noProof/>
              </w:rPr>
              <w:t>-</w:t>
            </w:r>
          </w:p>
        </w:tc>
      </w:tr>
      <w:tr>
        <w:trPr>
          <w:jc w:val="center"/>
        </w:trPr>
        <w:tc>
          <w:tcPr>
            <w:tcW w:w="1020"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2013" w:type="dxa"/>
            <w:tcBorders>
              <w:top w:val="single" w:sz="6" w:space="0" w:color="000000"/>
              <w:left w:val="single" w:sz="6" w:space="0" w:color="000000"/>
              <w:bottom w:val="single" w:sz="6" w:space="0" w:color="000000"/>
              <w:right w:val="single" w:sz="6" w:space="0" w:color="000000"/>
            </w:tcBorders>
            <w:hideMark/>
          </w:tcPr>
          <w:p>
            <w:pPr>
              <w:rPr>
                <w:noProof/>
              </w:rPr>
            </w:pPr>
            <w:r>
              <w:rPr>
                <w:noProof/>
              </w:rPr>
              <w:t>Păcură ușoară</w:t>
            </w:r>
          </w:p>
          <w:p>
            <w:pPr>
              <w:rPr>
                <w:noProof/>
                <w:color w:val="000000" w:themeColor="text1"/>
              </w:rPr>
            </w:pPr>
            <w:r>
              <w:rPr>
                <w:rStyle w:val="normaltextrun"/>
                <w:noProof/>
                <w:color w:val="000000" w:themeColor="text1"/>
                <w:sz w:val="22"/>
              </w:rPr>
              <w:t>ISO 8217:2024 Gradele RMA și componenta fosilă a RF20</w:t>
            </w:r>
            <w:r>
              <w:rPr>
                <w:rStyle w:val="eop"/>
                <w:noProof/>
                <w:color w:val="000000" w:themeColor="text1"/>
                <w:sz w:val="22"/>
              </w:rPr>
              <w:t xml:space="preserve"> </w:t>
            </w:r>
          </w:p>
          <w:p>
            <w:pPr>
              <w:rPr>
                <w:noProof/>
              </w:rPr>
            </w:pPr>
          </w:p>
          <w:p>
            <w:pPr>
              <w:rPr>
                <w:noProof/>
              </w:rPr>
            </w:pPr>
          </w:p>
        </w:tc>
        <w:tc>
          <w:tcPr>
            <w:tcW w:w="983" w:type="dxa"/>
            <w:tcBorders>
              <w:top w:val="single" w:sz="6" w:space="0" w:color="000000"/>
              <w:left w:val="single" w:sz="6" w:space="0" w:color="000000"/>
              <w:bottom w:val="single" w:sz="6" w:space="0" w:color="000000"/>
              <w:right w:val="single" w:sz="6" w:space="0" w:color="000000"/>
            </w:tcBorders>
            <w:hideMark/>
          </w:tcPr>
          <w:p>
            <w:pPr>
              <w:rPr>
                <w:noProof/>
              </w:rPr>
            </w:pPr>
            <w:r>
              <w:rPr>
                <w:noProof/>
              </w:rPr>
              <w:t>0,041</w:t>
            </w:r>
          </w:p>
        </w:tc>
        <w:tc>
          <w:tcPr>
            <w:tcW w:w="1058" w:type="dxa"/>
            <w:tcBorders>
              <w:top w:val="single" w:sz="6" w:space="0" w:color="000000"/>
              <w:left w:val="single" w:sz="6" w:space="0" w:color="000000"/>
              <w:bottom w:val="single" w:sz="6" w:space="0" w:color="000000"/>
              <w:right w:val="single" w:sz="6" w:space="0" w:color="000000"/>
            </w:tcBorders>
            <w:hideMark/>
          </w:tcPr>
          <w:p>
            <w:pPr>
              <w:rPr>
                <w:noProof/>
              </w:rPr>
            </w:pPr>
            <w:r>
              <w:rPr>
                <w:noProof/>
              </w:rPr>
              <w:t>13,2</w:t>
            </w:r>
          </w:p>
        </w:tc>
        <w:tc>
          <w:tcPr>
            <w:tcW w:w="1020" w:type="dxa"/>
            <w:tcBorders>
              <w:top w:val="single" w:sz="6" w:space="0" w:color="000000"/>
              <w:left w:val="single" w:sz="6" w:space="0" w:color="000000"/>
              <w:bottom w:val="single" w:sz="6" w:space="0" w:color="000000"/>
              <w:right w:val="single" w:sz="6" w:space="0" w:color="000000"/>
            </w:tcBorders>
            <w:hideMark/>
          </w:tcPr>
          <w:p>
            <w:pPr>
              <w:rPr>
                <w:noProof/>
              </w:rPr>
            </w:pPr>
            <w:r>
              <w:rPr>
                <w:noProof/>
              </w:rPr>
              <w:t xml:space="preserve">TOATE </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3,151</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0,00005</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0,00018</w:t>
            </w:r>
          </w:p>
        </w:tc>
        <w:tc>
          <w:tcPr>
            <w:tcW w:w="643" w:type="dxa"/>
            <w:tcBorders>
              <w:top w:val="single" w:sz="6" w:space="0" w:color="000000"/>
              <w:left w:val="single" w:sz="6" w:space="0" w:color="000000"/>
              <w:bottom w:val="single" w:sz="6" w:space="0" w:color="000000"/>
              <w:right w:val="single" w:sz="6" w:space="0" w:color="000000"/>
            </w:tcBorders>
            <w:hideMark/>
          </w:tcPr>
          <w:p>
            <w:pPr>
              <w:rPr>
                <w:noProof/>
              </w:rPr>
            </w:pPr>
            <w:r>
              <w:rPr>
                <w:noProof/>
              </w:rPr>
              <w:t>-</w:t>
            </w:r>
          </w:p>
        </w:tc>
      </w:tr>
      <w:tr>
        <w:trPr>
          <w:jc w:val="center"/>
        </w:trPr>
        <w:tc>
          <w:tcPr>
            <w:tcW w:w="1020"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2013" w:type="dxa"/>
            <w:tcBorders>
              <w:top w:val="single" w:sz="6" w:space="0" w:color="000000"/>
              <w:left w:val="single" w:sz="6" w:space="0" w:color="000000"/>
              <w:bottom w:val="single" w:sz="6" w:space="0" w:color="000000"/>
              <w:right w:val="single" w:sz="6" w:space="0" w:color="000000"/>
            </w:tcBorders>
            <w:hideMark/>
          </w:tcPr>
          <w:p>
            <w:pPr>
              <w:rPr>
                <w:noProof/>
              </w:rPr>
            </w:pPr>
            <w:r>
              <w:rPr>
                <w:noProof/>
              </w:rPr>
              <w:t>Combustibil pentru motoare diesel navale</w:t>
            </w:r>
          </w:p>
          <w:p>
            <w:pPr>
              <w:rPr>
                <w:noProof/>
              </w:rPr>
            </w:pPr>
            <w:r>
              <w:rPr>
                <w:noProof/>
              </w:rPr>
              <w:t>Motorină marină</w:t>
            </w:r>
          </w:p>
          <w:p>
            <w:pPr>
              <w:rPr>
                <w:noProof/>
              </w:rPr>
            </w:pPr>
            <w:r>
              <w:rPr>
                <w:rStyle w:val="normaltextrun"/>
                <w:noProof/>
                <w:color w:val="000000" w:themeColor="text1"/>
                <w:sz w:val="22"/>
              </w:rPr>
              <w:t>ISO 8217:2024 Gradele DMX-DMB și componenta fosilă a DFA, DFZ și DFB</w:t>
            </w:r>
            <w:r>
              <w:rPr>
                <w:rStyle w:val="eop"/>
                <w:noProof/>
                <w:color w:val="000000" w:themeColor="text1"/>
                <w:sz w:val="22"/>
              </w:rPr>
              <w:t xml:space="preserve"> </w:t>
            </w:r>
          </w:p>
        </w:tc>
        <w:tc>
          <w:tcPr>
            <w:tcW w:w="983" w:type="dxa"/>
            <w:tcBorders>
              <w:top w:val="single" w:sz="6" w:space="0" w:color="000000"/>
              <w:left w:val="single" w:sz="6" w:space="0" w:color="000000"/>
              <w:bottom w:val="single" w:sz="6" w:space="0" w:color="000000"/>
              <w:right w:val="single" w:sz="6" w:space="0" w:color="000000"/>
            </w:tcBorders>
            <w:hideMark/>
          </w:tcPr>
          <w:p>
            <w:pPr>
              <w:rPr>
                <w:noProof/>
              </w:rPr>
            </w:pPr>
            <w:r>
              <w:rPr>
                <w:noProof/>
              </w:rPr>
              <w:t>0,0427</w:t>
            </w:r>
          </w:p>
        </w:tc>
        <w:tc>
          <w:tcPr>
            <w:tcW w:w="1058" w:type="dxa"/>
            <w:tcBorders>
              <w:top w:val="single" w:sz="6" w:space="0" w:color="000000"/>
              <w:left w:val="single" w:sz="6" w:space="0" w:color="000000"/>
              <w:bottom w:val="single" w:sz="6" w:space="0" w:color="000000"/>
              <w:right w:val="single" w:sz="6" w:space="0" w:color="000000"/>
            </w:tcBorders>
            <w:hideMark/>
          </w:tcPr>
          <w:p>
            <w:pPr>
              <w:rPr>
                <w:noProof/>
              </w:rPr>
            </w:pPr>
            <w:r>
              <w:rPr>
                <w:noProof/>
              </w:rPr>
              <w:t>14,4</w:t>
            </w:r>
          </w:p>
        </w:tc>
        <w:tc>
          <w:tcPr>
            <w:tcW w:w="1020" w:type="dxa"/>
            <w:tcBorders>
              <w:top w:val="single" w:sz="6" w:space="0" w:color="000000"/>
              <w:left w:val="single" w:sz="6" w:space="0" w:color="000000"/>
              <w:bottom w:val="single" w:sz="6" w:space="0" w:color="000000"/>
              <w:right w:val="single" w:sz="6" w:space="0" w:color="000000"/>
            </w:tcBorders>
            <w:hideMark/>
          </w:tcPr>
          <w:p>
            <w:pPr>
              <w:rPr>
                <w:noProof/>
              </w:rPr>
            </w:pPr>
            <w:r>
              <w:rPr>
                <w:noProof/>
              </w:rPr>
              <w:t xml:space="preserve">TOATE </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3,206</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0,00005</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0,00018</w:t>
            </w:r>
          </w:p>
        </w:tc>
        <w:tc>
          <w:tcPr>
            <w:tcW w:w="643" w:type="dxa"/>
            <w:tcBorders>
              <w:top w:val="single" w:sz="6" w:space="0" w:color="000000"/>
              <w:left w:val="single" w:sz="6" w:space="0" w:color="000000"/>
              <w:bottom w:val="single" w:sz="6" w:space="0" w:color="000000"/>
              <w:right w:val="single" w:sz="6" w:space="0" w:color="000000"/>
            </w:tcBorders>
            <w:hideMark/>
          </w:tcPr>
          <w:p>
            <w:pPr>
              <w:rPr>
                <w:noProof/>
              </w:rPr>
            </w:pPr>
            <w:r>
              <w:rPr>
                <w:noProof/>
              </w:rPr>
              <w:t>-</w:t>
            </w:r>
          </w:p>
        </w:tc>
      </w:tr>
      <w:tr>
        <w:trPr>
          <w:jc w:val="center"/>
        </w:trPr>
        <w:tc>
          <w:tcPr>
            <w:tcW w:w="1020" w:type="dxa"/>
            <w:vMerge w:val="restart"/>
            <w:tcBorders>
              <w:top w:val="single" w:sz="6" w:space="0" w:color="000000"/>
              <w:left w:val="single" w:sz="6" w:space="0" w:color="000000"/>
              <w:right w:val="single" w:sz="6" w:space="0" w:color="000000"/>
            </w:tcBorders>
            <w:hideMark/>
          </w:tcPr>
          <w:p>
            <w:pPr>
              <w:rPr>
                <w:noProof/>
              </w:rPr>
            </w:pPr>
            <w:r>
              <w:rPr>
                <w:noProof/>
              </w:rPr>
              <w:t>Combustibili fosili</w:t>
            </w:r>
          </w:p>
        </w:tc>
        <w:tc>
          <w:tcPr>
            <w:tcW w:w="2013" w:type="dxa"/>
            <w:vMerge w:val="restart"/>
            <w:tcBorders>
              <w:top w:val="single" w:sz="6" w:space="0" w:color="000000"/>
              <w:left w:val="single" w:sz="6" w:space="0" w:color="000000"/>
              <w:bottom w:val="single" w:sz="6" w:space="0" w:color="000000"/>
              <w:right w:val="single" w:sz="6" w:space="0" w:color="000000"/>
            </w:tcBorders>
            <w:hideMark/>
          </w:tcPr>
          <w:p>
            <w:pPr>
              <w:rPr>
                <w:noProof/>
              </w:rPr>
            </w:pPr>
            <w:r>
              <w:rPr>
                <w:noProof/>
              </w:rPr>
              <w:t>GNL</w:t>
            </w:r>
          </w:p>
        </w:tc>
        <w:tc>
          <w:tcPr>
            <w:tcW w:w="983" w:type="dxa"/>
            <w:vMerge w:val="restart"/>
            <w:tcBorders>
              <w:top w:val="single" w:sz="6" w:space="0" w:color="000000"/>
              <w:left w:val="single" w:sz="6" w:space="0" w:color="000000"/>
              <w:bottom w:val="single" w:sz="6" w:space="0" w:color="000000"/>
              <w:right w:val="single" w:sz="6" w:space="0" w:color="000000"/>
            </w:tcBorders>
            <w:hideMark/>
          </w:tcPr>
          <w:p>
            <w:pPr>
              <w:rPr>
                <w:noProof/>
              </w:rPr>
            </w:pPr>
            <w:r>
              <w:rPr>
                <w:noProof/>
              </w:rPr>
              <w:t>0,0491</w:t>
            </w:r>
          </w:p>
        </w:tc>
        <w:tc>
          <w:tcPr>
            <w:tcW w:w="1058" w:type="dxa"/>
            <w:vMerge w:val="restart"/>
            <w:tcBorders>
              <w:top w:val="single" w:sz="6" w:space="0" w:color="000000"/>
              <w:left w:val="single" w:sz="6" w:space="0" w:color="000000"/>
              <w:bottom w:val="single" w:sz="6" w:space="0" w:color="000000"/>
              <w:right w:val="single" w:sz="6" w:space="0" w:color="000000"/>
            </w:tcBorders>
            <w:hideMark/>
          </w:tcPr>
          <w:p>
            <w:pPr>
              <w:rPr>
                <w:noProof/>
              </w:rPr>
            </w:pPr>
            <w:r>
              <w:rPr>
                <w:noProof/>
              </w:rPr>
              <w:t>18,5</w:t>
            </w:r>
          </w:p>
        </w:tc>
        <w:tc>
          <w:tcPr>
            <w:tcW w:w="1020" w:type="dxa"/>
            <w:tcBorders>
              <w:top w:val="single" w:sz="6" w:space="0" w:color="000000"/>
              <w:left w:val="single" w:sz="6" w:space="0" w:color="000000"/>
              <w:bottom w:val="single" w:sz="6" w:space="0" w:color="000000"/>
              <w:right w:val="single" w:sz="6" w:space="0" w:color="000000"/>
            </w:tcBorders>
            <w:hideMark/>
          </w:tcPr>
          <w:p>
            <w:pPr>
              <w:rPr>
                <w:noProof/>
              </w:rPr>
            </w:pPr>
            <w:r>
              <w:rPr>
                <w:noProof/>
              </w:rPr>
              <w:t>GNL Otto (turație medie cu dublă alimentare)</w:t>
            </w:r>
          </w:p>
        </w:tc>
        <w:tc>
          <w:tcPr>
            <w:tcW w:w="784" w:type="dxa"/>
            <w:vMerge w:val="restart"/>
            <w:tcBorders>
              <w:top w:val="single" w:sz="6" w:space="0" w:color="000000"/>
              <w:left w:val="single" w:sz="6" w:space="0" w:color="000000"/>
              <w:bottom w:val="single" w:sz="6" w:space="0" w:color="000000"/>
              <w:right w:val="single" w:sz="6" w:space="0" w:color="000000"/>
            </w:tcBorders>
            <w:hideMark/>
          </w:tcPr>
          <w:p>
            <w:pPr>
              <w:rPr>
                <w:noProof/>
              </w:rPr>
            </w:pPr>
            <w:r>
              <w:rPr>
                <w:noProof/>
              </w:rPr>
              <w:t>2,750</w:t>
            </w:r>
          </w:p>
        </w:tc>
        <w:tc>
          <w:tcPr>
            <w:tcW w:w="784" w:type="dxa"/>
            <w:vMerge w:val="restart"/>
            <w:tcBorders>
              <w:top w:val="single" w:sz="6" w:space="0" w:color="000000"/>
              <w:left w:val="single" w:sz="6" w:space="0" w:color="000000"/>
              <w:bottom w:val="single" w:sz="6" w:space="0" w:color="000000"/>
              <w:right w:val="single" w:sz="6" w:space="0" w:color="000000"/>
            </w:tcBorders>
            <w:hideMark/>
          </w:tcPr>
          <w:p>
            <w:pPr>
              <w:rPr>
                <w:noProof/>
              </w:rPr>
            </w:pPr>
            <w:r>
              <w:rPr>
                <w:noProof/>
              </w:rPr>
              <w:t>0</w:t>
            </w:r>
          </w:p>
        </w:tc>
        <w:tc>
          <w:tcPr>
            <w:tcW w:w="784" w:type="dxa"/>
            <w:vMerge w:val="restart"/>
            <w:tcBorders>
              <w:top w:val="single" w:sz="6" w:space="0" w:color="000000"/>
              <w:left w:val="single" w:sz="6" w:space="0" w:color="000000"/>
              <w:bottom w:val="single" w:sz="6" w:space="0" w:color="000000"/>
              <w:right w:val="single" w:sz="6" w:space="0" w:color="000000"/>
            </w:tcBorders>
            <w:hideMark/>
          </w:tcPr>
          <w:p>
            <w:pPr>
              <w:rPr>
                <w:noProof/>
              </w:rPr>
            </w:pPr>
            <w:r>
              <w:rPr>
                <w:noProof/>
              </w:rPr>
              <w:t>0,00011</w:t>
            </w:r>
          </w:p>
        </w:tc>
        <w:tc>
          <w:tcPr>
            <w:tcW w:w="643" w:type="dxa"/>
            <w:tcBorders>
              <w:top w:val="single" w:sz="6" w:space="0" w:color="000000"/>
              <w:left w:val="single" w:sz="6" w:space="0" w:color="000000"/>
              <w:bottom w:val="single" w:sz="6" w:space="0" w:color="000000"/>
              <w:right w:val="single" w:sz="6" w:space="0" w:color="000000"/>
            </w:tcBorders>
            <w:hideMark/>
          </w:tcPr>
          <w:p>
            <w:pPr>
              <w:rPr>
                <w:noProof/>
              </w:rPr>
            </w:pPr>
            <w:r>
              <w:rPr>
                <w:noProof/>
              </w:rPr>
              <w:t>3,1</w:t>
            </w:r>
          </w:p>
        </w:tc>
      </w:tr>
      <w:tr>
        <w:trPr>
          <w:jc w:val="center"/>
        </w:trPr>
        <w:tc>
          <w:tcPr>
            <w:tcW w:w="1020" w:type="dxa"/>
            <w:vMerge/>
            <w:tcBorders>
              <w:left w:val="single" w:sz="6" w:space="0" w:color="000000"/>
              <w:right w:val="single" w:sz="6" w:space="0" w:color="000000"/>
            </w:tcBorders>
            <w:vAlign w:val="center"/>
            <w:hideMark/>
          </w:tcPr>
          <w:p>
            <w:pPr>
              <w:rPr>
                <w:noProof/>
              </w:rPr>
            </w:pPr>
          </w:p>
        </w:tc>
        <w:tc>
          <w:tcPr>
            <w:tcW w:w="2013"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983"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1058"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1020" w:type="dxa"/>
            <w:tcBorders>
              <w:top w:val="single" w:sz="6" w:space="0" w:color="000000"/>
              <w:left w:val="single" w:sz="6" w:space="0" w:color="000000"/>
              <w:bottom w:val="single" w:sz="6" w:space="0" w:color="000000"/>
              <w:right w:val="single" w:sz="6" w:space="0" w:color="000000"/>
            </w:tcBorders>
            <w:hideMark/>
          </w:tcPr>
          <w:p>
            <w:pPr>
              <w:rPr>
                <w:noProof/>
              </w:rPr>
            </w:pPr>
            <w:r>
              <w:rPr>
                <w:noProof/>
              </w:rPr>
              <w:t>GNL Otto (turație lentă cu dublă alimentare)</w:t>
            </w:r>
          </w:p>
        </w:tc>
        <w:tc>
          <w:tcPr>
            <w:tcW w:w="784"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784"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784"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643" w:type="dxa"/>
            <w:tcBorders>
              <w:top w:val="single" w:sz="6" w:space="0" w:color="000000"/>
              <w:left w:val="single" w:sz="6" w:space="0" w:color="000000"/>
              <w:bottom w:val="single" w:sz="6" w:space="0" w:color="000000"/>
              <w:right w:val="single" w:sz="6" w:space="0" w:color="000000"/>
            </w:tcBorders>
            <w:hideMark/>
          </w:tcPr>
          <w:p>
            <w:pPr>
              <w:rPr>
                <w:noProof/>
              </w:rPr>
            </w:pPr>
            <w:r>
              <w:rPr>
                <w:noProof/>
              </w:rPr>
              <w:t>1,7</w:t>
            </w:r>
          </w:p>
        </w:tc>
      </w:tr>
      <w:tr>
        <w:trPr>
          <w:jc w:val="center"/>
        </w:trPr>
        <w:tc>
          <w:tcPr>
            <w:tcW w:w="1020" w:type="dxa"/>
            <w:vMerge/>
            <w:tcBorders>
              <w:left w:val="single" w:sz="6" w:space="0" w:color="000000"/>
              <w:right w:val="single" w:sz="6" w:space="0" w:color="000000"/>
            </w:tcBorders>
            <w:vAlign w:val="center"/>
            <w:hideMark/>
          </w:tcPr>
          <w:p>
            <w:pPr>
              <w:rPr>
                <w:noProof/>
              </w:rPr>
            </w:pPr>
          </w:p>
        </w:tc>
        <w:tc>
          <w:tcPr>
            <w:tcW w:w="2013"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983"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1058"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1020" w:type="dxa"/>
            <w:tcBorders>
              <w:top w:val="single" w:sz="6" w:space="0" w:color="000000"/>
              <w:left w:val="single" w:sz="6" w:space="0" w:color="000000"/>
              <w:bottom w:val="single" w:sz="6" w:space="0" w:color="000000"/>
              <w:right w:val="single" w:sz="6" w:space="0" w:color="000000"/>
            </w:tcBorders>
            <w:hideMark/>
          </w:tcPr>
          <w:p>
            <w:pPr>
              <w:rPr>
                <w:noProof/>
              </w:rPr>
            </w:pPr>
            <w:r>
              <w:rPr>
                <w:noProof/>
              </w:rPr>
              <w:t>GNL Diesel (turație lentă cu dublă alimentare)</w:t>
            </w:r>
          </w:p>
        </w:tc>
        <w:tc>
          <w:tcPr>
            <w:tcW w:w="784"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784"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784"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643" w:type="dxa"/>
            <w:tcBorders>
              <w:top w:val="single" w:sz="6" w:space="0" w:color="000000"/>
              <w:left w:val="single" w:sz="6" w:space="0" w:color="000000"/>
              <w:bottom w:val="single" w:sz="6" w:space="0" w:color="000000"/>
              <w:right w:val="single" w:sz="6" w:space="0" w:color="000000"/>
            </w:tcBorders>
            <w:hideMark/>
          </w:tcPr>
          <w:p>
            <w:pPr>
              <w:rPr>
                <w:noProof/>
              </w:rPr>
            </w:pPr>
            <w:r>
              <w:rPr>
                <w:noProof/>
              </w:rPr>
              <w:t>0,2</w:t>
            </w:r>
          </w:p>
        </w:tc>
      </w:tr>
      <w:tr>
        <w:trPr>
          <w:jc w:val="center"/>
        </w:trPr>
        <w:tc>
          <w:tcPr>
            <w:tcW w:w="1020" w:type="dxa"/>
            <w:vMerge/>
            <w:tcBorders>
              <w:left w:val="single" w:sz="6" w:space="0" w:color="000000"/>
              <w:right w:val="single" w:sz="6" w:space="0" w:color="000000"/>
            </w:tcBorders>
            <w:vAlign w:val="center"/>
            <w:hideMark/>
          </w:tcPr>
          <w:p>
            <w:pPr>
              <w:rPr>
                <w:noProof/>
              </w:rPr>
            </w:pPr>
          </w:p>
        </w:tc>
        <w:tc>
          <w:tcPr>
            <w:tcW w:w="2013"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983"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1058"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1020" w:type="dxa"/>
            <w:tcBorders>
              <w:top w:val="single" w:sz="6" w:space="0" w:color="000000"/>
              <w:left w:val="single" w:sz="6" w:space="0" w:color="000000"/>
              <w:bottom w:val="single" w:sz="6" w:space="0" w:color="000000"/>
              <w:right w:val="single" w:sz="6" w:space="0" w:color="000000"/>
            </w:tcBorders>
            <w:hideMark/>
          </w:tcPr>
          <w:p>
            <w:pPr>
              <w:rPr>
                <w:noProof/>
              </w:rPr>
            </w:pPr>
            <w:r>
              <w:rPr>
                <w:noProof/>
              </w:rPr>
              <w:t>LBSI</w:t>
            </w:r>
          </w:p>
        </w:tc>
        <w:tc>
          <w:tcPr>
            <w:tcW w:w="784"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784"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784"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643" w:type="dxa"/>
            <w:tcBorders>
              <w:top w:val="single" w:sz="6" w:space="0" w:color="000000"/>
              <w:left w:val="single" w:sz="6" w:space="0" w:color="000000"/>
              <w:bottom w:val="single" w:sz="6" w:space="0" w:color="000000"/>
              <w:right w:val="single" w:sz="6" w:space="0" w:color="000000"/>
            </w:tcBorders>
            <w:hideMark/>
          </w:tcPr>
          <w:p>
            <w:pPr>
              <w:rPr>
                <w:noProof/>
              </w:rPr>
            </w:pPr>
            <w:r>
              <w:rPr>
                <w:noProof/>
              </w:rPr>
              <w:t>2,6</w:t>
            </w:r>
          </w:p>
        </w:tc>
      </w:tr>
      <w:tr>
        <w:trPr>
          <w:jc w:val="center"/>
        </w:trPr>
        <w:tc>
          <w:tcPr>
            <w:tcW w:w="1020" w:type="dxa"/>
            <w:vMerge/>
            <w:tcBorders>
              <w:left w:val="single" w:sz="6" w:space="0" w:color="000000"/>
              <w:right w:val="single" w:sz="6" w:space="0" w:color="000000"/>
            </w:tcBorders>
            <w:vAlign w:val="center"/>
            <w:hideMark/>
          </w:tcPr>
          <w:p>
            <w:pPr>
              <w:rPr>
                <w:noProof/>
              </w:rPr>
            </w:pPr>
          </w:p>
        </w:tc>
        <w:tc>
          <w:tcPr>
            <w:tcW w:w="2013" w:type="dxa"/>
            <w:tcBorders>
              <w:top w:val="single" w:sz="6" w:space="0" w:color="000000"/>
              <w:left w:val="single" w:sz="6" w:space="0" w:color="000000"/>
              <w:bottom w:val="single" w:sz="6" w:space="0" w:color="000000"/>
              <w:right w:val="single" w:sz="6" w:space="0" w:color="000000"/>
            </w:tcBorders>
            <w:hideMark/>
          </w:tcPr>
          <w:p>
            <w:pPr>
              <w:rPr>
                <w:noProof/>
              </w:rPr>
            </w:pPr>
            <w:r>
              <w:rPr>
                <w:noProof/>
              </w:rPr>
              <w:t>GPL</w:t>
            </w:r>
          </w:p>
        </w:tc>
        <w:tc>
          <w:tcPr>
            <w:tcW w:w="983" w:type="dxa"/>
            <w:tcBorders>
              <w:top w:val="single" w:sz="6" w:space="0" w:color="000000"/>
              <w:left w:val="single" w:sz="6" w:space="0" w:color="000000"/>
              <w:bottom w:val="single" w:sz="6" w:space="0" w:color="000000"/>
              <w:right w:val="single" w:sz="6" w:space="0" w:color="000000"/>
            </w:tcBorders>
            <w:hideMark/>
          </w:tcPr>
          <w:p>
            <w:pPr>
              <w:rPr>
                <w:noProof/>
              </w:rPr>
            </w:pPr>
            <w:r>
              <w:rPr>
                <w:noProof/>
              </w:rPr>
              <w:t>0,046</w:t>
            </w:r>
          </w:p>
        </w:tc>
        <w:tc>
          <w:tcPr>
            <w:tcW w:w="1058" w:type="dxa"/>
            <w:tcBorders>
              <w:top w:val="single" w:sz="6" w:space="0" w:color="000000"/>
              <w:left w:val="single" w:sz="6" w:space="0" w:color="000000"/>
              <w:bottom w:val="single" w:sz="6" w:space="0" w:color="000000"/>
              <w:right w:val="single" w:sz="6" w:space="0" w:color="000000"/>
            </w:tcBorders>
            <w:hideMark/>
          </w:tcPr>
          <w:p>
            <w:pPr>
              <w:rPr>
                <w:noProof/>
              </w:rPr>
            </w:pPr>
            <w:r>
              <w:rPr>
                <w:noProof/>
              </w:rPr>
              <w:t>7,8</w:t>
            </w:r>
          </w:p>
        </w:tc>
        <w:tc>
          <w:tcPr>
            <w:tcW w:w="1020" w:type="dxa"/>
            <w:tcBorders>
              <w:top w:val="single" w:sz="6" w:space="0" w:color="000000"/>
              <w:left w:val="single" w:sz="6" w:space="0" w:color="000000"/>
              <w:bottom w:val="single" w:sz="6" w:space="0" w:color="000000"/>
              <w:right w:val="single" w:sz="6" w:space="0" w:color="000000"/>
            </w:tcBorders>
            <w:hideMark/>
          </w:tcPr>
          <w:p>
            <w:pPr>
              <w:rPr>
                <w:noProof/>
              </w:rPr>
            </w:pPr>
            <w:r>
              <w:rPr>
                <w:noProof/>
              </w:rPr>
              <w:t xml:space="preserve">TOATE </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3,030 butan</w:t>
            </w:r>
          </w:p>
          <w:p>
            <w:pPr>
              <w:rPr>
                <w:noProof/>
              </w:rPr>
            </w:pPr>
            <w:r>
              <w:rPr>
                <w:noProof/>
              </w:rPr>
              <w:t xml:space="preserve">3,000 </w:t>
            </w:r>
            <w:r>
              <w:rPr>
                <w:noProof/>
              </w:rPr>
              <w:lastRenderedPageBreak/>
              <w:t>propan</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lastRenderedPageBreak/>
              <w:t>TBM</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TBM</w:t>
            </w:r>
          </w:p>
        </w:tc>
        <w:tc>
          <w:tcPr>
            <w:tcW w:w="643" w:type="dxa"/>
            <w:tcBorders>
              <w:top w:val="single" w:sz="6" w:space="0" w:color="000000"/>
              <w:left w:val="single" w:sz="6" w:space="0" w:color="000000"/>
              <w:bottom w:val="single" w:sz="6" w:space="0" w:color="000000"/>
              <w:right w:val="single" w:sz="6" w:space="0" w:color="000000"/>
            </w:tcBorders>
            <w:hideMark/>
          </w:tcPr>
          <w:p>
            <w:pPr>
              <w:rPr>
                <w:noProof/>
              </w:rPr>
            </w:pPr>
            <w:r>
              <w:rPr>
                <w:noProof/>
              </w:rPr>
              <w:t>N/A</w:t>
            </w:r>
          </w:p>
        </w:tc>
      </w:tr>
      <w:tr>
        <w:trPr>
          <w:jc w:val="center"/>
        </w:trPr>
        <w:tc>
          <w:tcPr>
            <w:tcW w:w="1020" w:type="dxa"/>
            <w:vMerge/>
            <w:tcBorders>
              <w:left w:val="single" w:sz="6" w:space="0" w:color="000000"/>
              <w:right w:val="single" w:sz="6" w:space="0" w:color="000000"/>
            </w:tcBorders>
            <w:vAlign w:val="center"/>
            <w:hideMark/>
          </w:tcPr>
          <w:p>
            <w:pPr>
              <w:rPr>
                <w:noProof/>
              </w:rPr>
            </w:pPr>
          </w:p>
        </w:tc>
        <w:tc>
          <w:tcPr>
            <w:tcW w:w="2013" w:type="dxa"/>
            <w:vMerge w:val="restart"/>
            <w:tcBorders>
              <w:top w:val="single" w:sz="6" w:space="0" w:color="000000"/>
              <w:left w:val="single" w:sz="6" w:space="0" w:color="000000"/>
              <w:bottom w:val="single" w:sz="6" w:space="0" w:color="000000"/>
              <w:right w:val="single" w:sz="6" w:space="0" w:color="000000"/>
            </w:tcBorders>
            <w:hideMark/>
          </w:tcPr>
          <w:p>
            <w:pPr>
              <w:rPr>
                <w:noProof/>
              </w:rPr>
            </w:pPr>
            <w:r>
              <w:rPr>
                <w:noProof/>
              </w:rPr>
              <w:t>H2</w:t>
            </w:r>
          </w:p>
          <w:p>
            <w:pPr>
              <w:rPr>
                <w:noProof/>
              </w:rPr>
            </w:pPr>
            <w:r>
              <w:rPr>
                <w:noProof/>
              </w:rPr>
              <w:t>(gaz natural)</w:t>
            </w:r>
          </w:p>
        </w:tc>
        <w:tc>
          <w:tcPr>
            <w:tcW w:w="983" w:type="dxa"/>
            <w:vMerge w:val="restart"/>
            <w:tcBorders>
              <w:top w:val="single" w:sz="6" w:space="0" w:color="000000"/>
              <w:left w:val="single" w:sz="6" w:space="0" w:color="000000"/>
              <w:bottom w:val="single" w:sz="6" w:space="0" w:color="000000"/>
              <w:right w:val="single" w:sz="6" w:space="0" w:color="000000"/>
            </w:tcBorders>
            <w:hideMark/>
          </w:tcPr>
          <w:p>
            <w:pPr>
              <w:rPr>
                <w:noProof/>
              </w:rPr>
            </w:pPr>
            <w:r>
              <w:rPr>
                <w:noProof/>
              </w:rPr>
              <w:t>0,12</w:t>
            </w:r>
          </w:p>
        </w:tc>
        <w:tc>
          <w:tcPr>
            <w:tcW w:w="1058" w:type="dxa"/>
            <w:vMerge w:val="restart"/>
            <w:tcBorders>
              <w:top w:val="single" w:sz="6" w:space="0" w:color="000000"/>
              <w:left w:val="single" w:sz="6" w:space="0" w:color="000000"/>
              <w:bottom w:val="single" w:sz="6" w:space="0" w:color="000000"/>
              <w:right w:val="single" w:sz="6" w:space="0" w:color="000000"/>
            </w:tcBorders>
            <w:hideMark/>
          </w:tcPr>
          <w:p>
            <w:pPr>
              <w:rPr>
                <w:noProof/>
              </w:rPr>
            </w:pPr>
            <w:r>
              <w:rPr>
                <w:noProof/>
              </w:rPr>
              <w:t>132</w:t>
            </w:r>
          </w:p>
        </w:tc>
        <w:tc>
          <w:tcPr>
            <w:tcW w:w="1020" w:type="dxa"/>
            <w:tcBorders>
              <w:top w:val="single" w:sz="6" w:space="0" w:color="000000"/>
              <w:left w:val="single" w:sz="6" w:space="0" w:color="000000"/>
              <w:bottom w:val="single" w:sz="6" w:space="0" w:color="000000"/>
              <w:right w:val="single" w:sz="6" w:space="0" w:color="000000"/>
            </w:tcBorders>
            <w:hideMark/>
          </w:tcPr>
          <w:p>
            <w:pPr>
              <w:rPr>
                <w:noProof/>
              </w:rPr>
            </w:pPr>
            <w:r>
              <w:rPr>
                <w:noProof/>
              </w:rPr>
              <w:t>Pile de combustie</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0</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0</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w:t>
            </w:r>
          </w:p>
        </w:tc>
        <w:tc>
          <w:tcPr>
            <w:tcW w:w="643" w:type="dxa"/>
            <w:vMerge w:val="restart"/>
            <w:tcBorders>
              <w:top w:val="single" w:sz="6" w:space="0" w:color="000000"/>
              <w:left w:val="single" w:sz="6" w:space="0" w:color="000000"/>
              <w:bottom w:val="single" w:sz="6" w:space="0" w:color="000000"/>
              <w:right w:val="single" w:sz="6" w:space="0" w:color="000000"/>
            </w:tcBorders>
            <w:hideMark/>
          </w:tcPr>
          <w:p>
            <w:pPr>
              <w:rPr>
                <w:noProof/>
              </w:rPr>
            </w:pPr>
            <w:r>
              <w:rPr>
                <w:noProof/>
              </w:rPr>
              <w:t>-</w:t>
            </w:r>
          </w:p>
        </w:tc>
      </w:tr>
      <w:tr>
        <w:trPr>
          <w:jc w:val="center"/>
        </w:trPr>
        <w:tc>
          <w:tcPr>
            <w:tcW w:w="1020" w:type="dxa"/>
            <w:vMerge/>
            <w:tcBorders>
              <w:left w:val="single" w:sz="6" w:space="0" w:color="000000"/>
              <w:right w:val="single" w:sz="6" w:space="0" w:color="000000"/>
            </w:tcBorders>
            <w:vAlign w:val="center"/>
            <w:hideMark/>
          </w:tcPr>
          <w:p>
            <w:pPr>
              <w:rPr>
                <w:noProof/>
              </w:rPr>
            </w:pPr>
          </w:p>
        </w:tc>
        <w:tc>
          <w:tcPr>
            <w:tcW w:w="2013"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983"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1058"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1020" w:type="dxa"/>
            <w:tcBorders>
              <w:top w:val="single" w:sz="6" w:space="0" w:color="000000"/>
              <w:left w:val="single" w:sz="6" w:space="0" w:color="000000"/>
              <w:bottom w:val="single" w:sz="6" w:space="0" w:color="000000"/>
              <w:right w:val="single" w:sz="6" w:space="0" w:color="000000"/>
            </w:tcBorders>
            <w:hideMark/>
          </w:tcPr>
          <w:p>
            <w:pPr>
              <w:rPr>
                <w:noProof/>
              </w:rPr>
            </w:pPr>
            <w:r>
              <w:rPr>
                <w:noProof/>
              </w:rPr>
              <w:t>ICE</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0</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0</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TBM</w:t>
            </w:r>
          </w:p>
        </w:tc>
        <w:tc>
          <w:tcPr>
            <w:tcW w:w="643"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r>
      <w:tr>
        <w:trPr>
          <w:jc w:val="center"/>
        </w:trPr>
        <w:tc>
          <w:tcPr>
            <w:tcW w:w="1020" w:type="dxa"/>
            <w:vMerge/>
            <w:tcBorders>
              <w:left w:val="single" w:sz="6" w:space="0" w:color="000000"/>
              <w:right w:val="single" w:sz="6" w:space="0" w:color="000000"/>
            </w:tcBorders>
            <w:vAlign w:val="center"/>
            <w:hideMark/>
          </w:tcPr>
          <w:p>
            <w:pPr>
              <w:rPr>
                <w:noProof/>
              </w:rPr>
            </w:pPr>
          </w:p>
        </w:tc>
        <w:tc>
          <w:tcPr>
            <w:tcW w:w="2013" w:type="dxa"/>
            <w:vMerge w:val="restart"/>
            <w:tcBorders>
              <w:top w:val="single" w:sz="6" w:space="0" w:color="000000"/>
              <w:left w:val="single" w:sz="6" w:space="0" w:color="000000"/>
              <w:bottom w:val="single" w:sz="6" w:space="0" w:color="000000"/>
              <w:right w:val="single" w:sz="6" w:space="0" w:color="000000"/>
            </w:tcBorders>
            <w:hideMark/>
          </w:tcPr>
          <w:p>
            <w:pPr>
              <w:rPr>
                <w:noProof/>
              </w:rPr>
            </w:pPr>
            <w:r>
              <w:rPr>
                <w:noProof/>
              </w:rPr>
              <w:t>NH3</w:t>
            </w:r>
          </w:p>
          <w:p>
            <w:pPr>
              <w:rPr>
                <w:noProof/>
              </w:rPr>
            </w:pPr>
            <w:r>
              <w:rPr>
                <w:noProof/>
              </w:rPr>
              <w:t>(gaz natural)</w:t>
            </w:r>
          </w:p>
        </w:tc>
        <w:tc>
          <w:tcPr>
            <w:tcW w:w="983" w:type="dxa"/>
            <w:vMerge w:val="restart"/>
            <w:tcBorders>
              <w:top w:val="single" w:sz="6" w:space="0" w:color="000000"/>
              <w:left w:val="single" w:sz="6" w:space="0" w:color="000000"/>
              <w:bottom w:val="single" w:sz="6" w:space="0" w:color="000000"/>
              <w:right w:val="single" w:sz="6" w:space="0" w:color="000000"/>
            </w:tcBorders>
            <w:hideMark/>
          </w:tcPr>
          <w:p>
            <w:pPr>
              <w:rPr>
                <w:noProof/>
              </w:rPr>
            </w:pPr>
            <w:r>
              <w:rPr>
                <w:noProof/>
              </w:rPr>
              <w:t>0,0186</w:t>
            </w:r>
          </w:p>
        </w:tc>
        <w:tc>
          <w:tcPr>
            <w:tcW w:w="1058" w:type="dxa"/>
            <w:vMerge w:val="restart"/>
            <w:tcBorders>
              <w:top w:val="single" w:sz="6" w:space="0" w:color="000000"/>
              <w:left w:val="single" w:sz="6" w:space="0" w:color="000000"/>
              <w:bottom w:val="single" w:sz="6" w:space="0" w:color="000000"/>
              <w:right w:val="single" w:sz="6" w:space="0" w:color="000000"/>
            </w:tcBorders>
            <w:hideMark/>
          </w:tcPr>
          <w:p>
            <w:pPr>
              <w:rPr>
                <w:noProof/>
              </w:rPr>
            </w:pPr>
            <w:r>
              <w:rPr>
                <w:noProof/>
              </w:rPr>
              <w:t>121</w:t>
            </w:r>
          </w:p>
        </w:tc>
        <w:tc>
          <w:tcPr>
            <w:tcW w:w="1020" w:type="dxa"/>
            <w:tcBorders>
              <w:top w:val="single" w:sz="6" w:space="0" w:color="000000"/>
              <w:left w:val="single" w:sz="6" w:space="0" w:color="000000"/>
              <w:bottom w:val="single" w:sz="6" w:space="0" w:color="000000"/>
              <w:right w:val="single" w:sz="6" w:space="0" w:color="000000"/>
            </w:tcBorders>
            <w:hideMark/>
          </w:tcPr>
          <w:p>
            <w:pPr>
              <w:rPr>
                <w:noProof/>
              </w:rPr>
            </w:pPr>
            <w:r>
              <w:rPr>
                <w:noProof/>
              </w:rPr>
              <w:t>Pile de combustie</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0</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N/A</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TBM</w:t>
            </w:r>
          </w:p>
        </w:tc>
        <w:tc>
          <w:tcPr>
            <w:tcW w:w="643" w:type="dxa"/>
            <w:tcBorders>
              <w:top w:val="single" w:sz="6" w:space="0" w:color="000000"/>
              <w:left w:val="single" w:sz="6" w:space="0" w:color="000000"/>
              <w:bottom w:val="single" w:sz="6" w:space="0" w:color="000000"/>
              <w:right w:val="single" w:sz="6" w:space="0" w:color="000000"/>
            </w:tcBorders>
            <w:hideMark/>
          </w:tcPr>
          <w:p>
            <w:pPr>
              <w:rPr>
                <w:noProof/>
              </w:rPr>
            </w:pPr>
            <w:r>
              <w:rPr>
                <w:noProof/>
              </w:rPr>
              <w:t>N/A</w:t>
            </w:r>
          </w:p>
        </w:tc>
      </w:tr>
      <w:tr>
        <w:trPr>
          <w:jc w:val="center"/>
        </w:trPr>
        <w:tc>
          <w:tcPr>
            <w:tcW w:w="1020" w:type="dxa"/>
            <w:vMerge/>
            <w:tcBorders>
              <w:left w:val="single" w:sz="6" w:space="0" w:color="000000"/>
              <w:right w:val="single" w:sz="6" w:space="0" w:color="000000"/>
            </w:tcBorders>
            <w:vAlign w:val="center"/>
            <w:hideMark/>
          </w:tcPr>
          <w:p>
            <w:pPr>
              <w:rPr>
                <w:noProof/>
              </w:rPr>
            </w:pPr>
          </w:p>
        </w:tc>
        <w:tc>
          <w:tcPr>
            <w:tcW w:w="2013"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983"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1058"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1020" w:type="dxa"/>
            <w:tcBorders>
              <w:top w:val="single" w:sz="6" w:space="0" w:color="000000"/>
              <w:left w:val="single" w:sz="6" w:space="0" w:color="000000"/>
              <w:bottom w:val="single" w:sz="6" w:space="0" w:color="000000"/>
              <w:right w:val="single" w:sz="6" w:space="0" w:color="000000"/>
            </w:tcBorders>
            <w:hideMark/>
          </w:tcPr>
          <w:p>
            <w:pPr>
              <w:rPr>
                <w:noProof/>
              </w:rPr>
            </w:pPr>
            <w:r>
              <w:rPr>
                <w:noProof/>
              </w:rPr>
              <w:t>ICE</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0</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N/A</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TBM</w:t>
            </w:r>
          </w:p>
        </w:tc>
        <w:tc>
          <w:tcPr>
            <w:tcW w:w="643" w:type="dxa"/>
            <w:tcBorders>
              <w:top w:val="single" w:sz="6" w:space="0" w:color="000000"/>
              <w:left w:val="single" w:sz="6" w:space="0" w:color="000000"/>
              <w:bottom w:val="single" w:sz="6" w:space="0" w:color="000000"/>
              <w:right w:val="single" w:sz="6" w:space="0" w:color="000000"/>
            </w:tcBorders>
            <w:hideMark/>
          </w:tcPr>
          <w:p>
            <w:pPr>
              <w:rPr>
                <w:noProof/>
              </w:rPr>
            </w:pPr>
            <w:r>
              <w:rPr>
                <w:noProof/>
              </w:rPr>
              <w:t>N/A</w:t>
            </w:r>
          </w:p>
        </w:tc>
      </w:tr>
      <w:tr>
        <w:trPr>
          <w:jc w:val="center"/>
        </w:trPr>
        <w:tc>
          <w:tcPr>
            <w:tcW w:w="1020" w:type="dxa"/>
            <w:vMerge/>
            <w:tcBorders>
              <w:left w:val="single" w:sz="6" w:space="0" w:color="000000"/>
              <w:right w:val="single" w:sz="6" w:space="0" w:color="000000"/>
            </w:tcBorders>
            <w:vAlign w:val="center"/>
            <w:hideMark/>
          </w:tcPr>
          <w:p>
            <w:pPr>
              <w:rPr>
                <w:noProof/>
              </w:rPr>
            </w:pPr>
          </w:p>
        </w:tc>
        <w:tc>
          <w:tcPr>
            <w:tcW w:w="2013" w:type="dxa"/>
            <w:tcBorders>
              <w:top w:val="single" w:sz="6" w:space="0" w:color="000000"/>
              <w:left w:val="single" w:sz="6" w:space="0" w:color="000000"/>
              <w:bottom w:val="single" w:sz="6" w:space="0" w:color="000000"/>
              <w:right w:val="single" w:sz="6" w:space="0" w:color="000000"/>
            </w:tcBorders>
            <w:hideMark/>
          </w:tcPr>
          <w:p>
            <w:pPr>
              <w:rPr>
                <w:noProof/>
              </w:rPr>
            </w:pPr>
            <w:r>
              <w:rPr>
                <w:noProof/>
              </w:rPr>
              <w:t>Metanol</w:t>
            </w:r>
          </w:p>
          <w:p>
            <w:pPr>
              <w:rPr>
                <w:noProof/>
              </w:rPr>
            </w:pPr>
            <w:r>
              <w:rPr>
                <w:noProof/>
              </w:rPr>
              <w:t>(gaz natural)</w:t>
            </w:r>
          </w:p>
        </w:tc>
        <w:tc>
          <w:tcPr>
            <w:tcW w:w="983" w:type="dxa"/>
            <w:tcBorders>
              <w:top w:val="single" w:sz="6" w:space="0" w:color="000000"/>
              <w:left w:val="single" w:sz="6" w:space="0" w:color="000000"/>
              <w:bottom w:val="single" w:sz="6" w:space="0" w:color="000000"/>
              <w:right w:val="single" w:sz="6" w:space="0" w:color="000000"/>
            </w:tcBorders>
            <w:hideMark/>
          </w:tcPr>
          <w:p>
            <w:pPr>
              <w:rPr>
                <w:noProof/>
              </w:rPr>
            </w:pPr>
            <w:r>
              <w:rPr>
                <w:noProof/>
              </w:rPr>
              <w:t>0,0199</w:t>
            </w:r>
          </w:p>
        </w:tc>
        <w:tc>
          <w:tcPr>
            <w:tcW w:w="1058" w:type="dxa"/>
            <w:tcBorders>
              <w:top w:val="single" w:sz="6" w:space="0" w:color="000000"/>
              <w:left w:val="single" w:sz="6" w:space="0" w:color="000000"/>
              <w:bottom w:val="single" w:sz="6" w:space="0" w:color="000000"/>
              <w:right w:val="single" w:sz="6" w:space="0" w:color="000000"/>
            </w:tcBorders>
            <w:hideMark/>
          </w:tcPr>
          <w:p>
            <w:pPr>
              <w:rPr>
                <w:noProof/>
              </w:rPr>
            </w:pPr>
            <w:r>
              <w:rPr>
                <w:noProof/>
              </w:rPr>
              <w:t>31,3</w:t>
            </w:r>
          </w:p>
        </w:tc>
        <w:tc>
          <w:tcPr>
            <w:tcW w:w="1020" w:type="dxa"/>
            <w:tcBorders>
              <w:top w:val="single" w:sz="6" w:space="0" w:color="000000"/>
              <w:left w:val="single" w:sz="6" w:space="0" w:color="000000"/>
              <w:bottom w:val="single" w:sz="6" w:space="0" w:color="000000"/>
              <w:right w:val="single" w:sz="6" w:space="0" w:color="000000"/>
            </w:tcBorders>
            <w:hideMark/>
          </w:tcPr>
          <w:p>
            <w:pPr>
              <w:rPr>
                <w:noProof/>
              </w:rPr>
            </w:pPr>
            <w:r>
              <w:rPr>
                <w:noProof/>
              </w:rPr>
              <w:t>Toate motoarele cu ardere internă</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1,375</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TBM</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TBM</w:t>
            </w:r>
          </w:p>
        </w:tc>
        <w:tc>
          <w:tcPr>
            <w:tcW w:w="643" w:type="dxa"/>
            <w:tcBorders>
              <w:top w:val="single" w:sz="6" w:space="0" w:color="000000"/>
              <w:left w:val="single" w:sz="6" w:space="0" w:color="000000"/>
              <w:bottom w:val="single" w:sz="6" w:space="0" w:color="000000"/>
              <w:right w:val="single" w:sz="6" w:space="0" w:color="000000"/>
            </w:tcBorders>
            <w:hideMark/>
          </w:tcPr>
          <w:p>
            <w:pPr>
              <w:rPr>
                <w:noProof/>
              </w:rPr>
            </w:pPr>
            <w:r>
              <w:rPr>
                <w:noProof/>
              </w:rPr>
              <w:t>-</w:t>
            </w:r>
          </w:p>
        </w:tc>
      </w:tr>
      <w:tr>
        <w:trPr>
          <w:jc w:val="center"/>
        </w:trPr>
        <w:tc>
          <w:tcPr>
            <w:tcW w:w="1020" w:type="dxa"/>
            <w:vMerge/>
            <w:tcBorders>
              <w:left w:val="single" w:sz="6" w:space="0" w:color="000000"/>
              <w:bottom w:val="single" w:sz="6" w:space="0" w:color="000000"/>
              <w:right w:val="single" w:sz="6" w:space="0" w:color="000000"/>
            </w:tcBorders>
            <w:vAlign w:val="center"/>
          </w:tcPr>
          <w:p>
            <w:pPr>
              <w:rPr>
                <w:noProof/>
              </w:rPr>
            </w:pPr>
          </w:p>
        </w:tc>
        <w:tc>
          <w:tcPr>
            <w:tcW w:w="2013" w:type="dxa"/>
            <w:tcBorders>
              <w:top w:val="single" w:sz="6" w:space="0" w:color="000000"/>
              <w:left w:val="single" w:sz="6" w:space="0" w:color="000000"/>
              <w:bottom w:val="single" w:sz="6" w:space="0" w:color="000000"/>
              <w:right w:val="single" w:sz="6" w:space="0" w:color="000000"/>
            </w:tcBorders>
          </w:tcPr>
          <w:p>
            <w:pPr>
              <w:rPr>
                <w:noProof/>
              </w:rPr>
            </w:pPr>
            <w:r>
              <w:rPr>
                <w:noProof/>
              </w:rPr>
              <w:t xml:space="preserve">Etan </w:t>
            </w:r>
          </w:p>
        </w:tc>
        <w:tc>
          <w:tcPr>
            <w:tcW w:w="983" w:type="dxa"/>
            <w:tcBorders>
              <w:top w:val="single" w:sz="6" w:space="0" w:color="000000"/>
              <w:left w:val="single" w:sz="6" w:space="0" w:color="000000"/>
              <w:bottom w:val="single" w:sz="6" w:space="0" w:color="000000"/>
              <w:right w:val="single" w:sz="6" w:space="0" w:color="000000"/>
            </w:tcBorders>
          </w:tcPr>
          <w:p>
            <w:pPr>
              <w:rPr>
                <w:noProof/>
              </w:rPr>
            </w:pPr>
            <w:r>
              <w:rPr>
                <w:noProof/>
              </w:rPr>
              <w:t>0,0471</w:t>
            </w:r>
          </w:p>
        </w:tc>
        <w:tc>
          <w:tcPr>
            <w:tcW w:w="1058" w:type="dxa"/>
            <w:tcBorders>
              <w:top w:val="single" w:sz="6" w:space="0" w:color="000000"/>
              <w:left w:val="single" w:sz="6" w:space="0" w:color="000000"/>
              <w:bottom w:val="single" w:sz="6" w:space="0" w:color="000000"/>
              <w:right w:val="single" w:sz="6" w:space="0" w:color="000000"/>
            </w:tcBorders>
          </w:tcPr>
          <w:p>
            <w:pPr>
              <w:rPr>
                <w:noProof/>
              </w:rPr>
            </w:pPr>
            <w:r>
              <w:rPr>
                <w:noProof/>
              </w:rPr>
              <w:t>18,5</w:t>
            </w:r>
          </w:p>
        </w:tc>
        <w:tc>
          <w:tcPr>
            <w:tcW w:w="1020" w:type="dxa"/>
            <w:tcBorders>
              <w:top w:val="single" w:sz="6" w:space="0" w:color="000000"/>
              <w:left w:val="single" w:sz="6" w:space="0" w:color="000000"/>
              <w:bottom w:val="single" w:sz="6" w:space="0" w:color="000000"/>
              <w:right w:val="single" w:sz="6" w:space="0" w:color="000000"/>
            </w:tcBorders>
          </w:tcPr>
          <w:p>
            <w:pPr>
              <w:rPr>
                <w:noProof/>
              </w:rPr>
            </w:pPr>
            <w:r>
              <w:rPr>
                <w:noProof/>
              </w:rPr>
              <w:t>TOATE</w:t>
            </w:r>
          </w:p>
        </w:tc>
        <w:tc>
          <w:tcPr>
            <w:tcW w:w="784" w:type="dxa"/>
            <w:tcBorders>
              <w:top w:val="single" w:sz="6" w:space="0" w:color="000000"/>
              <w:left w:val="single" w:sz="6" w:space="0" w:color="000000"/>
              <w:bottom w:val="single" w:sz="6" w:space="0" w:color="000000"/>
              <w:right w:val="single" w:sz="6" w:space="0" w:color="000000"/>
            </w:tcBorders>
          </w:tcPr>
          <w:p>
            <w:pPr>
              <w:rPr>
                <w:noProof/>
              </w:rPr>
            </w:pPr>
            <w:r>
              <w:rPr>
                <w:noProof/>
              </w:rPr>
              <w:t>2,927</w:t>
            </w:r>
          </w:p>
        </w:tc>
        <w:tc>
          <w:tcPr>
            <w:tcW w:w="784" w:type="dxa"/>
            <w:tcBorders>
              <w:top w:val="single" w:sz="6" w:space="0" w:color="000000"/>
              <w:left w:val="single" w:sz="6" w:space="0" w:color="000000"/>
              <w:bottom w:val="single" w:sz="6" w:space="0" w:color="000000"/>
              <w:right w:val="single" w:sz="6" w:space="0" w:color="000000"/>
            </w:tcBorders>
          </w:tcPr>
          <w:p>
            <w:pPr>
              <w:rPr>
                <w:noProof/>
              </w:rPr>
            </w:pPr>
            <w:r>
              <w:rPr>
                <w:noProof/>
              </w:rPr>
              <w:t>TBM</w:t>
            </w:r>
          </w:p>
        </w:tc>
        <w:tc>
          <w:tcPr>
            <w:tcW w:w="784" w:type="dxa"/>
            <w:tcBorders>
              <w:top w:val="single" w:sz="6" w:space="0" w:color="000000"/>
              <w:left w:val="single" w:sz="6" w:space="0" w:color="000000"/>
              <w:bottom w:val="single" w:sz="6" w:space="0" w:color="000000"/>
              <w:right w:val="single" w:sz="6" w:space="0" w:color="000000"/>
            </w:tcBorders>
          </w:tcPr>
          <w:p>
            <w:pPr>
              <w:rPr>
                <w:noProof/>
              </w:rPr>
            </w:pPr>
            <w:r>
              <w:rPr>
                <w:noProof/>
              </w:rPr>
              <w:t>TBM</w:t>
            </w:r>
          </w:p>
        </w:tc>
        <w:tc>
          <w:tcPr>
            <w:tcW w:w="643" w:type="dxa"/>
            <w:tcBorders>
              <w:top w:val="single" w:sz="6" w:space="0" w:color="000000"/>
              <w:left w:val="single" w:sz="6" w:space="0" w:color="000000"/>
              <w:bottom w:val="single" w:sz="6" w:space="0" w:color="000000"/>
              <w:right w:val="single" w:sz="6" w:space="0" w:color="000000"/>
            </w:tcBorders>
          </w:tcPr>
          <w:p>
            <w:pPr>
              <w:rPr>
                <w:noProof/>
              </w:rPr>
            </w:pPr>
            <w:r>
              <w:rPr>
                <w:noProof/>
              </w:rPr>
              <w:t>N/A</w:t>
            </w:r>
          </w:p>
        </w:tc>
      </w:tr>
      <w:tr>
        <w:trPr>
          <w:jc w:val="center"/>
        </w:trPr>
        <w:tc>
          <w:tcPr>
            <w:tcW w:w="1020" w:type="dxa"/>
            <w:vMerge w:val="restart"/>
            <w:tcBorders>
              <w:top w:val="single" w:sz="6" w:space="0" w:color="000000"/>
              <w:left w:val="single" w:sz="6" w:space="0" w:color="000000"/>
              <w:bottom w:val="single" w:sz="6" w:space="0" w:color="000000"/>
              <w:right w:val="single" w:sz="6" w:space="0" w:color="000000"/>
            </w:tcBorders>
            <w:hideMark/>
          </w:tcPr>
          <w:p>
            <w:pPr>
              <w:rPr>
                <w:noProof/>
              </w:rPr>
            </w:pPr>
            <w:r>
              <w:rPr>
                <w:noProof/>
              </w:rPr>
              <w:t>Biocombustibili</w:t>
            </w:r>
          </w:p>
        </w:tc>
        <w:tc>
          <w:tcPr>
            <w:tcW w:w="2013" w:type="dxa"/>
            <w:tcBorders>
              <w:top w:val="single" w:sz="6" w:space="0" w:color="000000"/>
              <w:left w:val="single" w:sz="6" w:space="0" w:color="000000"/>
              <w:bottom w:val="single" w:sz="6" w:space="0" w:color="000000"/>
              <w:right w:val="single" w:sz="6" w:space="0" w:color="000000"/>
            </w:tcBorders>
            <w:hideMark/>
          </w:tcPr>
          <w:p>
            <w:pPr>
              <w:rPr>
                <w:noProof/>
              </w:rPr>
            </w:pPr>
            <w:r>
              <w:rPr>
                <w:noProof/>
              </w:rPr>
              <w:t>Filierele de producție a etanolului prevăzute de Directiva (UE) 2018/2001</w:t>
            </w:r>
          </w:p>
        </w:tc>
        <w:tc>
          <w:tcPr>
            <w:tcW w:w="983" w:type="dxa"/>
            <w:vMerge w:val="restart"/>
            <w:tcBorders>
              <w:top w:val="single" w:sz="6" w:space="0" w:color="000000"/>
              <w:left w:val="single" w:sz="6" w:space="0" w:color="000000"/>
              <w:bottom w:val="single" w:sz="6" w:space="0" w:color="000000"/>
              <w:right w:val="single" w:sz="6" w:space="0" w:color="000000"/>
            </w:tcBorders>
            <w:hideMark/>
          </w:tcPr>
          <w:p>
            <w:pPr>
              <w:rPr>
                <w:noProof/>
              </w:rPr>
            </w:pPr>
            <w:r>
              <w:rPr>
                <w:noProof/>
              </w:rPr>
              <w:t>Valoarea stabilită în anexa III la Directiva (UE) 2018/2001</w:t>
            </w:r>
          </w:p>
        </w:tc>
        <w:tc>
          <w:tcPr>
            <w:tcW w:w="1058" w:type="dxa"/>
            <w:vMerge w:val="restart"/>
            <w:tcBorders>
              <w:top w:val="single" w:sz="6" w:space="0" w:color="000000"/>
              <w:left w:val="single" w:sz="6" w:space="0" w:color="000000"/>
              <w:bottom w:val="single" w:sz="6" w:space="0" w:color="000000"/>
              <w:right w:val="single" w:sz="6" w:space="0" w:color="000000"/>
            </w:tcBorders>
            <w:hideMark/>
          </w:tcPr>
          <w:p>
            <w:pPr>
              <w:rPr>
                <w:noProof/>
              </w:rPr>
            </w:pPr>
            <m:oMathPara>
              <m:oMath>
                <m:r>
                  <w:rPr>
                    <w:rFonts w:ascii="Cambria Math" w:hAnsi="Cambria Math"/>
                    <w:noProof/>
                  </w:rPr>
                  <m:t>E-</m:t>
                </m:r>
                <m:f>
                  <m:fPr>
                    <m:ctrlPr>
                      <w:rPr>
                        <w:rFonts w:ascii="Cambria Math" w:hAnsi="Cambria Math"/>
                        <w:i/>
                        <w:noProof/>
                      </w:rPr>
                    </m:ctrlPr>
                  </m:fPr>
                  <m:num>
                    <m:sSub>
                      <m:sSubPr>
                        <m:ctrlPr>
                          <w:rPr>
                            <w:rFonts w:ascii="Cambria Math" w:hAnsi="Cambria Math"/>
                            <w:i/>
                            <w:noProof/>
                          </w:rPr>
                        </m:ctrlPr>
                      </m:sSubPr>
                      <m:e>
                        <m:r>
                          <w:rPr>
                            <w:rFonts w:ascii="Cambria Math" w:hAnsi="Cambria Math"/>
                            <w:noProof/>
                          </w:rPr>
                          <m:t>C</m:t>
                        </m:r>
                      </m:e>
                      <m:sub>
                        <m:r>
                          <w:rPr>
                            <w:rFonts w:ascii="Cambria Math" w:hAnsi="Cambria Math"/>
                            <w:noProof/>
                          </w:rPr>
                          <m:t>f</m:t>
                        </m:r>
                        <m:sSub>
                          <m:sSubPr>
                            <m:ctrlPr>
                              <w:rPr>
                                <w:rFonts w:ascii="Cambria Math" w:hAnsi="Cambria Math"/>
                                <w:i/>
                                <w:noProof/>
                              </w:rPr>
                            </m:ctrlPr>
                          </m:sSubPr>
                          <m:e>
                            <m:r>
                              <w:rPr>
                                <w:rFonts w:ascii="Cambria Math" w:hAnsi="Cambria Math"/>
                                <w:noProof/>
                              </w:rPr>
                              <m:t>CO</m:t>
                            </m:r>
                          </m:e>
                          <m:sub>
                            <m:r>
                              <w:rPr>
                                <w:rFonts w:ascii="Cambria Math" w:hAnsi="Cambria Math"/>
                                <w:noProof/>
                              </w:rPr>
                              <m:t>2</m:t>
                            </m:r>
                          </m:sub>
                        </m:sSub>
                      </m:sub>
                    </m:sSub>
                  </m:num>
                  <m:den>
                    <m:r>
                      <w:rPr>
                        <w:rFonts w:ascii="Cambria Math" w:hAnsi="Cambria Math"/>
                        <w:noProof/>
                      </w:rPr>
                      <m:t>LCV</m:t>
                    </m:r>
                  </m:den>
                </m:f>
              </m:oMath>
            </m:oMathPara>
          </w:p>
        </w:tc>
        <w:tc>
          <w:tcPr>
            <w:tcW w:w="1020" w:type="dxa"/>
            <w:tcBorders>
              <w:top w:val="single" w:sz="6" w:space="0" w:color="000000"/>
              <w:left w:val="single" w:sz="6" w:space="0" w:color="000000"/>
              <w:bottom w:val="single" w:sz="6" w:space="0" w:color="000000"/>
              <w:right w:val="single" w:sz="6" w:space="0" w:color="000000"/>
            </w:tcBorders>
            <w:hideMark/>
          </w:tcPr>
          <w:p>
            <w:pPr>
              <w:rPr>
                <w:noProof/>
              </w:rPr>
            </w:pPr>
            <w:r>
              <w:rPr>
                <w:noProof/>
              </w:rPr>
              <w:t xml:space="preserve">TOATE </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1,913</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TBM</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TBM</w:t>
            </w:r>
          </w:p>
        </w:tc>
        <w:tc>
          <w:tcPr>
            <w:tcW w:w="643" w:type="dxa"/>
            <w:tcBorders>
              <w:top w:val="single" w:sz="6" w:space="0" w:color="000000"/>
              <w:left w:val="single" w:sz="6" w:space="0" w:color="000000"/>
              <w:bottom w:val="single" w:sz="6" w:space="0" w:color="000000"/>
              <w:right w:val="single" w:sz="6" w:space="0" w:color="000000"/>
            </w:tcBorders>
            <w:hideMark/>
          </w:tcPr>
          <w:p>
            <w:pPr>
              <w:rPr>
                <w:noProof/>
              </w:rPr>
            </w:pPr>
            <w:r>
              <w:rPr>
                <w:noProof/>
              </w:rPr>
              <w:t>-</w:t>
            </w:r>
          </w:p>
        </w:tc>
      </w:tr>
      <w:tr>
        <w:trPr>
          <w:jc w:val="center"/>
        </w:trPr>
        <w:tc>
          <w:tcPr>
            <w:tcW w:w="1020"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2013" w:type="dxa"/>
            <w:tcBorders>
              <w:top w:val="single" w:sz="6" w:space="0" w:color="000000"/>
              <w:left w:val="single" w:sz="6" w:space="0" w:color="000000"/>
              <w:bottom w:val="single" w:sz="6" w:space="0" w:color="000000"/>
              <w:right w:val="single" w:sz="6" w:space="0" w:color="000000"/>
            </w:tcBorders>
            <w:hideMark/>
          </w:tcPr>
          <w:p>
            <w:pPr>
              <w:rPr>
                <w:noProof/>
              </w:rPr>
            </w:pPr>
            <w:r>
              <w:rPr>
                <w:noProof/>
              </w:rPr>
              <w:t>Biomotorină</w:t>
            </w:r>
          </w:p>
          <w:p>
            <w:pPr>
              <w:rPr>
                <w:noProof/>
              </w:rPr>
            </w:pPr>
            <w:r>
              <w:rPr>
                <w:noProof/>
              </w:rPr>
              <w:t>Filierele de producție prevăzute de Directiva (UE) 2018/2001</w:t>
            </w:r>
          </w:p>
        </w:tc>
        <w:tc>
          <w:tcPr>
            <w:tcW w:w="983"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1058"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1020" w:type="dxa"/>
            <w:tcBorders>
              <w:top w:val="single" w:sz="6" w:space="0" w:color="000000"/>
              <w:left w:val="single" w:sz="6" w:space="0" w:color="000000"/>
              <w:bottom w:val="single" w:sz="6" w:space="0" w:color="000000"/>
              <w:right w:val="single" w:sz="6" w:space="0" w:color="000000"/>
            </w:tcBorders>
            <w:hideMark/>
          </w:tcPr>
          <w:p>
            <w:pPr>
              <w:rPr>
                <w:noProof/>
              </w:rPr>
            </w:pPr>
            <w:r>
              <w:rPr>
                <w:noProof/>
              </w:rPr>
              <w:t xml:space="preserve">TOATE </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2,834</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TBM</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TBM</w:t>
            </w:r>
          </w:p>
        </w:tc>
        <w:tc>
          <w:tcPr>
            <w:tcW w:w="643" w:type="dxa"/>
            <w:tcBorders>
              <w:top w:val="single" w:sz="6" w:space="0" w:color="000000"/>
              <w:left w:val="single" w:sz="6" w:space="0" w:color="000000"/>
              <w:bottom w:val="single" w:sz="6" w:space="0" w:color="000000"/>
              <w:right w:val="single" w:sz="6" w:space="0" w:color="000000"/>
            </w:tcBorders>
            <w:hideMark/>
          </w:tcPr>
          <w:p>
            <w:pPr>
              <w:rPr>
                <w:noProof/>
              </w:rPr>
            </w:pPr>
            <w:r>
              <w:rPr>
                <w:noProof/>
              </w:rPr>
              <w:t>-</w:t>
            </w:r>
          </w:p>
        </w:tc>
      </w:tr>
      <w:tr>
        <w:trPr>
          <w:jc w:val="center"/>
        </w:trPr>
        <w:tc>
          <w:tcPr>
            <w:tcW w:w="1020"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2013" w:type="dxa"/>
            <w:tcBorders>
              <w:top w:val="single" w:sz="6" w:space="0" w:color="000000"/>
              <w:left w:val="single" w:sz="6" w:space="0" w:color="000000"/>
              <w:bottom w:val="single" w:sz="6" w:space="0" w:color="000000"/>
              <w:right w:val="single" w:sz="6" w:space="0" w:color="000000"/>
            </w:tcBorders>
            <w:hideMark/>
          </w:tcPr>
          <w:p>
            <w:pPr>
              <w:rPr>
                <w:noProof/>
              </w:rPr>
            </w:pPr>
            <w:r>
              <w:rPr>
                <w:noProof/>
              </w:rPr>
              <w:t>Ulei vegetal hidrotratat (HVO)</w:t>
            </w:r>
          </w:p>
          <w:p>
            <w:pPr>
              <w:rPr>
                <w:noProof/>
              </w:rPr>
            </w:pPr>
            <w:r>
              <w:rPr>
                <w:noProof/>
              </w:rPr>
              <w:t>Filierele de producție prevăzute de Directiva (UE) 2018/2001</w:t>
            </w:r>
          </w:p>
        </w:tc>
        <w:tc>
          <w:tcPr>
            <w:tcW w:w="983"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1058"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1020" w:type="dxa"/>
            <w:tcBorders>
              <w:top w:val="single" w:sz="6" w:space="0" w:color="000000"/>
              <w:left w:val="single" w:sz="6" w:space="0" w:color="000000"/>
              <w:bottom w:val="single" w:sz="6" w:space="0" w:color="000000"/>
              <w:right w:val="single" w:sz="6" w:space="0" w:color="000000"/>
            </w:tcBorders>
            <w:hideMark/>
          </w:tcPr>
          <w:p>
            <w:pPr>
              <w:rPr>
                <w:noProof/>
              </w:rPr>
            </w:pPr>
            <w:r>
              <w:rPr>
                <w:noProof/>
              </w:rPr>
              <w:t xml:space="preserve">TOATE </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3,115</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0,00005</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0,00018</w:t>
            </w:r>
          </w:p>
        </w:tc>
        <w:tc>
          <w:tcPr>
            <w:tcW w:w="643" w:type="dxa"/>
            <w:tcBorders>
              <w:top w:val="single" w:sz="6" w:space="0" w:color="000000"/>
              <w:left w:val="single" w:sz="6" w:space="0" w:color="000000"/>
              <w:bottom w:val="single" w:sz="6" w:space="0" w:color="000000"/>
              <w:right w:val="single" w:sz="6" w:space="0" w:color="000000"/>
            </w:tcBorders>
            <w:hideMark/>
          </w:tcPr>
          <w:p>
            <w:pPr>
              <w:rPr>
                <w:noProof/>
              </w:rPr>
            </w:pPr>
            <w:r>
              <w:rPr>
                <w:noProof/>
              </w:rPr>
              <w:t>-</w:t>
            </w:r>
          </w:p>
        </w:tc>
      </w:tr>
      <w:tr>
        <w:trPr>
          <w:jc w:val="center"/>
        </w:trPr>
        <w:tc>
          <w:tcPr>
            <w:tcW w:w="1020"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2013" w:type="dxa"/>
            <w:tcBorders>
              <w:top w:val="single" w:sz="6" w:space="0" w:color="000000"/>
              <w:left w:val="single" w:sz="6" w:space="0" w:color="000000"/>
              <w:bottom w:val="single" w:sz="6" w:space="0" w:color="000000"/>
              <w:right w:val="single" w:sz="6" w:space="0" w:color="000000"/>
            </w:tcBorders>
            <w:hideMark/>
          </w:tcPr>
          <w:p>
            <w:pPr>
              <w:rPr>
                <w:noProof/>
              </w:rPr>
            </w:pPr>
            <w:r>
              <w:rPr>
                <w:noProof/>
              </w:rPr>
              <w:t>Filierele de producție a biometanolului prevăzute de Directiva (UE) 2018/2001</w:t>
            </w:r>
          </w:p>
        </w:tc>
        <w:tc>
          <w:tcPr>
            <w:tcW w:w="983"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1058"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1020" w:type="dxa"/>
            <w:tcBorders>
              <w:top w:val="single" w:sz="6" w:space="0" w:color="000000"/>
              <w:left w:val="single" w:sz="6" w:space="0" w:color="000000"/>
              <w:bottom w:val="single" w:sz="6" w:space="0" w:color="000000"/>
              <w:right w:val="single" w:sz="6" w:space="0" w:color="000000"/>
            </w:tcBorders>
            <w:hideMark/>
          </w:tcPr>
          <w:p>
            <w:pPr>
              <w:rPr>
                <w:noProof/>
              </w:rPr>
            </w:pPr>
            <w:r>
              <w:rPr>
                <w:noProof/>
              </w:rPr>
              <w:t xml:space="preserve">TOATE </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1,375</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TBM</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TBM</w:t>
            </w:r>
          </w:p>
        </w:tc>
        <w:tc>
          <w:tcPr>
            <w:tcW w:w="643" w:type="dxa"/>
            <w:tcBorders>
              <w:top w:val="single" w:sz="6" w:space="0" w:color="000000"/>
              <w:left w:val="single" w:sz="6" w:space="0" w:color="000000"/>
              <w:bottom w:val="single" w:sz="6" w:space="0" w:color="000000"/>
              <w:right w:val="single" w:sz="6" w:space="0" w:color="000000"/>
            </w:tcBorders>
            <w:hideMark/>
          </w:tcPr>
          <w:p>
            <w:pPr>
              <w:rPr>
                <w:noProof/>
              </w:rPr>
            </w:pPr>
            <w:r>
              <w:rPr>
                <w:noProof/>
              </w:rPr>
              <w:t>-</w:t>
            </w:r>
          </w:p>
        </w:tc>
      </w:tr>
      <w:tr>
        <w:trPr>
          <w:jc w:val="center"/>
        </w:trPr>
        <w:tc>
          <w:tcPr>
            <w:tcW w:w="1020"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2013" w:type="dxa"/>
            <w:tcBorders>
              <w:top w:val="single" w:sz="6" w:space="0" w:color="000000"/>
              <w:left w:val="single" w:sz="6" w:space="0" w:color="000000"/>
              <w:bottom w:val="single" w:sz="4" w:space="0" w:color="auto"/>
              <w:right w:val="single" w:sz="6" w:space="0" w:color="000000"/>
            </w:tcBorders>
            <w:hideMark/>
          </w:tcPr>
          <w:p>
            <w:pPr>
              <w:rPr>
                <w:noProof/>
              </w:rPr>
            </w:pPr>
            <w:r>
              <w:rPr>
                <w:noProof/>
              </w:rPr>
              <w:t>Alte filiere de producție prevăzute de Directiva (UE) 2018/2001</w:t>
            </w:r>
          </w:p>
        </w:tc>
        <w:tc>
          <w:tcPr>
            <w:tcW w:w="983" w:type="dxa"/>
            <w:vMerge/>
            <w:tcBorders>
              <w:top w:val="single" w:sz="6" w:space="0" w:color="000000"/>
              <w:left w:val="single" w:sz="6" w:space="0" w:color="000000"/>
              <w:bottom w:val="single" w:sz="4" w:space="0" w:color="auto"/>
              <w:right w:val="single" w:sz="6" w:space="0" w:color="000000"/>
            </w:tcBorders>
            <w:vAlign w:val="center"/>
            <w:hideMark/>
          </w:tcPr>
          <w:p>
            <w:pPr>
              <w:rPr>
                <w:noProof/>
              </w:rPr>
            </w:pPr>
          </w:p>
        </w:tc>
        <w:tc>
          <w:tcPr>
            <w:tcW w:w="1058" w:type="dxa"/>
            <w:vMerge/>
            <w:tcBorders>
              <w:top w:val="single" w:sz="6" w:space="0" w:color="000000"/>
              <w:left w:val="single" w:sz="6" w:space="0" w:color="000000"/>
              <w:bottom w:val="single" w:sz="4" w:space="0" w:color="auto"/>
              <w:right w:val="single" w:sz="6" w:space="0" w:color="000000"/>
            </w:tcBorders>
            <w:vAlign w:val="center"/>
            <w:hideMark/>
          </w:tcPr>
          <w:p>
            <w:pPr>
              <w:rPr>
                <w:noProof/>
              </w:rPr>
            </w:pPr>
          </w:p>
        </w:tc>
        <w:tc>
          <w:tcPr>
            <w:tcW w:w="1020" w:type="dxa"/>
            <w:tcBorders>
              <w:top w:val="single" w:sz="6" w:space="0" w:color="000000"/>
              <w:left w:val="single" w:sz="6" w:space="0" w:color="000000"/>
              <w:bottom w:val="single" w:sz="6" w:space="0" w:color="000000"/>
              <w:right w:val="single" w:sz="6" w:space="0" w:color="000000"/>
            </w:tcBorders>
            <w:hideMark/>
          </w:tcPr>
          <w:p>
            <w:pPr>
              <w:rPr>
                <w:noProof/>
              </w:rPr>
            </w:pPr>
            <w:r>
              <w:rPr>
                <w:noProof/>
              </w:rPr>
              <w:t xml:space="preserve">TOATE </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3,115</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0,00005</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0,00018</w:t>
            </w:r>
          </w:p>
        </w:tc>
        <w:tc>
          <w:tcPr>
            <w:tcW w:w="643" w:type="dxa"/>
            <w:tcBorders>
              <w:top w:val="single" w:sz="6" w:space="0" w:color="000000"/>
              <w:left w:val="single" w:sz="6" w:space="0" w:color="000000"/>
              <w:bottom w:val="single" w:sz="6" w:space="0" w:color="000000"/>
              <w:right w:val="single" w:sz="6" w:space="0" w:color="000000"/>
            </w:tcBorders>
            <w:hideMark/>
          </w:tcPr>
          <w:p>
            <w:pPr>
              <w:rPr>
                <w:noProof/>
              </w:rPr>
            </w:pPr>
            <w:r>
              <w:rPr>
                <w:noProof/>
              </w:rPr>
              <w:t>-</w:t>
            </w:r>
          </w:p>
        </w:tc>
      </w:tr>
      <w:tr>
        <w:trPr>
          <w:trHeight w:val="842"/>
          <w:jc w:val="center"/>
        </w:trPr>
        <w:tc>
          <w:tcPr>
            <w:tcW w:w="1020" w:type="dxa"/>
            <w:vMerge/>
            <w:tcBorders>
              <w:top w:val="single" w:sz="6" w:space="0" w:color="000000"/>
              <w:left w:val="single" w:sz="6" w:space="0" w:color="000000"/>
              <w:right w:val="single" w:sz="4" w:space="0" w:color="auto"/>
            </w:tcBorders>
          </w:tcPr>
          <w:p>
            <w:pPr>
              <w:rPr>
                <w:noProof/>
              </w:rPr>
            </w:pPr>
          </w:p>
        </w:tc>
        <w:tc>
          <w:tcPr>
            <w:tcW w:w="2013" w:type="dxa"/>
            <w:vMerge w:val="restart"/>
            <w:tcBorders>
              <w:top w:val="single" w:sz="4" w:space="0" w:color="auto"/>
              <w:left w:val="single" w:sz="4" w:space="0" w:color="auto"/>
              <w:right w:val="single" w:sz="4" w:space="0" w:color="auto"/>
            </w:tcBorders>
          </w:tcPr>
          <w:p>
            <w:pPr>
              <w:rPr>
                <w:noProof/>
              </w:rPr>
            </w:pPr>
            <w:r>
              <w:rPr>
                <w:noProof/>
              </w:rPr>
              <w:t xml:space="preserve">Biometan lichefiat utilizat drept </w:t>
            </w:r>
            <w:r>
              <w:rPr>
                <w:noProof/>
              </w:rPr>
              <w:lastRenderedPageBreak/>
              <w:t>combustibil pentru transport</w:t>
            </w:r>
          </w:p>
          <w:p>
            <w:pPr>
              <w:rPr>
                <w:noProof/>
              </w:rPr>
            </w:pPr>
            <w:r>
              <w:rPr>
                <w:noProof/>
              </w:rPr>
              <w:t>(Bio-GNL)</w:t>
            </w:r>
          </w:p>
          <w:p>
            <w:pPr>
              <w:rPr>
                <w:noProof/>
              </w:rPr>
            </w:pPr>
            <w:r>
              <w:rPr>
                <w:noProof/>
              </w:rPr>
              <w:t>Filierele de producție prevăzute de Directiva (UE) 2018/2001</w:t>
            </w:r>
          </w:p>
        </w:tc>
        <w:tc>
          <w:tcPr>
            <w:tcW w:w="983" w:type="dxa"/>
            <w:vMerge/>
            <w:tcBorders>
              <w:top w:val="single" w:sz="4" w:space="0" w:color="auto"/>
              <w:left w:val="single" w:sz="4" w:space="0" w:color="auto"/>
              <w:right w:val="single" w:sz="4" w:space="0" w:color="auto"/>
            </w:tcBorders>
          </w:tcPr>
          <w:p>
            <w:pPr>
              <w:rPr>
                <w:noProof/>
              </w:rPr>
            </w:pPr>
          </w:p>
        </w:tc>
        <w:tc>
          <w:tcPr>
            <w:tcW w:w="1058" w:type="dxa"/>
            <w:tcBorders>
              <w:top w:val="single" w:sz="4" w:space="0" w:color="auto"/>
              <w:left w:val="single" w:sz="4" w:space="0" w:color="auto"/>
              <w:right w:val="single" w:sz="4" w:space="0" w:color="auto"/>
            </w:tcBorders>
          </w:tcPr>
          <w:p>
            <w:pPr>
              <w:rPr>
                <w:noProof/>
              </w:rPr>
            </w:pPr>
            <m:oMathPara>
              <m:oMath>
                <m:r>
                  <w:rPr>
                    <w:rFonts w:ascii="Cambria Math" w:hAnsi="Cambria Math"/>
                    <w:noProof/>
                  </w:rPr>
                  <m:t>E-</m:t>
                </m:r>
                <m:f>
                  <m:fPr>
                    <m:ctrlPr>
                      <w:rPr>
                        <w:rFonts w:ascii="Cambria Math" w:hAnsi="Cambria Math"/>
                        <w:i/>
                        <w:noProof/>
                      </w:rPr>
                    </m:ctrlPr>
                  </m:fPr>
                  <m:num>
                    <m:sSub>
                      <m:sSubPr>
                        <m:ctrlPr>
                          <w:rPr>
                            <w:rFonts w:ascii="Cambria Math" w:hAnsi="Cambria Math"/>
                            <w:i/>
                            <w:noProof/>
                          </w:rPr>
                        </m:ctrlPr>
                      </m:sSubPr>
                      <m:e>
                        <m:r>
                          <w:rPr>
                            <w:rFonts w:ascii="Cambria Math" w:hAnsi="Cambria Math"/>
                            <w:noProof/>
                          </w:rPr>
                          <m:t>C</m:t>
                        </m:r>
                      </m:e>
                      <m:sub>
                        <m:r>
                          <w:rPr>
                            <w:rFonts w:ascii="Cambria Math" w:hAnsi="Cambria Math"/>
                            <w:noProof/>
                          </w:rPr>
                          <m:t>f</m:t>
                        </m:r>
                        <m:sSub>
                          <m:sSubPr>
                            <m:ctrlPr>
                              <w:rPr>
                                <w:rFonts w:ascii="Cambria Math" w:hAnsi="Cambria Math"/>
                                <w:i/>
                                <w:noProof/>
                              </w:rPr>
                            </m:ctrlPr>
                          </m:sSubPr>
                          <m:e>
                            <m:r>
                              <w:rPr>
                                <w:rFonts w:ascii="Cambria Math" w:hAnsi="Cambria Math"/>
                                <w:noProof/>
                              </w:rPr>
                              <m:t>CO</m:t>
                            </m:r>
                          </m:e>
                          <m:sub>
                            <m:r>
                              <w:rPr>
                                <w:rFonts w:ascii="Cambria Math" w:hAnsi="Cambria Math"/>
                                <w:noProof/>
                              </w:rPr>
                              <m:t>2</m:t>
                            </m:r>
                          </m:sub>
                        </m:sSub>
                      </m:sub>
                    </m:sSub>
                  </m:num>
                  <m:den>
                    <m:r>
                      <w:rPr>
                        <w:rFonts w:ascii="Cambria Math" w:hAnsi="Cambria Math"/>
                        <w:noProof/>
                      </w:rPr>
                      <m:t>LCV</m:t>
                    </m:r>
                  </m:den>
                </m:f>
              </m:oMath>
            </m:oMathPara>
          </w:p>
        </w:tc>
        <w:tc>
          <w:tcPr>
            <w:tcW w:w="1020" w:type="dxa"/>
            <w:tcBorders>
              <w:top w:val="single" w:sz="6" w:space="0" w:color="000000"/>
              <w:left w:val="single" w:sz="6" w:space="0" w:color="000000"/>
              <w:bottom w:val="single" w:sz="6" w:space="0" w:color="000000"/>
              <w:right w:val="single" w:sz="6" w:space="0" w:color="000000"/>
            </w:tcBorders>
          </w:tcPr>
          <w:p>
            <w:pPr>
              <w:rPr>
                <w:noProof/>
              </w:rPr>
            </w:pPr>
            <w:r>
              <w:rPr>
                <w:noProof/>
              </w:rPr>
              <w:t xml:space="preserve">GNL Otto (turație </w:t>
            </w:r>
            <w:r>
              <w:rPr>
                <w:noProof/>
              </w:rPr>
              <w:lastRenderedPageBreak/>
              <w:t>medie cu dublă alimentare)</w:t>
            </w:r>
          </w:p>
          <w:p>
            <w:pPr>
              <w:rPr>
                <w:noProof/>
              </w:rPr>
            </w:pPr>
          </w:p>
        </w:tc>
        <w:tc>
          <w:tcPr>
            <w:tcW w:w="784" w:type="dxa"/>
            <w:vMerge w:val="restart"/>
            <w:tcBorders>
              <w:top w:val="single" w:sz="6" w:space="0" w:color="000000"/>
              <w:left w:val="single" w:sz="6" w:space="0" w:color="000000"/>
              <w:right w:val="single" w:sz="6" w:space="0" w:color="000000"/>
            </w:tcBorders>
          </w:tcPr>
          <w:p>
            <w:pPr>
              <w:rPr>
                <w:noProof/>
              </w:rPr>
            </w:pPr>
            <w:r>
              <w:rPr>
                <w:noProof/>
              </w:rPr>
              <w:lastRenderedPageBreak/>
              <w:t>2,750</w:t>
            </w:r>
          </w:p>
        </w:tc>
        <w:tc>
          <w:tcPr>
            <w:tcW w:w="784" w:type="dxa"/>
            <w:vMerge w:val="restart"/>
            <w:tcBorders>
              <w:top w:val="single" w:sz="6" w:space="0" w:color="000000"/>
              <w:left w:val="single" w:sz="6" w:space="0" w:color="000000"/>
              <w:right w:val="single" w:sz="6" w:space="0" w:color="000000"/>
            </w:tcBorders>
          </w:tcPr>
          <w:p>
            <w:pPr>
              <w:rPr>
                <w:noProof/>
              </w:rPr>
            </w:pPr>
            <w:r>
              <w:rPr>
                <w:noProof/>
              </w:rPr>
              <w:t>0</w:t>
            </w:r>
          </w:p>
        </w:tc>
        <w:tc>
          <w:tcPr>
            <w:tcW w:w="784" w:type="dxa"/>
            <w:vMerge w:val="restart"/>
            <w:tcBorders>
              <w:top w:val="single" w:sz="6" w:space="0" w:color="000000"/>
              <w:left w:val="single" w:sz="6" w:space="0" w:color="000000"/>
              <w:right w:val="single" w:sz="4" w:space="0" w:color="auto"/>
            </w:tcBorders>
          </w:tcPr>
          <w:p>
            <w:pPr>
              <w:rPr>
                <w:noProof/>
              </w:rPr>
            </w:pPr>
            <w:r>
              <w:rPr>
                <w:noProof/>
              </w:rPr>
              <w:t>0,00011</w:t>
            </w:r>
          </w:p>
        </w:tc>
        <w:tc>
          <w:tcPr>
            <w:tcW w:w="643" w:type="dxa"/>
            <w:tcBorders>
              <w:top w:val="single" w:sz="4" w:space="0" w:color="auto"/>
              <w:left w:val="single" w:sz="4" w:space="0" w:color="auto"/>
              <w:bottom w:val="single" w:sz="4" w:space="0" w:color="auto"/>
              <w:right w:val="single" w:sz="4" w:space="0" w:color="auto"/>
            </w:tcBorders>
          </w:tcPr>
          <w:p>
            <w:pPr>
              <w:rPr>
                <w:noProof/>
              </w:rPr>
            </w:pPr>
            <w:r>
              <w:rPr>
                <w:noProof/>
              </w:rPr>
              <w:t>3,1</w:t>
            </w:r>
          </w:p>
        </w:tc>
      </w:tr>
      <w:tr>
        <w:trPr>
          <w:trHeight w:val="842"/>
          <w:jc w:val="center"/>
        </w:trPr>
        <w:tc>
          <w:tcPr>
            <w:tcW w:w="1020" w:type="dxa"/>
            <w:vMerge/>
            <w:tcBorders>
              <w:left w:val="single" w:sz="6" w:space="0" w:color="000000"/>
              <w:right w:val="single" w:sz="4" w:space="0" w:color="auto"/>
            </w:tcBorders>
          </w:tcPr>
          <w:p>
            <w:pPr>
              <w:rPr>
                <w:noProof/>
              </w:rPr>
            </w:pPr>
          </w:p>
        </w:tc>
        <w:tc>
          <w:tcPr>
            <w:tcW w:w="2013" w:type="dxa"/>
            <w:vMerge/>
            <w:tcBorders>
              <w:left w:val="single" w:sz="4" w:space="0" w:color="auto"/>
              <w:right w:val="single" w:sz="4" w:space="0" w:color="auto"/>
            </w:tcBorders>
          </w:tcPr>
          <w:p>
            <w:pPr>
              <w:rPr>
                <w:noProof/>
              </w:rPr>
            </w:pPr>
          </w:p>
        </w:tc>
        <w:tc>
          <w:tcPr>
            <w:tcW w:w="983" w:type="dxa"/>
            <w:vMerge/>
            <w:tcBorders>
              <w:left w:val="single" w:sz="4" w:space="0" w:color="auto"/>
              <w:right w:val="single" w:sz="4" w:space="0" w:color="auto"/>
            </w:tcBorders>
          </w:tcPr>
          <w:p>
            <w:pPr>
              <w:rPr>
                <w:noProof/>
              </w:rPr>
            </w:pPr>
          </w:p>
        </w:tc>
        <w:tc>
          <w:tcPr>
            <w:tcW w:w="1058" w:type="dxa"/>
            <w:tcBorders>
              <w:left w:val="single" w:sz="4" w:space="0" w:color="auto"/>
              <w:right w:val="single" w:sz="4" w:space="0" w:color="auto"/>
            </w:tcBorders>
          </w:tcPr>
          <w:p>
            <w:pPr>
              <w:rPr>
                <w:rFonts w:eastAsia="Calibri"/>
                <w:noProof/>
              </w:rPr>
            </w:pPr>
          </w:p>
        </w:tc>
        <w:tc>
          <w:tcPr>
            <w:tcW w:w="1020" w:type="dxa"/>
            <w:tcBorders>
              <w:top w:val="single" w:sz="6" w:space="0" w:color="000000"/>
              <w:left w:val="single" w:sz="6" w:space="0" w:color="000000"/>
              <w:bottom w:val="single" w:sz="6" w:space="0" w:color="000000"/>
              <w:right w:val="single" w:sz="6" w:space="0" w:color="000000"/>
            </w:tcBorders>
          </w:tcPr>
          <w:p>
            <w:pPr>
              <w:rPr>
                <w:noProof/>
              </w:rPr>
            </w:pPr>
            <w:r>
              <w:rPr>
                <w:noProof/>
              </w:rPr>
              <w:t>GNL Otto (turație lentă cu dublă alimentare)</w:t>
            </w:r>
          </w:p>
          <w:p>
            <w:pPr>
              <w:rPr>
                <w:noProof/>
              </w:rPr>
            </w:pPr>
          </w:p>
        </w:tc>
        <w:tc>
          <w:tcPr>
            <w:tcW w:w="784" w:type="dxa"/>
            <w:vMerge/>
            <w:tcBorders>
              <w:left w:val="single" w:sz="6" w:space="0" w:color="000000"/>
              <w:right w:val="single" w:sz="6" w:space="0" w:color="000000"/>
            </w:tcBorders>
          </w:tcPr>
          <w:p>
            <w:pPr>
              <w:rPr>
                <w:noProof/>
              </w:rPr>
            </w:pPr>
          </w:p>
        </w:tc>
        <w:tc>
          <w:tcPr>
            <w:tcW w:w="784" w:type="dxa"/>
            <w:vMerge/>
            <w:tcBorders>
              <w:left w:val="single" w:sz="6" w:space="0" w:color="000000"/>
              <w:right w:val="single" w:sz="6" w:space="0" w:color="000000"/>
            </w:tcBorders>
          </w:tcPr>
          <w:p>
            <w:pPr>
              <w:rPr>
                <w:noProof/>
              </w:rPr>
            </w:pPr>
          </w:p>
        </w:tc>
        <w:tc>
          <w:tcPr>
            <w:tcW w:w="784" w:type="dxa"/>
            <w:vMerge/>
            <w:tcBorders>
              <w:left w:val="single" w:sz="6" w:space="0" w:color="000000"/>
              <w:right w:val="single" w:sz="4" w:space="0" w:color="auto"/>
            </w:tcBorders>
          </w:tcPr>
          <w:p>
            <w:pPr>
              <w:rPr>
                <w:noProof/>
              </w:rPr>
            </w:pPr>
          </w:p>
        </w:tc>
        <w:tc>
          <w:tcPr>
            <w:tcW w:w="643" w:type="dxa"/>
            <w:tcBorders>
              <w:top w:val="single" w:sz="4" w:space="0" w:color="auto"/>
              <w:left w:val="single" w:sz="4" w:space="0" w:color="auto"/>
              <w:bottom w:val="single" w:sz="4" w:space="0" w:color="auto"/>
              <w:right w:val="single" w:sz="4" w:space="0" w:color="auto"/>
            </w:tcBorders>
          </w:tcPr>
          <w:p>
            <w:pPr>
              <w:rPr>
                <w:noProof/>
              </w:rPr>
            </w:pPr>
            <w:r>
              <w:rPr>
                <w:noProof/>
              </w:rPr>
              <w:t>1,7</w:t>
            </w:r>
          </w:p>
        </w:tc>
      </w:tr>
      <w:tr>
        <w:trPr>
          <w:trHeight w:val="842"/>
          <w:jc w:val="center"/>
        </w:trPr>
        <w:tc>
          <w:tcPr>
            <w:tcW w:w="1020" w:type="dxa"/>
            <w:vMerge/>
            <w:tcBorders>
              <w:left w:val="single" w:sz="6" w:space="0" w:color="000000"/>
              <w:right w:val="single" w:sz="4" w:space="0" w:color="auto"/>
            </w:tcBorders>
          </w:tcPr>
          <w:p>
            <w:pPr>
              <w:rPr>
                <w:noProof/>
              </w:rPr>
            </w:pPr>
          </w:p>
        </w:tc>
        <w:tc>
          <w:tcPr>
            <w:tcW w:w="2013" w:type="dxa"/>
            <w:vMerge/>
            <w:tcBorders>
              <w:left w:val="single" w:sz="4" w:space="0" w:color="auto"/>
              <w:right w:val="single" w:sz="4" w:space="0" w:color="auto"/>
            </w:tcBorders>
          </w:tcPr>
          <w:p>
            <w:pPr>
              <w:rPr>
                <w:noProof/>
              </w:rPr>
            </w:pPr>
          </w:p>
        </w:tc>
        <w:tc>
          <w:tcPr>
            <w:tcW w:w="983" w:type="dxa"/>
            <w:vMerge/>
            <w:tcBorders>
              <w:left w:val="single" w:sz="4" w:space="0" w:color="auto"/>
              <w:right w:val="single" w:sz="4" w:space="0" w:color="auto"/>
            </w:tcBorders>
          </w:tcPr>
          <w:p>
            <w:pPr>
              <w:rPr>
                <w:noProof/>
              </w:rPr>
            </w:pPr>
          </w:p>
        </w:tc>
        <w:tc>
          <w:tcPr>
            <w:tcW w:w="1058" w:type="dxa"/>
            <w:tcBorders>
              <w:left w:val="single" w:sz="4" w:space="0" w:color="auto"/>
              <w:right w:val="single" w:sz="4" w:space="0" w:color="auto"/>
            </w:tcBorders>
          </w:tcPr>
          <w:p>
            <w:pPr>
              <w:rPr>
                <w:rFonts w:eastAsia="Calibri"/>
                <w:noProof/>
              </w:rPr>
            </w:pPr>
          </w:p>
        </w:tc>
        <w:tc>
          <w:tcPr>
            <w:tcW w:w="1020" w:type="dxa"/>
            <w:tcBorders>
              <w:top w:val="single" w:sz="6" w:space="0" w:color="000000"/>
              <w:left w:val="single" w:sz="6" w:space="0" w:color="000000"/>
              <w:bottom w:val="single" w:sz="6" w:space="0" w:color="000000"/>
              <w:right w:val="single" w:sz="6" w:space="0" w:color="000000"/>
            </w:tcBorders>
          </w:tcPr>
          <w:p>
            <w:pPr>
              <w:rPr>
                <w:noProof/>
              </w:rPr>
            </w:pPr>
            <w:r>
              <w:rPr>
                <w:noProof/>
              </w:rPr>
              <w:t>GNL Diesel (alimentare dublă)</w:t>
            </w:r>
          </w:p>
          <w:p>
            <w:pPr>
              <w:rPr>
                <w:noProof/>
              </w:rPr>
            </w:pPr>
          </w:p>
        </w:tc>
        <w:tc>
          <w:tcPr>
            <w:tcW w:w="784" w:type="dxa"/>
            <w:vMerge/>
            <w:tcBorders>
              <w:left w:val="single" w:sz="6" w:space="0" w:color="000000"/>
              <w:right w:val="single" w:sz="6" w:space="0" w:color="000000"/>
            </w:tcBorders>
          </w:tcPr>
          <w:p>
            <w:pPr>
              <w:rPr>
                <w:noProof/>
              </w:rPr>
            </w:pPr>
          </w:p>
        </w:tc>
        <w:tc>
          <w:tcPr>
            <w:tcW w:w="784" w:type="dxa"/>
            <w:vMerge/>
            <w:tcBorders>
              <w:left w:val="single" w:sz="6" w:space="0" w:color="000000"/>
              <w:right w:val="single" w:sz="6" w:space="0" w:color="000000"/>
            </w:tcBorders>
          </w:tcPr>
          <w:p>
            <w:pPr>
              <w:rPr>
                <w:noProof/>
              </w:rPr>
            </w:pPr>
          </w:p>
        </w:tc>
        <w:tc>
          <w:tcPr>
            <w:tcW w:w="784" w:type="dxa"/>
            <w:vMerge/>
            <w:tcBorders>
              <w:left w:val="single" w:sz="6" w:space="0" w:color="000000"/>
              <w:right w:val="single" w:sz="4" w:space="0" w:color="auto"/>
            </w:tcBorders>
          </w:tcPr>
          <w:p>
            <w:pPr>
              <w:rPr>
                <w:noProof/>
              </w:rPr>
            </w:pPr>
          </w:p>
        </w:tc>
        <w:tc>
          <w:tcPr>
            <w:tcW w:w="643" w:type="dxa"/>
            <w:tcBorders>
              <w:top w:val="single" w:sz="4" w:space="0" w:color="auto"/>
              <w:left w:val="single" w:sz="4" w:space="0" w:color="auto"/>
              <w:bottom w:val="single" w:sz="4" w:space="0" w:color="auto"/>
              <w:right w:val="single" w:sz="4" w:space="0" w:color="auto"/>
            </w:tcBorders>
          </w:tcPr>
          <w:p>
            <w:pPr>
              <w:rPr>
                <w:noProof/>
              </w:rPr>
            </w:pPr>
            <w:r>
              <w:rPr>
                <w:noProof/>
              </w:rPr>
              <w:t>0,2</w:t>
            </w:r>
          </w:p>
        </w:tc>
      </w:tr>
      <w:tr>
        <w:trPr>
          <w:trHeight w:val="842"/>
          <w:jc w:val="center"/>
        </w:trPr>
        <w:tc>
          <w:tcPr>
            <w:tcW w:w="1020" w:type="dxa"/>
            <w:vMerge/>
            <w:tcBorders>
              <w:left w:val="single" w:sz="6" w:space="0" w:color="000000"/>
              <w:right w:val="single" w:sz="4" w:space="0" w:color="auto"/>
            </w:tcBorders>
          </w:tcPr>
          <w:p>
            <w:pPr>
              <w:rPr>
                <w:noProof/>
              </w:rPr>
            </w:pPr>
          </w:p>
        </w:tc>
        <w:tc>
          <w:tcPr>
            <w:tcW w:w="2013" w:type="dxa"/>
            <w:vMerge/>
            <w:tcBorders>
              <w:left w:val="single" w:sz="4" w:space="0" w:color="auto"/>
              <w:bottom w:val="single" w:sz="4" w:space="0" w:color="auto"/>
              <w:right w:val="single" w:sz="4" w:space="0" w:color="auto"/>
            </w:tcBorders>
          </w:tcPr>
          <w:p>
            <w:pPr>
              <w:rPr>
                <w:noProof/>
              </w:rPr>
            </w:pPr>
          </w:p>
        </w:tc>
        <w:tc>
          <w:tcPr>
            <w:tcW w:w="983" w:type="dxa"/>
            <w:vMerge/>
            <w:tcBorders>
              <w:left w:val="single" w:sz="4" w:space="0" w:color="auto"/>
              <w:bottom w:val="single" w:sz="4" w:space="0" w:color="auto"/>
              <w:right w:val="single" w:sz="4" w:space="0" w:color="auto"/>
            </w:tcBorders>
          </w:tcPr>
          <w:p>
            <w:pPr>
              <w:rPr>
                <w:noProof/>
              </w:rPr>
            </w:pPr>
          </w:p>
        </w:tc>
        <w:tc>
          <w:tcPr>
            <w:tcW w:w="1058" w:type="dxa"/>
            <w:tcBorders>
              <w:left w:val="single" w:sz="4" w:space="0" w:color="auto"/>
              <w:bottom w:val="single" w:sz="4" w:space="0" w:color="auto"/>
              <w:right w:val="single" w:sz="4" w:space="0" w:color="auto"/>
            </w:tcBorders>
          </w:tcPr>
          <w:p>
            <w:pPr>
              <w:rPr>
                <w:rFonts w:eastAsia="Calibri"/>
                <w:noProof/>
              </w:rPr>
            </w:pPr>
          </w:p>
        </w:tc>
        <w:tc>
          <w:tcPr>
            <w:tcW w:w="1020" w:type="dxa"/>
            <w:tcBorders>
              <w:top w:val="single" w:sz="6" w:space="0" w:color="000000"/>
              <w:left w:val="single" w:sz="6" w:space="0" w:color="000000"/>
              <w:bottom w:val="single" w:sz="4" w:space="0" w:color="auto"/>
              <w:right w:val="single" w:sz="6" w:space="0" w:color="000000"/>
            </w:tcBorders>
          </w:tcPr>
          <w:p>
            <w:pPr>
              <w:rPr>
                <w:noProof/>
              </w:rPr>
            </w:pPr>
            <w:r>
              <w:rPr>
                <w:noProof/>
              </w:rPr>
              <w:t>LBSI</w:t>
            </w:r>
          </w:p>
        </w:tc>
        <w:tc>
          <w:tcPr>
            <w:tcW w:w="784" w:type="dxa"/>
            <w:vMerge/>
            <w:tcBorders>
              <w:left w:val="single" w:sz="6" w:space="0" w:color="000000"/>
              <w:bottom w:val="single" w:sz="4" w:space="0" w:color="auto"/>
              <w:right w:val="single" w:sz="6" w:space="0" w:color="000000"/>
            </w:tcBorders>
          </w:tcPr>
          <w:p>
            <w:pPr>
              <w:rPr>
                <w:noProof/>
              </w:rPr>
            </w:pPr>
          </w:p>
        </w:tc>
        <w:tc>
          <w:tcPr>
            <w:tcW w:w="784" w:type="dxa"/>
            <w:vMerge/>
            <w:tcBorders>
              <w:left w:val="single" w:sz="6" w:space="0" w:color="000000"/>
              <w:bottom w:val="single" w:sz="4" w:space="0" w:color="auto"/>
              <w:right w:val="single" w:sz="6" w:space="0" w:color="000000"/>
            </w:tcBorders>
          </w:tcPr>
          <w:p>
            <w:pPr>
              <w:rPr>
                <w:noProof/>
              </w:rPr>
            </w:pPr>
          </w:p>
        </w:tc>
        <w:tc>
          <w:tcPr>
            <w:tcW w:w="784" w:type="dxa"/>
            <w:vMerge/>
            <w:tcBorders>
              <w:left w:val="single" w:sz="6" w:space="0" w:color="000000"/>
              <w:bottom w:val="single" w:sz="4" w:space="0" w:color="auto"/>
              <w:right w:val="single" w:sz="4" w:space="0" w:color="auto"/>
            </w:tcBorders>
          </w:tcPr>
          <w:p>
            <w:pPr>
              <w:rPr>
                <w:noProof/>
              </w:rPr>
            </w:pPr>
          </w:p>
        </w:tc>
        <w:tc>
          <w:tcPr>
            <w:tcW w:w="643" w:type="dxa"/>
            <w:tcBorders>
              <w:top w:val="single" w:sz="4" w:space="0" w:color="auto"/>
              <w:left w:val="single" w:sz="4" w:space="0" w:color="auto"/>
              <w:bottom w:val="single" w:sz="4" w:space="0" w:color="auto"/>
              <w:right w:val="single" w:sz="4" w:space="0" w:color="auto"/>
            </w:tcBorders>
          </w:tcPr>
          <w:p>
            <w:pPr>
              <w:rPr>
                <w:noProof/>
              </w:rPr>
            </w:pPr>
            <w:r>
              <w:rPr>
                <w:noProof/>
              </w:rPr>
              <w:t>2,6</w:t>
            </w:r>
          </w:p>
        </w:tc>
      </w:tr>
      <w:tr>
        <w:trPr>
          <w:jc w:val="center"/>
        </w:trPr>
        <w:tc>
          <w:tcPr>
            <w:tcW w:w="1020" w:type="dxa"/>
            <w:vMerge/>
            <w:tcBorders>
              <w:left w:val="single" w:sz="6" w:space="0" w:color="000000"/>
              <w:right w:val="single" w:sz="4" w:space="0" w:color="auto"/>
            </w:tcBorders>
            <w:hideMark/>
          </w:tcPr>
          <w:p>
            <w:pPr>
              <w:rPr>
                <w:noProof/>
              </w:rPr>
            </w:pPr>
          </w:p>
        </w:tc>
        <w:tc>
          <w:tcPr>
            <w:tcW w:w="2013" w:type="dxa"/>
            <w:vMerge w:val="restart"/>
            <w:tcBorders>
              <w:top w:val="single" w:sz="4" w:space="0" w:color="auto"/>
              <w:left w:val="single" w:sz="4" w:space="0" w:color="auto"/>
              <w:bottom w:val="single" w:sz="4" w:space="0" w:color="auto"/>
              <w:right w:val="single" w:sz="4" w:space="0" w:color="auto"/>
            </w:tcBorders>
            <w:hideMark/>
          </w:tcPr>
          <w:p>
            <w:pPr>
              <w:rPr>
                <w:noProof/>
              </w:rPr>
            </w:pPr>
            <w:r>
              <w:rPr>
                <w:noProof/>
              </w:rPr>
              <w:t>Bio-H2</w:t>
            </w:r>
          </w:p>
          <w:p>
            <w:pPr>
              <w:rPr>
                <w:noProof/>
              </w:rPr>
            </w:pPr>
            <w:r>
              <w:rPr>
                <w:noProof/>
              </w:rPr>
              <w:t>Filierele de producție prevăzute de Directiva (UE) 2018/2001</w:t>
            </w:r>
          </w:p>
        </w:tc>
        <w:tc>
          <w:tcPr>
            <w:tcW w:w="983" w:type="dxa"/>
            <w:vMerge w:val="restart"/>
            <w:tcBorders>
              <w:top w:val="single" w:sz="4" w:space="0" w:color="auto"/>
              <w:left w:val="single" w:sz="4" w:space="0" w:color="auto"/>
              <w:bottom w:val="single" w:sz="4" w:space="0" w:color="auto"/>
              <w:right w:val="single" w:sz="4" w:space="0" w:color="auto"/>
            </w:tcBorders>
            <w:hideMark/>
          </w:tcPr>
          <w:p>
            <w:pPr>
              <w:rPr>
                <w:noProof/>
              </w:rPr>
            </w:pPr>
            <w:r>
              <w:rPr>
                <w:noProof/>
              </w:rPr>
              <w:t>Valoarea stabilită în anexa III la Directiva (UE) 2018/2001</w:t>
            </w:r>
          </w:p>
        </w:tc>
        <w:tc>
          <w:tcPr>
            <w:tcW w:w="1058" w:type="dxa"/>
            <w:vMerge w:val="restart"/>
            <w:tcBorders>
              <w:top w:val="single" w:sz="4" w:space="0" w:color="auto"/>
              <w:left w:val="single" w:sz="4" w:space="0" w:color="auto"/>
              <w:bottom w:val="single" w:sz="4" w:space="0" w:color="auto"/>
              <w:right w:val="single" w:sz="4" w:space="0" w:color="auto"/>
            </w:tcBorders>
            <w:hideMark/>
          </w:tcPr>
          <w:p>
            <w:pPr>
              <w:rPr>
                <w:noProof/>
              </w:rPr>
            </w:pPr>
            <w:r>
              <w:rPr>
                <w:noProof/>
              </w:rPr>
              <w:t>N/A</w:t>
            </w:r>
          </w:p>
        </w:tc>
        <w:tc>
          <w:tcPr>
            <w:tcW w:w="1020" w:type="dxa"/>
            <w:tcBorders>
              <w:top w:val="single" w:sz="4" w:space="0" w:color="auto"/>
              <w:left w:val="single" w:sz="4" w:space="0" w:color="auto"/>
              <w:bottom w:val="single" w:sz="4" w:space="0" w:color="auto"/>
              <w:right w:val="single" w:sz="4" w:space="0" w:color="auto"/>
            </w:tcBorders>
            <w:hideMark/>
          </w:tcPr>
          <w:p>
            <w:pPr>
              <w:rPr>
                <w:noProof/>
              </w:rPr>
            </w:pPr>
            <w:r>
              <w:rPr>
                <w:noProof/>
              </w:rPr>
              <w:t>Pile de combustie</w:t>
            </w:r>
          </w:p>
        </w:tc>
        <w:tc>
          <w:tcPr>
            <w:tcW w:w="784" w:type="dxa"/>
            <w:tcBorders>
              <w:top w:val="single" w:sz="4" w:space="0" w:color="auto"/>
              <w:left w:val="single" w:sz="4" w:space="0" w:color="auto"/>
              <w:bottom w:val="single" w:sz="4" w:space="0" w:color="auto"/>
              <w:right w:val="single" w:sz="4" w:space="0" w:color="auto"/>
            </w:tcBorders>
            <w:hideMark/>
          </w:tcPr>
          <w:p>
            <w:pPr>
              <w:rPr>
                <w:noProof/>
              </w:rPr>
            </w:pPr>
            <w:r>
              <w:rPr>
                <w:noProof/>
              </w:rPr>
              <w:t>0</w:t>
            </w:r>
          </w:p>
        </w:tc>
        <w:tc>
          <w:tcPr>
            <w:tcW w:w="784" w:type="dxa"/>
            <w:tcBorders>
              <w:top w:val="single" w:sz="4" w:space="0" w:color="auto"/>
              <w:left w:val="single" w:sz="4" w:space="0" w:color="auto"/>
              <w:bottom w:val="single" w:sz="4" w:space="0" w:color="auto"/>
              <w:right w:val="single" w:sz="4" w:space="0" w:color="auto"/>
            </w:tcBorders>
            <w:hideMark/>
          </w:tcPr>
          <w:p>
            <w:pPr>
              <w:rPr>
                <w:noProof/>
              </w:rPr>
            </w:pPr>
            <w:r>
              <w:rPr>
                <w:noProof/>
              </w:rPr>
              <w:t>0</w:t>
            </w:r>
          </w:p>
        </w:tc>
        <w:tc>
          <w:tcPr>
            <w:tcW w:w="784" w:type="dxa"/>
            <w:tcBorders>
              <w:top w:val="single" w:sz="4" w:space="0" w:color="auto"/>
              <w:left w:val="single" w:sz="4" w:space="0" w:color="auto"/>
              <w:bottom w:val="single" w:sz="4" w:space="0" w:color="auto"/>
              <w:right w:val="single" w:sz="4" w:space="0" w:color="auto"/>
            </w:tcBorders>
            <w:hideMark/>
          </w:tcPr>
          <w:p>
            <w:pPr>
              <w:rPr>
                <w:noProof/>
              </w:rPr>
            </w:pPr>
            <w:r>
              <w:rPr>
                <w:noProof/>
              </w:rPr>
              <w:t>0</w:t>
            </w:r>
          </w:p>
        </w:tc>
        <w:tc>
          <w:tcPr>
            <w:tcW w:w="643" w:type="dxa"/>
            <w:vMerge w:val="restart"/>
            <w:tcBorders>
              <w:top w:val="single" w:sz="4" w:space="0" w:color="auto"/>
              <w:left w:val="single" w:sz="4" w:space="0" w:color="auto"/>
              <w:bottom w:val="single" w:sz="4" w:space="0" w:color="auto"/>
              <w:right w:val="single" w:sz="4" w:space="0" w:color="auto"/>
            </w:tcBorders>
            <w:hideMark/>
          </w:tcPr>
          <w:p>
            <w:pPr>
              <w:rPr>
                <w:noProof/>
              </w:rPr>
            </w:pPr>
            <w:r>
              <w:rPr>
                <w:noProof/>
              </w:rPr>
              <w:t>-</w:t>
            </w:r>
          </w:p>
        </w:tc>
      </w:tr>
      <w:tr>
        <w:trPr>
          <w:jc w:val="center"/>
        </w:trPr>
        <w:tc>
          <w:tcPr>
            <w:tcW w:w="1020" w:type="dxa"/>
            <w:vMerge/>
            <w:tcBorders>
              <w:left w:val="single" w:sz="6" w:space="0" w:color="000000"/>
              <w:bottom w:val="single" w:sz="6" w:space="0" w:color="000000"/>
              <w:right w:val="single" w:sz="4" w:space="0" w:color="auto"/>
            </w:tcBorders>
            <w:vAlign w:val="center"/>
            <w:hideMark/>
          </w:tcPr>
          <w:p>
            <w:pPr>
              <w:rPr>
                <w:noProof/>
              </w:rPr>
            </w:pPr>
          </w:p>
        </w:tc>
        <w:tc>
          <w:tcPr>
            <w:tcW w:w="2013" w:type="dxa"/>
            <w:vMerge/>
            <w:tcBorders>
              <w:top w:val="single" w:sz="4" w:space="0" w:color="auto"/>
              <w:left w:val="single" w:sz="4" w:space="0" w:color="auto"/>
              <w:bottom w:val="single" w:sz="4" w:space="0" w:color="auto"/>
              <w:right w:val="single" w:sz="4" w:space="0" w:color="auto"/>
            </w:tcBorders>
            <w:hideMark/>
          </w:tcPr>
          <w:p>
            <w:pPr>
              <w:rPr>
                <w:noProof/>
              </w:rPr>
            </w:pPr>
          </w:p>
        </w:tc>
        <w:tc>
          <w:tcPr>
            <w:tcW w:w="983" w:type="dxa"/>
            <w:vMerge/>
            <w:tcBorders>
              <w:top w:val="single" w:sz="4" w:space="0" w:color="auto"/>
              <w:left w:val="single" w:sz="4" w:space="0" w:color="auto"/>
              <w:bottom w:val="single" w:sz="4" w:space="0" w:color="auto"/>
              <w:right w:val="single" w:sz="4" w:space="0" w:color="auto"/>
            </w:tcBorders>
            <w:hideMark/>
          </w:tcPr>
          <w:p>
            <w:pPr>
              <w:rPr>
                <w:noProof/>
              </w:rPr>
            </w:pPr>
          </w:p>
        </w:tc>
        <w:tc>
          <w:tcPr>
            <w:tcW w:w="1058" w:type="dxa"/>
            <w:vMerge/>
            <w:tcBorders>
              <w:top w:val="single" w:sz="4" w:space="0" w:color="auto"/>
              <w:left w:val="single" w:sz="4" w:space="0" w:color="auto"/>
              <w:bottom w:val="single" w:sz="4" w:space="0" w:color="auto"/>
              <w:right w:val="single" w:sz="4" w:space="0" w:color="auto"/>
            </w:tcBorders>
            <w:hideMark/>
          </w:tcPr>
          <w:p>
            <w:pPr>
              <w:rPr>
                <w:noProof/>
              </w:rPr>
            </w:pPr>
          </w:p>
        </w:tc>
        <w:tc>
          <w:tcPr>
            <w:tcW w:w="1020" w:type="dxa"/>
            <w:tcBorders>
              <w:top w:val="single" w:sz="4" w:space="0" w:color="auto"/>
              <w:left w:val="single" w:sz="4" w:space="0" w:color="auto"/>
              <w:bottom w:val="single" w:sz="4" w:space="0" w:color="auto"/>
              <w:right w:val="single" w:sz="4" w:space="0" w:color="auto"/>
            </w:tcBorders>
            <w:hideMark/>
          </w:tcPr>
          <w:p>
            <w:pPr>
              <w:rPr>
                <w:noProof/>
              </w:rPr>
            </w:pPr>
            <w:r>
              <w:rPr>
                <w:noProof/>
              </w:rPr>
              <w:t>ICE</w:t>
            </w:r>
          </w:p>
        </w:tc>
        <w:tc>
          <w:tcPr>
            <w:tcW w:w="784" w:type="dxa"/>
            <w:tcBorders>
              <w:top w:val="single" w:sz="4" w:space="0" w:color="auto"/>
              <w:left w:val="single" w:sz="4" w:space="0" w:color="auto"/>
              <w:bottom w:val="single" w:sz="4" w:space="0" w:color="auto"/>
              <w:right w:val="single" w:sz="4" w:space="0" w:color="auto"/>
            </w:tcBorders>
            <w:hideMark/>
          </w:tcPr>
          <w:p>
            <w:pPr>
              <w:rPr>
                <w:noProof/>
              </w:rPr>
            </w:pPr>
            <w:r>
              <w:rPr>
                <w:noProof/>
              </w:rPr>
              <w:t>0</w:t>
            </w:r>
          </w:p>
        </w:tc>
        <w:tc>
          <w:tcPr>
            <w:tcW w:w="784" w:type="dxa"/>
            <w:tcBorders>
              <w:top w:val="single" w:sz="4" w:space="0" w:color="auto"/>
              <w:left w:val="single" w:sz="4" w:space="0" w:color="auto"/>
              <w:bottom w:val="single" w:sz="4" w:space="0" w:color="auto"/>
              <w:right w:val="single" w:sz="4" w:space="0" w:color="auto"/>
            </w:tcBorders>
            <w:hideMark/>
          </w:tcPr>
          <w:p>
            <w:pPr>
              <w:rPr>
                <w:noProof/>
              </w:rPr>
            </w:pPr>
            <w:r>
              <w:rPr>
                <w:noProof/>
              </w:rPr>
              <w:t>0</w:t>
            </w:r>
          </w:p>
        </w:tc>
        <w:tc>
          <w:tcPr>
            <w:tcW w:w="784" w:type="dxa"/>
            <w:tcBorders>
              <w:top w:val="single" w:sz="4" w:space="0" w:color="auto"/>
              <w:left w:val="single" w:sz="4" w:space="0" w:color="auto"/>
              <w:bottom w:val="single" w:sz="4" w:space="0" w:color="auto"/>
              <w:right w:val="single" w:sz="4" w:space="0" w:color="auto"/>
            </w:tcBorders>
            <w:hideMark/>
          </w:tcPr>
          <w:p>
            <w:pPr>
              <w:rPr>
                <w:noProof/>
              </w:rPr>
            </w:pPr>
            <w:r>
              <w:rPr>
                <w:noProof/>
              </w:rPr>
              <w:t>TBM</w:t>
            </w:r>
          </w:p>
        </w:tc>
        <w:tc>
          <w:tcPr>
            <w:tcW w:w="643" w:type="dxa"/>
            <w:vMerge/>
            <w:tcBorders>
              <w:top w:val="single" w:sz="4" w:space="0" w:color="auto"/>
              <w:left w:val="single" w:sz="4" w:space="0" w:color="auto"/>
              <w:bottom w:val="single" w:sz="4" w:space="0" w:color="auto"/>
              <w:right w:val="single" w:sz="4" w:space="0" w:color="auto"/>
            </w:tcBorders>
            <w:vAlign w:val="center"/>
            <w:hideMark/>
          </w:tcPr>
          <w:p>
            <w:pPr>
              <w:rPr>
                <w:noProof/>
              </w:rPr>
            </w:pPr>
          </w:p>
        </w:tc>
      </w:tr>
      <w:tr>
        <w:trPr>
          <w:jc w:val="center"/>
        </w:trPr>
        <w:tc>
          <w:tcPr>
            <w:tcW w:w="1020" w:type="dxa"/>
            <w:vMerge w:val="restart"/>
            <w:tcBorders>
              <w:top w:val="single" w:sz="6" w:space="0" w:color="000000"/>
              <w:left w:val="single" w:sz="6" w:space="0" w:color="000000"/>
              <w:bottom w:val="single" w:sz="6" w:space="0" w:color="000000"/>
              <w:right w:val="single" w:sz="4" w:space="0" w:color="auto"/>
            </w:tcBorders>
            <w:hideMark/>
          </w:tcPr>
          <w:p>
            <w:pPr>
              <w:rPr>
                <w:noProof/>
              </w:rPr>
            </w:pPr>
            <w:r>
              <w:rPr>
                <w:noProof/>
              </w:rPr>
              <w:t>Combustibili de origine nebiologică produși din surse regenerabile (RFNBO)</w:t>
            </w:r>
          </w:p>
          <w:p>
            <w:pPr>
              <w:rPr>
                <w:noProof/>
              </w:rPr>
            </w:pPr>
            <w:r>
              <w:rPr>
                <w:noProof/>
              </w:rPr>
              <w:t>-</w:t>
            </w:r>
          </w:p>
          <w:p>
            <w:pPr>
              <w:rPr>
                <w:noProof/>
              </w:rPr>
            </w:pPr>
            <w:r>
              <w:rPr>
                <w:noProof/>
              </w:rPr>
              <w:t>e-combustibili</w:t>
            </w:r>
          </w:p>
        </w:tc>
        <w:tc>
          <w:tcPr>
            <w:tcW w:w="2013" w:type="dxa"/>
            <w:tcBorders>
              <w:top w:val="single" w:sz="4" w:space="0" w:color="auto"/>
              <w:left w:val="single" w:sz="4" w:space="0" w:color="auto"/>
              <w:bottom w:val="single" w:sz="4" w:space="0" w:color="auto"/>
              <w:right w:val="single" w:sz="4" w:space="0" w:color="auto"/>
            </w:tcBorders>
            <w:hideMark/>
          </w:tcPr>
          <w:p>
            <w:pPr>
              <w:rPr>
                <w:noProof/>
              </w:rPr>
            </w:pPr>
            <w:r>
              <w:rPr>
                <w:noProof/>
              </w:rPr>
              <w:t>e-motorină</w:t>
            </w:r>
          </w:p>
        </w:tc>
        <w:tc>
          <w:tcPr>
            <w:tcW w:w="983" w:type="dxa"/>
            <w:tcBorders>
              <w:top w:val="single" w:sz="4" w:space="0" w:color="auto"/>
              <w:left w:val="single" w:sz="4" w:space="0" w:color="auto"/>
              <w:bottom w:val="single" w:sz="4" w:space="0" w:color="auto"/>
              <w:right w:val="single" w:sz="4" w:space="0" w:color="auto"/>
            </w:tcBorders>
            <w:hideMark/>
          </w:tcPr>
          <w:p>
            <w:pPr>
              <w:rPr>
                <w:noProof/>
              </w:rPr>
            </w:pPr>
            <w:r>
              <w:rPr>
                <w:noProof/>
              </w:rPr>
              <w:t>0,0427</w:t>
            </w:r>
          </w:p>
        </w:tc>
        <w:tc>
          <w:tcPr>
            <w:tcW w:w="1058" w:type="dxa"/>
            <w:tcBorders>
              <w:top w:val="single" w:sz="4" w:space="0" w:color="auto"/>
              <w:left w:val="single" w:sz="4" w:space="0" w:color="auto"/>
              <w:bottom w:val="single" w:sz="4" w:space="0" w:color="auto"/>
              <w:right w:val="single" w:sz="4" w:space="0" w:color="auto"/>
            </w:tcBorders>
            <w:hideMark/>
          </w:tcPr>
          <w:p>
            <w:pPr>
              <w:rPr>
                <w:noProof/>
                <w:highlight w:val="green"/>
              </w:rPr>
            </w:pPr>
            <w:r>
              <w:rPr>
                <w:noProof/>
              </w:rPr>
              <w:t>E-E</w:t>
            </w:r>
            <w:r>
              <w:rPr>
                <w:noProof/>
                <w:vertAlign w:val="subscript"/>
              </w:rPr>
              <w:t>u</w:t>
            </w:r>
          </w:p>
        </w:tc>
        <w:tc>
          <w:tcPr>
            <w:tcW w:w="1020" w:type="dxa"/>
            <w:tcBorders>
              <w:top w:val="single" w:sz="4" w:space="0" w:color="auto"/>
              <w:left w:val="single" w:sz="4" w:space="0" w:color="auto"/>
              <w:bottom w:val="single" w:sz="4" w:space="0" w:color="auto"/>
              <w:right w:val="single" w:sz="4" w:space="0" w:color="auto"/>
            </w:tcBorders>
            <w:hideMark/>
          </w:tcPr>
          <w:p>
            <w:pPr>
              <w:rPr>
                <w:noProof/>
              </w:rPr>
            </w:pPr>
            <w:r>
              <w:rPr>
                <w:noProof/>
              </w:rPr>
              <w:t xml:space="preserve">TOATE </w:t>
            </w:r>
          </w:p>
        </w:tc>
        <w:tc>
          <w:tcPr>
            <w:tcW w:w="784" w:type="dxa"/>
            <w:tcBorders>
              <w:top w:val="single" w:sz="4" w:space="0" w:color="auto"/>
              <w:left w:val="single" w:sz="4" w:space="0" w:color="auto"/>
              <w:bottom w:val="single" w:sz="4" w:space="0" w:color="auto"/>
              <w:right w:val="single" w:sz="4" w:space="0" w:color="auto"/>
            </w:tcBorders>
            <w:hideMark/>
          </w:tcPr>
          <w:p>
            <w:pPr>
              <w:rPr>
                <w:noProof/>
              </w:rPr>
            </w:pPr>
            <w:r>
              <w:rPr>
                <w:noProof/>
              </w:rPr>
              <w:t>3,206</w:t>
            </w:r>
          </w:p>
        </w:tc>
        <w:tc>
          <w:tcPr>
            <w:tcW w:w="784" w:type="dxa"/>
            <w:tcBorders>
              <w:top w:val="single" w:sz="4" w:space="0" w:color="auto"/>
              <w:left w:val="single" w:sz="4" w:space="0" w:color="auto"/>
              <w:bottom w:val="single" w:sz="4" w:space="0" w:color="auto"/>
              <w:right w:val="single" w:sz="4" w:space="0" w:color="auto"/>
            </w:tcBorders>
            <w:hideMark/>
          </w:tcPr>
          <w:p>
            <w:pPr>
              <w:rPr>
                <w:noProof/>
              </w:rPr>
            </w:pPr>
            <w:r>
              <w:rPr>
                <w:noProof/>
              </w:rPr>
              <w:t>0,00005</w:t>
            </w:r>
          </w:p>
        </w:tc>
        <w:tc>
          <w:tcPr>
            <w:tcW w:w="784" w:type="dxa"/>
            <w:tcBorders>
              <w:top w:val="single" w:sz="4" w:space="0" w:color="auto"/>
              <w:left w:val="single" w:sz="4" w:space="0" w:color="auto"/>
              <w:bottom w:val="single" w:sz="4" w:space="0" w:color="auto"/>
              <w:right w:val="single" w:sz="4" w:space="0" w:color="auto"/>
            </w:tcBorders>
            <w:hideMark/>
          </w:tcPr>
          <w:p>
            <w:pPr>
              <w:rPr>
                <w:noProof/>
              </w:rPr>
            </w:pPr>
            <w:r>
              <w:rPr>
                <w:noProof/>
              </w:rPr>
              <w:t>0,00018</w:t>
            </w:r>
          </w:p>
        </w:tc>
        <w:tc>
          <w:tcPr>
            <w:tcW w:w="643" w:type="dxa"/>
            <w:tcBorders>
              <w:top w:val="single" w:sz="4" w:space="0" w:color="auto"/>
              <w:left w:val="single" w:sz="4" w:space="0" w:color="auto"/>
              <w:bottom w:val="single" w:sz="6" w:space="0" w:color="000000"/>
              <w:right w:val="single" w:sz="6" w:space="0" w:color="000000"/>
            </w:tcBorders>
            <w:hideMark/>
          </w:tcPr>
          <w:p>
            <w:pPr>
              <w:rPr>
                <w:noProof/>
              </w:rPr>
            </w:pPr>
            <w:r>
              <w:rPr>
                <w:noProof/>
              </w:rPr>
              <w:t>-</w:t>
            </w:r>
          </w:p>
        </w:tc>
      </w:tr>
      <w:tr>
        <w:trPr>
          <w:jc w:val="center"/>
        </w:trPr>
        <w:tc>
          <w:tcPr>
            <w:tcW w:w="1020"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2013" w:type="dxa"/>
            <w:tcBorders>
              <w:top w:val="single" w:sz="4" w:space="0" w:color="auto"/>
              <w:left w:val="single" w:sz="6" w:space="0" w:color="000000"/>
              <w:bottom w:val="single" w:sz="6" w:space="0" w:color="000000"/>
              <w:right w:val="single" w:sz="6" w:space="0" w:color="000000"/>
            </w:tcBorders>
            <w:hideMark/>
          </w:tcPr>
          <w:p>
            <w:pPr>
              <w:rPr>
                <w:noProof/>
              </w:rPr>
            </w:pPr>
            <w:r>
              <w:rPr>
                <w:noProof/>
              </w:rPr>
              <w:t>e-metanol</w:t>
            </w:r>
          </w:p>
        </w:tc>
        <w:tc>
          <w:tcPr>
            <w:tcW w:w="983" w:type="dxa"/>
            <w:tcBorders>
              <w:top w:val="single" w:sz="4" w:space="0" w:color="auto"/>
              <w:left w:val="single" w:sz="6" w:space="0" w:color="000000"/>
              <w:bottom w:val="single" w:sz="6" w:space="0" w:color="000000"/>
              <w:right w:val="single" w:sz="6" w:space="0" w:color="000000"/>
            </w:tcBorders>
            <w:hideMark/>
          </w:tcPr>
          <w:p>
            <w:pPr>
              <w:rPr>
                <w:noProof/>
              </w:rPr>
            </w:pPr>
            <w:r>
              <w:rPr>
                <w:noProof/>
              </w:rPr>
              <w:t>0,0199</w:t>
            </w:r>
          </w:p>
        </w:tc>
        <w:tc>
          <w:tcPr>
            <w:tcW w:w="1058" w:type="dxa"/>
            <w:tcBorders>
              <w:top w:val="single" w:sz="4" w:space="0" w:color="auto"/>
              <w:left w:val="single" w:sz="6" w:space="0" w:color="000000"/>
              <w:bottom w:val="single" w:sz="6" w:space="0" w:color="000000"/>
              <w:right w:val="single" w:sz="6" w:space="0" w:color="000000"/>
            </w:tcBorders>
            <w:hideMark/>
          </w:tcPr>
          <w:p>
            <w:pPr>
              <w:rPr>
                <w:noProof/>
              </w:rPr>
            </w:pPr>
            <w:r>
              <w:rPr>
                <w:noProof/>
              </w:rPr>
              <w:t>E-E</w:t>
            </w:r>
            <w:r>
              <w:rPr>
                <w:noProof/>
                <w:vertAlign w:val="subscript"/>
              </w:rPr>
              <w:t>u</w:t>
            </w:r>
          </w:p>
        </w:tc>
        <w:tc>
          <w:tcPr>
            <w:tcW w:w="1020" w:type="dxa"/>
            <w:tcBorders>
              <w:top w:val="single" w:sz="4" w:space="0" w:color="auto"/>
              <w:left w:val="single" w:sz="6" w:space="0" w:color="000000"/>
              <w:bottom w:val="single" w:sz="6" w:space="0" w:color="000000"/>
              <w:right w:val="single" w:sz="6" w:space="0" w:color="000000"/>
            </w:tcBorders>
            <w:hideMark/>
          </w:tcPr>
          <w:p>
            <w:pPr>
              <w:rPr>
                <w:noProof/>
              </w:rPr>
            </w:pPr>
            <w:r>
              <w:rPr>
                <w:noProof/>
              </w:rPr>
              <w:t>TOATE</w:t>
            </w:r>
          </w:p>
        </w:tc>
        <w:tc>
          <w:tcPr>
            <w:tcW w:w="784" w:type="dxa"/>
            <w:tcBorders>
              <w:top w:val="single" w:sz="4" w:space="0" w:color="auto"/>
              <w:left w:val="single" w:sz="6" w:space="0" w:color="000000"/>
              <w:bottom w:val="single" w:sz="6" w:space="0" w:color="000000"/>
              <w:right w:val="single" w:sz="6" w:space="0" w:color="000000"/>
            </w:tcBorders>
            <w:hideMark/>
          </w:tcPr>
          <w:p>
            <w:pPr>
              <w:rPr>
                <w:noProof/>
              </w:rPr>
            </w:pPr>
            <w:r>
              <w:rPr>
                <w:noProof/>
              </w:rPr>
              <w:t>1,375</w:t>
            </w:r>
          </w:p>
        </w:tc>
        <w:tc>
          <w:tcPr>
            <w:tcW w:w="784" w:type="dxa"/>
            <w:tcBorders>
              <w:top w:val="single" w:sz="4" w:space="0" w:color="auto"/>
              <w:left w:val="single" w:sz="6" w:space="0" w:color="000000"/>
              <w:bottom w:val="single" w:sz="6" w:space="0" w:color="000000"/>
              <w:right w:val="single" w:sz="6" w:space="0" w:color="000000"/>
            </w:tcBorders>
            <w:hideMark/>
          </w:tcPr>
          <w:p>
            <w:pPr>
              <w:rPr>
                <w:noProof/>
              </w:rPr>
            </w:pPr>
            <w:r>
              <w:rPr>
                <w:noProof/>
              </w:rPr>
              <w:t>TBM</w:t>
            </w:r>
          </w:p>
        </w:tc>
        <w:tc>
          <w:tcPr>
            <w:tcW w:w="784" w:type="dxa"/>
            <w:tcBorders>
              <w:top w:val="single" w:sz="4" w:space="0" w:color="auto"/>
              <w:left w:val="single" w:sz="6" w:space="0" w:color="000000"/>
              <w:bottom w:val="single" w:sz="6" w:space="0" w:color="000000"/>
              <w:right w:val="single" w:sz="6" w:space="0" w:color="000000"/>
            </w:tcBorders>
            <w:hideMark/>
          </w:tcPr>
          <w:p>
            <w:pPr>
              <w:rPr>
                <w:noProof/>
              </w:rPr>
            </w:pPr>
            <w:r>
              <w:rPr>
                <w:noProof/>
              </w:rPr>
              <w:t>TBM</w:t>
            </w:r>
          </w:p>
        </w:tc>
        <w:tc>
          <w:tcPr>
            <w:tcW w:w="643" w:type="dxa"/>
            <w:tcBorders>
              <w:top w:val="single" w:sz="6" w:space="0" w:color="000000"/>
              <w:left w:val="single" w:sz="6" w:space="0" w:color="000000"/>
              <w:bottom w:val="single" w:sz="6" w:space="0" w:color="000000"/>
              <w:right w:val="single" w:sz="6" w:space="0" w:color="000000"/>
            </w:tcBorders>
            <w:hideMark/>
          </w:tcPr>
          <w:p>
            <w:pPr>
              <w:rPr>
                <w:noProof/>
              </w:rPr>
            </w:pPr>
            <w:r>
              <w:rPr>
                <w:noProof/>
              </w:rPr>
              <w:t>-</w:t>
            </w:r>
          </w:p>
        </w:tc>
      </w:tr>
      <w:tr>
        <w:trPr>
          <w:jc w:val="center"/>
        </w:trPr>
        <w:tc>
          <w:tcPr>
            <w:tcW w:w="1020"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2013" w:type="dxa"/>
            <w:vMerge w:val="restart"/>
            <w:tcBorders>
              <w:top w:val="single" w:sz="6" w:space="0" w:color="000000"/>
              <w:left w:val="single" w:sz="6" w:space="0" w:color="000000"/>
              <w:bottom w:val="single" w:sz="6" w:space="0" w:color="000000"/>
              <w:right w:val="single" w:sz="6" w:space="0" w:color="000000"/>
            </w:tcBorders>
            <w:hideMark/>
          </w:tcPr>
          <w:p>
            <w:pPr>
              <w:rPr>
                <w:noProof/>
              </w:rPr>
            </w:pPr>
            <w:r>
              <w:rPr>
                <w:noProof/>
              </w:rPr>
              <w:t>e-GNL</w:t>
            </w:r>
          </w:p>
        </w:tc>
        <w:tc>
          <w:tcPr>
            <w:tcW w:w="983" w:type="dxa"/>
            <w:vMerge w:val="restart"/>
            <w:tcBorders>
              <w:top w:val="single" w:sz="6" w:space="0" w:color="000000"/>
              <w:left w:val="single" w:sz="6" w:space="0" w:color="000000"/>
              <w:bottom w:val="single" w:sz="6" w:space="0" w:color="000000"/>
              <w:right w:val="single" w:sz="6" w:space="0" w:color="000000"/>
            </w:tcBorders>
            <w:hideMark/>
          </w:tcPr>
          <w:p>
            <w:pPr>
              <w:rPr>
                <w:noProof/>
              </w:rPr>
            </w:pPr>
            <w:r>
              <w:rPr>
                <w:noProof/>
              </w:rPr>
              <w:t>0,0491</w:t>
            </w:r>
          </w:p>
        </w:tc>
        <w:tc>
          <w:tcPr>
            <w:tcW w:w="1058" w:type="dxa"/>
            <w:vMerge w:val="restart"/>
            <w:tcBorders>
              <w:top w:val="single" w:sz="6" w:space="0" w:color="000000"/>
              <w:left w:val="single" w:sz="6" w:space="0" w:color="000000"/>
              <w:bottom w:val="single" w:sz="6" w:space="0" w:color="000000"/>
              <w:right w:val="single" w:sz="6" w:space="0" w:color="000000"/>
            </w:tcBorders>
            <w:hideMark/>
          </w:tcPr>
          <w:p>
            <w:pPr>
              <w:rPr>
                <w:noProof/>
              </w:rPr>
            </w:pPr>
            <w:r>
              <w:rPr>
                <w:noProof/>
              </w:rPr>
              <w:t>E-E</w:t>
            </w:r>
            <w:r>
              <w:rPr>
                <w:noProof/>
                <w:vertAlign w:val="subscript"/>
              </w:rPr>
              <w:t>u</w:t>
            </w:r>
          </w:p>
        </w:tc>
        <w:tc>
          <w:tcPr>
            <w:tcW w:w="1020" w:type="dxa"/>
            <w:tcBorders>
              <w:top w:val="single" w:sz="6" w:space="0" w:color="000000"/>
              <w:left w:val="single" w:sz="6" w:space="0" w:color="000000"/>
              <w:bottom w:val="single" w:sz="6" w:space="0" w:color="000000"/>
              <w:right w:val="single" w:sz="6" w:space="0" w:color="000000"/>
            </w:tcBorders>
            <w:hideMark/>
          </w:tcPr>
          <w:p>
            <w:pPr>
              <w:rPr>
                <w:noProof/>
              </w:rPr>
            </w:pPr>
            <w:r>
              <w:rPr>
                <w:noProof/>
              </w:rPr>
              <w:t>GNL Otto (turație medie cu dublă alimentare)</w:t>
            </w:r>
          </w:p>
        </w:tc>
        <w:tc>
          <w:tcPr>
            <w:tcW w:w="784" w:type="dxa"/>
            <w:vMerge w:val="restart"/>
            <w:tcBorders>
              <w:top w:val="single" w:sz="6" w:space="0" w:color="000000"/>
              <w:left w:val="single" w:sz="6" w:space="0" w:color="000000"/>
              <w:bottom w:val="single" w:sz="6" w:space="0" w:color="000000"/>
              <w:right w:val="single" w:sz="6" w:space="0" w:color="000000"/>
            </w:tcBorders>
            <w:hideMark/>
          </w:tcPr>
          <w:p>
            <w:pPr>
              <w:rPr>
                <w:noProof/>
              </w:rPr>
            </w:pPr>
            <w:r>
              <w:rPr>
                <w:noProof/>
              </w:rPr>
              <w:t>2,750</w:t>
            </w:r>
          </w:p>
        </w:tc>
        <w:tc>
          <w:tcPr>
            <w:tcW w:w="784" w:type="dxa"/>
            <w:vMerge w:val="restart"/>
            <w:tcBorders>
              <w:top w:val="single" w:sz="6" w:space="0" w:color="000000"/>
              <w:left w:val="single" w:sz="6" w:space="0" w:color="000000"/>
              <w:bottom w:val="single" w:sz="6" w:space="0" w:color="000000"/>
              <w:right w:val="single" w:sz="6" w:space="0" w:color="000000"/>
            </w:tcBorders>
            <w:hideMark/>
          </w:tcPr>
          <w:p>
            <w:pPr>
              <w:rPr>
                <w:noProof/>
              </w:rPr>
            </w:pPr>
            <w:r>
              <w:rPr>
                <w:noProof/>
              </w:rPr>
              <w:t>0</w:t>
            </w:r>
          </w:p>
        </w:tc>
        <w:tc>
          <w:tcPr>
            <w:tcW w:w="784" w:type="dxa"/>
            <w:vMerge w:val="restart"/>
            <w:tcBorders>
              <w:top w:val="single" w:sz="6" w:space="0" w:color="000000"/>
              <w:left w:val="single" w:sz="6" w:space="0" w:color="000000"/>
              <w:bottom w:val="single" w:sz="6" w:space="0" w:color="000000"/>
              <w:right w:val="single" w:sz="6" w:space="0" w:color="000000"/>
            </w:tcBorders>
            <w:hideMark/>
          </w:tcPr>
          <w:p>
            <w:pPr>
              <w:rPr>
                <w:noProof/>
              </w:rPr>
            </w:pPr>
            <w:r>
              <w:rPr>
                <w:noProof/>
              </w:rPr>
              <w:t>0,00011</w:t>
            </w:r>
          </w:p>
        </w:tc>
        <w:tc>
          <w:tcPr>
            <w:tcW w:w="643" w:type="dxa"/>
            <w:tcBorders>
              <w:top w:val="single" w:sz="6" w:space="0" w:color="000000"/>
              <w:left w:val="single" w:sz="6" w:space="0" w:color="000000"/>
              <w:bottom w:val="single" w:sz="6" w:space="0" w:color="000000"/>
              <w:right w:val="single" w:sz="6" w:space="0" w:color="000000"/>
            </w:tcBorders>
            <w:hideMark/>
          </w:tcPr>
          <w:p>
            <w:pPr>
              <w:rPr>
                <w:noProof/>
              </w:rPr>
            </w:pPr>
            <w:r>
              <w:rPr>
                <w:noProof/>
              </w:rPr>
              <w:t>3,1</w:t>
            </w:r>
          </w:p>
        </w:tc>
      </w:tr>
      <w:tr>
        <w:trPr>
          <w:jc w:val="center"/>
        </w:trPr>
        <w:tc>
          <w:tcPr>
            <w:tcW w:w="1020"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2013"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983"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1058"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1020" w:type="dxa"/>
            <w:tcBorders>
              <w:top w:val="single" w:sz="6" w:space="0" w:color="000000"/>
              <w:left w:val="single" w:sz="6" w:space="0" w:color="000000"/>
              <w:bottom w:val="single" w:sz="6" w:space="0" w:color="000000"/>
              <w:right w:val="single" w:sz="6" w:space="0" w:color="000000"/>
            </w:tcBorders>
            <w:hideMark/>
          </w:tcPr>
          <w:p>
            <w:pPr>
              <w:rPr>
                <w:noProof/>
              </w:rPr>
            </w:pPr>
            <w:r>
              <w:rPr>
                <w:noProof/>
              </w:rPr>
              <w:t>GNL Otto (turație lentă cu dublă alimentare)</w:t>
            </w:r>
          </w:p>
        </w:tc>
        <w:tc>
          <w:tcPr>
            <w:tcW w:w="784"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784"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784"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643" w:type="dxa"/>
            <w:tcBorders>
              <w:top w:val="single" w:sz="6" w:space="0" w:color="000000"/>
              <w:left w:val="single" w:sz="6" w:space="0" w:color="000000"/>
              <w:bottom w:val="single" w:sz="6" w:space="0" w:color="000000"/>
              <w:right w:val="single" w:sz="6" w:space="0" w:color="000000"/>
            </w:tcBorders>
            <w:hideMark/>
          </w:tcPr>
          <w:p>
            <w:pPr>
              <w:rPr>
                <w:noProof/>
              </w:rPr>
            </w:pPr>
            <w:r>
              <w:rPr>
                <w:noProof/>
              </w:rPr>
              <w:t>1,7</w:t>
            </w:r>
          </w:p>
        </w:tc>
      </w:tr>
      <w:tr>
        <w:trPr>
          <w:jc w:val="center"/>
        </w:trPr>
        <w:tc>
          <w:tcPr>
            <w:tcW w:w="1020"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2013"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983"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1058"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1020" w:type="dxa"/>
            <w:tcBorders>
              <w:top w:val="single" w:sz="6" w:space="0" w:color="000000"/>
              <w:left w:val="single" w:sz="6" w:space="0" w:color="000000"/>
              <w:bottom w:val="single" w:sz="6" w:space="0" w:color="000000"/>
              <w:right w:val="single" w:sz="6" w:space="0" w:color="000000"/>
            </w:tcBorders>
            <w:hideMark/>
          </w:tcPr>
          <w:p>
            <w:pPr>
              <w:rPr>
                <w:noProof/>
              </w:rPr>
            </w:pPr>
            <w:r>
              <w:rPr>
                <w:noProof/>
              </w:rPr>
              <w:t>GNL Diesel (alimentare dublă)</w:t>
            </w:r>
          </w:p>
        </w:tc>
        <w:tc>
          <w:tcPr>
            <w:tcW w:w="784"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784"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784"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643" w:type="dxa"/>
            <w:tcBorders>
              <w:top w:val="single" w:sz="6" w:space="0" w:color="000000"/>
              <w:left w:val="single" w:sz="6" w:space="0" w:color="000000"/>
              <w:bottom w:val="single" w:sz="6" w:space="0" w:color="000000"/>
              <w:right w:val="single" w:sz="6" w:space="0" w:color="000000"/>
            </w:tcBorders>
            <w:hideMark/>
          </w:tcPr>
          <w:p>
            <w:pPr>
              <w:rPr>
                <w:noProof/>
              </w:rPr>
            </w:pPr>
            <w:r>
              <w:rPr>
                <w:noProof/>
              </w:rPr>
              <w:t>0,2</w:t>
            </w:r>
          </w:p>
        </w:tc>
      </w:tr>
      <w:tr>
        <w:trPr>
          <w:jc w:val="center"/>
        </w:trPr>
        <w:tc>
          <w:tcPr>
            <w:tcW w:w="1020"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2013"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983"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1058"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1020" w:type="dxa"/>
            <w:tcBorders>
              <w:top w:val="single" w:sz="6" w:space="0" w:color="000000"/>
              <w:left w:val="single" w:sz="6" w:space="0" w:color="000000"/>
              <w:bottom w:val="single" w:sz="6" w:space="0" w:color="000000"/>
              <w:right w:val="single" w:sz="6" w:space="0" w:color="000000"/>
            </w:tcBorders>
            <w:hideMark/>
          </w:tcPr>
          <w:p>
            <w:pPr>
              <w:rPr>
                <w:noProof/>
              </w:rPr>
            </w:pPr>
            <w:r>
              <w:rPr>
                <w:noProof/>
              </w:rPr>
              <w:t>LBSI</w:t>
            </w:r>
          </w:p>
        </w:tc>
        <w:tc>
          <w:tcPr>
            <w:tcW w:w="784"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784"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784"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643" w:type="dxa"/>
            <w:tcBorders>
              <w:top w:val="single" w:sz="6" w:space="0" w:color="000000"/>
              <w:left w:val="single" w:sz="6" w:space="0" w:color="000000"/>
              <w:bottom w:val="single" w:sz="6" w:space="0" w:color="000000"/>
              <w:right w:val="single" w:sz="6" w:space="0" w:color="000000"/>
            </w:tcBorders>
            <w:hideMark/>
          </w:tcPr>
          <w:p>
            <w:pPr>
              <w:rPr>
                <w:noProof/>
              </w:rPr>
            </w:pPr>
            <w:r>
              <w:rPr>
                <w:noProof/>
              </w:rPr>
              <w:t>2,6</w:t>
            </w:r>
          </w:p>
        </w:tc>
      </w:tr>
      <w:tr>
        <w:trPr>
          <w:jc w:val="center"/>
        </w:trPr>
        <w:tc>
          <w:tcPr>
            <w:tcW w:w="1020"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2013" w:type="dxa"/>
            <w:vMerge w:val="restart"/>
            <w:tcBorders>
              <w:top w:val="single" w:sz="6" w:space="0" w:color="000000"/>
              <w:left w:val="single" w:sz="6" w:space="0" w:color="000000"/>
              <w:bottom w:val="single" w:sz="6" w:space="0" w:color="000000"/>
              <w:right w:val="single" w:sz="6" w:space="0" w:color="000000"/>
            </w:tcBorders>
            <w:hideMark/>
          </w:tcPr>
          <w:p>
            <w:pPr>
              <w:rPr>
                <w:noProof/>
              </w:rPr>
            </w:pPr>
            <w:r>
              <w:rPr>
                <w:noProof/>
              </w:rPr>
              <w:t>e-H2</w:t>
            </w:r>
          </w:p>
        </w:tc>
        <w:tc>
          <w:tcPr>
            <w:tcW w:w="983" w:type="dxa"/>
            <w:vMerge w:val="restart"/>
            <w:tcBorders>
              <w:top w:val="single" w:sz="6" w:space="0" w:color="000000"/>
              <w:left w:val="single" w:sz="6" w:space="0" w:color="000000"/>
              <w:bottom w:val="single" w:sz="6" w:space="0" w:color="000000"/>
              <w:right w:val="single" w:sz="6" w:space="0" w:color="000000"/>
            </w:tcBorders>
            <w:hideMark/>
          </w:tcPr>
          <w:p>
            <w:pPr>
              <w:rPr>
                <w:noProof/>
              </w:rPr>
            </w:pPr>
            <w:r>
              <w:rPr>
                <w:noProof/>
              </w:rPr>
              <w:t>0,12</w:t>
            </w:r>
          </w:p>
        </w:tc>
        <w:tc>
          <w:tcPr>
            <w:tcW w:w="1058" w:type="dxa"/>
            <w:vMerge w:val="restart"/>
            <w:tcBorders>
              <w:top w:val="single" w:sz="6" w:space="0" w:color="000000"/>
              <w:left w:val="single" w:sz="6" w:space="0" w:color="000000"/>
              <w:bottom w:val="single" w:sz="6" w:space="0" w:color="000000"/>
              <w:right w:val="single" w:sz="6" w:space="0" w:color="000000"/>
            </w:tcBorders>
            <w:hideMark/>
          </w:tcPr>
          <w:p>
            <w:pPr>
              <w:rPr>
                <w:noProof/>
              </w:rPr>
            </w:pPr>
            <w:r>
              <w:rPr>
                <w:noProof/>
              </w:rPr>
              <w:t>E-E</w:t>
            </w:r>
            <w:r>
              <w:rPr>
                <w:noProof/>
                <w:vertAlign w:val="subscript"/>
              </w:rPr>
              <w:t>u</w:t>
            </w:r>
          </w:p>
        </w:tc>
        <w:tc>
          <w:tcPr>
            <w:tcW w:w="1020" w:type="dxa"/>
            <w:tcBorders>
              <w:top w:val="single" w:sz="6" w:space="0" w:color="000000"/>
              <w:left w:val="single" w:sz="6" w:space="0" w:color="000000"/>
              <w:bottom w:val="single" w:sz="6" w:space="0" w:color="000000"/>
              <w:right w:val="single" w:sz="6" w:space="0" w:color="000000"/>
            </w:tcBorders>
            <w:hideMark/>
          </w:tcPr>
          <w:p>
            <w:pPr>
              <w:rPr>
                <w:noProof/>
              </w:rPr>
            </w:pPr>
            <w:r>
              <w:rPr>
                <w:noProof/>
              </w:rPr>
              <w:t>Pile de combustie</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0</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0</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0</w:t>
            </w:r>
          </w:p>
        </w:tc>
        <w:tc>
          <w:tcPr>
            <w:tcW w:w="643" w:type="dxa"/>
            <w:vMerge w:val="restart"/>
            <w:tcBorders>
              <w:top w:val="single" w:sz="6" w:space="0" w:color="000000"/>
              <w:left w:val="single" w:sz="6" w:space="0" w:color="000000"/>
              <w:bottom w:val="single" w:sz="6" w:space="0" w:color="000000"/>
              <w:right w:val="single" w:sz="6" w:space="0" w:color="000000"/>
            </w:tcBorders>
            <w:hideMark/>
          </w:tcPr>
          <w:p>
            <w:pPr>
              <w:rPr>
                <w:noProof/>
              </w:rPr>
            </w:pPr>
            <w:r>
              <w:rPr>
                <w:noProof/>
              </w:rPr>
              <w:t>-</w:t>
            </w:r>
          </w:p>
        </w:tc>
      </w:tr>
      <w:tr>
        <w:trPr>
          <w:jc w:val="center"/>
        </w:trPr>
        <w:tc>
          <w:tcPr>
            <w:tcW w:w="1020"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2013"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983"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1058"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1020" w:type="dxa"/>
            <w:tcBorders>
              <w:top w:val="single" w:sz="6" w:space="0" w:color="000000"/>
              <w:left w:val="single" w:sz="6" w:space="0" w:color="000000"/>
              <w:bottom w:val="single" w:sz="6" w:space="0" w:color="000000"/>
              <w:right w:val="single" w:sz="6" w:space="0" w:color="000000"/>
            </w:tcBorders>
            <w:hideMark/>
          </w:tcPr>
          <w:p>
            <w:pPr>
              <w:rPr>
                <w:noProof/>
              </w:rPr>
            </w:pPr>
            <w:r>
              <w:rPr>
                <w:noProof/>
              </w:rPr>
              <w:t>ICE</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0</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0</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TBM</w:t>
            </w:r>
          </w:p>
        </w:tc>
        <w:tc>
          <w:tcPr>
            <w:tcW w:w="643"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r>
      <w:tr>
        <w:trPr>
          <w:jc w:val="center"/>
        </w:trPr>
        <w:tc>
          <w:tcPr>
            <w:tcW w:w="1020"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2013" w:type="dxa"/>
            <w:vMerge w:val="restart"/>
            <w:tcBorders>
              <w:top w:val="single" w:sz="6" w:space="0" w:color="000000"/>
              <w:left w:val="single" w:sz="6" w:space="0" w:color="000000"/>
              <w:bottom w:val="single" w:sz="6" w:space="0" w:color="000000"/>
              <w:right w:val="single" w:sz="6" w:space="0" w:color="000000"/>
            </w:tcBorders>
            <w:hideMark/>
          </w:tcPr>
          <w:p>
            <w:pPr>
              <w:rPr>
                <w:noProof/>
              </w:rPr>
            </w:pPr>
            <w:r>
              <w:rPr>
                <w:noProof/>
              </w:rPr>
              <w:t>e-NH3</w:t>
            </w:r>
          </w:p>
        </w:tc>
        <w:tc>
          <w:tcPr>
            <w:tcW w:w="983" w:type="dxa"/>
            <w:vMerge w:val="restart"/>
            <w:tcBorders>
              <w:top w:val="single" w:sz="6" w:space="0" w:color="000000"/>
              <w:left w:val="single" w:sz="6" w:space="0" w:color="000000"/>
              <w:bottom w:val="single" w:sz="6" w:space="0" w:color="000000"/>
              <w:right w:val="single" w:sz="6" w:space="0" w:color="000000"/>
            </w:tcBorders>
            <w:hideMark/>
          </w:tcPr>
          <w:p>
            <w:pPr>
              <w:rPr>
                <w:noProof/>
              </w:rPr>
            </w:pPr>
            <w:r>
              <w:rPr>
                <w:noProof/>
              </w:rPr>
              <w:t>0,0186</w:t>
            </w:r>
          </w:p>
        </w:tc>
        <w:tc>
          <w:tcPr>
            <w:tcW w:w="1058" w:type="dxa"/>
            <w:vMerge w:val="restart"/>
            <w:tcBorders>
              <w:top w:val="single" w:sz="6" w:space="0" w:color="000000"/>
              <w:left w:val="single" w:sz="6" w:space="0" w:color="000000"/>
              <w:bottom w:val="single" w:sz="6" w:space="0" w:color="000000"/>
              <w:right w:val="single" w:sz="6" w:space="0" w:color="000000"/>
            </w:tcBorders>
            <w:hideMark/>
          </w:tcPr>
          <w:p>
            <w:pPr>
              <w:rPr>
                <w:noProof/>
              </w:rPr>
            </w:pPr>
            <w:r>
              <w:rPr>
                <w:noProof/>
              </w:rPr>
              <w:t>N/A</w:t>
            </w:r>
          </w:p>
        </w:tc>
        <w:tc>
          <w:tcPr>
            <w:tcW w:w="1020" w:type="dxa"/>
            <w:tcBorders>
              <w:top w:val="single" w:sz="6" w:space="0" w:color="000000"/>
              <w:left w:val="single" w:sz="6" w:space="0" w:color="000000"/>
              <w:bottom w:val="single" w:sz="6" w:space="0" w:color="000000"/>
              <w:right w:val="single" w:sz="6" w:space="0" w:color="000000"/>
            </w:tcBorders>
            <w:hideMark/>
          </w:tcPr>
          <w:p>
            <w:pPr>
              <w:rPr>
                <w:noProof/>
              </w:rPr>
            </w:pPr>
            <w:r>
              <w:rPr>
                <w:noProof/>
              </w:rPr>
              <w:t>Pile de combustie</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0</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N/A</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TBM</w:t>
            </w:r>
          </w:p>
        </w:tc>
        <w:tc>
          <w:tcPr>
            <w:tcW w:w="643" w:type="dxa"/>
            <w:tcBorders>
              <w:top w:val="single" w:sz="6" w:space="0" w:color="000000"/>
              <w:left w:val="single" w:sz="6" w:space="0" w:color="000000"/>
              <w:bottom w:val="single" w:sz="6" w:space="0" w:color="000000"/>
              <w:right w:val="single" w:sz="6" w:space="0" w:color="000000"/>
            </w:tcBorders>
            <w:hideMark/>
          </w:tcPr>
          <w:p>
            <w:pPr>
              <w:rPr>
                <w:noProof/>
              </w:rPr>
            </w:pPr>
            <w:r>
              <w:rPr>
                <w:noProof/>
              </w:rPr>
              <w:t>N/A</w:t>
            </w:r>
          </w:p>
        </w:tc>
      </w:tr>
      <w:tr>
        <w:trPr>
          <w:jc w:val="center"/>
        </w:trPr>
        <w:tc>
          <w:tcPr>
            <w:tcW w:w="1020"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2013"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983"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1058"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1020" w:type="dxa"/>
            <w:tcBorders>
              <w:top w:val="single" w:sz="6" w:space="0" w:color="000000"/>
              <w:left w:val="single" w:sz="6" w:space="0" w:color="000000"/>
              <w:bottom w:val="single" w:sz="6" w:space="0" w:color="000000"/>
              <w:right w:val="single" w:sz="6" w:space="0" w:color="000000"/>
            </w:tcBorders>
            <w:hideMark/>
          </w:tcPr>
          <w:p>
            <w:pPr>
              <w:rPr>
                <w:noProof/>
              </w:rPr>
            </w:pPr>
            <w:r>
              <w:rPr>
                <w:noProof/>
              </w:rPr>
              <w:t>ICE</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0</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N/A</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TBM</w:t>
            </w:r>
          </w:p>
        </w:tc>
        <w:tc>
          <w:tcPr>
            <w:tcW w:w="643" w:type="dxa"/>
            <w:tcBorders>
              <w:top w:val="single" w:sz="6" w:space="0" w:color="000000"/>
              <w:left w:val="single" w:sz="6" w:space="0" w:color="000000"/>
              <w:bottom w:val="single" w:sz="6" w:space="0" w:color="000000"/>
              <w:right w:val="single" w:sz="6" w:space="0" w:color="000000"/>
            </w:tcBorders>
            <w:hideMark/>
          </w:tcPr>
          <w:p>
            <w:pPr>
              <w:rPr>
                <w:noProof/>
              </w:rPr>
            </w:pPr>
            <w:r>
              <w:rPr>
                <w:noProof/>
              </w:rPr>
              <w:t>N/A</w:t>
            </w:r>
          </w:p>
        </w:tc>
      </w:tr>
      <w:tr>
        <w:trPr>
          <w:jc w:val="center"/>
        </w:trPr>
        <w:tc>
          <w:tcPr>
            <w:tcW w:w="1020"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2013" w:type="dxa"/>
            <w:tcBorders>
              <w:top w:val="single" w:sz="6" w:space="0" w:color="000000"/>
              <w:left w:val="single" w:sz="6" w:space="0" w:color="000000"/>
              <w:bottom w:val="single" w:sz="6" w:space="0" w:color="000000"/>
              <w:right w:val="single" w:sz="6" w:space="0" w:color="000000"/>
            </w:tcBorders>
            <w:hideMark/>
          </w:tcPr>
          <w:p>
            <w:pPr>
              <w:rPr>
                <w:noProof/>
              </w:rPr>
            </w:pPr>
            <w:r>
              <w:rPr>
                <w:noProof/>
              </w:rPr>
              <w:t>e-GPL</w:t>
            </w:r>
          </w:p>
        </w:tc>
        <w:tc>
          <w:tcPr>
            <w:tcW w:w="983" w:type="dxa"/>
            <w:tcBorders>
              <w:top w:val="single" w:sz="6" w:space="0" w:color="000000"/>
              <w:left w:val="single" w:sz="6" w:space="0" w:color="000000"/>
              <w:bottom w:val="single" w:sz="6" w:space="0" w:color="000000"/>
              <w:right w:val="single" w:sz="6" w:space="0" w:color="000000"/>
            </w:tcBorders>
            <w:hideMark/>
          </w:tcPr>
          <w:p>
            <w:pPr>
              <w:rPr>
                <w:noProof/>
              </w:rPr>
            </w:pPr>
            <w:r>
              <w:rPr>
                <w:noProof/>
              </w:rPr>
              <w:t>N/A</w:t>
            </w:r>
          </w:p>
        </w:tc>
        <w:tc>
          <w:tcPr>
            <w:tcW w:w="1058" w:type="dxa"/>
            <w:tcBorders>
              <w:top w:val="single" w:sz="6" w:space="0" w:color="000000"/>
              <w:left w:val="single" w:sz="6" w:space="0" w:color="000000"/>
              <w:bottom w:val="single" w:sz="6" w:space="0" w:color="000000"/>
              <w:right w:val="single" w:sz="6" w:space="0" w:color="000000"/>
            </w:tcBorders>
            <w:hideMark/>
          </w:tcPr>
          <w:p>
            <w:pPr>
              <w:rPr>
                <w:noProof/>
              </w:rPr>
            </w:pPr>
            <w:r>
              <w:rPr>
                <w:noProof/>
              </w:rPr>
              <w:t>N/A</w:t>
            </w:r>
          </w:p>
        </w:tc>
        <w:tc>
          <w:tcPr>
            <w:tcW w:w="1020" w:type="dxa"/>
            <w:tcBorders>
              <w:top w:val="single" w:sz="6" w:space="0" w:color="000000"/>
              <w:left w:val="single" w:sz="6" w:space="0" w:color="000000"/>
              <w:bottom w:val="single" w:sz="6" w:space="0" w:color="000000"/>
              <w:right w:val="single" w:sz="6" w:space="0" w:color="000000"/>
            </w:tcBorders>
            <w:hideMark/>
          </w:tcPr>
          <w:p>
            <w:pPr>
              <w:rPr>
                <w:noProof/>
              </w:rPr>
            </w:pP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N/A</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N/A</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N/A</w:t>
            </w:r>
          </w:p>
        </w:tc>
        <w:tc>
          <w:tcPr>
            <w:tcW w:w="643" w:type="dxa"/>
            <w:tcBorders>
              <w:top w:val="single" w:sz="6" w:space="0" w:color="000000"/>
              <w:left w:val="single" w:sz="6" w:space="0" w:color="000000"/>
              <w:bottom w:val="single" w:sz="6" w:space="0" w:color="000000"/>
              <w:right w:val="single" w:sz="6" w:space="0" w:color="000000"/>
            </w:tcBorders>
            <w:hideMark/>
          </w:tcPr>
          <w:p>
            <w:pPr>
              <w:rPr>
                <w:noProof/>
              </w:rPr>
            </w:pPr>
            <w:r>
              <w:rPr>
                <w:noProof/>
              </w:rPr>
              <w:t>N/A</w:t>
            </w:r>
          </w:p>
        </w:tc>
      </w:tr>
      <w:tr>
        <w:trPr>
          <w:jc w:val="center"/>
        </w:trPr>
        <w:tc>
          <w:tcPr>
            <w:tcW w:w="1020" w:type="dxa"/>
            <w:vMerge/>
            <w:tcBorders>
              <w:top w:val="single" w:sz="6" w:space="0" w:color="000000"/>
              <w:left w:val="single" w:sz="6" w:space="0" w:color="000000"/>
              <w:bottom w:val="single" w:sz="6" w:space="0" w:color="000000"/>
              <w:right w:val="single" w:sz="6" w:space="0" w:color="000000"/>
            </w:tcBorders>
            <w:vAlign w:val="center"/>
            <w:hideMark/>
          </w:tcPr>
          <w:p>
            <w:pPr>
              <w:rPr>
                <w:noProof/>
              </w:rPr>
            </w:pPr>
          </w:p>
        </w:tc>
        <w:tc>
          <w:tcPr>
            <w:tcW w:w="2013" w:type="dxa"/>
            <w:tcBorders>
              <w:top w:val="single" w:sz="6" w:space="0" w:color="000000"/>
              <w:left w:val="single" w:sz="6" w:space="0" w:color="000000"/>
              <w:bottom w:val="single" w:sz="6" w:space="0" w:color="000000"/>
              <w:right w:val="single" w:sz="6" w:space="0" w:color="000000"/>
            </w:tcBorders>
            <w:hideMark/>
          </w:tcPr>
          <w:p>
            <w:pPr>
              <w:rPr>
                <w:noProof/>
              </w:rPr>
            </w:pPr>
            <w:r>
              <w:rPr>
                <w:noProof/>
              </w:rPr>
              <w:t>e-DME</w:t>
            </w:r>
          </w:p>
        </w:tc>
        <w:tc>
          <w:tcPr>
            <w:tcW w:w="983" w:type="dxa"/>
            <w:tcBorders>
              <w:top w:val="single" w:sz="6" w:space="0" w:color="000000"/>
              <w:left w:val="single" w:sz="6" w:space="0" w:color="000000"/>
              <w:bottom w:val="single" w:sz="6" w:space="0" w:color="000000"/>
              <w:right w:val="single" w:sz="6" w:space="0" w:color="000000"/>
            </w:tcBorders>
            <w:hideMark/>
          </w:tcPr>
          <w:p>
            <w:pPr>
              <w:rPr>
                <w:noProof/>
              </w:rPr>
            </w:pPr>
            <w:r>
              <w:rPr>
                <w:noProof/>
              </w:rPr>
              <w:t>N/A</w:t>
            </w:r>
          </w:p>
        </w:tc>
        <w:tc>
          <w:tcPr>
            <w:tcW w:w="1058" w:type="dxa"/>
            <w:tcBorders>
              <w:top w:val="single" w:sz="6" w:space="0" w:color="000000"/>
              <w:left w:val="single" w:sz="6" w:space="0" w:color="000000"/>
              <w:bottom w:val="single" w:sz="6" w:space="0" w:color="000000"/>
              <w:right w:val="single" w:sz="6" w:space="0" w:color="000000"/>
            </w:tcBorders>
            <w:hideMark/>
          </w:tcPr>
          <w:p>
            <w:pPr>
              <w:rPr>
                <w:noProof/>
              </w:rPr>
            </w:pPr>
            <w:r>
              <w:rPr>
                <w:noProof/>
              </w:rPr>
              <w:t>N/A</w:t>
            </w:r>
          </w:p>
        </w:tc>
        <w:tc>
          <w:tcPr>
            <w:tcW w:w="1020" w:type="dxa"/>
            <w:tcBorders>
              <w:top w:val="single" w:sz="6" w:space="0" w:color="000000"/>
              <w:left w:val="single" w:sz="6" w:space="0" w:color="000000"/>
              <w:bottom w:val="single" w:sz="6" w:space="0" w:color="000000"/>
              <w:right w:val="single" w:sz="6" w:space="0" w:color="000000"/>
            </w:tcBorders>
            <w:hideMark/>
          </w:tcPr>
          <w:p>
            <w:pPr>
              <w:rPr>
                <w:noProof/>
              </w:rPr>
            </w:pP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N/A</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N/A</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N/A</w:t>
            </w:r>
          </w:p>
        </w:tc>
        <w:tc>
          <w:tcPr>
            <w:tcW w:w="643" w:type="dxa"/>
            <w:tcBorders>
              <w:top w:val="single" w:sz="6" w:space="0" w:color="000000"/>
              <w:left w:val="single" w:sz="6" w:space="0" w:color="000000"/>
              <w:bottom w:val="single" w:sz="6" w:space="0" w:color="000000"/>
              <w:right w:val="single" w:sz="6" w:space="0" w:color="000000"/>
            </w:tcBorders>
            <w:hideMark/>
          </w:tcPr>
          <w:p>
            <w:pPr>
              <w:rPr>
                <w:noProof/>
              </w:rPr>
            </w:pPr>
            <w:r>
              <w:rPr>
                <w:noProof/>
              </w:rPr>
              <w:t>-</w:t>
            </w:r>
          </w:p>
        </w:tc>
      </w:tr>
      <w:tr>
        <w:trPr>
          <w:jc w:val="center"/>
        </w:trPr>
        <w:tc>
          <w:tcPr>
            <w:tcW w:w="1020" w:type="dxa"/>
            <w:tcBorders>
              <w:top w:val="single" w:sz="6" w:space="0" w:color="000000"/>
              <w:left w:val="single" w:sz="6" w:space="0" w:color="000000"/>
              <w:bottom w:val="single" w:sz="6" w:space="0" w:color="000000"/>
              <w:right w:val="single" w:sz="6" w:space="0" w:color="000000"/>
            </w:tcBorders>
            <w:hideMark/>
          </w:tcPr>
          <w:p>
            <w:pPr>
              <w:rPr>
                <w:noProof/>
              </w:rPr>
            </w:pPr>
            <w:r>
              <w:rPr>
                <w:noProof/>
              </w:rPr>
              <w:t>Altele</w:t>
            </w:r>
          </w:p>
        </w:tc>
        <w:tc>
          <w:tcPr>
            <w:tcW w:w="2013" w:type="dxa"/>
            <w:tcBorders>
              <w:top w:val="single" w:sz="6" w:space="0" w:color="000000"/>
              <w:left w:val="single" w:sz="6" w:space="0" w:color="000000"/>
              <w:bottom w:val="single" w:sz="6" w:space="0" w:color="000000"/>
              <w:right w:val="single" w:sz="6" w:space="0" w:color="000000"/>
            </w:tcBorders>
            <w:hideMark/>
          </w:tcPr>
          <w:p>
            <w:pPr>
              <w:rPr>
                <w:noProof/>
              </w:rPr>
            </w:pPr>
            <w:r>
              <w:rPr>
                <w:noProof/>
              </w:rPr>
              <w:t>Electricitate</w:t>
            </w:r>
          </w:p>
        </w:tc>
        <w:tc>
          <w:tcPr>
            <w:tcW w:w="983" w:type="dxa"/>
            <w:tcBorders>
              <w:top w:val="single" w:sz="6" w:space="0" w:color="000000"/>
              <w:left w:val="single" w:sz="6" w:space="0" w:color="000000"/>
              <w:bottom w:val="single" w:sz="6" w:space="0" w:color="000000"/>
              <w:right w:val="single" w:sz="6" w:space="0" w:color="000000"/>
            </w:tcBorders>
            <w:hideMark/>
          </w:tcPr>
          <w:p>
            <w:pPr>
              <w:rPr>
                <w:noProof/>
              </w:rPr>
            </w:pPr>
            <w:r>
              <w:rPr>
                <w:noProof/>
              </w:rPr>
              <w:t>-</w:t>
            </w:r>
          </w:p>
        </w:tc>
        <w:tc>
          <w:tcPr>
            <w:tcW w:w="1058" w:type="dxa"/>
            <w:tcBorders>
              <w:top w:val="single" w:sz="6" w:space="0" w:color="000000"/>
              <w:left w:val="single" w:sz="6" w:space="0" w:color="000000"/>
              <w:bottom w:val="single" w:sz="6" w:space="0" w:color="000000"/>
              <w:right w:val="single" w:sz="6" w:space="0" w:color="000000"/>
            </w:tcBorders>
            <w:hideMark/>
          </w:tcPr>
          <w:p>
            <w:pPr>
              <w:rPr>
                <w:noProof/>
              </w:rPr>
            </w:pPr>
            <w:r>
              <w:rPr>
                <w:noProof/>
              </w:rPr>
              <w:t>MIXUL ENERGETIC NAȚIONAL</w:t>
            </w:r>
          </w:p>
        </w:tc>
        <w:tc>
          <w:tcPr>
            <w:tcW w:w="1020" w:type="dxa"/>
            <w:tcBorders>
              <w:top w:val="single" w:sz="6" w:space="0" w:color="000000"/>
              <w:left w:val="single" w:sz="6" w:space="0" w:color="000000"/>
              <w:bottom w:val="single" w:sz="6" w:space="0" w:color="000000"/>
              <w:right w:val="single" w:sz="6" w:space="0" w:color="000000"/>
            </w:tcBorders>
            <w:hideMark/>
          </w:tcPr>
          <w:p>
            <w:pPr>
              <w:rPr>
                <w:noProof/>
              </w:rPr>
            </w:pPr>
            <w:r>
              <w:rPr>
                <w:noProof/>
              </w:rPr>
              <w:t>Alimentarea cu energie electrică de la mal (OPS)</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w:t>
            </w:r>
          </w:p>
        </w:tc>
        <w:tc>
          <w:tcPr>
            <w:tcW w:w="784" w:type="dxa"/>
            <w:tcBorders>
              <w:top w:val="single" w:sz="6" w:space="0" w:color="000000"/>
              <w:left w:val="single" w:sz="6" w:space="0" w:color="000000"/>
              <w:bottom w:val="single" w:sz="6" w:space="0" w:color="000000"/>
              <w:right w:val="single" w:sz="6" w:space="0" w:color="000000"/>
            </w:tcBorders>
            <w:hideMark/>
          </w:tcPr>
          <w:p>
            <w:pPr>
              <w:rPr>
                <w:noProof/>
              </w:rPr>
            </w:pPr>
            <w:r>
              <w:rPr>
                <w:noProof/>
              </w:rPr>
              <w:t>-</w:t>
            </w:r>
          </w:p>
        </w:tc>
        <w:tc>
          <w:tcPr>
            <w:tcW w:w="643" w:type="dxa"/>
            <w:tcBorders>
              <w:top w:val="single" w:sz="6" w:space="0" w:color="000000"/>
              <w:left w:val="single" w:sz="6" w:space="0" w:color="000000"/>
              <w:bottom w:val="single" w:sz="6" w:space="0" w:color="000000"/>
              <w:right w:val="single" w:sz="6" w:space="0" w:color="000000"/>
            </w:tcBorders>
            <w:hideMark/>
          </w:tcPr>
          <w:p>
            <w:pPr>
              <w:rPr>
                <w:noProof/>
              </w:rPr>
            </w:pPr>
            <w:r>
              <w:rPr>
                <w:noProof/>
              </w:rPr>
              <w:t>-</w:t>
            </w:r>
          </w:p>
        </w:tc>
      </w:tr>
    </w:tbl>
    <w:p>
      <w:pPr>
        <w:rPr>
          <w:noProof/>
        </w:rPr>
      </w:pPr>
    </w:p>
    <w:p>
      <w:pPr>
        <w:rPr>
          <w:noProof/>
        </w:rPr>
      </w:pPr>
      <w:r>
        <w:rPr>
          <w:noProof/>
        </w:rPr>
        <w:t>În coloana 1 se specifică clasa de combustibili, și anume combustibili fosili, biocombustibili, biogaz și e-combustibili.</w:t>
      </w:r>
    </w:p>
    <w:p>
      <w:pPr>
        <w:rPr>
          <w:noProof/>
        </w:rPr>
      </w:pPr>
      <w:r>
        <w:rPr>
          <w:noProof/>
        </w:rPr>
        <w:t>În coloana 2 se specifică denumirea sau filierele combustibililor relevanți din cadrul clasei.</w:t>
      </w:r>
    </w:p>
    <w:p>
      <w:pPr>
        <w:rPr>
          <w:noProof/>
        </w:rPr>
      </w:pPr>
      <w:r>
        <w:rPr>
          <w:noProof/>
        </w:rPr>
        <w:t>Coloana 3 include puterea calorifică netă a combustibililor în [MJ/g]. Pentru biocombustibili, valorile conținutului energetic în funcție de greutate (putere calorifică netă, MJ/kg) stabilite în anexa III la Directiva (UE) 2018/2001 se convertesc în [MJ/g] și se utilizează.</w:t>
      </w:r>
    </w:p>
    <w:p>
      <w:pPr>
        <w:rPr>
          <w:noProof/>
        </w:rPr>
      </w:pPr>
      <w:r>
        <w:rPr>
          <w:noProof/>
        </w:rPr>
        <w:t>Coloana 4 include factorii de emisie de GES WtT în [gCO</w:t>
      </w:r>
      <w:r>
        <w:rPr>
          <w:noProof/>
          <w:vertAlign w:val="subscript"/>
        </w:rPr>
        <w:t>2echivalent</w:t>
      </w:r>
      <w:r>
        <w:rPr>
          <w:noProof/>
        </w:rPr>
        <w:t>/MJ]:</w:t>
      </w:r>
    </w:p>
    <w:p>
      <w:pPr>
        <w:rPr>
          <w:noProof/>
        </w:rPr>
      </w:pPr>
      <w:r>
        <w:rPr>
          <w:noProof/>
        </w:rPr>
        <w:t>(a) Pentru biocombustibili, valorile implicite se calculează utilizând valorile E stabilite în conformitate cu metodologiile prevăzute în anexa V partea C la Directiva (UE) 2018/2001 pentru toți biocombustibilii, în anexa VI, partea B, la directiva respectivă pentru biogaz, precum și pe baza valorilor implicite pentru biocombustibilul specific utilizat drept combustibil pentru transport și pentru filiera de producție a acestuia, stabilite în anexa V părțile D și E la directiva respectivă pentru toți biocombustibilii, și în anexa VI partea D la directiva respectivă, pentru biogaz. Cu toate acestea, valorile lui E trebuie ajustate prin scăderea raportului dintre valorile cuprinse în coloana 6 (Cf_CO2) și în coloana 3 (LCV). Acest lucru este necesar în temeiul prezentului regulament, care separă calculele WtT și TtW, pentru a evita dubla contabilizare a emisiilor.</w:t>
      </w:r>
    </w:p>
    <w:p>
      <w:pPr>
        <w:rPr>
          <w:noProof/>
        </w:rPr>
      </w:pPr>
      <w:r>
        <w:rPr>
          <w:noProof/>
        </w:rPr>
        <w:t xml:space="preserve">(b) Pentru RFNBO și alți combustibili care nu sunt menționați la litera (a) și care trebuie luați în considerare în scopul menționat la articolul 4 alineatul (1) din Regulamentul (UE) 2023/1805, valorile trebuie calculate fie utilizând metodologia din actul delegat menționat la articolul 28 alineatul (5) din Directiva (UE) 2018/2001, fie, dacă este cazul, o metodologie </w:t>
      </w:r>
      <w:r>
        <w:rPr>
          <w:noProof/>
        </w:rPr>
        <w:lastRenderedPageBreak/>
        <w:t>similară, dacă este definită în temeiul unui act juridic al Uniunii privind piețele interne ale gazelor din surse regenerabile, gazelor naturale și hidrogenului, în temeiul articolului 10 alineatele (1) și (2) din Regulamentul (UE) 2023/1805.</w:t>
      </w:r>
    </w:p>
    <w:p>
      <w:pPr>
        <w:rPr>
          <w:noProof/>
        </w:rPr>
      </w:pPr>
      <w:r>
        <w:rPr>
          <w:noProof/>
        </w:rPr>
        <w:t>În coloana 5 se specifică principalele tipuri/clase de unități de consum al combustibilului, cum ar fi motoare cu ardere internă (ICE) Diesel sau Otto în 2 sau 4 timpi, motoare cu ardere săracă și aprindere prin scânteie (</w:t>
      </w:r>
      <w:r>
        <w:rPr>
          <w:i/>
          <w:noProof/>
        </w:rPr>
        <w:t>Lean-burn spark ignited</w:t>
      </w:r>
      <w:r>
        <w:rPr>
          <w:noProof/>
        </w:rPr>
        <w:t xml:space="preserve"> - LBSI), pile de combustie etc. Coloana 6 conține factorul de emisie C</w:t>
      </w:r>
      <w:r>
        <w:rPr>
          <w:noProof/>
          <w:vertAlign w:val="subscript"/>
        </w:rPr>
        <w:t>f</w:t>
      </w:r>
      <w:r>
        <w:rPr>
          <w:noProof/>
        </w:rPr>
        <w:t xml:space="preserve"> pentru CO</w:t>
      </w:r>
      <w:r>
        <w:rPr>
          <w:noProof/>
          <w:vertAlign w:val="subscript"/>
        </w:rPr>
        <w:t>2</w:t>
      </w:r>
      <w:r>
        <w:rPr>
          <w:noProof/>
        </w:rPr>
        <w:t xml:space="preserve"> în [gCO</w:t>
      </w:r>
      <w:r>
        <w:rPr>
          <w:noProof/>
          <w:vertAlign w:val="subscript"/>
        </w:rPr>
        <w:t>2</w:t>
      </w:r>
      <w:r>
        <w:rPr>
          <w:noProof/>
        </w:rPr>
        <w:t xml:space="preserve">/gfuel]. </w:t>
      </w:r>
    </w:p>
    <w:p>
      <w:pPr>
        <w:rPr>
          <w:noProof/>
        </w:rPr>
      </w:pPr>
      <w:r>
        <w:rPr>
          <w:noProof/>
        </w:rPr>
        <w:t>Coloana 7 conține factorul de emisie C</w:t>
      </w:r>
      <w:r>
        <w:rPr>
          <w:noProof/>
          <w:vertAlign w:val="subscript"/>
        </w:rPr>
        <w:t>f</w:t>
      </w:r>
      <w:r>
        <w:rPr>
          <w:noProof/>
        </w:rPr>
        <w:t xml:space="preserve"> pentru metan în [gCH</w:t>
      </w:r>
      <w:r>
        <w:rPr>
          <w:noProof/>
          <w:vertAlign w:val="subscript"/>
        </w:rPr>
        <w:t>4</w:t>
      </w:r>
      <w:r>
        <w:rPr>
          <w:noProof/>
        </w:rPr>
        <w:t>/gfuel]. Pentru combustibilii GNL, C</w:t>
      </w:r>
      <w:r>
        <w:rPr>
          <w:noProof/>
          <w:vertAlign w:val="subscript"/>
        </w:rPr>
        <w:t>f</w:t>
      </w:r>
      <w:r>
        <w:rPr>
          <w:noProof/>
        </w:rPr>
        <w:t> pentru metan este stabilit la valoarea zero.</w:t>
      </w:r>
    </w:p>
    <w:p>
      <w:pPr>
        <w:rPr>
          <w:noProof/>
        </w:rPr>
      </w:pPr>
      <w:r>
        <w:rPr>
          <w:noProof/>
        </w:rPr>
        <w:t>Coloana 8 include factorul de emisie C</w:t>
      </w:r>
      <w:r>
        <w:rPr>
          <w:noProof/>
          <w:vertAlign w:val="subscript"/>
        </w:rPr>
        <w:t>f</w:t>
      </w:r>
      <w:r>
        <w:rPr>
          <w:noProof/>
        </w:rPr>
        <w:t xml:space="preserve"> pentru protoxid de azot în [gN</w:t>
      </w:r>
      <w:r>
        <w:rPr>
          <w:noProof/>
          <w:vertAlign w:val="subscript"/>
        </w:rPr>
        <w:t>2</w:t>
      </w:r>
      <w:r>
        <w:rPr>
          <w:noProof/>
        </w:rPr>
        <w:t>O/gfuel].</w:t>
      </w:r>
    </w:p>
    <w:p>
      <w:pPr>
        <w:rPr>
          <w:noProof/>
        </w:rPr>
      </w:pPr>
      <w:r>
        <w:rPr>
          <w:noProof/>
        </w:rPr>
        <w:t>În coloana 9 se specifică partea din combustibil pierdută ca măsură a emisiilor fugitive și generate de efectul de alunecare (C</w:t>
      </w:r>
      <w:r>
        <w:rPr>
          <w:noProof/>
          <w:vertAlign w:val="subscript"/>
        </w:rPr>
        <w:t>alunecare</w:t>
      </w:r>
      <w:r>
        <w:rPr>
          <w:noProof/>
        </w:rPr>
        <w:t>) exprimată sub formă de % din masa combustibilului utilizat de unitatea specifică de consum al combustibilului. Pentru combustibili precum GNL pentru care există emisii fugitive și generate de efectul de alunecare, cantitatea de emisii fugitive și generate de efectul de alunecare, astfel cum este prezentată în tabel, este exprimată sub formă de % din masa combustibilului utilizat (coloana 9). Valorile pentru C</w:t>
      </w:r>
      <w:r>
        <w:rPr>
          <w:noProof/>
          <w:vertAlign w:val="subscript"/>
        </w:rPr>
        <w:t>alunecare</w:t>
      </w:r>
      <w:r>
        <w:rPr>
          <w:noProof/>
        </w:rPr>
        <w:t xml:space="preserve"> din tabel se calculează la 50 % din sarcina maximă a motorului.”;</w:t>
      </w:r>
    </w:p>
    <w:p>
      <w:pPr>
        <w:pStyle w:val="Point0number"/>
        <w:rPr>
          <w:noProof/>
        </w:rPr>
      </w:pPr>
      <w:r>
        <w:rPr>
          <w:noProof/>
        </w:rPr>
        <w:t xml:space="preserve">partea AA se elimină; </w:t>
      </w:r>
    </w:p>
    <w:p>
      <w:pPr>
        <w:pStyle w:val="Point0number"/>
        <w:rPr>
          <w:noProof/>
        </w:rPr>
      </w:pPr>
      <w:r>
        <w:rPr>
          <w:noProof/>
        </w:rPr>
        <w:t xml:space="preserve">partea B se modifică după cum urmează: </w:t>
      </w:r>
    </w:p>
    <w:p>
      <w:pPr>
        <w:pStyle w:val="Point2letter"/>
        <w:rPr>
          <w:noProof/>
        </w:rPr>
      </w:pPr>
      <w:r>
        <w:rPr>
          <w:noProof/>
        </w:rPr>
        <w:t xml:space="preserve">titlul părții B se înlocuiește cu următorul text: </w:t>
      </w:r>
    </w:p>
    <w:p>
      <w:pPr>
        <w:rPr>
          <w:noProof/>
        </w:rPr>
      </w:pPr>
      <w:r>
        <w:rPr>
          <w:b/>
          <w:i/>
          <w:noProof/>
        </w:rPr>
        <w:t>„B. METODE DE MONITORIZARE PENTRU DETERMINAREA EMISIILOR DE GAZE CU EFECT DE SERĂ ȘI A ENERGIEI UTILIZATE”;</w:t>
      </w:r>
    </w:p>
    <w:p>
      <w:pPr>
        <w:pStyle w:val="Point2letter"/>
        <w:rPr>
          <w:noProof/>
        </w:rPr>
      </w:pPr>
      <w:r>
        <w:rPr>
          <w:noProof/>
        </w:rPr>
        <w:t xml:space="preserve">prima teză se înlocuiește cu următorul text: </w:t>
      </w:r>
    </w:p>
    <w:p>
      <w:pPr>
        <w:rPr>
          <w:noProof/>
        </w:rPr>
      </w:pPr>
      <w:r>
        <w:rPr>
          <w:noProof/>
        </w:rPr>
        <w:t>„În planul de monitorizare, compania indică metoda de monitorizare utilizată pentru determinarea emisiilor de gaze cu efect de seră și a energiei utilizate pentru fiecare navă aflată sub responsabilitatea sa și se asigură că, după ce a fost aleasă o metodă, aceasta este aplicată în mod consecvent.”;</w:t>
      </w:r>
    </w:p>
    <w:p>
      <w:pPr>
        <w:pStyle w:val="Point2letter"/>
        <w:rPr>
          <w:noProof/>
        </w:rPr>
      </w:pPr>
      <w:r>
        <w:rPr>
          <w:noProof/>
        </w:rPr>
        <w:t xml:space="preserve">a treia teză se înlocuiește cu următorul text: </w:t>
      </w:r>
    </w:p>
    <w:p>
      <w:pPr>
        <w:rPr>
          <w:noProof/>
        </w:rPr>
      </w:pPr>
      <w:r>
        <w:rPr>
          <w:noProof/>
        </w:rPr>
        <w:t>„Conform abordării bazate pe calcul (metodele A, B și C), emisiile și energia utilizată se calculează utilizând formulele prevăzute în partea A. În acest scop, consumul real de combustibil pentru fiecare călătorie se determină utilizând oricare dintre metodele A, B sau C descrise mai jos și aplicate în scopul realizării calculului. Sursele de incertitudine și nivelurile de incertitudine asociate se iau în considerare la selectarea oricăreia dintre metodele A, B sau C.”;</w:t>
      </w:r>
    </w:p>
    <w:p>
      <w:pPr>
        <w:pStyle w:val="Point2letter"/>
        <w:rPr>
          <w:noProof/>
        </w:rPr>
      </w:pPr>
      <w:r>
        <w:rPr>
          <w:noProof/>
        </w:rPr>
        <w:t xml:space="preserve">la punctul 3, prima teză se înlocuiește cu următorul text: </w:t>
      </w:r>
    </w:p>
    <w:p>
      <w:pPr>
        <w:rPr>
          <w:noProof/>
        </w:rPr>
      </w:pPr>
      <w:r>
        <w:rPr>
          <w:noProof/>
        </w:rPr>
        <w:t xml:space="preserve">„Această metodă se bazează pe debitele de combustibil măsurate la bord. Datele de la toate debitmetrele legate la sursele de emisii de gaze cu efect de seră relevante și consumatorii de combustibil relevanți sunt combinate pentru a determina consumul de combustibil total într-o anumită perioadă.”. </w:t>
      </w:r>
    </w:p>
    <w:sectPr>
      <w:headerReference w:type="even" r:id="rId16"/>
      <w:footerReference w:type="even" r:id="rId17"/>
      <w:footerReference w:type="default" r:id="rId18"/>
      <w:headerReference w:type="first" r:id="rId19"/>
      <w:footerReference w:type="first" r:id="rId20"/>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EUAlbertina">
    <w:altName w:val="Cambria"/>
    <w:charset w:val="00"/>
    <w:family w:val="roman"/>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MS PMincho">
    <w:charset w:val="80"/>
    <w:family w:val="roman"/>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E</w:t>
      </w:r>
      <w:r>
        <w:rPr>
          <w:vertAlign w:val="subscript"/>
        </w:rPr>
        <w:t>u</w:t>
      </w:r>
      <w:r>
        <w:t xml:space="preserve"> identifică emisiile provenite din utilizarea combustibililor, astfel cum sunt definite în Directiva (UE) 2018/2001.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104E2C"/>
    <w:multiLevelType w:val="hybridMultilevel"/>
    <w:tmpl w:val="C5E20E26"/>
    <w:lvl w:ilvl="0" w:tplc="C22CB030">
      <w:start w:val="1"/>
      <w:numFmt w:val="lowerRoman"/>
      <w:pStyle w:val="Considrant1"/>
      <w:lvlText w:val="(%1)"/>
      <w:lvlJc w:val="left"/>
      <w:pPr>
        <w:ind w:left="1196" w:hanging="720"/>
      </w:pPr>
      <w:rPr>
        <w:rFonts w:hint="default"/>
      </w:rPr>
    </w:lvl>
    <w:lvl w:ilvl="1" w:tplc="18090019" w:tentative="1">
      <w:start w:val="1"/>
      <w:numFmt w:val="lowerLetter"/>
      <w:lvlText w:val="%2."/>
      <w:lvlJc w:val="left"/>
      <w:pPr>
        <w:ind w:left="1556" w:hanging="360"/>
      </w:pPr>
    </w:lvl>
    <w:lvl w:ilvl="2" w:tplc="1809001B" w:tentative="1">
      <w:start w:val="1"/>
      <w:numFmt w:val="lowerRoman"/>
      <w:lvlText w:val="%3."/>
      <w:lvlJc w:val="right"/>
      <w:pPr>
        <w:ind w:left="2276" w:hanging="180"/>
      </w:pPr>
    </w:lvl>
    <w:lvl w:ilvl="3" w:tplc="1809000F" w:tentative="1">
      <w:start w:val="1"/>
      <w:numFmt w:val="decimal"/>
      <w:lvlText w:val="%4."/>
      <w:lvlJc w:val="left"/>
      <w:pPr>
        <w:ind w:left="2996" w:hanging="360"/>
      </w:pPr>
    </w:lvl>
    <w:lvl w:ilvl="4" w:tplc="18090019" w:tentative="1">
      <w:start w:val="1"/>
      <w:numFmt w:val="lowerLetter"/>
      <w:lvlText w:val="%5."/>
      <w:lvlJc w:val="left"/>
      <w:pPr>
        <w:ind w:left="3716" w:hanging="360"/>
      </w:pPr>
    </w:lvl>
    <w:lvl w:ilvl="5" w:tplc="1809001B" w:tentative="1">
      <w:start w:val="1"/>
      <w:numFmt w:val="lowerRoman"/>
      <w:lvlText w:val="%6."/>
      <w:lvlJc w:val="right"/>
      <w:pPr>
        <w:ind w:left="4436" w:hanging="180"/>
      </w:pPr>
    </w:lvl>
    <w:lvl w:ilvl="6" w:tplc="1809000F" w:tentative="1">
      <w:start w:val="1"/>
      <w:numFmt w:val="decimal"/>
      <w:lvlText w:val="%7."/>
      <w:lvlJc w:val="left"/>
      <w:pPr>
        <w:ind w:left="5156" w:hanging="360"/>
      </w:pPr>
    </w:lvl>
    <w:lvl w:ilvl="7" w:tplc="18090019" w:tentative="1">
      <w:start w:val="1"/>
      <w:numFmt w:val="lowerLetter"/>
      <w:lvlText w:val="%8."/>
      <w:lvlJc w:val="left"/>
      <w:pPr>
        <w:ind w:left="5876" w:hanging="360"/>
      </w:pPr>
    </w:lvl>
    <w:lvl w:ilvl="8" w:tplc="1809001B" w:tentative="1">
      <w:start w:val="1"/>
      <w:numFmt w:val="lowerRoman"/>
      <w:lvlText w:val="%9."/>
      <w:lvlJc w:val="right"/>
      <w:pPr>
        <w:ind w:left="6596" w:hanging="180"/>
      </w:pPr>
    </w:lvl>
  </w:abstractNum>
  <w:abstractNum w:abstractNumId="17"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8"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9"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1"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5"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8"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0"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1"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1"/>
  </w:num>
  <w:num w:numId="3">
    <w:abstractNumId w:val="8"/>
  </w:num>
  <w:num w:numId="4">
    <w:abstractNumId w:val="18"/>
  </w:num>
  <w:num w:numId="5">
    <w:abstractNumId w:val="17"/>
  </w:num>
  <w:num w:numId="6">
    <w:abstractNumId w:val="28"/>
  </w:num>
  <w:num w:numId="7">
    <w:abstractNumId w:val="25"/>
  </w:num>
  <w:num w:numId="8">
    <w:abstractNumId w:val="29"/>
  </w:num>
  <w:num w:numId="9">
    <w:abstractNumId w:val="30"/>
  </w:num>
  <w:num w:numId="10">
    <w:abstractNumId w:val="1"/>
  </w:num>
  <w:num w:numId="11">
    <w:abstractNumId w:val="10"/>
  </w:num>
  <w:num w:numId="12">
    <w:abstractNumId w:val="2"/>
  </w:num>
  <w:num w:numId="13">
    <w:abstractNumId w:val="11"/>
  </w:num>
  <w:num w:numId="14">
    <w:abstractNumId w:val="9"/>
  </w:num>
  <w:num w:numId="15">
    <w:abstractNumId w:val="19"/>
  </w:num>
  <w:num w:numId="16">
    <w:abstractNumId w:val="7"/>
  </w:num>
  <w:num w:numId="17">
    <w:abstractNumId w:val="16"/>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lvlOverride w:ilvl="0">
      <w:startOverride w:val="1"/>
    </w:lvlOverride>
  </w:num>
  <w:num w:numId="20">
    <w:abstractNumId w:val="24"/>
  </w:num>
  <w:num w:numId="21">
    <w:abstractNumId w:val="12"/>
  </w:num>
  <w:num w:numId="22">
    <w:abstractNumId w:val="27"/>
  </w:num>
  <w:num w:numId="23">
    <w:abstractNumId w:val="6"/>
  </w:num>
  <w:num w:numId="24">
    <w:abstractNumId w:val="13"/>
  </w:num>
  <w:num w:numId="25">
    <w:abstractNumId w:val="14"/>
  </w:num>
  <w:num w:numId="26">
    <w:abstractNumId w:val="4"/>
  </w:num>
  <w:num w:numId="27">
    <w:abstractNumId w:val="26"/>
  </w:num>
  <w:num w:numId="28">
    <w:abstractNumId w:val="3"/>
  </w:num>
  <w:num w:numId="29">
    <w:abstractNumId w:val="15"/>
  </w:num>
  <w:num w:numId="30">
    <w:abstractNumId w:val="22"/>
  </w:num>
  <w:num w:numId="31">
    <w:abstractNumId w:val="23"/>
  </w:num>
  <w:num w:numId="32">
    <w:abstractNumId w:val="5"/>
  </w:num>
  <w:num w:numId="33">
    <w:abstractNumId w:val="20"/>
  </w:num>
  <w:num w:numId="34">
    <w:abstractNumId w:val="31"/>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removePersonalInformation/>
  <w:removeDateAndTime/>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R_RefLast" w:val="0"/>
    <w:docVar w:name="DQCDateTime" w:val="2026-09-08 15:07:4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la"/>
    <w:docVar w:name="LW_ACCOMPAGNANT.CP" w:val="la"/>
    <w:docVar w:name="LW_ANNEX_NBR_FIRST" w:val="1"/>
    <w:docVar w:name="LW_ANNEX_NBR_LAST" w:val="1"/>
    <w:docVar w:name="LW_ANNEX_UNIQUE" w:val="1"/>
    <w:docVar w:name="LW_CORRIGENDUM" w:val="&lt;UNUSED&gt;"/>
    <w:docVar w:name="LW_COVERPAGE_EXISTS" w:val="True"/>
    <w:docVar w:name="LW_COVERPAGE_GUID" w:val="271913BF-F22E-4E19-99E0-92E6AD792585"/>
    <w:docVar w:name="LW_COVERPAGE_TYPE" w:val="1"/>
    <w:docVar w:name="LW_CreatedUtc" w:val="2026-07-07T11:54:17.5509419Z"/>
    <w:docVar w:name="LW_CROSSREFERENCE" w:val="{SEC(2026) 616 final} - {SWD(2026) 616 final} - {SWD(2026) 617 final} - {SWD(2026) 618 final}"/>
    <w:docVar w:name="LW_DocType" w:val="ANNEX"/>
    <w:docVar w:name="LW_EMISSION" w:val="17.7.2026"/>
    <w:docVar w:name="LW_EMISSION_ISODATE" w:val="2026-07-17"/>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lt;FMT:Bold&gt;de modificare a Regulamentelor (UE) 2015/757 \u537?i (UE) 2023/1805 pentru a simplifica \u537?i a ra\u539?ionaliza monitorizarea, raportarea \u537?i verificarea \u537?i pentru alinierea la revizuirile schemei UE de comercializare a certificatelor de emisii&lt;/FMT&gt;_x000b__x000d__x000b__x000d__x000d__x000d__x000d__x000d__x000d__x000d__x000d__x000d__x000d__x000b_"/>
    <w:docVar w:name="LW_OBJETACTEPRINCIPAL.CP" w:val="&lt;FMT:Bold&gt;de modificare a Regulamentelor (UE) 2015/757 \u537?i (UE) 2023/1805 pentru a simplifica \u537?i a ra\u539?ionaliza monitorizarea, raportarea \u537?i verificarea \u537?i pentru alinierea la revizuirile schemei UE de comercializare a certificatelor de emisii&lt;/FMT&gt;_x000b__x000d__x000b__x000d__x000d__x000d__x000d__x000d__x000d__x000d__x000d__x000d__x000d__x000b_"/>
    <w:docVar w:name="LW_PART_NBR" w:val="1"/>
    <w:docVar w:name="LW_PART_NBR_TOTAL" w:val="1"/>
    <w:docVar w:name="LW_REF.INST.NEW" w:val="COM"/>
    <w:docVar w:name="LW_REF.INST.NEW_ADOPTED" w:val="final"/>
    <w:docVar w:name="LW_REF.INST.NEW_TEXT" w:val="(2026) 62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u258?"/>
    <w:docVar w:name="LW_TYPE.DOC.CP" w:val="ANEX\u258?"/>
    <w:docVar w:name="LW_TYPEACTEPRINCIPAL" w:val="Propunerea de REGULAMENT AL PARLAMENTULUI EUROPEAN \u536?I AL CONSILIULUI"/>
    <w:docVar w:name="LW_TYPEACTEPRINCIPAL.CP" w:val="Propunerea de REGULAMENT AL PARLAMENTULUI EUROPEAN \u536?I AL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reobjet">
    <w:name w:val="Titre objet"/>
    <w:basedOn w:val="Normal"/>
    <w:next w:val="IntrtEEE"/>
    <w:pPr>
      <w:spacing w:before="360" w:after="360"/>
      <w:jc w:val="center"/>
    </w:pPr>
    <w:rPr>
      <w:b/>
    </w:rPr>
  </w:style>
  <w:style w:type="paragraph" w:customStyle="1" w:styleId="TitreobjetPagedecouverture">
    <w:name w:val="Titre objet (Page de couverture)"/>
    <w:basedOn w:val="Titreobjet"/>
    <w:next w:val="IntrtEEEPagedecouverture"/>
  </w:style>
  <w:style w:type="paragraph" w:styleId="ListBullet4">
    <w:name w:val="List Bullet 4"/>
    <w:basedOn w:val="Normal"/>
    <w:pPr>
      <w:numPr>
        <w:numId w:val="2"/>
      </w:numPr>
      <w:tabs>
        <w:tab w:val="clear" w:pos="1134"/>
        <w:tab w:val="num" w:pos="360"/>
      </w:tabs>
      <w:ind w:left="0" w:firstLine="0"/>
    </w:pPr>
    <w:rPr>
      <w:rFonts w:eastAsia="Times New Roman"/>
      <w:lang w:eastAsia="de-DE"/>
    </w:rPr>
  </w:style>
  <w:style w:type="paragraph" w:styleId="ListNumber">
    <w:name w:val="List Number"/>
    <w:basedOn w:val="Normal"/>
    <w:pPr>
      <w:numPr>
        <w:numId w:val="6"/>
      </w:numPr>
      <w:tabs>
        <w:tab w:val="clear" w:pos="709"/>
      </w:tabs>
      <w:ind w:left="0" w:firstLine="0"/>
    </w:pPr>
    <w:rPr>
      <w:rFonts w:eastAsia="Times New Roman"/>
      <w:lang w:eastAsia="de-DE"/>
    </w:rPr>
  </w:style>
  <w:style w:type="paragraph" w:customStyle="1" w:styleId="ListBullet1">
    <w:name w:val="List Bullet 1"/>
    <w:basedOn w:val="Normal"/>
    <w:pPr>
      <w:numPr>
        <w:numId w:val="1"/>
      </w:numPr>
      <w:tabs>
        <w:tab w:val="clear" w:pos="1134"/>
      </w:tabs>
      <w:ind w:left="0" w:firstLine="0"/>
    </w:pPr>
    <w:rPr>
      <w:rFonts w:eastAsia="Times New Roman"/>
      <w:lang w:eastAsia="de-DE"/>
    </w:rPr>
  </w:style>
  <w:style w:type="paragraph" w:customStyle="1" w:styleId="ListDash">
    <w:name w:val="List Dash"/>
    <w:basedOn w:val="Normal"/>
    <w:pPr>
      <w:numPr>
        <w:numId w:val="3"/>
      </w:numPr>
      <w:tabs>
        <w:tab w:val="clear" w:pos="283"/>
      </w:tabs>
      <w:ind w:left="0" w:firstLine="0"/>
    </w:pPr>
    <w:rPr>
      <w:rFonts w:eastAsia="Times New Roman"/>
      <w:lang w:eastAsia="de-DE"/>
    </w:rPr>
  </w:style>
  <w:style w:type="paragraph" w:customStyle="1" w:styleId="ListDash1">
    <w:name w:val="List Dash 1"/>
    <w:basedOn w:val="Normal"/>
    <w:pPr>
      <w:numPr>
        <w:numId w:val="4"/>
      </w:numPr>
      <w:tabs>
        <w:tab w:val="clear" w:pos="1134"/>
      </w:tabs>
      <w:ind w:left="0" w:firstLine="0"/>
    </w:pPr>
    <w:rPr>
      <w:rFonts w:eastAsia="Times New Roman"/>
      <w:lang w:eastAsia="de-DE"/>
    </w:rPr>
  </w:style>
  <w:style w:type="paragraph" w:customStyle="1" w:styleId="ListDash2">
    <w:name w:val="List Dash 2"/>
    <w:basedOn w:val="Normal"/>
    <w:pPr>
      <w:numPr>
        <w:numId w:val="5"/>
      </w:numPr>
      <w:tabs>
        <w:tab w:val="clear" w:pos="1134"/>
      </w:tabs>
      <w:ind w:left="0" w:firstLine="0"/>
    </w:pPr>
    <w:rPr>
      <w:rFonts w:eastAsia="Times New Roman"/>
      <w:lang w:eastAsia="de-DE"/>
    </w:rPr>
  </w:style>
  <w:style w:type="paragraph" w:customStyle="1" w:styleId="ListNumberLevel2">
    <w:name w:val="List Number (Level 2)"/>
    <w:basedOn w:val="Normal"/>
    <w:pPr>
      <w:numPr>
        <w:ilvl w:val="1"/>
        <w:numId w:val="6"/>
      </w:numPr>
      <w:tabs>
        <w:tab w:val="clear" w:pos="1417"/>
      </w:tabs>
      <w:ind w:left="0" w:firstLine="0"/>
    </w:pPr>
    <w:rPr>
      <w:rFonts w:eastAsia="Times New Roman"/>
      <w:lang w:eastAsia="de-DE"/>
    </w:rPr>
  </w:style>
  <w:style w:type="paragraph" w:customStyle="1" w:styleId="ListNumberLevel3">
    <w:name w:val="List Number (Level 3)"/>
    <w:basedOn w:val="Normal"/>
    <w:pPr>
      <w:numPr>
        <w:ilvl w:val="2"/>
        <w:numId w:val="6"/>
      </w:numPr>
      <w:tabs>
        <w:tab w:val="clear" w:pos="2126"/>
      </w:tabs>
      <w:ind w:left="0" w:firstLine="0"/>
    </w:pPr>
    <w:rPr>
      <w:rFonts w:eastAsia="Times New Roman"/>
      <w:lang w:eastAsia="de-DE"/>
    </w:rPr>
  </w:style>
  <w:style w:type="paragraph" w:customStyle="1" w:styleId="ListNumberLevel4">
    <w:name w:val="List Number (Level 4)"/>
    <w:basedOn w:val="Normal"/>
    <w:pPr>
      <w:numPr>
        <w:ilvl w:val="3"/>
        <w:numId w:val="6"/>
      </w:numPr>
      <w:tabs>
        <w:tab w:val="clear" w:pos="2835"/>
      </w:tabs>
      <w:ind w:left="0" w:firstLine="0"/>
    </w:pPr>
    <w:rPr>
      <w:rFonts w:eastAsia="Times New Roman"/>
      <w:lang w:eastAsia="de-DE"/>
    </w:rPr>
  </w:style>
  <w:style w:type="table" w:styleId="TableGrid">
    <w:name w:val="Table Grid"/>
    <w:basedOn w:val="TableNormal"/>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aliases w:val=" Znak Znak Znak,Znak Znak Znak,toc 2,TOC 21"/>
    <w:uiPriority w:val="99"/>
    <w:qFormat/>
    <w:rPr>
      <w:color w:val="0000FF"/>
      <w:u w:val="single"/>
    </w:rPr>
  </w:style>
  <w:style w:type="paragraph" w:styleId="ListBullet">
    <w:name w:val="List Bullet"/>
    <w:basedOn w:val="Normal"/>
    <w:pPr>
      <w:numPr>
        <w:numId w:val="7"/>
      </w:numPr>
      <w:tabs>
        <w:tab w:val="clear" w:pos="283"/>
      </w:tabs>
      <w:ind w:left="0" w:firstLine="0"/>
    </w:pPr>
    <w:rPr>
      <w:rFonts w:eastAsia="Times New Roman"/>
      <w:lang w:eastAsia="en-GB"/>
    </w:rPr>
  </w:style>
  <w:style w:type="paragraph" w:styleId="ListBullet2">
    <w:name w:val="List Bullet 2"/>
    <w:basedOn w:val="Normal"/>
    <w:pPr>
      <w:numPr>
        <w:numId w:val="8"/>
      </w:numPr>
      <w:tabs>
        <w:tab w:val="clear" w:pos="1134"/>
      </w:tabs>
      <w:ind w:left="0" w:firstLine="0"/>
    </w:pPr>
    <w:rPr>
      <w:rFonts w:eastAsia="Times New Roman"/>
      <w:lang w:eastAsia="en-GB"/>
    </w:rPr>
  </w:style>
  <w:style w:type="paragraph" w:styleId="ListBullet3">
    <w:name w:val="List Bullet 3"/>
    <w:basedOn w:val="Normal"/>
    <w:pPr>
      <w:numPr>
        <w:numId w:val="9"/>
      </w:numPr>
      <w:tabs>
        <w:tab w:val="clear" w:pos="1134"/>
      </w:tabs>
      <w:ind w:left="0" w:firstLine="0"/>
    </w:pPr>
    <w:rPr>
      <w:rFonts w:eastAsia="Times New Roman"/>
      <w:lang w:eastAsia="en-GB"/>
    </w:rPr>
  </w:style>
  <w:style w:type="paragraph" w:styleId="ListNumber2">
    <w:name w:val="List Number 2"/>
    <w:basedOn w:val="Normal"/>
    <w:pPr>
      <w:numPr>
        <w:numId w:val="13"/>
      </w:numPr>
      <w:tabs>
        <w:tab w:val="clear" w:pos="1560"/>
      </w:tabs>
      <w:ind w:left="0" w:firstLine="0"/>
    </w:pPr>
    <w:rPr>
      <w:rFonts w:eastAsia="Times New Roman"/>
      <w:lang w:eastAsia="en-GB"/>
    </w:rPr>
  </w:style>
  <w:style w:type="paragraph" w:styleId="ListNumber3">
    <w:name w:val="List Number 3"/>
    <w:basedOn w:val="Normal"/>
    <w:pPr>
      <w:numPr>
        <w:numId w:val="14"/>
      </w:numPr>
      <w:tabs>
        <w:tab w:val="clear" w:pos="1560"/>
      </w:tabs>
      <w:ind w:left="0" w:firstLine="0"/>
    </w:pPr>
    <w:rPr>
      <w:rFonts w:eastAsia="Times New Roman"/>
      <w:lang w:eastAsia="en-GB"/>
    </w:rPr>
  </w:style>
  <w:style w:type="paragraph" w:styleId="ListNumber4">
    <w:name w:val="List Number 4"/>
    <w:basedOn w:val="Normal"/>
    <w:pPr>
      <w:numPr>
        <w:numId w:val="15"/>
      </w:numPr>
      <w:tabs>
        <w:tab w:val="clear" w:pos="1560"/>
      </w:tabs>
      <w:ind w:left="0" w:firstLine="0"/>
    </w:pPr>
    <w:rPr>
      <w:rFonts w:eastAsia="Times New Roman"/>
      <w:lang w:eastAsia="en-GB"/>
    </w:rPr>
  </w:style>
  <w:style w:type="paragraph" w:customStyle="1" w:styleId="ListDash3">
    <w:name w:val="List Dash 3"/>
    <w:basedOn w:val="Normal"/>
    <w:pPr>
      <w:numPr>
        <w:numId w:val="10"/>
      </w:numPr>
      <w:tabs>
        <w:tab w:val="clear" w:pos="1134"/>
      </w:tabs>
      <w:ind w:left="0" w:firstLine="0"/>
    </w:pPr>
    <w:rPr>
      <w:rFonts w:eastAsia="Times New Roman"/>
      <w:lang w:eastAsia="en-GB"/>
    </w:rPr>
  </w:style>
  <w:style w:type="paragraph" w:customStyle="1" w:styleId="ListDash4">
    <w:name w:val="List Dash 4"/>
    <w:basedOn w:val="Normal"/>
    <w:pPr>
      <w:numPr>
        <w:numId w:val="11"/>
      </w:numPr>
      <w:tabs>
        <w:tab w:val="clear" w:pos="1134"/>
      </w:tabs>
      <w:ind w:left="0" w:firstLine="0"/>
    </w:pPr>
    <w:rPr>
      <w:rFonts w:eastAsia="Times New Roman"/>
      <w:lang w:eastAsia="en-GB"/>
    </w:rPr>
  </w:style>
  <w:style w:type="paragraph" w:customStyle="1" w:styleId="ListNumber1">
    <w:name w:val="List Number 1"/>
    <w:basedOn w:val="Text1"/>
    <w:pPr>
      <w:numPr>
        <w:numId w:val="12"/>
      </w:numPr>
      <w:tabs>
        <w:tab w:val="clear" w:pos="1560"/>
      </w:tabs>
      <w:ind w:left="0" w:firstLine="0"/>
    </w:pPr>
    <w:rPr>
      <w:rFonts w:eastAsia="Times New Roman"/>
      <w:lang w:eastAsia="en-GB"/>
    </w:rPr>
  </w:style>
  <w:style w:type="paragraph" w:customStyle="1" w:styleId="ListNumber1Level2">
    <w:name w:val="List Number 1 (Level 2)"/>
    <w:basedOn w:val="Text1"/>
    <w:pPr>
      <w:numPr>
        <w:ilvl w:val="1"/>
        <w:numId w:val="12"/>
      </w:numPr>
      <w:tabs>
        <w:tab w:val="clear" w:pos="2268"/>
      </w:tabs>
      <w:ind w:left="0" w:firstLine="0"/>
    </w:pPr>
    <w:rPr>
      <w:rFonts w:eastAsia="Times New Roman"/>
      <w:lang w:eastAsia="en-GB"/>
    </w:rPr>
  </w:style>
  <w:style w:type="paragraph" w:customStyle="1" w:styleId="ListNumber2Level2">
    <w:name w:val="List Number 2 (Level 2)"/>
    <w:basedOn w:val="Text2"/>
    <w:pPr>
      <w:numPr>
        <w:ilvl w:val="1"/>
        <w:numId w:val="13"/>
      </w:numPr>
      <w:tabs>
        <w:tab w:val="clear" w:pos="2268"/>
      </w:tabs>
      <w:ind w:left="0" w:firstLine="0"/>
    </w:pPr>
    <w:rPr>
      <w:rFonts w:eastAsia="Times New Roman"/>
      <w:lang w:eastAsia="en-GB"/>
    </w:rPr>
  </w:style>
  <w:style w:type="paragraph" w:customStyle="1" w:styleId="ListNumber3Level2">
    <w:name w:val="List Number 3 (Level 2)"/>
    <w:basedOn w:val="Text3"/>
    <w:pPr>
      <w:numPr>
        <w:ilvl w:val="1"/>
        <w:numId w:val="14"/>
      </w:numPr>
      <w:tabs>
        <w:tab w:val="clear" w:pos="2268"/>
      </w:tabs>
      <w:ind w:left="0" w:firstLine="0"/>
    </w:pPr>
    <w:rPr>
      <w:rFonts w:eastAsia="Times New Roman"/>
      <w:lang w:eastAsia="en-GB"/>
    </w:rPr>
  </w:style>
  <w:style w:type="paragraph" w:customStyle="1" w:styleId="ListNumber4Level2">
    <w:name w:val="List Number 4 (Level 2)"/>
    <w:basedOn w:val="Text4"/>
    <w:pPr>
      <w:numPr>
        <w:ilvl w:val="1"/>
        <w:numId w:val="15"/>
      </w:numPr>
      <w:tabs>
        <w:tab w:val="clear" w:pos="2268"/>
      </w:tabs>
      <w:ind w:left="0" w:firstLine="0"/>
    </w:pPr>
    <w:rPr>
      <w:rFonts w:eastAsia="Times New Roman"/>
      <w:lang w:eastAsia="en-GB"/>
    </w:rPr>
  </w:style>
  <w:style w:type="paragraph" w:customStyle="1" w:styleId="ListNumber1Level3">
    <w:name w:val="List Number 1 (Level 3)"/>
    <w:basedOn w:val="Text1"/>
    <w:pPr>
      <w:numPr>
        <w:ilvl w:val="2"/>
        <w:numId w:val="12"/>
      </w:numPr>
      <w:tabs>
        <w:tab w:val="clear" w:pos="2977"/>
      </w:tabs>
      <w:ind w:left="0" w:firstLine="0"/>
    </w:pPr>
    <w:rPr>
      <w:rFonts w:eastAsia="Times New Roman"/>
      <w:lang w:eastAsia="en-GB"/>
    </w:rPr>
  </w:style>
  <w:style w:type="paragraph" w:customStyle="1" w:styleId="ListNumber2Level3">
    <w:name w:val="List Number 2 (Level 3)"/>
    <w:basedOn w:val="Text2"/>
    <w:pPr>
      <w:numPr>
        <w:ilvl w:val="2"/>
        <w:numId w:val="13"/>
      </w:numPr>
      <w:tabs>
        <w:tab w:val="clear" w:pos="2977"/>
      </w:tabs>
      <w:ind w:left="0" w:firstLine="0"/>
    </w:pPr>
    <w:rPr>
      <w:rFonts w:eastAsia="Times New Roman"/>
      <w:lang w:eastAsia="en-GB"/>
    </w:rPr>
  </w:style>
  <w:style w:type="paragraph" w:customStyle="1" w:styleId="ListNumber3Level3">
    <w:name w:val="List Number 3 (Level 3)"/>
    <w:basedOn w:val="Text3"/>
    <w:pPr>
      <w:numPr>
        <w:ilvl w:val="2"/>
        <w:numId w:val="14"/>
      </w:numPr>
      <w:tabs>
        <w:tab w:val="clear" w:pos="2977"/>
      </w:tabs>
      <w:ind w:left="0" w:firstLine="0"/>
    </w:pPr>
    <w:rPr>
      <w:rFonts w:eastAsia="Times New Roman"/>
      <w:lang w:eastAsia="en-GB"/>
    </w:rPr>
  </w:style>
  <w:style w:type="paragraph" w:customStyle="1" w:styleId="ListNumber4Level3">
    <w:name w:val="List Number 4 (Level 3)"/>
    <w:basedOn w:val="Text4"/>
    <w:pPr>
      <w:numPr>
        <w:ilvl w:val="2"/>
        <w:numId w:val="15"/>
      </w:numPr>
      <w:tabs>
        <w:tab w:val="clear" w:pos="2977"/>
      </w:tabs>
      <w:ind w:left="0" w:firstLine="0"/>
    </w:pPr>
    <w:rPr>
      <w:rFonts w:eastAsia="Times New Roman"/>
      <w:lang w:eastAsia="en-GB"/>
    </w:rPr>
  </w:style>
  <w:style w:type="paragraph" w:customStyle="1" w:styleId="ListNumber1Level4">
    <w:name w:val="List Number 1 (Level 4)"/>
    <w:basedOn w:val="Text1"/>
    <w:pPr>
      <w:numPr>
        <w:ilvl w:val="3"/>
        <w:numId w:val="12"/>
      </w:numPr>
      <w:tabs>
        <w:tab w:val="clear" w:pos="3686"/>
      </w:tabs>
      <w:ind w:left="0" w:firstLine="0"/>
    </w:pPr>
    <w:rPr>
      <w:rFonts w:eastAsia="Times New Roman"/>
      <w:lang w:eastAsia="en-GB"/>
    </w:rPr>
  </w:style>
  <w:style w:type="paragraph" w:customStyle="1" w:styleId="ListNumber2Level4">
    <w:name w:val="List Number 2 (Level 4)"/>
    <w:basedOn w:val="Text2"/>
    <w:pPr>
      <w:numPr>
        <w:ilvl w:val="3"/>
        <w:numId w:val="13"/>
      </w:numPr>
      <w:tabs>
        <w:tab w:val="clear" w:pos="3686"/>
      </w:tabs>
      <w:ind w:left="0" w:firstLine="0"/>
    </w:pPr>
    <w:rPr>
      <w:rFonts w:eastAsia="Times New Roman"/>
      <w:lang w:eastAsia="en-GB"/>
    </w:rPr>
  </w:style>
  <w:style w:type="paragraph" w:customStyle="1" w:styleId="ListNumber3Level4">
    <w:name w:val="List Number 3 (Level 4)"/>
    <w:basedOn w:val="Text3"/>
    <w:pPr>
      <w:numPr>
        <w:ilvl w:val="3"/>
        <w:numId w:val="14"/>
      </w:numPr>
      <w:tabs>
        <w:tab w:val="clear" w:pos="3686"/>
      </w:tabs>
      <w:ind w:left="0" w:firstLine="0"/>
    </w:pPr>
    <w:rPr>
      <w:rFonts w:eastAsia="Times New Roman"/>
      <w:lang w:eastAsia="en-GB"/>
    </w:rPr>
  </w:style>
  <w:style w:type="paragraph" w:customStyle="1" w:styleId="ListNumber4Level4">
    <w:name w:val="List Number 4 (Level 4)"/>
    <w:basedOn w:val="Text4"/>
    <w:pPr>
      <w:numPr>
        <w:ilvl w:val="3"/>
        <w:numId w:val="15"/>
      </w:numPr>
      <w:tabs>
        <w:tab w:val="clear" w:pos="3686"/>
      </w:tabs>
      <w:ind w:left="0" w:firstLine="0"/>
    </w:pPr>
    <w:rPr>
      <w:rFonts w:eastAsia="Times New Roman"/>
      <w:lang w:eastAsia="en-GB"/>
    </w:rPr>
  </w:style>
  <w:style w:type="paragraph" w:customStyle="1" w:styleId="Annexetitreacte">
    <w:name w:val="Annexe titre (acte)"/>
    <w:basedOn w:val="Normal"/>
    <w:next w:val="Normal"/>
    <w:pPr>
      <w:jc w:val="center"/>
    </w:pPr>
    <w:rPr>
      <w:rFonts w:eastAsia="Times New Roman"/>
      <w:b/>
      <w:u w:val="single"/>
      <w:lang w:eastAsia="en-GB"/>
    </w:rPr>
  </w:style>
  <w:style w:type="paragraph" w:customStyle="1" w:styleId="Annexetitreexposglobal">
    <w:name w:val="Annexe titre (exposé global)"/>
    <w:basedOn w:val="Normal"/>
    <w:next w:val="Normal"/>
    <w:pPr>
      <w:jc w:val="center"/>
    </w:pPr>
    <w:rPr>
      <w:rFonts w:eastAsia="Times New Roman"/>
      <w:b/>
      <w:u w:val="single"/>
      <w:lang w:eastAsia="en-GB"/>
    </w:rPr>
  </w:style>
  <w:style w:type="paragraph" w:customStyle="1" w:styleId="Annexetitrefichefinacte">
    <w:name w:val="Annexe titre (fiche fin. acte)"/>
    <w:basedOn w:val="Normal"/>
    <w:next w:val="Normal"/>
    <w:pPr>
      <w:jc w:val="center"/>
    </w:pPr>
    <w:rPr>
      <w:rFonts w:eastAsia="Times New Roman"/>
      <w:b/>
      <w:u w:val="single"/>
      <w:lang w:eastAsia="en-GB"/>
    </w:rPr>
  </w:style>
  <w:style w:type="paragraph" w:customStyle="1" w:styleId="Annexetitrefichefinglobale">
    <w:name w:val="Annexe titre (fiche fin. globale)"/>
    <w:basedOn w:val="Normal"/>
    <w:next w:val="Normal"/>
    <w:pPr>
      <w:jc w:val="center"/>
    </w:pPr>
    <w:rPr>
      <w:rFonts w:eastAsia="Times New Roman"/>
      <w:b/>
      <w:u w:val="single"/>
      <w:lang w:eastAsia="en-GB"/>
    </w:rPr>
  </w:style>
  <w:style w:type="paragraph" w:customStyle="1" w:styleId="Annexetitreglobale">
    <w:name w:val="Annexe titre (globale)"/>
    <w:basedOn w:val="Normal"/>
    <w:next w:val="Normal"/>
    <w:pPr>
      <w:jc w:val="center"/>
    </w:pPr>
    <w:rPr>
      <w:rFonts w:eastAsia="Times New Roman"/>
      <w:b/>
      <w:u w:val="single"/>
      <w:lang w:eastAsia="en-GB"/>
    </w:rPr>
  </w:style>
  <w:style w:type="paragraph" w:customStyle="1" w:styleId="Exposdesmotifstitreglobal">
    <w:name w:val="Exposé des motifs titre (global)"/>
    <w:basedOn w:val="Normal"/>
    <w:next w:val="Normal"/>
    <w:pPr>
      <w:jc w:val="center"/>
    </w:pPr>
    <w:rPr>
      <w:rFonts w:eastAsia="Times New Roman"/>
      <w:b/>
      <w:u w:val="single"/>
      <w:lang w:eastAsia="en-GB"/>
    </w:rPr>
  </w:style>
  <w:style w:type="paragraph" w:customStyle="1" w:styleId="Langueoriginale">
    <w:name w:val="Langue originale"/>
    <w:basedOn w:val="Normal"/>
    <w:pPr>
      <w:spacing w:before="360"/>
      <w:jc w:val="center"/>
    </w:pPr>
    <w:rPr>
      <w:rFonts w:eastAsia="Times New Roman"/>
      <w:caps/>
      <w:lang w:eastAsia="en-GB"/>
    </w:rPr>
  </w:style>
  <w:style w:type="paragraph" w:customStyle="1" w:styleId="Phrasefinale">
    <w:name w:val="Phrase finale"/>
    <w:basedOn w:val="Normal"/>
    <w:next w:val="Normal"/>
    <w:pPr>
      <w:spacing w:before="360" w:after="0"/>
      <w:jc w:val="center"/>
    </w:pPr>
    <w:rPr>
      <w:rFonts w:eastAsia="Times New Roman"/>
      <w:lang w:eastAsia="en-GB"/>
    </w:rPr>
  </w:style>
  <w:style w:type="paragraph" w:customStyle="1" w:styleId="Prliminairetitre">
    <w:name w:val="Préliminaire titre"/>
    <w:basedOn w:val="Normal"/>
    <w:next w:val="Normal"/>
    <w:pPr>
      <w:spacing w:before="360" w:after="360"/>
      <w:jc w:val="center"/>
    </w:pPr>
    <w:rPr>
      <w:rFonts w:eastAsia="Times New Roman"/>
      <w:b/>
      <w:lang w:eastAsia="en-GB"/>
    </w:rPr>
  </w:style>
  <w:style w:type="paragraph" w:customStyle="1" w:styleId="Prliminairetype">
    <w:name w:val="Préliminaire type"/>
    <w:basedOn w:val="Normal"/>
    <w:next w:val="Normal"/>
    <w:pPr>
      <w:spacing w:before="360" w:after="0"/>
      <w:jc w:val="center"/>
    </w:pPr>
    <w:rPr>
      <w:rFonts w:eastAsia="Times New Roman"/>
      <w:b/>
      <w:lang w:eastAsia="en-GB"/>
    </w:rPr>
  </w:style>
  <w:style w:type="paragraph" w:customStyle="1" w:styleId="Rfrenceinstitutionelle">
    <w:name w:val="Référence institutionelle"/>
    <w:basedOn w:val="Normal"/>
    <w:next w:val="Statut"/>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pPr>
      <w:spacing w:before="0" w:after="0"/>
      <w:ind w:left="5103"/>
      <w:jc w:val="left"/>
    </w:pPr>
    <w:rPr>
      <w:rFonts w:eastAsia="Times New Roman"/>
      <w:lang w:eastAsia="en-GB"/>
    </w:rPr>
  </w:style>
  <w:style w:type="paragraph" w:customStyle="1" w:styleId="Sous-titreobjetprliminaire">
    <w:name w:val="Sous-titre objet (préliminaire)"/>
    <w:basedOn w:val="Normal"/>
    <w:pPr>
      <w:spacing w:before="0" w:after="0"/>
      <w:jc w:val="center"/>
    </w:pPr>
    <w:rPr>
      <w:rFonts w:eastAsia="Times New Roman"/>
      <w:b/>
      <w:lang w:eastAsia="en-GB"/>
    </w:rPr>
  </w:style>
  <w:style w:type="paragraph" w:customStyle="1" w:styleId="Statutprliminaire">
    <w:name w:val="Statut (préliminaire)"/>
    <w:basedOn w:val="Normal"/>
    <w:next w:val="Normal"/>
    <w:pPr>
      <w:spacing w:before="360" w:after="0"/>
      <w:jc w:val="center"/>
    </w:pPr>
    <w:rPr>
      <w:rFonts w:eastAsia="Times New Roman"/>
      <w:lang w:eastAsia="en-GB"/>
    </w:rPr>
  </w:style>
  <w:style w:type="paragraph" w:customStyle="1" w:styleId="Titreobjetprliminaire">
    <w:name w:val="Titre objet (préliminaire)"/>
    <w:basedOn w:val="Normal"/>
    <w:next w:val="Normal"/>
    <w:pPr>
      <w:spacing w:before="360" w:after="360"/>
      <w:jc w:val="center"/>
    </w:pPr>
    <w:rPr>
      <w:rFonts w:eastAsia="Times New Roman"/>
      <w:b/>
      <w:lang w:eastAsia="en-GB"/>
    </w:rPr>
  </w:style>
  <w:style w:type="paragraph" w:customStyle="1" w:styleId="Typedudocumentprliminaire">
    <w:name w:val="Type du document (préliminaire)"/>
    <w:basedOn w:val="Normal"/>
    <w:next w:val="Normal"/>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pPr>
      <w:jc w:val="center"/>
    </w:pPr>
    <w:rPr>
      <w:rFonts w:eastAsia="Times New Roman"/>
      <w:b/>
      <w:u w:val="single"/>
      <w:lang w:eastAsia="en-GB"/>
    </w:rPr>
  </w:style>
  <w:style w:type="paragraph" w:customStyle="1" w:styleId="Fichefinancirestandardtitreacte">
    <w:name w:val="Fiche financière (standard) titre (acte)"/>
    <w:basedOn w:val="Normal"/>
    <w:next w:val="Normal"/>
    <w:pPr>
      <w:jc w:val="center"/>
    </w:pPr>
    <w:rPr>
      <w:rFonts w:eastAsia="Times New Roman"/>
      <w:b/>
      <w:u w:val="single"/>
      <w:lang w:eastAsia="en-GB"/>
    </w:rPr>
  </w:style>
  <w:style w:type="paragraph" w:customStyle="1" w:styleId="Fichefinanciretravailtitre">
    <w:name w:val="Fiche financière (travail) titre"/>
    <w:basedOn w:val="Normal"/>
    <w:next w:val="Normal"/>
    <w:pPr>
      <w:jc w:val="center"/>
    </w:pPr>
    <w:rPr>
      <w:rFonts w:eastAsia="Times New Roman"/>
      <w:b/>
      <w:u w:val="single"/>
      <w:lang w:eastAsia="en-GB"/>
    </w:rPr>
  </w:style>
  <w:style w:type="paragraph" w:customStyle="1" w:styleId="Fichefinanciretravailtitreacte">
    <w:name w:val="Fiche financière (travail) titre (acte)"/>
    <w:basedOn w:val="Normal"/>
    <w:next w:val="Normal"/>
    <w:pPr>
      <w:jc w:val="center"/>
    </w:pPr>
    <w:rPr>
      <w:rFonts w:eastAsia="Times New Roman"/>
      <w:b/>
      <w:u w:val="single"/>
      <w:lang w:eastAsia="en-GB"/>
    </w:rPr>
  </w:style>
  <w:style w:type="paragraph" w:customStyle="1" w:styleId="Fichefinancireattributiontitre">
    <w:name w:val="Fiche financière (attribution) titre"/>
    <w:basedOn w:val="Normal"/>
    <w:next w:val="Normal"/>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pPr>
      <w:jc w:val="center"/>
    </w:pPr>
    <w:rPr>
      <w:rFonts w:eastAsia="Times New Roman"/>
      <w:b/>
      <w:u w:val="single"/>
      <w:lang w:eastAsia="en-GB"/>
    </w:rPr>
  </w:style>
  <w:style w:type="character" w:styleId="CommentReference">
    <w:name w:val="annotation reference"/>
    <w:uiPriority w:val="99"/>
    <w:rPr>
      <w:rFonts w:cs="Times New Roman"/>
      <w:sz w:val="16"/>
      <w:szCs w:val="16"/>
    </w:rPr>
  </w:style>
  <w:style w:type="paragraph" w:styleId="CommentText">
    <w:name w:val="annotation text"/>
    <w:aliases w:val="Text poznámky"/>
    <w:basedOn w:val="Normal"/>
    <w:link w:val="CommentTextChar"/>
    <w:uiPriority w:val="99"/>
    <w:rPr>
      <w:rFonts w:eastAsia="Times New Roman"/>
      <w:sz w:val="20"/>
      <w:szCs w:val="20"/>
      <w:lang w:eastAsia="en-GB"/>
    </w:rPr>
  </w:style>
  <w:style w:type="character" w:customStyle="1" w:styleId="CommentTextChar">
    <w:name w:val="Comment Text Char"/>
    <w:aliases w:val="Text poznámky Char"/>
    <w:basedOn w:val="DefaultParagraphFont"/>
    <w:link w:val="CommentText"/>
    <w:uiPriority w:val="99"/>
    <w:rPr>
      <w:rFonts w:ascii="Times New Roman" w:eastAsia="Times New Roman" w:hAnsi="Times New Roman" w:cs="Times New Roman"/>
      <w:sz w:val="20"/>
      <w:szCs w:val="20"/>
      <w:lang w:val="ro-RO" w:eastAsia="en-GB"/>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rFonts w:ascii="Times New Roman" w:eastAsia="Times New Roman" w:hAnsi="Times New Roman" w:cs="Times New Roman"/>
      <w:b/>
      <w:bCs/>
      <w:sz w:val="20"/>
      <w:szCs w:val="20"/>
      <w:lang w:val="ro-RO" w:eastAsia="en-GB"/>
    </w:rPr>
  </w:style>
  <w:style w:type="paragraph" w:styleId="BalloonText">
    <w:name w:val="Balloon Text"/>
    <w:basedOn w:val="Normal"/>
    <w:link w:val="BalloonTextChar"/>
    <w:rPr>
      <w:rFonts w:ascii="Tahoma" w:eastAsia="Times New Roman" w:hAnsi="Tahoma" w:cs="Tahoma"/>
      <w:sz w:val="16"/>
      <w:szCs w:val="16"/>
      <w:lang w:eastAsia="en-GB"/>
    </w:rPr>
  </w:style>
  <w:style w:type="character" w:customStyle="1" w:styleId="BalloonTextChar">
    <w:name w:val="Balloon Text Char"/>
    <w:basedOn w:val="DefaultParagraphFont"/>
    <w:link w:val="BalloonText"/>
    <w:rPr>
      <w:rFonts w:ascii="Tahoma" w:eastAsia="Times New Roman" w:hAnsi="Tahoma" w:cs="Tahoma"/>
      <w:sz w:val="16"/>
      <w:szCs w:val="16"/>
      <w:lang w:val="ro-RO" w:eastAsia="en-GB"/>
    </w:rPr>
  </w:style>
  <w:style w:type="paragraph" w:styleId="Caption">
    <w:name w:val="caption"/>
    <w:basedOn w:val="Normal"/>
    <w:next w:val="Normal"/>
    <w:qFormat/>
    <w:rPr>
      <w:rFonts w:eastAsia="Times New Roman"/>
      <w:b/>
      <w:bCs/>
      <w:sz w:val="20"/>
      <w:szCs w:val="20"/>
      <w:lang w:eastAsia="en-GB"/>
    </w:rPr>
  </w:style>
  <w:style w:type="paragraph" w:styleId="TableofFigures">
    <w:name w:val="table of figures"/>
    <w:basedOn w:val="Normal"/>
    <w:next w:val="Normal"/>
    <w:rPr>
      <w:rFonts w:eastAsia="Times New Roman"/>
      <w:lang w:eastAsia="en-GB"/>
    </w:rPr>
  </w:style>
  <w:style w:type="character" w:styleId="PageNumber">
    <w:name w:val="page number"/>
  </w:style>
  <w:style w:type="character" w:customStyle="1" w:styleId="tw4winMark">
    <w:name w:val="tw4winMark"/>
    <w:rPr>
      <w:vanish/>
      <w:color w:val="800080"/>
      <w:vertAlign w:val="subscript"/>
    </w:rPr>
  </w:style>
  <w:style w:type="character" w:styleId="FollowedHyperlink">
    <w:name w:val="FollowedHyperlink"/>
    <w:uiPriority w:val="99"/>
    <w:rPr>
      <w:color w:val="800080"/>
      <w:u w:val="single"/>
    </w:rPr>
  </w:style>
  <w:style w:type="paragraph" w:customStyle="1" w:styleId="Sous-titreobjet">
    <w:name w:val="Sous-titre objet"/>
    <w:basedOn w:val="Normal"/>
    <w:pPr>
      <w:spacing w:before="0" w:after="0"/>
      <w:jc w:val="center"/>
    </w:pPr>
    <w:rPr>
      <w:rFonts w:eastAsia="Times New Roman"/>
      <w:b/>
      <w:lang w:eastAsia="en-GB"/>
    </w:rPr>
  </w:style>
  <w:style w:type="paragraph" w:customStyle="1" w:styleId="Sous-titreobjetPagedecouverture">
    <w:name w:val="Sous-titre objet (Page de couverture)"/>
    <w:basedOn w:val="Sous-titreobjet"/>
  </w:style>
  <w:style w:type="paragraph" w:styleId="Revision">
    <w:name w:val="Revision"/>
    <w:hidden/>
    <w:uiPriority w:val="99"/>
    <w:semiHidden/>
    <w:rPr>
      <w:rFonts w:ascii="Calibri" w:eastAsia="Calibri" w:hAnsi="Calibri" w:cs="Times New Roman"/>
      <w:sz w:val="24"/>
      <w:lang w:eastAsia="en-GB"/>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Pr>
      <w:rFonts w:ascii="Times New Roman" w:hAnsi="Times New Roman" w:cs="Times New Roman"/>
      <w:b/>
      <w:sz w:val="28"/>
      <w:lang w:val="ro-RO"/>
    </w:rPr>
  </w:style>
  <w:style w:type="character" w:customStyle="1" w:styleId="FooterCoverPageChar">
    <w:name w:val="Footer Cover Page Char"/>
    <w:link w:val="FooterCoverPage"/>
    <w:rPr>
      <w:rFonts w:ascii="Times New Roman" w:eastAsia="Calibri" w:hAnsi="Times New Roman" w:cs="Times New Roman"/>
      <w:sz w:val="24"/>
      <w:lang w:val="ro-RO" w:eastAsia="en-GB"/>
    </w:rPr>
  </w:style>
  <w:style w:type="paragraph" w:customStyle="1" w:styleId="HeaderCoverPage">
    <w:name w:val="Header Cover Page"/>
    <w:basedOn w:val="Normal"/>
    <w:link w:val="HeaderCoverPageChar"/>
    <w:pPr>
      <w:tabs>
        <w:tab w:val="center" w:pos="4535"/>
        <w:tab w:val="right" w:pos="9071"/>
      </w:tabs>
      <w:spacing w:before="0"/>
    </w:pPr>
    <w:rPr>
      <w:rFonts w:eastAsia="Calibri"/>
      <w:lang w:eastAsia="en-GB"/>
    </w:rPr>
  </w:style>
  <w:style w:type="character" w:customStyle="1" w:styleId="HeaderCoverPageChar">
    <w:name w:val="Header Cover Page Char"/>
    <w:link w:val="HeaderCoverPage"/>
    <w:rPr>
      <w:rFonts w:ascii="Times New Roman" w:eastAsia="Calibri" w:hAnsi="Times New Roman" w:cs="Times New Roman"/>
      <w:sz w:val="24"/>
      <w:lang w:val="ro-RO" w:eastAsia="en-GB"/>
    </w:rPr>
  </w:style>
  <w:style w:type="character" w:customStyle="1" w:styleId="FooterSensitivityChar">
    <w:name w:val="Footer Sensitivity Char"/>
    <w:rPr>
      <w:rFonts w:ascii="Times New Roman" w:hAnsi="Times New Roman" w:cs="Times New Roman"/>
      <w:b/>
      <w:sz w:val="32"/>
      <w:lang w:val="ro-RO"/>
    </w:rPr>
  </w:style>
  <w:style w:type="character" w:customStyle="1" w:styleId="HeaderSensitivityChar">
    <w:name w:val="Header Sensitivity Char"/>
    <w:rPr>
      <w:rFonts w:ascii="Times New Roman" w:hAnsi="Times New Roman" w:cs="Times New Roman"/>
      <w:b/>
      <w:sz w:val="32"/>
      <w:lang w:val="ro-RO"/>
    </w:rPr>
  </w:style>
  <w:style w:type="character" w:customStyle="1" w:styleId="HeaderSensitivityRightChar">
    <w:name w:val="Header Sensitivity Right Char"/>
    <w:rPr>
      <w:rFonts w:ascii="Times New Roman" w:hAnsi="Times New Roman" w:cs="Times New Roman"/>
      <w:sz w:val="28"/>
      <w:lang w:val="ro-RO"/>
    </w:rPr>
  </w:style>
  <w:style w:type="paragraph" w:customStyle="1" w:styleId="LegalNumPar">
    <w:name w:val="LegalNumPar"/>
    <w:basedOn w:val="Normal"/>
    <w:pPr>
      <w:numPr>
        <w:numId w:val="16"/>
      </w:numPr>
      <w:spacing w:line="360" w:lineRule="auto"/>
      <w:ind w:left="0" w:firstLine="0"/>
    </w:pPr>
    <w:rPr>
      <w:rFonts w:eastAsia="Times New Roman"/>
      <w:lang w:eastAsia="en-GB"/>
    </w:rPr>
  </w:style>
  <w:style w:type="paragraph" w:customStyle="1" w:styleId="LegalNumPar2">
    <w:name w:val="LegalNumPar2"/>
    <w:basedOn w:val="Normal"/>
    <w:pPr>
      <w:numPr>
        <w:ilvl w:val="1"/>
        <w:numId w:val="16"/>
      </w:numPr>
      <w:spacing w:line="360" w:lineRule="auto"/>
      <w:ind w:left="0" w:firstLine="0"/>
    </w:pPr>
    <w:rPr>
      <w:rFonts w:eastAsia="Times New Roman"/>
      <w:lang w:eastAsia="en-GB"/>
    </w:rPr>
  </w:style>
  <w:style w:type="paragraph" w:customStyle="1" w:styleId="LegalNumPar3">
    <w:name w:val="LegalNumPar3"/>
    <w:basedOn w:val="Normal"/>
    <w:pPr>
      <w:numPr>
        <w:ilvl w:val="2"/>
        <w:numId w:val="16"/>
      </w:numPr>
      <w:spacing w:line="360" w:lineRule="auto"/>
      <w:ind w:left="0" w:firstLine="0"/>
    </w:pPr>
    <w:rPr>
      <w:rFonts w:eastAsia="Times New Roman"/>
      <w:lang w:eastAsia="en-GB"/>
    </w:rPr>
  </w:style>
  <w:style w:type="paragraph" w:styleId="ListParagraph">
    <w:name w:val="List Paragraph"/>
    <w:aliases w:val="Numbered Para 1,Dot pt,No Spacing1,List Paragraph Char Char Char,Indicator Text,List Paragraph1,Bullet Points,MAIN CONTENT,List Paragraph12,F5 List Paragraph,Heading 2_sj,1st level - Bullet List Paragraph,Lettre d'introduction,L"/>
    <w:basedOn w:val="Normal"/>
    <w:link w:val="ListParagraphChar"/>
    <w:uiPriority w:val="34"/>
    <w:qFormat/>
    <w:pPr>
      <w:ind w:left="720"/>
      <w:contextualSpacing/>
    </w:pPr>
    <w:rPr>
      <w:rFonts w:eastAsia="Times New Roman"/>
      <w:lang w:eastAsia="en-GB"/>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styleId="Strong">
    <w:name w:val="Strong"/>
    <w:basedOn w:val="DefaultParagraphFont"/>
    <w:qFormat/>
    <w:rPr>
      <w:b/>
      <w:bCs/>
    </w:rPr>
  </w:style>
  <w:style w:type="character" w:styleId="Emphasis">
    <w:name w:val="Emphasis"/>
    <w:basedOn w:val="DefaultParagraphFont"/>
    <w:qFormat/>
    <w:rPr>
      <w:i/>
      <w:iCs/>
    </w:rPr>
  </w:style>
  <w:style w:type="character" w:customStyle="1" w:styleId="Mention1">
    <w:name w:val="Mention1"/>
    <w:basedOn w:val="DefaultParagraphFont"/>
    <w:uiPriority w:val="99"/>
    <w:unhideWhenUsed/>
    <w:rPr>
      <w:color w:val="2B579A"/>
      <w:shd w:val="clear" w:color="auto" w:fill="E1DFDD"/>
    </w:rPr>
  </w:style>
  <w:style w:type="character" w:customStyle="1" w:styleId="normaltextrun">
    <w:name w:val="normaltextrun"/>
    <w:basedOn w:val="DefaultParagraphFont"/>
  </w:style>
  <w:style w:type="character" w:customStyle="1" w:styleId="eop">
    <w:name w:val="eop"/>
    <w:basedOn w:val="DefaultParagraphFont"/>
  </w:style>
  <w:style w:type="paragraph" w:styleId="NormalWeb">
    <w:name w:val="Normal (Web)"/>
    <w:basedOn w:val="Normal"/>
    <w:uiPriority w:val="99"/>
    <w:unhideWhenUsed/>
    <w:pPr>
      <w:spacing w:before="100" w:beforeAutospacing="1" w:after="100" w:afterAutospacing="1"/>
      <w:jc w:val="left"/>
    </w:pPr>
    <w:rPr>
      <w:rFonts w:eastAsia="Times New Roman"/>
      <w:szCs w:val="20"/>
      <w:lang w:eastAsia="en-GB"/>
    </w:rPr>
  </w:style>
  <w:style w:type="paragraph" w:customStyle="1" w:styleId="xl65">
    <w:name w:val="xl65"/>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Cs w:val="20"/>
      <w:lang w:eastAsia="en-GB"/>
    </w:rPr>
  </w:style>
  <w:style w:type="paragraph" w:customStyle="1" w:styleId="xl66">
    <w:name w:val="xl6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Helvetica" w:eastAsia="Times New Roman" w:hAnsi="Helvetica" w:cs="Helvetica"/>
      <w:color w:val="404040"/>
      <w:szCs w:val="20"/>
      <w:lang w:eastAsia="en-GB"/>
    </w:rPr>
  </w:style>
  <w:style w:type="paragraph" w:customStyle="1" w:styleId="xl67">
    <w:name w:val="xl67"/>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Helvetica" w:eastAsia="Times New Roman" w:hAnsi="Helvetica" w:cs="Helvetica"/>
      <w:color w:val="404040"/>
      <w:szCs w:val="20"/>
      <w:lang w:eastAsia="en-GB"/>
    </w:rPr>
  </w:style>
  <w:style w:type="paragraph" w:customStyle="1" w:styleId="CM3">
    <w:name w:val="CM3"/>
    <w:basedOn w:val="Normal"/>
    <w:uiPriority w:val="99"/>
    <w:pPr>
      <w:autoSpaceDE w:val="0"/>
      <w:autoSpaceDN w:val="0"/>
      <w:spacing w:before="0" w:after="0"/>
      <w:jc w:val="left"/>
    </w:pPr>
    <w:rPr>
      <w:rFonts w:ascii="EUAlbertina" w:eastAsia="Calibri" w:hAnsi="EUAlbertina"/>
      <w:szCs w:val="20"/>
      <w:lang w:eastAsia="en-GB"/>
    </w:rPr>
  </w:style>
  <w:style w:type="paragraph" w:styleId="NoSpacing">
    <w:name w:val="No Spacing"/>
    <w:uiPriority w:val="1"/>
    <w:qFormat/>
    <w:pPr>
      <w:spacing w:after="0" w:line="240" w:lineRule="auto"/>
    </w:pPr>
    <w:rPr>
      <w:kern w:val="2"/>
      <w:sz w:val="24"/>
      <w:szCs w:val="24"/>
      <w14:ligatures w14:val="standardContextual"/>
    </w:rPr>
  </w:style>
  <w:style w:type="character" w:customStyle="1" w:styleId="TOC211">
    <w:name w:val="TOC 211"/>
    <w:uiPriority w:val="99"/>
    <w:unhideWhenUsed/>
    <w:qFormat/>
    <w:rPr>
      <w:color w:val="0000FF"/>
      <w:u w:val="single"/>
    </w:rPr>
  </w:style>
  <w:style w:type="paragraph" w:customStyle="1" w:styleId="1letter">
    <w:name w:val="'1 (letter)"/>
    <w:basedOn w:val="Point1letter"/>
    <w:pPr>
      <w:numPr>
        <w:ilvl w:val="0"/>
        <w:numId w:val="0"/>
      </w:numPr>
      <w:ind w:left="1417"/>
    </w:p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superscript">
    <w:name w:val="superscript"/>
    <w:basedOn w:val="DefaultParagraphFont"/>
  </w:style>
  <w:style w:type="paragraph" w:customStyle="1" w:styleId="oj-normal">
    <w:name w:val="oj-normal"/>
    <w:basedOn w:val="Normal"/>
    <w:pPr>
      <w:spacing w:before="100" w:beforeAutospacing="1" w:after="100" w:afterAutospacing="1"/>
      <w:jc w:val="left"/>
    </w:pPr>
    <w:rPr>
      <w:rFonts w:eastAsia="Times New Roman"/>
      <w:szCs w:val="24"/>
      <w:lang w:eastAsia="en-IE"/>
    </w:rPr>
  </w:style>
  <w:style w:type="character" w:customStyle="1" w:styleId="ListParagraphChar">
    <w:name w:val="List Paragraph Char"/>
    <w:aliases w:val="Numbered Para 1 Char,Dot pt Char,No Spacing1 Char,List Paragraph Char Char Char Char,Indicator Text Char,List Paragraph1 Char,Bullet Points Char,MAIN CONTENT Char,List Paragraph12 Char,F5 List Paragraph Char,Heading 2_sj Char,L Char"/>
    <w:link w:val="ListParagraph"/>
    <w:uiPriority w:val="34"/>
    <w:qFormat/>
    <w:rPr>
      <w:rFonts w:ascii="Times New Roman" w:eastAsia="Times New Roman" w:hAnsi="Times New Roman" w:cs="Times New Roman"/>
      <w:sz w:val="24"/>
      <w:lang w:val="ro-RO" w:eastAsia="en-GB"/>
    </w:rPr>
  </w:style>
  <w:style w:type="character" w:customStyle="1" w:styleId="no-parag">
    <w:name w:val="no-parag"/>
    <w:basedOn w:val="DefaultParagraphFont"/>
  </w:style>
  <w:style w:type="paragraph" w:customStyle="1" w:styleId="norm">
    <w:name w:val="norm"/>
    <w:basedOn w:val="Normal"/>
    <w:pPr>
      <w:spacing w:before="100" w:beforeAutospacing="1" w:after="100" w:afterAutospacing="1"/>
      <w:jc w:val="left"/>
    </w:pPr>
    <w:rPr>
      <w:rFonts w:eastAsia="Times New Roman"/>
      <w:szCs w:val="24"/>
      <w:lang w:eastAsia="en-IE"/>
    </w:rPr>
  </w:style>
  <w:style w:type="character" w:customStyle="1" w:styleId="boldface">
    <w:name w:val="boldface"/>
    <w:basedOn w:val="DefaultParagraphFont"/>
  </w:style>
  <w:style w:type="paragraph" w:customStyle="1" w:styleId="modref">
    <w:name w:val="modref"/>
    <w:basedOn w:val="Normal"/>
    <w:pPr>
      <w:spacing w:before="100" w:beforeAutospacing="1" w:after="100" w:afterAutospacing="1"/>
      <w:jc w:val="left"/>
    </w:pPr>
    <w:rPr>
      <w:rFonts w:eastAsia="Times New Roman"/>
      <w:szCs w:val="24"/>
      <w:lang w:eastAsia="en-IE"/>
    </w:rPr>
  </w:style>
  <w:style w:type="paragraph" w:customStyle="1" w:styleId="Point">
    <w:name w:val="Point"/>
    <w:basedOn w:val="Point0number"/>
    <w:pPr>
      <w:numPr>
        <w:numId w:val="0"/>
      </w:numPr>
    </w:pPr>
  </w:style>
  <w:style w:type="character" w:customStyle="1" w:styleId="CommentReference1">
    <w:name w:val="Comment Reference1"/>
    <w:basedOn w:val="DefaultParagraphFont"/>
    <w:uiPriority w:val="99"/>
    <w:unhideWhenUsed/>
    <w:rPr>
      <w:sz w:val="16"/>
      <w:szCs w:val="16"/>
    </w:rPr>
  </w:style>
  <w:style w:type="paragraph" w:customStyle="1" w:styleId="Considrant1">
    <w:name w:val="Considérant (1)"/>
    <w:basedOn w:val="Considrant"/>
    <w:pPr>
      <w:numPr>
        <w:numId w:val="17"/>
      </w:numPr>
      <w:ind w:left="0" w:firstLine="0"/>
    </w:pPr>
    <w:rPr>
      <w:iCs/>
    </w:rPr>
  </w:style>
  <w:style w:type="character" w:customStyle="1" w:styleId="CommentTextChar1">
    <w:name w:val="Comment Text Char1"/>
    <w:basedOn w:val="DefaultParagraphFont"/>
    <w:uiPriority w:val="99"/>
    <w:rPr>
      <w:rFonts w:ascii="Times New Roman" w:hAnsi="Times New Roman" w:cs="Times New Roman"/>
      <w:sz w:val="20"/>
      <w:szCs w:val="20"/>
      <w:lang w:val="ro-RO"/>
    </w:rPr>
  </w:style>
  <w:style w:type="paragraph" w:customStyle="1" w:styleId="Point00">
    <w:name w:val="Point 00"/>
    <w:basedOn w:val="Normal"/>
    <w:pPr>
      <w:ind w:left="850" w:hanging="850"/>
    </w:pPr>
  </w:style>
  <w:style w:type="paragraph" w:customStyle="1" w:styleId="Point1letter0">
    <w:name w:val="Point 1 (letter)0"/>
    <w:basedOn w:val="Normal"/>
    <w:pPr>
      <w:tabs>
        <w:tab w:val="num" w:pos="1417"/>
      </w:tabs>
      <w:ind w:left="1417" w:hanging="567"/>
    </w:pPr>
  </w:style>
  <w:style w:type="paragraph" w:customStyle="1" w:styleId="Text">
    <w:name w:val="Text"/>
    <w:basedOn w:val="Text2"/>
  </w:style>
  <w:style w:type="paragraph" w:customStyle="1" w:styleId="Point1letter1">
    <w:name w:val="Point 1(letter)"/>
    <w:basedOn w:val="Point0letter"/>
    <w:pPr>
      <w:numPr>
        <w:ilvl w:val="0"/>
        <w:numId w:val="0"/>
      </w:numPr>
      <w:tabs>
        <w:tab w:val="num" w:pos="850"/>
      </w:tabs>
    </w:pPr>
  </w:style>
  <w:style w:type="paragraph" w:customStyle="1" w:styleId="Point0">
    <w:name w:val="Point 0"/>
    <w:basedOn w:val="Normal"/>
    <w:pPr>
      <w:ind w:left="850" w:hanging="850"/>
    </w:p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1">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1"/>
    <w:pPr>
      <w:numPr>
        <w:numId w:val="20"/>
      </w:numPr>
    </w:pPr>
  </w:style>
  <w:style w:type="paragraph" w:customStyle="1" w:styleId="Tiret1">
    <w:name w:val="Tiret 1"/>
    <w:basedOn w:val="Point1"/>
    <w:pPr>
      <w:numPr>
        <w:numId w:val="21"/>
      </w:numPr>
    </w:pPr>
  </w:style>
  <w:style w:type="paragraph" w:customStyle="1" w:styleId="Tiret2">
    <w:name w:val="Tiret 2"/>
    <w:basedOn w:val="Point2"/>
    <w:pPr>
      <w:numPr>
        <w:numId w:val="22"/>
      </w:numPr>
    </w:pPr>
  </w:style>
  <w:style w:type="paragraph" w:customStyle="1" w:styleId="Tiret3">
    <w:name w:val="Tiret 3"/>
    <w:basedOn w:val="Point3"/>
    <w:pPr>
      <w:numPr>
        <w:numId w:val="23"/>
      </w:numPr>
    </w:pPr>
  </w:style>
  <w:style w:type="paragraph" w:customStyle="1" w:styleId="Tiret4">
    <w:name w:val="Tiret 4"/>
    <w:basedOn w:val="Point4"/>
    <w:pPr>
      <w:numPr>
        <w:numId w:val="24"/>
      </w:numPr>
    </w:pPr>
  </w:style>
  <w:style w:type="paragraph" w:customStyle="1" w:styleId="Tiret5">
    <w:name w:val="Tiret 5"/>
    <w:basedOn w:val="Point5"/>
    <w:pPr>
      <w:numPr>
        <w:numId w:val="2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6"/>
      </w:numPr>
    </w:pPr>
  </w:style>
  <w:style w:type="paragraph" w:customStyle="1" w:styleId="NumPar2">
    <w:name w:val="NumPar 2"/>
    <w:basedOn w:val="Normal"/>
    <w:next w:val="Text1"/>
    <w:pPr>
      <w:numPr>
        <w:ilvl w:val="1"/>
        <w:numId w:val="26"/>
      </w:numPr>
    </w:pPr>
  </w:style>
  <w:style w:type="paragraph" w:customStyle="1" w:styleId="NumPar3">
    <w:name w:val="NumPar 3"/>
    <w:basedOn w:val="Normal"/>
    <w:next w:val="Text1"/>
    <w:pPr>
      <w:numPr>
        <w:ilvl w:val="2"/>
        <w:numId w:val="26"/>
      </w:numPr>
    </w:pPr>
  </w:style>
  <w:style w:type="paragraph" w:customStyle="1" w:styleId="NumPar4">
    <w:name w:val="NumPar 4"/>
    <w:basedOn w:val="Normal"/>
    <w:next w:val="Text1"/>
    <w:pPr>
      <w:numPr>
        <w:ilvl w:val="3"/>
        <w:numId w:val="26"/>
      </w:numPr>
    </w:pPr>
  </w:style>
  <w:style w:type="paragraph" w:customStyle="1" w:styleId="NumPar5">
    <w:name w:val="NumPar 5"/>
    <w:basedOn w:val="Normal"/>
    <w:next w:val="Text2"/>
    <w:pPr>
      <w:numPr>
        <w:ilvl w:val="4"/>
        <w:numId w:val="26"/>
      </w:numPr>
    </w:pPr>
  </w:style>
  <w:style w:type="paragraph" w:customStyle="1" w:styleId="NumPar6">
    <w:name w:val="NumPar 6"/>
    <w:basedOn w:val="Normal"/>
    <w:next w:val="Text2"/>
    <w:pPr>
      <w:numPr>
        <w:ilvl w:val="5"/>
        <w:numId w:val="26"/>
      </w:numPr>
    </w:pPr>
  </w:style>
  <w:style w:type="paragraph" w:customStyle="1" w:styleId="NumPar7">
    <w:name w:val="NumPar 7"/>
    <w:basedOn w:val="Normal"/>
    <w:next w:val="Text2"/>
    <w:pPr>
      <w:numPr>
        <w:ilvl w:val="6"/>
        <w:numId w:val="2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8"/>
      </w:numPr>
    </w:pPr>
  </w:style>
  <w:style w:type="paragraph" w:customStyle="1" w:styleId="Point1number">
    <w:name w:val="Point 1 (number)"/>
    <w:basedOn w:val="Normal"/>
    <w:pPr>
      <w:numPr>
        <w:ilvl w:val="2"/>
        <w:numId w:val="28"/>
      </w:numPr>
    </w:pPr>
  </w:style>
  <w:style w:type="paragraph" w:customStyle="1" w:styleId="Point2number">
    <w:name w:val="Point 2 (number)"/>
    <w:basedOn w:val="Normal"/>
    <w:pPr>
      <w:numPr>
        <w:ilvl w:val="4"/>
        <w:numId w:val="28"/>
      </w:numPr>
    </w:pPr>
  </w:style>
  <w:style w:type="paragraph" w:customStyle="1" w:styleId="Point3number">
    <w:name w:val="Point 3 (number)"/>
    <w:basedOn w:val="Normal"/>
    <w:pPr>
      <w:numPr>
        <w:ilvl w:val="6"/>
        <w:numId w:val="28"/>
      </w:numPr>
    </w:pPr>
  </w:style>
  <w:style w:type="paragraph" w:customStyle="1" w:styleId="Point0letter">
    <w:name w:val="Point 0 (letter)"/>
    <w:basedOn w:val="Normal"/>
    <w:pPr>
      <w:numPr>
        <w:ilvl w:val="1"/>
        <w:numId w:val="28"/>
      </w:numPr>
    </w:pPr>
  </w:style>
  <w:style w:type="paragraph" w:customStyle="1" w:styleId="Point1letter">
    <w:name w:val="Point 1 (letter)"/>
    <w:basedOn w:val="Normal"/>
    <w:pPr>
      <w:numPr>
        <w:ilvl w:val="3"/>
        <w:numId w:val="28"/>
      </w:numPr>
    </w:pPr>
  </w:style>
  <w:style w:type="paragraph" w:customStyle="1" w:styleId="Point2letter">
    <w:name w:val="Point 2 (letter)"/>
    <w:basedOn w:val="Normal"/>
    <w:pPr>
      <w:numPr>
        <w:ilvl w:val="5"/>
        <w:numId w:val="28"/>
      </w:numPr>
    </w:pPr>
  </w:style>
  <w:style w:type="paragraph" w:customStyle="1" w:styleId="Point3letter">
    <w:name w:val="Point 3 (letter)"/>
    <w:basedOn w:val="Normal"/>
    <w:pPr>
      <w:numPr>
        <w:ilvl w:val="7"/>
        <w:numId w:val="28"/>
      </w:numPr>
    </w:pPr>
  </w:style>
  <w:style w:type="paragraph" w:customStyle="1" w:styleId="Point4letter">
    <w:name w:val="Point 4 (letter)"/>
    <w:basedOn w:val="Normal"/>
    <w:pPr>
      <w:numPr>
        <w:ilvl w:val="8"/>
        <w:numId w:val="28"/>
      </w:numPr>
    </w:pPr>
  </w:style>
  <w:style w:type="paragraph" w:customStyle="1" w:styleId="Bullet0">
    <w:name w:val="Bullet 0"/>
    <w:basedOn w:val="Normal"/>
    <w:pPr>
      <w:numPr>
        <w:numId w:val="29"/>
      </w:numPr>
    </w:pPr>
  </w:style>
  <w:style w:type="paragraph" w:customStyle="1" w:styleId="Bullet1">
    <w:name w:val="Bullet 1"/>
    <w:basedOn w:val="Normal"/>
    <w:pPr>
      <w:numPr>
        <w:numId w:val="30"/>
      </w:numPr>
    </w:pPr>
  </w:style>
  <w:style w:type="paragraph" w:customStyle="1" w:styleId="Bullet2">
    <w:name w:val="Bullet 2"/>
    <w:basedOn w:val="Normal"/>
    <w:pPr>
      <w:numPr>
        <w:numId w:val="31"/>
      </w:numPr>
    </w:pPr>
  </w:style>
  <w:style w:type="paragraph" w:customStyle="1" w:styleId="Bullet3">
    <w:name w:val="Bullet 3"/>
    <w:basedOn w:val="Normal"/>
    <w:pPr>
      <w:numPr>
        <w:numId w:val="32"/>
      </w:numPr>
    </w:pPr>
  </w:style>
  <w:style w:type="paragraph" w:customStyle="1" w:styleId="Bullet4">
    <w:name w:val="Bullet 4"/>
    <w:basedOn w:val="Normal"/>
    <w:pPr>
      <w:numPr>
        <w:numId w:val="3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eur-lex.europa.eu/legal-content/RO/TXT/?uri=CELEX%3A02015R0757-20250101" TargetMode="External"/><Relationship Id="rId10" Type="http://schemas.openxmlformats.org/officeDocument/2006/relationships/header" Target="header2.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110060-3C63-4175-B611-6852AFC6CC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0</TotalTime>
  <Pages>2</Pages>
  <Words>2928</Words>
  <Characters>16691</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2026-07-16T13:53:00Z</dcterms:created>
  <dcterms:modified xsi:type="dcterms:W3CDTF">2026-09-08T13:07:00Z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2026-07-14T21:29:19Z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b687e1d9-2b54-4324-9ee3-90db830cf4f6</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COM/ANNEX</vt:lpwstr>
  </property>
  <property fmtid="{D5CDD505-2E9C-101B-9397-08002B2CF9AE}" pid="12" name="Level of sensitivity">
    <vt:lpwstr>Standard treatment</vt:lpwstr>
  </property>
  <property fmtid="{D5CDD505-2E9C-101B-9397-08002B2CF9AE}" pid="13" name="First annex">
    <vt:lpwstr>1</vt:lpwstr>
  </property>
  <property fmtid="{D5CDD505-2E9C-101B-9397-08002B2CF9AE}" pid="14" name="Last annex">
    <vt:lpwstr>1</vt:lpwstr>
  </property>
  <property fmtid="{D5CDD505-2E9C-101B-9397-08002B2CF9AE}" pid="15" name="Unique annex">
    <vt:lpwstr>1</vt:lpwstr>
  </property>
  <property fmtid="{D5CDD505-2E9C-101B-9397-08002B2CF9AE}" pid="16" name="Part">
    <vt:lpwstr>1</vt:lpwstr>
  </property>
  <property fmtid="{D5CDD505-2E9C-101B-9397-08002B2CF9AE}" pid="17" name="Total parts">
    <vt:lpwstr>1</vt:lpwstr>
  </property>
  <property fmtid="{D5CDD505-2E9C-101B-9397-08002B2CF9AE}" pid="18" name="LWTemplateID">
    <vt:lpwstr>SG-017</vt:lpwstr>
  </property>
  <property fmtid="{D5CDD505-2E9C-101B-9397-08002B2CF9AE}" pid="19" name="DQCStatus">
    <vt:lpwstr>Green (DQC version 03)</vt:lpwstr>
  </property>
</Properties>
</file>