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17A39603" w:rsidR="003170E8" w:rsidRDefault="000B1B29" w:rsidP="000B1B29">
      <w:pPr>
        <w:pStyle w:val="Pagedecouverture"/>
        <w:rPr>
          <w:noProof/>
        </w:rPr>
      </w:pPr>
      <w:bookmarkStart w:id="0" w:name="LW_BM_COVERPAGE"/>
      <w:r>
        <w:rPr>
          <w:noProof/>
        </w:rPr>
        <w:pict w14:anchorId="70F06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98887F-2F5D-42F2-BC15-421E0AF7F7AF" style="width:455.25pt;height:271.5pt">
            <v:imagedata r:id="rId8" o:title=""/>
          </v:shape>
        </w:pict>
      </w:r>
    </w:p>
    <w:bookmarkEnd w:id="0"/>
    <w:p w14:paraId="68375A79" w14:textId="4AF0C998" w:rsidR="00791799" w:rsidRPr="00791799" w:rsidRDefault="00791799" w:rsidP="00791799">
      <w:pPr>
        <w:pStyle w:val="Pagedecouverture"/>
        <w:rPr>
          <w:noProof/>
        </w:rPr>
        <w:sectPr w:rsidR="00791799" w:rsidRPr="00791799" w:rsidSect="000B1B2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05F58B9" w14:textId="77777777" w:rsidR="00734CA2" w:rsidRDefault="00734CA2" w:rsidP="00734CA2">
      <w:pPr>
        <w:rPr>
          <w:noProof/>
        </w:rPr>
      </w:pPr>
      <w:bookmarkStart w:id="1" w:name="_GoBack"/>
      <w:bookmarkEnd w:id="1"/>
    </w:p>
    <w:p w14:paraId="3F70B8F5" w14:textId="72466240" w:rsidR="00D46D1A" w:rsidRDefault="00734CA2" w:rsidP="00734CA2">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CONTEXT</w:t>
      </w:r>
    </w:p>
    <w:p w14:paraId="10B1DF00" w14:textId="42D57FE9" w:rsidR="00734CA2" w:rsidRPr="00734CA2" w:rsidRDefault="00734CA2"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În temeiul articolului 395 din Directiva 2006/112/CE a Consiliului din 28 noiembrie 2006 privind sistemul comun al taxei pe valoarea adăugată</w:t>
      </w:r>
      <w:r>
        <w:rPr>
          <w:rFonts w:ascii="Times New Roman" w:hAnsi="Times New Roman" w:cs="Times New Roman"/>
          <w:noProof/>
          <w:kern w:val="0"/>
          <w:sz w:val="24"/>
          <w:szCs w:val="24"/>
          <w:vertAlign w:val="superscript"/>
          <w:lang w:val="en-GB"/>
        </w:rPr>
        <w:footnoteReference w:id="1"/>
      </w:r>
      <w:r>
        <w:rPr>
          <w:rFonts w:ascii="Times New Roman" w:hAnsi="Times New Roman"/>
          <w:noProof/>
          <w:sz w:val="24"/>
        </w:rPr>
        <w:t xml:space="preserve"> (denumită în continuare „Directiva TVA”), Consiliul, hotărând în unanimitate la propunerea Comisiei, poate autoriza orice stat membru să introducă măsuri speciale de derogare de la dispozițiile directivei respective, pentru a simplifica procedura de colectare a TVA sau pentru a preveni anumite forme de evaziune fiscală sau de evitare a obligațiilor fiscale. Întrucât această procedură prevede o derogare de la principiile generale în materie de TVA, în conformitate cu jurisprudența Curții de Justiție a Uniunii Europene (CJUE), măsurile naționale de derogare menționate la articolul 395 din Directiva TVA care sunt permise „în scopul simplificării procedurii de colectare a TVA‑ului sau al prevenirii anumitor forme de evaziune fiscală sau de fraudă” trebuie interpretate strict și trebuie să fie totodată necesare și adecvate pentru realizarea obiectivului specific pe care îl urmăresc și să afecteze cât mai puțin posibil obiectivele și principiile Directivei TVA</w:t>
      </w:r>
      <w:r>
        <w:rPr>
          <w:rFonts w:ascii="Times New Roman" w:hAnsi="Times New Roman" w:cs="Times New Roman"/>
          <w:noProof/>
          <w:kern w:val="0"/>
          <w:sz w:val="24"/>
          <w:szCs w:val="24"/>
          <w:vertAlign w:val="superscript"/>
          <w:lang w:val="en-GB"/>
        </w:rPr>
        <w:footnoteReference w:id="2"/>
      </w:r>
      <w:r>
        <w:rPr>
          <w:rFonts w:ascii="Times New Roman" w:hAnsi="Times New Roman"/>
          <w:noProof/>
          <w:sz w:val="24"/>
        </w:rPr>
        <w:t>.</w:t>
      </w:r>
    </w:p>
    <w:p w14:paraId="7FA8D2E8" w14:textId="071192EE" w:rsidR="00734CA2" w:rsidRDefault="00D97F7D" w:rsidP="008463AC">
      <w:pPr>
        <w:ind w:left="720"/>
        <w:jc w:val="both"/>
        <w:rPr>
          <w:rFonts w:ascii="Times New Roman" w:hAnsi="Times New Roman" w:cs="Times New Roman"/>
          <w:noProof/>
          <w:kern w:val="0"/>
          <w:sz w:val="24"/>
          <w:szCs w:val="24"/>
          <w14:ligatures w14:val="none"/>
        </w:rPr>
      </w:pPr>
      <w:r>
        <w:rPr>
          <w:rFonts w:ascii="Times New Roman" w:hAnsi="Times New Roman"/>
          <w:noProof/>
          <w:sz w:val="24"/>
        </w:rPr>
        <w:t>Printr-o scrisoare înregistrată de Comisie la 27 mai 2024, Republica Austria („Austria”) a solicitat autorizarea de a aplica o măsură de derogare de la articolul 193 din Directiva TVA. La 17 iulie 2024, Comisia a trimis o scrisoare prin care solicita informații suplimentare. Printr-o scrisoare înregistrată de Comisie la 27 septembrie 2024, Austria a furnizat informații suplimentare. Cu toate acestea, întrucât nu au fost furnizate suficiente informații privind, în special, situația fraudei și sumele implicate, Comisia a trimis o scrisoare suplimentară la 3 decembrie 2024. Printr-o scrisoare înregistrată de Comisie la 18 iunie 2025, Austria a furnizat informații suplimentare ca răspuns la această cerere suplimentară.</w:t>
      </w:r>
    </w:p>
    <w:p w14:paraId="6DD0F8FE" w14:textId="69BAF337" w:rsidR="00AA1CA5" w:rsidRPr="00592338" w:rsidRDefault="00AA1CA5" w:rsidP="00AA1CA5">
      <w:pPr>
        <w:ind w:left="720"/>
        <w:jc w:val="both"/>
        <w:rPr>
          <w:rFonts w:ascii="Times New Roman" w:hAnsi="Times New Roman" w:cs="Times New Roman"/>
          <w:noProof/>
          <w:sz w:val="24"/>
          <w:szCs w:val="24"/>
        </w:rPr>
      </w:pPr>
      <w:r>
        <w:rPr>
          <w:rFonts w:ascii="Times New Roman" w:hAnsi="Times New Roman"/>
          <w:noProof/>
          <w:sz w:val="24"/>
        </w:rPr>
        <w:t>În conformitate cu articolul 395 alineatul (2) din Directiva TVA, Comisia a informat celelalte state membre, printr-o scrisoare din data de 16 decembrie 2025, cu privire la cererea înaintată de Austria. Printr-o scrisoare din data de 17 decembrie 2025, Comisia a informat Austria că dispune de toate informațiile pe care le consideră necesare pentru evaluarea cererii.</w:t>
      </w:r>
    </w:p>
    <w:p w14:paraId="417EC154" w14:textId="4668A79F" w:rsidR="00F9787A" w:rsidRPr="009F0EA0" w:rsidRDefault="0054409D" w:rsidP="00F9787A">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TAXAREA INVERSĂ</w:t>
      </w:r>
    </w:p>
    <w:p w14:paraId="54CC6B91" w14:textId="4BBB8445" w:rsidR="00AA1CA5" w:rsidRPr="009F0EA0" w:rsidRDefault="0001778E"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Persoana care are obligația de a plăti TVA în temeiul articolului 193 din directiva TVA este persoana impozabilă care livrează bunurile sau prestează serviciile. Scopul mecanismului de taxare inversă este de a transfera această obligație persoanei impozabile căreia i se furnizează bunurile sau i se prestează serviciile.</w:t>
      </w:r>
    </w:p>
    <w:p w14:paraId="099525AF" w14:textId="3162ECD9" w:rsidR="0001778E" w:rsidRPr="00592338" w:rsidRDefault="0062126C"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Frauda cu firme fantomă se produce atunci când comercianții se sustrag de la plata TVA către autoritățile fiscale după ce și-au vândut produsele și au încasat TVA de la client. Cu toate acestea, clienții lor, în cazul în care sunt persoane impozabile, au, în principiu, dreptul la deducerea taxei atunci când au o factură valabilă. S-a constat că, prin desemnarea persoanei căreia îi sunt furnizate bunurile drept persoana răspunzătoare pentru plata TVA în astfel de cazuri, mecanismul de taxare inversă elimină posibilitatea de comitere a acestui tip de evaziune fiscală.</w:t>
      </w:r>
    </w:p>
    <w:p w14:paraId="4AE657DA" w14:textId="1BCF3797"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CEREREA</w:t>
      </w:r>
    </w:p>
    <w:p w14:paraId="7183C5D7" w14:textId="29FD5EC2" w:rsidR="001A2247" w:rsidRPr="00592338" w:rsidRDefault="00074E0C" w:rsidP="0033332A">
      <w:pPr>
        <w:ind w:left="720"/>
        <w:jc w:val="both"/>
        <w:rPr>
          <w:rFonts w:ascii="Times New Roman" w:hAnsi="Times New Roman" w:cs="Times New Roman"/>
          <w:noProof/>
          <w:kern w:val="0"/>
          <w:sz w:val="24"/>
          <w:szCs w:val="24"/>
          <w14:ligatures w14:val="none"/>
        </w:rPr>
      </w:pPr>
      <w:r>
        <w:rPr>
          <w:rFonts w:ascii="Times New Roman" w:hAnsi="Times New Roman"/>
          <w:noProof/>
          <w:sz w:val="24"/>
        </w:rPr>
        <w:t>Austria solicită Consiliului, în temeiul articolului 395 din Directiva TVA, să autorizeze, la propunerea Comisiei, aplicarea unei măsuri speciale de derogare de la articolul 193 din Directiva TVA în ceea ce privește aplicarea mecanismului de taxare inversă în legătură cu anumite livrări de bunuri imobile efectuate de dezvoltatori imobiliari, în măsura în care acestea nu sunt deja acoperite de articolul 199 alineatul (1) litera (c) din Directiva TVA. Articolul 199 alineatul (1) litera (c) din Directiva TVA permite statelor membre să utilizeze mecanismul de taxare inversă pentru livrările de bunuri imobile menționate la articolul 135 alineatul (1) literele (j) și (k) din Directiva TVA, în cazul în care furnizorul a optat pentru impozitare în temeiul articolului 137 din Directiva TVA. Acest lucru implică faptul că, în conformitate cu articolul 199 alineatul (1) litera (c) din Directiva TVA (în cazul în care furnizorul a optat pentru impozitare), livrarea de bunuri imobile după prima ocupare sau livrarea de terenuri, altele decât terenurile construibile, poate face obiectul mecanismului de taxare inversă. În esență, Austria solicită ca, pe baza unei derogări, livrările de bunuri imobile înainte de prima ocupare și livrările de terenuri construibile să poată fi supuse mecanismului de taxare inversă.</w:t>
      </w:r>
    </w:p>
    <w:p w14:paraId="00B9F8E0" w14:textId="1B50EC50" w:rsidR="004567BC" w:rsidRPr="00592338" w:rsidRDefault="004567BC" w:rsidP="004567BC">
      <w:pPr>
        <w:ind w:left="720"/>
        <w:jc w:val="both"/>
        <w:rPr>
          <w:rFonts w:ascii="Times New Roman" w:hAnsi="Times New Roman" w:cs="Times New Roman"/>
          <w:noProof/>
          <w:sz w:val="24"/>
          <w:szCs w:val="24"/>
        </w:rPr>
      </w:pPr>
      <w:r>
        <w:rPr>
          <w:rFonts w:ascii="Times New Roman" w:hAnsi="Times New Roman"/>
          <w:noProof/>
          <w:sz w:val="24"/>
        </w:rPr>
        <w:t>Scopul principal al derogării solicitate este de a combate frauda, întrucât, potrivit cererii Austriei, cumpărătorii de bunuri imobile destinate utilizării profesionale de la dezvoltatori imobiliari solicită deducerea taxei în amonte, iar, în același timp, dezvoltatorii imobiliari respectivi nu plătesc autorităților fiscale TVA-ul încasat pentru livrările lor.</w:t>
      </w:r>
    </w:p>
    <w:p w14:paraId="13FE5027" w14:textId="06CC639E"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OPINIA COMISIEI</w:t>
      </w:r>
    </w:p>
    <w:p w14:paraId="42E237C8" w14:textId="43707D4F" w:rsidR="006C5BE6" w:rsidRDefault="00B91505" w:rsidP="00B91505">
      <w:pPr>
        <w:spacing w:after="240"/>
        <w:ind w:left="720"/>
        <w:jc w:val="both"/>
        <w:rPr>
          <w:rFonts w:ascii="Times New Roman" w:hAnsi="Times New Roman" w:cs="Times New Roman"/>
          <w:noProof/>
          <w:sz w:val="24"/>
          <w:szCs w:val="24"/>
        </w:rPr>
      </w:pPr>
      <w:r>
        <w:rPr>
          <w:rFonts w:ascii="Times New Roman" w:hAnsi="Times New Roman"/>
          <w:noProof/>
          <w:sz w:val="24"/>
        </w:rPr>
        <w:t xml:space="preserve">Atunci când Comisia primește cereri în conformitate cu articolul 395 din Directiva TVA, acestea sunt analizate pentru a se verifica dacă sunt îndeplinite condițiile de bază pentru acordarea unei derogări, și anume dacă măsura specifică propusă simplifică procedurile pentru persoanele impozabile și/sau administrația fiscală sau dacă propunerea are scopul de a preveni anumite tipuri de evaziune fiscală sau de evitare a obligațiilor fiscale. În acest context, Comisia a adoptat întotdeauna o abordare prudentă, restrictivă, pentru a se asigura că derogările nu subminează funcționarea sistemului general al TVA, că ele au un domeniu de aplicare limitat și că sunt necesare și proporționate. Orice derogare de la sistemul de plată fracționată nu poate fi, prin urmare, decât o soluție de ultimă instanță și o măsură de urgență și trebuie să ofere garanții în ceea ce privește necesitatea și caracterul excepțional al derogării acordate. </w:t>
      </w:r>
    </w:p>
    <w:p w14:paraId="1029D9E7" w14:textId="32E34E48" w:rsidR="00B91505" w:rsidRPr="00592338" w:rsidRDefault="006C5BE6" w:rsidP="00B91505">
      <w:pPr>
        <w:spacing w:after="240"/>
        <w:ind w:left="720"/>
        <w:jc w:val="both"/>
        <w:rPr>
          <w:rFonts w:ascii="Times New Roman" w:hAnsi="Times New Roman" w:cs="Times New Roman"/>
          <w:noProof/>
          <w:sz w:val="24"/>
          <w:szCs w:val="24"/>
        </w:rPr>
      </w:pPr>
      <w:r>
        <w:rPr>
          <w:rFonts w:ascii="Times New Roman" w:hAnsi="Times New Roman"/>
          <w:noProof/>
          <w:sz w:val="24"/>
        </w:rPr>
        <w:t>În opinia Comisiei, tipul de livrări în cauză, și anume livrările de bunuri imobile, prin intervenția notarilor și a avocaților, ar trebui să facă posibilă monitorizarea și auditarea prin mijloace convenționale, ținând seama și de faptul că, astfel cum a indicat Austria, cazurile de fraudă identificate sunt legate în principal de dezvoltatori imobiliari care sunt întreprinderi stabilite în Austria.</w:t>
      </w:r>
    </w:p>
    <w:p w14:paraId="0EEB9E89" w14:textId="4D8405FB" w:rsidR="008D151E" w:rsidRDefault="003513C3" w:rsidP="008D151E">
      <w:pPr>
        <w:spacing w:after="240"/>
        <w:ind w:left="720"/>
        <w:jc w:val="both"/>
        <w:rPr>
          <w:rFonts w:ascii="Times New Roman" w:hAnsi="Times New Roman" w:cs="Times New Roman"/>
          <w:noProof/>
          <w:sz w:val="24"/>
          <w:szCs w:val="24"/>
        </w:rPr>
      </w:pPr>
      <w:r>
        <w:rPr>
          <w:rFonts w:ascii="Times New Roman" w:hAnsi="Times New Roman"/>
          <w:noProof/>
          <w:sz w:val="24"/>
        </w:rPr>
        <w:t>În plus, cifrele privind numărul sau ponderea estimată a tranzacțiilor care ar intra sub incidența măsurii solicitate, precum și expunerea percepută la fraudă rămân oarecum neclare. Pe baza informațiilor furnizate de Austria, calculele par să indice că operațiunile potențial frauduloase reprezintă aproximativ 3,33 % din cifra de afaceri totală a tranzacțiilor B2B cu bunuri imobile care sunt supuse TVA în Austria. De asemenea, este calculată o expunere anuală estimată de 100 de milioane EUR, pe baza unui număr de 50 de tranzacții în valoare de 10 milioane EUR, la o cotă de TVA de 20 %. Tot pe baza datelor furnizate de autoritățile austriece, care indică un număr destul de limitat de tranzacții, măsurile de control convenționale ar trebui să fie suficiente pentru a face față riscului specific de fraudă în materie de TVA. De exemplu, autoritățile naționale ar putea avea în vedere obligația notarilor de a informa imediat/ex ante autoritățile fiscale cu privire la încheierea unor astfel de tranzacții. Acest lucru ar putea ajuta, de asemenea, Austria să remedieze problema insolvențelor menționată în cea de a doua scrisoare a sa.</w:t>
      </w:r>
    </w:p>
    <w:p w14:paraId="1E5599D9" w14:textId="2BF82B8D"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CONCLUZIE</w:t>
      </w:r>
    </w:p>
    <w:p w14:paraId="2D1CCFAB" w14:textId="17502B81" w:rsidR="00A10DB1" w:rsidRDefault="00A10DB1" w:rsidP="00074E0C">
      <w:pPr>
        <w:ind w:left="720"/>
        <w:jc w:val="both"/>
        <w:rPr>
          <w:rFonts w:ascii="Times New Roman" w:hAnsi="Times New Roman" w:cs="Times New Roman"/>
          <w:noProof/>
          <w:kern w:val="0"/>
          <w:sz w:val="24"/>
          <w:szCs w:val="24"/>
          <w14:ligatures w14:val="none"/>
        </w:rPr>
      </w:pPr>
      <w:r>
        <w:rPr>
          <w:rFonts w:ascii="Times New Roman" w:hAnsi="Times New Roman"/>
          <w:noProof/>
          <w:sz w:val="24"/>
        </w:rPr>
        <w:t xml:space="preserve">Având în vedere domeniul de aplicare limitat și argumentele menționate mai sus, cererea Austriei </w:t>
      </w:r>
      <w:r>
        <w:rPr>
          <w:rFonts w:ascii="Times New Roman" w:hAnsi="Times New Roman"/>
          <w:b/>
          <w:noProof/>
          <w:sz w:val="24"/>
        </w:rPr>
        <w:t>nu demonstrează în mod convingător</w:t>
      </w:r>
      <w:r>
        <w:rPr>
          <w:rFonts w:ascii="Times New Roman" w:hAnsi="Times New Roman"/>
          <w:noProof/>
          <w:sz w:val="24"/>
        </w:rPr>
        <w:t xml:space="preserve"> că măsura este necesară și proporționată. </w:t>
      </w:r>
    </w:p>
    <w:p w14:paraId="0D2CC774" w14:textId="037B5806" w:rsidR="00074E0C" w:rsidRPr="00592338" w:rsidRDefault="002068D9" w:rsidP="00074E0C">
      <w:pPr>
        <w:ind w:left="720"/>
        <w:jc w:val="both"/>
        <w:rPr>
          <w:rFonts w:ascii="Times New Roman" w:hAnsi="Times New Roman" w:cs="Times New Roman"/>
          <w:noProof/>
          <w:kern w:val="0"/>
          <w:sz w:val="24"/>
          <w:szCs w:val="24"/>
          <w14:ligatures w14:val="none"/>
        </w:rPr>
      </w:pPr>
      <w:r>
        <w:rPr>
          <w:rFonts w:ascii="Times New Roman" w:hAnsi="Times New Roman"/>
          <w:noProof/>
          <w:sz w:val="24"/>
        </w:rPr>
        <w:t>Prin urmare, Comisia se opune cererii prezentate de Austria.</w:t>
      </w:r>
    </w:p>
    <w:sectPr w:rsidR="00074E0C" w:rsidRPr="00592338"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65380" w14:textId="77777777" w:rsidR="00685847" w:rsidRDefault="00685847" w:rsidP="003170E8">
      <w:pPr>
        <w:spacing w:after="0" w:line="240" w:lineRule="auto"/>
      </w:pPr>
      <w:r>
        <w:separator/>
      </w:r>
    </w:p>
  </w:endnote>
  <w:endnote w:type="continuationSeparator" w:id="0">
    <w:p w14:paraId="7AC79647" w14:textId="77777777" w:rsidR="00685847" w:rsidRDefault="00685847" w:rsidP="0031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EF6ED" w14:textId="1538BD26" w:rsidR="000B1B29" w:rsidRPr="000B1B29" w:rsidRDefault="000B1B29" w:rsidP="000B1B29">
    <w:pPr>
      <w:pStyle w:val="FooterCoverPage"/>
      <w:rPr>
        <w:rFonts w:ascii="Arial" w:hAnsi="Arial" w:cs="Arial"/>
        <w:b/>
        <w:sz w:val="48"/>
      </w:rPr>
    </w:pPr>
    <w:r w:rsidRPr="000B1B29">
      <w:rPr>
        <w:rFonts w:ascii="Arial" w:hAnsi="Arial" w:cs="Arial"/>
        <w:b/>
        <w:sz w:val="48"/>
      </w:rPr>
      <w:t>RO</w:t>
    </w:r>
    <w:r w:rsidRPr="000B1B29">
      <w:rPr>
        <w:rFonts w:ascii="Arial" w:hAnsi="Arial" w:cs="Arial"/>
        <w:b/>
        <w:sz w:val="48"/>
      </w:rPr>
      <w:tab/>
    </w:r>
    <w:r w:rsidRPr="000B1B29">
      <w:rPr>
        <w:rFonts w:ascii="Arial" w:hAnsi="Arial" w:cs="Arial"/>
        <w:b/>
        <w:sz w:val="48"/>
      </w:rPr>
      <w:tab/>
    </w:r>
    <w:r w:rsidRPr="000B1B29">
      <w:tab/>
    </w:r>
    <w:r w:rsidRPr="000B1B2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CCFA8" w14:textId="5241978A" w:rsidR="000B1B29" w:rsidRPr="000B1B29" w:rsidRDefault="000B1B29" w:rsidP="000B1B29">
    <w:pPr>
      <w:pStyle w:val="FooterCoverPage"/>
      <w:rPr>
        <w:rFonts w:ascii="Arial" w:hAnsi="Arial" w:cs="Arial"/>
        <w:b/>
        <w:sz w:val="48"/>
      </w:rPr>
    </w:pPr>
    <w:r w:rsidRPr="000B1B29">
      <w:rPr>
        <w:rFonts w:ascii="Arial" w:hAnsi="Arial" w:cs="Arial"/>
        <w:b/>
        <w:sz w:val="48"/>
      </w:rPr>
      <w:t>RO</w:t>
    </w:r>
    <w:r w:rsidRPr="000B1B29">
      <w:rPr>
        <w:rFonts w:ascii="Arial" w:hAnsi="Arial" w:cs="Arial"/>
        <w:b/>
        <w:sz w:val="48"/>
      </w:rPr>
      <w:tab/>
    </w:r>
    <w:r w:rsidRPr="000B1B29">
      <w:rPr>
        <w:rFonts w:ascii="Arial" w:hAnsi="Arial" w:cs="Arial"/>
        <w:b/>
        <w:sz w:val="48"/>
      </w:rPr>
      <w:tab/>
    </w:r>
    <w:r w:rsidRPr="000B1B29">
      <w:tab/>
    </w:r>
    <w:r w:rsidRPr="000B1B2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DBBD0" w14:textId="77777777" w:rsidR="000B1B29" w:rsidRPr="000B1B29" w:rsidRDefault="000B1B29" w:rsidP="000B1B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43466"/>
      <w:docPartObj>
        <w:docPartGallery w:val="Page Numbers (Bottom of Page)"/>
        <w:docPartUnique/>
      </w:docPartObj>
    </w:sdtPr>
    <w:sdtEndPr>
      <w:rPr>
        <w:noProof/>
      </w:rPr>
    </w:sdtEndPr>
    <w:sdtContent>
      <w:p w14:paraId="5193D664" w14:textId="0685E40F" w:rsidR="003E6F1E" w:rsidRDefault="003E6F1E">
        <w:pPr>
          <w:pStyle w:val="Footer"/>
          <w:jc w:val="center"/>
        </w:pPr>
        <w:r>
          <w:fldChar w:fldCharType="begin"/>
        </w:r>
        <w:r>
          <w:instrText xml:space="preserve"> PAGE   \* MERGEFORMAT </w:instrText>
        </w:r>
        <w:r>
          <w:fldChar w:fldCharType="separate"/>
        </w:r>
        <w:r w:rsidR="000B1B29">
          <w:rPr>
            <w:noProof/>
          </w:rPr>
          <w:t>1</w:t>
        </w:r>
        <w:r>
          <w:fldChar w:fldCharType="end"/>
        </w:r>
      </w:p>
    </w:sdtContent>
  </w:sdt>
  <w:p w14:paraId="7345A900" w14:textId="77777777" w:rsidR="003170E8"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7C93D" w14:textId="77777777" w:rsidR="00685847" w:rsidRDefault="00685847" w:rsidP="003170E8">
      <w:pPr>
        <w:spacing w:after="0" w:line="240" w:lineRule="auto"/>
      </w:pPr>
      <w:r>
        <w:separator/>
      </w:r>
    </w:p>
  </w:footnote>
  <w:footnote w:type="continuationSeparator" w:id="0">
    <w:p w14:paraId="1B4B4D33" w14:textId="77777777" w:rsidR="00685847" w:rsidRDefault="00685847" w:rsidP="003170E8">
      <w:pPr>
        <w:spacing w:after="0" w:line="240" w:lineRule="auto"/>
      </w:pPr>
      <w:r>
        <w:continuationSeparator/>
      </w:r>
    </w:p>
  </w:footnote>
  <w:footnote w:id="1">
    <w:p w14:paraId="12C4B32F" w14:textId="77777777" w:rsidR="00734CA2" w:rsidRPr="00826B46" w:rsidRDefault="00734CA2" w:rsidP="00734CA2">
      <w:pPr>
        <w:pStyle w:val="FootnoteText"/>
        <w:ind w:left="284" w:hanging="284"/>
        <w:rPr>
          <w:sz w:val="16"/>
          <w:szCs w:val="16"/>
        </w:rPr>
      </w:pPr>
      <w:r>
        <w:rPr>
          <w:rStyle w:val="FootnoteReference"/>
        </w:rPr>
        <w:footnoteRef/>
      </w:r>
      <w:r>
        <w:t xml:space="preserve"> </w:t>
      </w:r>
      <w:r>
        <w:rPr>
          <w:rFonts w:ascii="Times New Roman" w:hAnsi="Times New Roman"/>
          <w:color w:val="444444"/>
          <w:shd w:val="clear" w:color="auto" w:fill="FFFFFF"/>
        </w:rPr>
        <w:t>JO L 347, 11.12.2006, p. 1</w:t>
      </w:r>
    </w:p>
  </w:footnote>
  <w:footnote w:id="2">
    <w:p w14:paraId="1F1ABDAF" w14:textId="77777777" w:rsidR="00734CA2" w:rsidRPr="00755140" w:rsidRDefault="00734CA2" w:rsidP="00734CA2">
      <w:pPr>
        <w:pStyle w:val="FootnoteText"/>
      </w:pPr>
      <w:r>
        <w:rPr>
          <w:rStyle w:val="FootnoteReference"/>
        </w:rPr>
        <w:footnoteRef/>
      </w:r>
      <w:r>
        <w:t xml:space="preserve"> </w:t>
      </w:r>
      <w:r>
        <w:rPr>
          <w:rFonts w:ascii="Times New Roman" w:hAnsi="Times New Roman"/>
        </w:rPr>
        <w:t xml:space="preserve">A se vedea hotărârea din 27 ianuarie 2011 în cauza </w:t>
      </w:r>
      <w:r>
        <w:rPr>
          <w:rFonts w:ascii="Times New Roman" w:hAnsi="Times New Roman"/>
          <w:i/>
        </w:rPr>
        <w:t>Vandoorne</w:t>
      </w:r>
      <w:r>
        <w:rPr>
          <w:rFonts w:ascii="Times New Roman" w:hAnsi="Times New Roman"/>
        </w:rPr>
        <w:t xml:space="preserve"> C-489/09, EU:C:2011:33, punctul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30EC3" w14:textId="77777777" w:rsidR="000B1B29" w:rsidRPr="000B1B29" w:rsidRDefault="000B1B29" w:rsidP="000B1B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B15C0" w14:textId="77777777" w:rsidR="000B1B29" w:rsidRPr="000B1B29" w:rsidRDefault="000B1B29" w:rsidP="000B1B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F81B8" w14:textId="77777777" w:rsidR="000B1B29" w:rsidRPr="000B1B29" w:rsidRDefault="000B1B29" w:rsidP="000B1B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498887F-2F5D-42F2-BC15-421E0AF7F7AF"/>
    <w:docVar w:name="LW_COVERPAGE_TYPE" w:val="1"/>
    <w:docVar w:name="LW_CROSSREFERENCE" w:val="&lt;UNUSED&gt;"/>
    <w:docVar w:name="LW_DocType" w:val="NORMAL"/>
    <w:docVar w:name="LW_EMISSION" w:val="6.2.2026"/>
    <w:docVar w:name="LW_EMISSION_ISODATE" w:val="2026-02-06"/>
    <w:docVar w:name="LW_EMISSION_LOCATION" w:val="BRX"/>
    <w:docVar w:name="LW_EMISSION_PREFIX" w:val="Bruxelles, "/>
    <w:docVar w:name="LW_EMISSION_SUFFIX" w:val=" "/>
    <w:docVar w:name="LW_ID_DOCTYPE_NONLW" w:val="CP-01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în conformitate cu articolul 395 din Directiva 2006/112/CE a Consiliului"/>
    <w:docVar w:name="LW_TYPE.DOC.CP" w:val="COMUNICARE A COMISIEI C\u258?TRE CONSILIU"/>
    <w:docVar w:name="LW_TYPE.DOC.CP.USERTEXT" w:val="&lt;EMPTY&gt;"/>
    <w:docVar w:name="LwApiVersions" w:val="LW4CoDe 1.24.5.0; LW 9.2, Build 20251112"/>
  </w:docVars>
  <w:rsids>
    <w:rsidRoot w:val="003170E8"/>
    <w:rsid w:val="0000695A"/>
    <w:rsid w:val="00013FA3"/>
    <w:rsid w:val="00015D53"/>
    <w:rsid w:val="0001778E"/>
    <w:rsid w:val="00020210"/>
    <w:rsid w:val="00027462"/>
    <w:rsid w:val="000560EC"/>
    <w:rsid w:val="000632AE"/>
    <w:rsid w:val="00064EFE"/>
    <w:rsid w:val="00074E0C"/>
    <w:rsid w:val="00077A83"/>
    <w:rsid w:val="00084984"/>
    <w:rsid w:val="000B1B29"/>
    <w:rsid w:val="00132C1B"/>
    <w:rsid w:val="001348DC"/>
    <w:rsid w:val="00146D4D"/>
    <w:rsid w:val="001539CC"/>
    <w:rsid w:val="00163771"/>
    <w:rsid w:val="001A2247"/>
    <w:rsid w:val="001D29D1"/>
    <w:rsid w:val="001F2C9C"/>
    <w:rsid w:val="00203357"/>
    <w:rsid w:val="002068D9"/>
    <w:rsid w:val="00216E3E"/>
    <w:rsid w:val="00226D5A"/>
    <w:rsid w:val="00255D44"/>
    <w:rsid w:val="0025767C"/>
    <w:rsid w:val="00296612"/>
    <w:rsid w:val="002B29F1"/>
    <w:rsid w:val="002C4BA5"/>
    <w:rsid w:val="002D114E"/>
    <w:rsid w:val="002F5F12"/>
    <w:rsid w:val="003170E8"/>
    <w:rsid w:val="00331F51"/>
    <w:rsid w:val="0033332A"/>
    <w:rsid w:val="003513C3"/>
    <w:rsid w:val="00354A33"/>
    <w:rsid w:val="00376597"/>
    <w:rsid w:val="00387951"/>
    <w:rsid w:val="003E6F1E"/>
    <w:rsid w:val="004023EA"/>
    <w:rsid w:val="00431D20"/>
    <w:rsid w:val="004567BC"/>
    <w:rsid w:val="0046512F"/>
    <w:rsid w:val="00484798"/>
    <w:rsid w:val="004C11BE"/>
    <w:rsid w:val="004E54C1"/>
    <w:rsid w:val="004E6656"/>
    <w:rsid w:val="00513841"/>
    <w:rsid w:val="00541747"/>
    <w:rsid w:val="0054409D"/>
    <w:rsid w:val="00580152"/>
    <w:rsid w:val="0058186A"/>
    <w:rsid w:val="00592338"/>
    <w:rsid w:val="005B284A"/>
    <w:rsid w:val="005B7CF5"/>
    <w:rsid w:val="0060407C"/>
    <w:rsid w:val="00607200"/>
    <w:rsid w:val="0061183C"/>
    <w:rsid w:val="0062126C"/>
    <w:rsid w:val="00636E30"/>
    <w:rsid w:val="00646D04"/>
    <w:rsid w:val="0066295E"/>
    <w:rsid w:val="00666DF8"/>
    <w:rsid w:val="00685847"/>
    <w:rsid w:val="006A3584"/>
    <w:rsid w:val="006A545D"/>
    <w:rsid w:val="006C5BE6"/>
    <w:rsid w:val="006D2504"/>
    <w:rsid w:val="006D7920"/>
    <w:rsid w:val="006E1264"/>
    <w:rsid w:val="006E21C9"/>
    <w:rsid w:val="007003A8"/>
    <w:rsid w:val="007158B9"/>
    <w:rsid w:val="007168DB"/>
    <w:rsid w:val="00734CA2"/>
    <w:rsid w:val="00755E87"/>
    <w:rsid w:val="00791799"/>
    <w:rsid w:val="00794FC4"/>
    <w:rsid w:val="007F17C5"/>
    <w:rsid w:val="008333E8"/>
    <w:rsid w:val="008463AC"/>
    <w:rsid w:val="00880726"/>
    <w:rsid w:val="008C6B49"/>
    <w:rsid w:val="008D151E"/>
    <w:rsid w:val="008E61F2"/>
    <w:rsid w:val="00905C3B"/>
    <w:rsid w:val="00905E1E"/>
    <w:rsid w:val="00937476"/>
    <w:rsid w:val="009442EC"/>
    <w:rsid w:val="00975082"/>
    <w:rsid w:val="009F0EA0"/>
    <w:rsid w:val="00A10DB1"/>
    <w:rsid w:val="00A167F1"/>
    <w:rsid w:val="00A72267"/>
    <w:rsid w:val="00A77CF3"/>
    <w:rsid w:val="00A82E2E"/>
    <w:rsid w:val="00A97C5B"/>
    <w:rsid w:val="00AA1020"/>
    <w:rsid w:val="00AA1CA5"/>
    <w:rsid w:val="00AA73F2"/>
    <w:rsid w:val="00AD5F24"/>
    <w:rsid w:val="00B24C45"/>
    <w:rsid w:val="00B5120E"/>
    <w:rsid w:val="00B66662"/>
    <w:rsid w:val="00B91505"/>
    <w:rsid w:val="00BD2335"/>
    <w:rsid w:val="00BE00D2"/>
    <w:rsid w:val="00C261CE"/>
    <w:rsid w:val="00C2694C"/>
    <w:rsid w:val="00C321A2"/>
    <w:rsid w:val="00C45950"/>
    <w:rsid w:val="00C91ADF"/>
    <w:rsid w:val="00CA0BA7"/>
    <w:rsid w:val="00CB4AF3"/>
    <w:rsid w:val="00CF65A6"/>
    <w:rsid w:val="00CF75D0"/>
    <w:rsid w:val="00D3248A"/>
    <w:rsid w:val="00D33879"/>
    <w:rsid w:val="00D46D1A"/>
    <w:rsid w:val="00D77C29"/>
    <w:rsid w:val="00D87054"/>
    <w:rsid w:val="00D97F7D"/>
    <w:rsid w:val="00DA415D"/>
    <w:rsid w:val="00DB42D5"/>
    <w:rsid w:val="00DB6354"/>
    <w:rsid w:val="00DB6D01"/>
    <w:rsid w:val="00DC4234"/>
    <w:rsid w:val="00E03E28"/>
    <w:rsid w:val="00E259AA"/>
    <w:rsid w:val="00E3181E"/>
    <w:rsid w:val="00E62CAF"/>
    <w:rsid w:val="00E6437D"/>
    <w:rsid w:val="00E65E3D"/>
    <w:rsid w:val="00F01F19"/>
    <w:rsid w:val="00F21405"/>
    <w:rsid w:val="00F50CBD"/>
    <w:rsid w:val="00F71C9B"/>
    <w:rsid w:val="00F9787A"/>
    <w:rsid w:val="00FB635B"/>
    <w:rsid w:val="00FC4208"/>
    <w:rsid w:val="00FC4B94"/>
    <w:rsid w:val="00FE259A"/>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semiHidden/>
    <w:unhideWhenUsed/>
    <w:rsid w:val="00734CA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34CA2"/>
    <w:rPr>
      <w:kern w:val="0"/>
      <w:sz w:val="20"/>
      <w:szCs w:val="20"/>
      <w:lang w:val="ro-RO"/>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B23CD-DA48-433E-ADB5-FCB534406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2025-12-18T09:22:00Z</dcterms:created>
  <dcterms:modified xsi:type="dcterms:W3CDTF">2026-01-30T07:48:00Z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