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92B36C-B069-42D1-8211-38F655468B7E" style="width:455.25pt;height:313.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rPr>
          <w:noProof/>
        </w:rPr>
      </w:pPr>
    </w:p>
    <w:p>
      <w:pPr>
        <w:rPr>
          <w:noProof/>
          <w:lang w:val="en-IE"/>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60"/>
        </w:sectPr>
      </w:pPr>
    </w:p>
    <w:p>
      <w:pPr>
        <w:jc w:val="center"/>
        <w:rPr>
          <w:rFonts w:ascii="Times New Roman" w:hAnsi="Times New Roman"/>
          <w:b/>
          <w:noProof/>
          <w:sz w:val="28"/>
        </w:rPr>
      </w:pPr>
      <w:r>
        <w:rPr>
          <w:rFonts w:ascii="Times New Roman" w:hAnsi="Times New Roman"/>
          <w:b/>
          <w:noProof/>
          <w:sz w:val="28"/>
        </w:rPr>
        <w:lastRenderedPageBreak/>
        <w:t xml:space="preserve">Communication sur le socle européen des droits sociaux </w:t>
      </w:r>
    </w:p>
    <w:p>
      <w:pPr>
        <w:jc w:val="center"/>
        <w:rPr>
          <w:rFonts w:ascii="Times New Roman" w:eastAsia="Arial" w:hAnsi="Times New Roman" w:cs="Times New Roman"/>
          <w:b/>
          <w:bCs/>
          <w:noProof/>
          <w:sz w:val="24"/>
          <w:szCs w:val="24"/>
        </w:rPr>
      </w:pPr>
    </w:p>
    <w:p>
      <w:pPr>
        <w:spacing w:line="276" w:lineRule="auto"/>
        <w:jc w:val="both"/>
        <w:rPr>
          <w:rFonts w:ascii="Times New Roman" w:eastAsia="Arial" w:hAnsi="Times New Roman" w:cs="Times New Roman"/>
          <w:b/>
          <w:bCs/>
          <w:noProof/>
          <w:sz w:val="28"/>
          <w:szCs w:val="28"/>
        </w:rPr>
      </w:pPr>
      <w:r>
        <w:rPr>
          <w:rFonts w:ascii="Times New Roman" w:hAnsi="Times New Roman"/>
          <w:b/>
          <w:noProof/>
          <w:sz w:val="28"/>
        </w:rPr>
        <w:t>Introduction</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L’Union européenne repose sur la conviction que le progrès social et la dignité humaine constituent le fondement d’une société juste, démocratique et résiliente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L’article 3 du traité sur l’Union européenne fixe à l’Union l’objectif d’une économie sociale de marché hautement compétitive, qui tend au plein emploi et au progrès social, et s’inscrit dans une lignée qui va de la vision de prospérité partagée du traité de Rome à la vision sociale définie dans la charte communautaire des droits sociaux fondamentaux des travailleurs de 1989 et réaffirmée dans la charte des droits fondamentaux.</w:t>
      </w:r>
      <w:r>
        <w:rPr>
          <w:noProof/>
        </w:rPr>
        <w:t xml:space="preserve"> </w:t>
      </w:r>
      <w:r>
        <w:rPr>
          <w:rFonts w:ascii="Times New Roman" w:hAnsi="Times New Roman"/>
          <w:noProof/>
          <w:sz w:val="24"/>
        </w:rPr>
        <w:t xml:space="preserve">Cet engagement inébranlable envers les valeurs et les principes de l’Union a façonné une Europe qui aspire à montrer la voie au niveau mondial en matière de solidarité, d’égalité et de bien-être des citoyens.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 xml:space="preserve">Le </w:t>
      </w:r>
      <w:hyperlink r:id="rId22">
        <w:r>
          <w:rPr>
            <w:rStyle w:val="Hyperlink"/>
            <w:rFonts w:ascii="Times New Roman" w:hAnsi="Times New Roman"/>
            <w:b/>
            <w:noProof/>
            <w:sz w:val="24"/>
          </w:rPr>
          <w:t>socle européen des droits sociaux</w:t>
        </w:r>
      </w:hyperlink>
      <w:r>
        <w:rPr>
          <w:rFonts w:ascii="Times New Roman" w:hAnsi="Times New Roman"/>
          <w:b/>
          <w:noProof/>
          <w:sz w:val="24"/>
        </w:rPr>
        <w:t xml:space="preserve"> constitue le cadre de référence de l’Europe sociale. </w:t>
      </w:r>
      <w:r>
        <w:rPr>
          <w:rFonts w:ascii="Times New Roman" w:hAnsi="Times New Roman"/>
          <w:noProof/>
          <w:sz w:val="24"/>
        </w:rPr>
        <w:t>Ce socle a été proclamé pour guider le modèle social européen, qui est une véritable réussite et a fait de l’UE un des meilleurs endroits au monde pour vivre, travailler et étudier. Il reste le bouclier social de l’UE et sa boussole pour l’équité à une époque marquée par des transformations rapides et des défis, mais aussi par de nombreuses possibilités. Il rappelle en permanence le type d’Europe que l’Union cherche à construire: une Europe qui protège ses citoyens et leur donne les moyens d’agir.</w:t>
      </w:r>
    </w:p>
    <w:p>
      <w:pPr>
        <w:spacing w:before="240" w:after="240" w:line="276" w:lineRule="auto"/>
        <w:jc w:val="both"/>
        <w:rPr>
          <w:rFonts w:ascii="Times New Roman" w:eastAsia="Arial" w:hAnsi="Times New Roman" w:cs="Times New Roman"/>
          <w:noProof/>
          <w:sz w:val="24"/>
          <w:szCs w:val="24"/>
        </w:rPr>
      </w:pPr>
      <w:r>
        <w:rPr>
          <w:rFonts w:ascii="Times New Roman" w:hAnsi="Times New Roman"/>
          <w:noProof/>
          <w:sz w:val="24"/>
        </w:rPr>
        <w:t xml:space="preserve">Proclamés conjointement en 2017 par le Parlement européen, le Conseil et la Commission, </w:t>
      </w:r>
      <w:r>
        <w:rPr>
          <w:rFonts w:ascii="Times New Roman" w:hAnsi="Times New Roman"/>
          <w:b/>
          <w:noProof/>
          <w:sz w:val="24"/>
        </w:rPr>
        <w:t xml:space="preserve">les 20 principes du </w:t>
      </w:r>
      <w:hyperlink r:id="rId23" w:history="1">
        <w:r>
          <w:rPr>
            <w:rStyle w:val="Hyperlink"/>
            <w:rFonts w:ascii="Times New Roman" w:hAnsi="Times New Roman"/>
            <w:b/>
            <w:noProof/>
            <w:sz w:val="24"/>
          </w:rPr>
          <w:t>socle européen des droits sociaux</w:t>
        </w:r>
      </w:hyperlink>
      <w:r>
        <w:rPr>
          <w:rFonts w:ascii="Times New Roman" w:hAnsi="Times New Roman"/>
          <w:b/>
          <w:noProof/>
          <w:sz w:val="24"/>
        </w:rPr>
        <w:t xml:space="preserve"> ont établi un cadre commun visant à promouvoir les droits sociaux et à améliorer les conditions de vie et de travail dans toute l’Union européenne.</w:t>
      </w:r>
      <w:r>
        <w:rPr>
          <w:rFonts w:ascii="Times New Roman" w:hAnsi="Times New Roman"/>
          <w:noProof/>
          <w:sz w:val="24"/>
        </w:rPr>
        <w:t xml:space="preserve"> </w:t>
      </w:r>
      <w:hyperlink r:id="rId24" w:history="1">
        <w:r>
          <w:rPr>
            <w:rStyle w:val="Hyperlink"/>
            <w:rFonts w:ascii="Times New Roman" w:hAnsi="Times New Roman"/>
            <w:noProof/>
            <w:sz w:val="24"/>
          </w:rPr>
          <w:t>Le plan d’a</w:t>
        </w:r>
        <w:bookmarkStart w:id="1" w:name="_Hlt233024533"/>
        <w:bookmarkStart w:id="2" w:name="_Hlt233024534"/>
        <w:r>
          <w:rPr>
            <w:rStyle w:val="Hyperlink"/>
            <w:rFonts w:ascii="Times New Roman" w:hAnsi="Times New Roman"/>
            <w:noProof/>
            <w:sz w:val="24"/>
          </w:rPr>
          <w:t>c</w:t>
        </w:r>
        <w:bookmarkEnd w:id="1"/>
        <w:bookmarkEnd w:id="2"/>
        <w:r>
          <w:rPr>
            <w:rStyle w:val="Hyperlink"/>
            <w:rFonts w:ascii="Times New Roman" w:hAnsi="Times New Roman"/>
            <w:noProof/>
            <w:sz w:val="24"/>
          </w:rPr>
          <w:t>tion de 2021</w:t>
        </w:r>
      </w:hyperlink>
      <w:r>
        <w:rPr>
          <w:rFonts w:ascii="Times New Roman" w:hAnsi="Times New Roman"/>
          <w:noProof/>
          <w:sz w:val="24"/>
        </w:rPr>
        <w:t>, approuvé lors du sommet social de Porto, a traduit ces principes en initiatives concrètes visant à renforcer le tissu social de l’UE, en proposant 75 actions et trois grands objectifs pour 2030. Ce plan d’action a également permis de réaffirmer l’engagement de l’Union en faveur des droits fondamentaux et de la réalisation des objectifs de développement durable à l’horizon 2030.</w:t>
      </w:r>
    </w:p>
    <w:p>
      <w:pPr>
        <w:spacing w:before="240" w:after="240"/>
        <w:jc w:val="center"/>
        <w:rPr>
          <w:rFonts w:ascii="Times New Roman" w:eastAsia="Arial" w:hAnsi="Times New Roman" w:cs="Times New Roman"/>
          <w:noProof/>
          <w:sz w:val="24"/>
          <w:szCs w:val="24"/>
        </w:rPr>
      </w:pPr>
      <w:r>
        <w:rPr>
          <w:noProof/>
        </w:rPr>
        <w:lastRenderedPageBreak/>
        <w:drawing>
          <wp:inline distT="0" distB="0" distL="0" distR="0">
            <wp:extent cx="3721100" cy="3441997"/>
            <wp:effectExtent l="0" t="0" r="0" b="6350"/>
            <wp:docPr id="1143893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93578" name=""/>
                    <pic:cNvPicPr/>
                  </pic:nvPicPr>
                  <pic:blipFill>
                    <a:blip r:embed="rId25"/>
                    <a:stretch>
                      <a:fillRect/>
                    </a:stretch>
                  </pic:blipFill>
                  <pic:spPr>
                    <a:xfrm>
                      <a:off x="0" y="0"/>
                      <a:ext cx="3735227" cy="3455064"/>
                    </a:xfrm>
                    <a:prstGeom prst="rect">
                      <a:avLst/>
                    </a:prstGeom>
                  </pic:spPr>
                </pic:pic>
              </a:graphicData>
            </a:graphic>
          </wp:inline>
        </w:drawing>
      </w:r>
    </w:p>
    <w:p>
      <w:pPr>
        <w:spacing w:line="276" w:lineRule="auto"/>
        <w:jc w:val="both"/>
        <w:rPr>
          <w:rFonts w:ascii="Times New Roman" w:hAnsi="Times New Roman"/>
          <w:noProof/>
          <w:sz w:val="24"/>
          <w:szCs w:val="24"/>
        </w:rPr>
      </w:pPr>
      <w:r>
        <w:rPr>
          <w:rFonts w:ascii="Times New Roman" w:hAnsi="Times New Roman"/>
          <w:b/>
          <w:noProof/>
          <w:sz w:val="24"/>
        </w:rPr>
        <w:t>Ce socle a orienté les mesures prises au niveau de l’UE et dans les États membres, prouvant ainsi son utilité en tant que bouclier en temps de crise et boussole pour nous aider à traverser les transformations auxquelles l’UE est confrontée</w:t>
      </w:r>
      <w:r>
        <w:rPr>
          <w:rFonts w:ascii="Times New Roman" w:hAnsi="Times New Roman"/>
          <w:noProof/>
          <w:sz w:val="24"/>
        </w:rPr>
        <w:t xml:space="preserve">, comme l’a confirmé la déclaration de La Hulpe de 2024. La pandémie de COVID-19, la guerre d’agression menée par la Russie contre l’Ukraine et la crise énergétique et du coût de la vie qui en a découlé ont mis à rude épreuve le tissu social de l’UE. Pourtant, grâce à la solidarité de l’UE et à des instruments efficaces de réaction aux crises, tels que </w:t>
      </w:r>
      <w:hyperlink r:id="rId26" w:history="1">
        <w:r>
          <w:rPr>
            <w:rStyle w:val="Hyperlink"/>
            <w:rFonts w:ascii="Times New Roman" w:hAnsi="Times New Roman"/>
            <w:noProof/>
            <w:sz w:val="24"/>
          </w:rPr>
          <w:t>SURE</w:t>
        </w:r>
      </w:hyperlink>
      <w:r>
        <w:rPr>
          <w:rFonts w:ascii="Times New Roman" w:hAnsi="Times New Roman"/>
          <w:noProof/>
          <w:sz w:val="24"/>
        </w:rPr>
        <w:t xml:space="preserve">, la </w:t>
      </w:r>
      <w:hyperlink r:id="rId27" w:history="1">
        <w:r>
          <w:rPr>
            <w:rStyle w:val="Hyperlink"/>
            <w:rFonts w:ascii="Times New Roman" w:hAnsi="Times New Roman"/>
            <w:noProof/>
            <w:sz w:val="24"/>
          </w:rPr>
          <w:t>facilité pour la reprise et la résilience</w:t>
        </w:r>
      </w:hyperlink>
      <w:r>
        <w:rPr>
          <w:rFonts w:ascii="Times New Roman" w:hAnsi="Times New Roman"/>
          <w:noProof/>
          <w:sz w:val="24"/>
        </w:rPr>
        <w:t xml:space="preserve"> et </w:t>
      </w:r>
      <w:hyperlink r:id="rId28" w:history="1">
        <w:r>
          <w:rPr>
            <w:rStyle w:val="Hyperlink"/>
            <w:rFonts w:ascii="Times New Roman" w:hAnsi="Times New Roman"/>
            <w:noProof/>
            <w:sz w:val="24"/>
          </w:rPr>
          <w:t>les fonds de la politique de cohésion</w:t>
        </w:r>
      </w:hyperlink>
      <w:r>
        <w:rPr>
          <w:rFonts w:ascii="Times New Roman" w:hAnsi="Times New Roman"/>
          <w:noProof/>
          <w:sz w:val="24"/>
        </w:rPr>
        <w:t>, ainsi qu’à des investissements et des réformes aux niveaux national et régional, l’Union a su gérer collectivement ces chocs tout en préservant l’emploi, les compétences et la protection sociale. Toutefois, aujourd’hui, les défis évoluent: les tensions géopolitiques, la situation générale en matière de sécurité, les frictions commerciales, le recul de la démocratie et la fragmentation de la coopération internationale exigent que l’Europe renforce sa résilience de l’intérieur.</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Ce socle et ses principes restent plus pertinents que jamais, voire davantage, alors que nous devons anticiper, préparer et gérer les changements structurels.</w:t>
      </w:r>
      <w:r>
        <w:rPr>
          <w:rFonts w:ascii="Times New Roman" w:hAnsi="Times New Roman"/>
          <w:noProof/>
          <w:sz w:val="24"/>
        </w:rPr>
        <w:t xml:space="preserve"> Les évolutions démographiques, mises en évidence dans le rapport de la Commission de 2026 intitulé </w:t>
      </w:r>
      <w:r>
        <w:rPr>
          <w:noProof/>
        </w:rPr>
        <w:t>«</w:t>
      </w:r>
      <w:hyperlink r:id="rId29" w:history="1">
        <w:r>
          <w:rPr>
            <w:rStyle w:val="Hyperlink"/>
            <w:rFonts w:ascii="Times New Roman" w:hAnsi="Times New Roman"/>
            <w:noProof/>
            <w:sz w:val="24"/>
          </w:rPr>
          <w:t>Demographic transformation in the EU:</w:t>
        </w:r>
      </w:hyperlink>
      <w:hyperlink r:id="rId30" w:history="1">
        <w:r>
          <w:rPr>
            <w:rStyle w:val="Hyperlink"/>
            <w:rFonts w:ascii="Times New Roman" w:hAnsi="Times New Roman"/>
            <w:noProof/>
            <w:sz w:val="24"/>
          </w:rPr>
          <w:t xml:space="preserve"> understanding change and adapting to its consequences</w:t>
        </w:r>
      </w:hyperlink>
      <w:r>
        <w:rPr>
          <w:noProof/>
        </w:rPr>
        <w:t>»</w:t>
      </w:r>
      <w:r>
        <w:rPr>
          <w:rFonts w:ascii="Times New Roman" w:hAnsi="Times New Roman"/>
          <w:noProof/>
          <w:sz w:val="24"/>
        </w:rPr>
        <w:t xml:space="preserve"> (La transformation démographique dans l’UE: comprendre le changement et s’adapter à ses conséquences), accélèrent les mutations au sein de la main-d’œuvre et de la société de l’UE. Les transitions numérique et écologique, dans un contexte marqué par des défis géopolitiques mondiaux et des préoccupations en matière de sécurité, redéfinissent également l’industrie européenne, ainsi que les besoins en matière d’emplois et de compétences. La gestion de ces mutations nécessite un cadre réglementaire permettant aux entreprises d’investir et de se développer, ainsi que des systèmes d’éducation et de formation dotant chacun des compétences recherchées, l’accès à des services de qualité et abordables, </w:t>
      </w:r>
      <w:r>
        <w:rPr>
          <w:rFonts w:ascii="Times New Roman" w:hAnsi="Times New Roman"/>
          <w:noProof/>
          <w:sz w:val="24"/>
        </w:rPr>
        <w:lastRenderedPageBreak/>
        <w:t xml:space="preserve">notamment pour soutenir un marché du travail inclusif, et des systèmes solides de protection sociale et d’inclusion sociale. Afin de favoriser cet équilibre, comme l’affirme la </w:t>
      </w:r>
      <w:hyperlink r:id="rId31">
        <w:r>
          <w:rPr>
            <w:rStyle w:val="Hyperlink"/>
            <w:rFonts w:ascii="Times New Roman" w:hAnsi="Times New Roman"/>
            <w:noProof/>
            <w:sz w:val="24"/>
          </w:rPr>
          <w:t>feuille de route «Une Europe, un marché»</w:t>
        </w:r>
      </w:hyperlink>
      <w:r>
        <w:rPr>
          <w:rFonts w:ascii="Times New Roman" w:hAnsi="Times New Roman"/>
          <w:noProof/>
          <w:sz w:val="24"/>
        </w:rPr>
        <w:t xml:space="preserve">, la politique industrielle européenne doit être élaborée «d’une manière qui respecte le socle européen des droits sociaux afin de créer une transition juste garantissant des emplois de qualité et ne laissant personne de côté». </w:t>
      </w:r>
    </w:p>
    <w:p>
      <w:pPr>
        <w:spacing w:line="276" w:lineRule="auto"/>
        <w:jc w:val="both"/>
        <w:rPr>
          <w:rFonts w:ascii="Times New Roman" w:hAnsi="Times New Roman"/>
          <w:noProof/>
          <w:sz w:val="24"/>
        </w:rPr>
      </w:pPr>
      <w:r>
        <w:rPr>
          <w:rFonts w:ascii="Times New Roman" w:hAnsi="Times New Roman"/>
          <w:noProof/>
          <w:sz w:val="24"/>
        </w:rPr>
        <w:t>Le socle continue également d’orienter l’action extérieure de la Commission en promouvant des normes sociales et du travail élevées au-delà des frontières de l’UE. S’appuyant sur le plan d’action de 2021, la Commission renforce son engagement multilatéral, promeut le travail décent et une conduite responsable des entreprises dans les chaînes de valeur mondiales, et aide les pays partenaires à aligner leurs politiques en matière d’emploi, de compétences et d’affaires sociales sur les principes du socle. Référence essentielle pour les pays candidats à l’adhésion et les pays du voisinage</w:t>
      </w:r>
      <w:r>
        <w:rPr>
          <w:rStyle w:val="FootnoteReference"/>
          <w:rFonts w:ascii="Times New Roman" w:eastAsia="Arial" w:hAnsi="Times New Roman" w:cs="Times New Roman"/>
          <w:noProof/>
          <w:sz w:val="24"/>
          <w:szCs w:val="24"/>
        </w:rPr>
        <w:footnoteReference w:id="1"/>
      </w:r>
      <w:r>
        <w:rPr>
          <w:rFonts w:ascii="Times New Roman" w:hAnsi="Times New Roman"/>
          <w:noProof/>
          <w:sz w:val="24"/>
        </w:rPr>
        <w:t xml:space="preserve">, le socle promeut le modèle social de l’UE tout en offrant un cadre propice au dialogue, à la coopération et à l’apprentissage mutuel.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À l’approche du 10</w:t>
      </w:r>
      <w:r>
        <w:rPr>
          <w:rFonts w:ascii="Times New Roman" w:hAnsi="Times New Roman"/>
          <w:b/>
          <w:noProof/>
          <w:sz w:val="24"/>
          <w:vertAlign w:val="superscript"/>
        </w:rPr>
        <w:t>e</w:t>
      </w:r>
      <w:r>
        <w:rPr>
          <w:rFonts w:ascii="Times New Roman" w:hAnsi="Times New Roman"/>
          <w:b/>
          <w:noProof/>
          <w:sz w:val="24"/>
        </w:rPr>
        <w:t> anniversaire de la proclamation du socle, la présente communication vise à approfondir encore la mise en œuvre de celui-ci.</w:t>
      </w:r>
      <w:r>
        <w:rPr>
          <w:rFonts w:ascii="Times New Roman" w:hAnsi="Times New Roman"/>
          <w:noProof/>
          <w:sz w:val="24"/>
        </w:rPr>
        <w:t xml:space="preserve"> Elle dresse le bilan des progrès accomplis à ce jour et recense les priorités concrètes pour lesquelles des mesures supplémentaires sont nécessaires afin d’anticiper et de concrétiser les possibilités offertes par les transformations auxquelles l’UE est confrontée. La présente communication</w:t>
      </w:r>
      <w:r>
        <w:rPr>
          <w:rFonts w:ascii="Times New Roman" w:hAnsi="Times New Roman"/>
          <w:b/>
          <w:noProof/>
          <w:sz w:val="24"/>
        </w:rPr>
        <w:t xml:space="preserve"> </w:t>
      </w:r>
      <w:r>
        <w:rPr>
          <w:rFonts w:ascii="Times New Roman" w:hAnsi="Times New Roman"/>
          <w:noProof/>
          <w:sz w:val="24"/>
        </w:rPr>
        <w:t>propose des actions ciblées supplémentaires qui complètent le plan d’action de 2021 et apporteront une valeur ajoutée concrète, conformément à l’engagement de l’UE en faveur de la simplification et de la mise en œuvre. Elle trace également la voie pour une réflexion stratégique plus approfondie, ainsi que pour l’anticipation et la gestion des changements structurels. Le coût de l’inaction étant bien supérieur à celui de l’investissement, l’intégration des considérations sociales dans tous les domaines d’action est essentielle pour la prospérité et la compétitivité de l’Europe.</w:t>
      </w:r>
    </w:p>
    <w:p>
      <w:pPr>
        <w:spacing w:line="276" w:lineRule="auto"/>
        <w:jc w:val="both"/>
        <w:rPr>
          <w:rFonts w:ascii="Times New Roman" w:eastAsia="Times New Roman" w:hAnsi="Times New Roman" w:cs="Times New Roman"/>
          <w:noProof/>
          <w:sz w:val="2"/>
          <w:szCs w:val="2"/>
        </w:rPr>
      </w:pPr>
    </w:p>
    <w:p>
      <w:pPr>
        <w:pStyle w:val="ListParagraph"/>
        <w:numPr>
          <w:ilvl w:val="0"/>
          <w:numId w:val="37"/>
        </w:numPr>
        <w:spacing w:line="276" w:lineRule="auto"/>
        <w:jc w:val="both"/>
        <w:rPr>
          <w:rFonts w:ascii="Times New Roman" w:eastAsia="Arial" w:hAnsi="Times New Roman" w:cs="Times New Roman"/>
          <w:b/>
          <w:bCs/>
          <w:noProof/>
          <w:sz w:val="28"/>
          <w:szCs w:val="28"/>
        </w:rPr>
      </w:pPr>
      <w:r>
        <w:rPr>
          <w:rFonts w:ascii="Times New Roman" w:hAnsi="Times New Roman"/>
          <w:b/>
          <w:noProof/>
          <w:sz w:val="28"/>
        </w:rPr>
        <w:t xml:space="preserve">Progrès réalisés depuis le plan d’action de 2021 concernant les grands objectifs pour 2030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Le plan d’action de 2021 a fixé trois grands objectifs au niveau de l’UE, assortis de sous-objectifs, à atteindre d’ici 2030</w:t>
      </w:r>
      <w:r>
        <w:rPr>
          <w:rStyle w:val="FootnoteReference"/>
          <w:rFonts w:ascii="Times New Roman" w:eastAsia="Arial" w:hAnsi="Times New Roman" w:cs="Times New Roman"/>
          <w:noProof/>
          <w:sz w:val="24"/>
          <w:szCs w:val="24"/>
          <w:lang w:val="en-IE"/>
        </w:rPr>
        <w:footnoteReference w:id="2"/>
      </w:r>
      <w:r>
        <w:rPr>
          <w:noProof/>
        </w:rPr>
        <w:t>:</w:t>
      </w:r>
      <w:r>
        <w:rPr>
          <w:rFonts w:ascii="Times New Roman" w:hAnsi="Times New Roman"/>
          <w:noProof/>
          <w:sz w:val="24"/>
        </w:rPr>
        <w:t xml:space="preserve"> </w:t>
      </w:r>
    </w:p>
    <w:p>
      <w:pPr>
        <w:pStyle w:val="ListParagraph"/>
        <w:numPr>
          <w:ilvl w:val="0"/>
          <w:numId w:val="29"/>
        </w:numPr>
        <w:spacing w:line="276" w:lineRule="auto"/>
        <w:jc w:val="both"/>
        <w:rPr>
          <w:rFonts w:ascii="Times New Roman" w:eastAsia="Arial" w:hAnsi="Times New Roman" w:cs="Times New Roman"/>
          <w:b/>
          <w:noProof/>
          <w:sz w:val="24"/>
          <w:szCs w:val="24"/>
        </w:rPr>
      </w:pPr>
      <w:r>
        <w:rPr>
          <w:rFonts w:ascii="Times New Roman" w:hAnsi="Times New Roman"/>
          <w:b/>
          <w:noProof/>
          <w:sz w:val="24"/>
        </w:rPr>
        <w:t>au moins 78 % des personnes âgées de 20 à 64 ans devraient occuper un emploi</w:t>
      </w:r>
      <w:r>
        <w:rPr>
          <w:rFonts w:ascii="Times" w:hAnsi="Times"/>
          <w:noProof/>
          <w:sz w:val="24"/>
        </w:rPr>
        <w:t>, par rapport à 2019</w:t>
      </w:r>
      <w:r>
        <w:rPr>
          <w:noProof/>
          <w:sz w:val="24"/>
        </w:rPr>
        <w:t>:</w:t>
      </w:r>
    </w:p>
    <w:p>
      <w:pPr>
        <w:pStyle w:val="ListParagraph"/>
        <w:numPr>
          <w:ilvl w:val="1"/>
          <w:numId w:val="29"/>
        </w:numPr>
        <w:spacing w:line="276" w:lineRule="auto"/>
        <w:jc w:val="both"/>
        <w:rPr>
          <w:rFonts w:ascii="Times" w:eastAsia="Times" w:hAnsi="Times" w:cs="Times"/>
          <w:noProof/>
          <w:sz w:val="24"/>
          <w:szCs w:val="24"/>
        </w:rPr>
      </w:pPr>
      <w:r>
        <w:rPr>
          <w:rFonts w:ascii="Times" w:hAnsi="Times"/>
          <w:noProof/>
          <w:sz w:val="24"/>
        </w:rPr>
        <w:t xml:space="preserve">réduire au moins de moitié l’écart du taux d’emploi entre les femmes et les hommes; </w:t>
      </w:r>
    </w:p>
    <w:p>
      <w:pPr>
        <w:pStyle w:val="ListParagraph"/>
        <w:numPr>
          <w:ilvl w:val="1"/>
          <w:numId w:val="29"/>
        </w:numPr>
        <w:spacing w:line="276" w:lineRule="auto"/>
        <w:rPr>
          <w:rFonts w:ascii="Times" w:eastAsia="Times" w:hAnsi="Times" w:cs="Times"/>
          <w:noProof/>
          <w:sz w:val="24"/>
          <w:szCs w:val="24"/>
        </w:rPr>
      </w:pPr>
      <w:r>
        <w:rPr>
          <w:rFonts w:ascii="Times" w:hAnsi="Times"/>
          <w:noProof/>
          <w:sz w:val="24"/>
        </w:rPr>
        <w:t>accroître l’offre d’éducation et d’accueil formels de la petite enfance (EAPE);</w:t>
      </w:r>
    </w:p>
    <w:p>
      <w:pPr>
        <w:pStyle w:val="ListParagraph"/>
        <w:numPr>
          <w:ilvl w:val="1"/>
          <w:numId w:val="29"/>
        </w:numPr>
        <w:spacing w:line="276" w:lineRule="auto"/>
        <w:rPr>
          <w:rFonts w:ascii="Times" w:eastAsia="Times" w:hAnsi="Times" w:cs="Times"/>
          <w:noProof/>
          <w:sz w:val="24"/>
          <w:szCs w:val="24"/>
        </w:rPr>
      </w:pPr>
      <w:r>
        <w:rPr>
          <w:rFonts w:ascii="Times" w:hAnsi="Times"/>
          <w:noProof/>
          <w:sz w:val="24"/>
        </w:rPr>
        <w:t>réduire le taux de jeunes âgés de 15 à 29 ans ne travaillant pas, ne suivant pas d’études ou de formation (NEET) de 12,6 % (en 2019) à 9 %.</w:t>
      </w:r>
    </w:p>
    <w:p>
      <w:pPr>
        <w:pStyle w:val="ListParagraph"/>
        <w:numPr>
          <w:ilvl w:val="0"/>
          <w:numId w:val="29"/>
        </w:numPr>
        <w:spacing w:line="276" w:lineRule="auto"/>
        <w:jc w:val="both"/>
        <w:rPr>
          <w:rFonts w:ascii="Times New Roman" w:eastAsia="Arial" w:hAnsi="Times New Roman" w:cs="Times New Roman"/>
          <w:b/>
          <w:noProof/>
          <w:sz w:val="24"/>
          <w:szCs w:val="24"/>
        </w:rPr>
      </w:pPr>
      <w:r>
        <w:rPr>
          <w:rFonts w:ascii="Times New Roman" w:hAnsi="Times New Roman"/>
          <w:b/>
          <w:noProof/>
          <w:sz w:val="24"/>
        </w:rPr>
        <w:lastRenderedPageBreak/>
        <w:t xml:space="preserve">au moins 60 % des adultes devraient participer à des activités de formation chaque année: </w:t>
      </w:r>
    </w:p>
    <w:p>
      <w:pPr>
        <w:pStyle w:val="ListParagraph"/>
        <w:numPr>
          <w:ilvl w:val="1"/>
          <w:numId w:val="29"/>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au moins 80 % des personnes âgées de 16 à 74 ans devraient posséder des compétences numériques élémentaires;</w:t>
      </w:r>
    </w:p>
    <w:p>
      <w:pPr>
        <w:pStyle w:val="ListParagraph"/>
        <w:numPr>
          <w:ilvl w:val="1"/>
          <w:numId w:val="29"/>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le décrochage scolaire devrait encore être réduit et la participation au deuxième cycle de l’enseignement secondaire accrue.</w:t>
      </w:r>
    </w:p>
    <w:p>
      <w:pPr>
        <w:pStyle w:val="ListParagraph"/>
        <w:numPr>
          <w:ilvl w:val="0"/>
          <w:numId w:val="29"/>
        </w:numPr>
        <w:spacing w:line="276" w:lineRule="auto"/>
        <w:jc w:val="both"/>
        <w:rPr>
          <w:rFonts w:ascii="Times New Roman" w:eastAsia="Arial" w:hAnsi="Times New Roman" w:cs="Times New Roman"/>
          <w:b/>
          <w:noProof/>
          <w:sz w:val="24"/>
          <w:szCs w:val="24"/>
        </w:rPr>
      </w:pPr>
      <w:r>
        <w:rPr>
          <w:rFonts w:ascii="Times New Roman" w:hAnsi="Times New Roman"/>
          <w:b/>
          <w:noProof/>
          <w:sz w:val="24"/>
        </w:rPr>
        <w:t>au moins 15 millions de personnes de moins exposées au risque de pauvreté ou d’exclusion sociale</w:t>
      </w:r>
      <w:r>
        <w:rPr>
          <w:rFonts w:ascii="Times New Roman" w:hAnsi="Times New Roman"/>
          <w:noProof/>
          <w:sz w:val="24"/>
        </w:rPr>
        <w:t>, par rapport à 2019:</w:t>
      </w:r>
    </w:p>
    <w:p>
      <w:pPr>
        <w:pStyle w:val="ListParagraph"/>
        <w:numPr>
          <w:ilvl w:val="1"/>
          <w:numId w:val="29"/>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ce chiffre devrait inclure au moins 5 millions d’enfants.</w:t>
      </w:r>
    </w:p>
    <w:p>
      <w:pPr>
        <w:spacing w:before="240" w:after="240"/>
        <w:jc w:val="both"/>
        <w:rPr>
          <w:rFonts w:ascii="Times New Roman" w:eastAsia="Times New Roman" w:hAnsi="Times New Roman" w:cs="Times New Roman"/>
          <w:noProof/>
          <w:sz w:val="24"/>
          <w:szCs w:val="24"/>
        </w:rPr>
      </w:pPr>
      <w:r>
        <w:rPr>
          <w:rFonts w:ascii="Times New Roman" w:hAnsi="Times New Roman"/>
          <w:noProof/>
          <w:sz w:val="24"/>
        </w:rPr>
        <w:t xml:space="preserve">Ces objectifs ont été approuvés par les dirigeants de l’UE lors du </w:t>
      </w:r>
      <w:hyperlink r:id="rId32">
        <w:r>
          <w:rPr>
            <w:rStyle w:val="Hyperlink"/>
            <w:rFonts w:ascii="Times New Roman" w:hAnsi="Times New Roman"/>
            <w:noProof/>
            <w:sz w:val="24"/>
          </w:rPr>
          <w:t>sommet social de Porto de mai 2021</w:t>
        </w:r>
      </w:hyperlink>
      <w:r>
        <w:rPr>
          <w:rFonts w:ascii="Times New Roman" w:hAnsi="Times New Roman"/>
          <w:noProof/>
          <w:sz w:val="24"/>
        </w:rPr>
        <w:t>, puis transposés dans les objectifs nationaux. Les progrès accomplis dans la réalisation des grands objectifs ont été inégaux</w:t>
      </w:r>
      <w:r>
        <w:rPr>
          <w:rStyle w:val="FootnoteReference"/>
          <w:rFonts w:ascii="Times New Roman" w:eastAsia="Arial" w:hAnsi="Times New Roman" w:cs="Times New Roman"/>
          <w:noProof/>
          <w:sz w:val="24"/>
          <w:szCs w:val="24"/>
          <w:lang w:val="en-IE"/>
        </w:rPr>
        <w:footnoteReference w:id="3"/>
      </w:r>
      <w:r>
        <w:rPr>
          <w:rFonts w:ascii="Times New Roman" w:hAnsi="Times New Roman"/>
          <w:noProof/>
          <w:sz w:val="24"/>
        </w:rPr>
        <w:t>, avec des disparités régionales et territoriales persistantes. Les tendances au niveau de l’UE sont les suivantes:</w:t>
      </w:r>
    </w:p>
    <w:p>
      <w:pPr>
        <w:pStyle w:val="ListParagraph"/>
        <w:numPr>
          <w:ilvl w:val="0"/>
          <w:numId w:val="29"/>
        </w:numPr>
        <w:spacing w:line="276" w:lineRule="auto"/>
        <w:jc w:val="both"/>
        <w:rPr>
          <w:rFonts w:ascii="Times New Roman" w:hAnsi="Times New Roman"/>
          <w:noProof/>
          <w:sz w:val="24"/>
          <w:szCs w:val="24"/>
        </w:rPr>
      </w:pPr>
      <w:r>
        <w:rPr>
          <w:rFonts w:ascii="Times New Roman" w:hAnsi="Times New Roman"/>
          <w:noProof/>
          <w:sz w:val="24"/>
        </w:rPr>
        <w:t xml:space="preserve">Avec un taux de </w:t>
      </w:r>
      <w:hyperlink r:id="rId33" w:history="1">
        <w:r>
          <w:rPr>
            <w:rStyle w:val="Hyperlink"/>
            <w:rFonts w:ascii="Times New Roman" w:hAnsi="Times New Roman"/>
            <w:b/>
            <w:noProof/>
            <w:sz w:val="24"/>
          </w:rPr>
          <w:t>76,1 % en 2025</w:t>
        </w:r>
      </w:hyperlink>
      <w:r>
        <w:rPr>
          <w:rFonts w:ascii="Times New Roman" w:hAnsi="Times New Roman"/>
          <w:noProof/>
          <w:sz w:val="24"/>
        </w:rPr>
        <w:t xml:space="preserve">, l’UE est en bonne voie pour atteindre son </w:t>
      </w:r>
      <w:r>
        <w:rPr>
          <w:rFonts w:ascii="Times New Roman" w:hAnsi="Times New Roman"/>
          <w:b/>
          <w:noProof/>
          <w:sz w:val="24"/>
        </w:rPr>
        <w:t>objectif en matière d’emploi</w:t>
      </w:r>
      <w:r>
        <w:rPr>
          <w:rFonts w:ascii="Times New Roman" w:hAnsi="Times New Roman"/>
          <w:noProof/>
          <w:sz w:val="24"/>
        </w:rPr>
        <w:t>. L’</w:t>
      </w:r>
      <w:hyperlink r:id="rId34" w:history="1">
        <w:r>
          <w:rPr>
            <w:rStyle w:val="Hyperlink"/>
            <w:rFonts w:ascii="Times New Roman" w:hAnsi="Times New Roman"/>
            <w:noProof/>
            <w:sz w:val="24"/>
          </w:rPr>
          <w:t>écart du taux d’emploi entre les femmes et les hommes</w:t>
        </w:r>
      </w:hyperlink>
      <w:r>
        <w:rPr>
          <w:rFonts w:ascii="Times New Roman" w:hAnsi="Times New Roman"/>
          <w:noProof/>
          <w:sz w:val="24"/>
        </w:rPr>
        <w:t xml:space="preserve"> s’élève désormais à 9,6 points de pourcentage, ce qui représente une légère baisse de 1,3 point de pourcentage depuis 2021. Toutefois, les </w:t>
      </w:r>
      <w:hyperlink r:id="rId35">
        <w:r>
          <w:rPr>
            <w:rStyle w:val="Hyperlink"/>
            <w:rFonts w:ascii="Times New Roman" w:hAnsi="Times New Roman"/>
            <w:noProof/>
            <w:sz w:val="24"/>
          </w:rPr>
          <w:t>prévisions économiques du printemps 2026</w:t>
        </w:r>
      </w:hyperlink>
      <w:r>
        <w:rPr>
          <w:rFonts w:ascii="Times New Roman" w:hAnsi="Times New Roman"/>
          <w:noProof/>
          <w:sz w:val="24"/>
        </w:rPr>
        <w:t xml:space="preserve"> font état d’un ralentissement de la demande de main-d’œuvre, qui pourrait freiner ces progrès dans les années à venir. Les taux d’emploi de certains groupes spécifiques présentent un tableau contrasté (par exemple, un </w:t>
      </w:r>
      <w:hyperlink r:id="rId36" w:history="1">
        <w:r>
          <w:rPr>
            <w:rStyle w:val="Hyperlink"/>
            <w:rFonts w:ascii="Times New Roman" w:hAnsi="Times New Roman"/>
            <w:noProof/>
            <w:sz w:val="24"/>
          </w:rPr>
          <w:t>écart du taux d’emploi persistant chez les personnes handicapées</w:t>
        </w:r>
      </w:hyperlink>
      <w:r>
        <w:rPr>
          <w:rFonts w:ascii="Times New Roman" w:hAnsi="Times New Roman"/>
          <w:noProof/>
          <w:sz w:val="24"/>
        </w:rPr>
        <w:t xml:space="preserve">, de 24,2 points de pourcentage en 2025, et un </w:t>
      </w:r>
      <w:hyperlink r:id="rId37" w:history="1">
        <w:r>
          <w:rPr>
            <w:rStyle w:val="Hyperlink"/>
            <w:rFonts w:ascii="Times New Roman" w:hAnsi="Times New Roman"/>
            <w:noProof/>
            <w:sz w:val="24"/>
          </w:rPr>
          <w:t>écart du taux d’emploi chez les Roms</w:t>
        </w:r>
      </w:hyperlink>
      <w:r>
        <w:rPr>
          <w:rFonts w:ascii="Times New Roman" w:hAnsi="Times New Roman"/>
          <w:noProof/>
          <w:sz w:val="24"/>
        </w:rPr>
        <w:t xml:space="preserve"> de 21 points de pourcentage en 2024).</w:t>
      </w:r>
    </w:p>
    <w:p>
      <w:pPr>
        <w:pStyle w:val="ListParagraph"/>
        <w:numPr>
          <w:ilvl w:val="0"/>
          <w:numId w:val="29"/>
        </w:numPr>
        <w:spacing w:line="276" w:lineRule="auto"/>
        <w:jc w:val="both"/>
        <w:rPr>
          <w:rFonts w:ascii="Times New Roman" w:eastAsia="Arial" w:hAnsi="Times New Roman" w:cs="Times New Roman"/>
          <w:noProof/>
          <w:sz w:val="24"/>
          <w:szCs w:val="24"/>
        </w:rPr>
      </w:pPr>
      <w:r>
        <w:rPr>
          <w:rFonts w:ascii="Times New Roman" w:hAnsi="Times New Roman"/>
          <w:noProof/>
          <w:sz w:val="24"/>
        </w:rPr>
        <w:t>Des efforts supplémentaires importants sont nécessaires pour atteindre l’</w:t>
      </w:r>
      <w:r>
        <w:rPr>
          <w:rFonts w:ascii="Times New Roman" w:hAnsi="Times New Roman"/>
          <w:b/>
          <w:noProof/>
          <w:sz w:val="24"/>
        </w:rPr>
        <w:t>objectif fixé en matière de compétences</w:t>
      </w:r>
      <w:r>
        <w:rPr>
          <w:rFonts w:ascii="Times New Roman" w:hAnsi="Times New Roman"/>
          <w:noProof/>
          <w:sz w:val="24"/>
        </w:rPr>
        <w:t xml:space="preserve">. Le taux de participation des adultes à la formation s’élevait à </w:t>
      </w:r>
      <w:hyperlink r:id="rId38" w:history="1">
        <w:r>
          <w:rPr>
            <w:rStyle w:val="Hyperlink"/>
            <w:rFonts w:ascii="Times New Roman" w:hAnsi="Times New Roman"/>
            <w:b/>
            <w:noProof/>
            <w:sz w:val="24"/>
          </w:rPr>
          <w:t>39,5 %</w:t>
        </w:r>
        <w:r>
          <w:rPr>
            <w:rStyle w:val="Hyperlink"/>
            <w:rFonts w:ascii="Times New Roman" w:hAnsi="Times New Roman"/>
            <w:noProof/>
            <w:sz w:val="24"/>
          </w:rPr>
          <w:t xml:space="preserve"> en 2022</w:t>
        </w:r>
      </w:hyperlink>
      <w:r>
        <w:rPr>
          <w:rFonts w:ascii="Times New Roman" w:hAnsi="Times New Roman"/>
          <w:noProof/>
          <w:sz w:val="24"/>
        </w:rPr>
        <w:t>, alors que l’objectif était de 60 %.</w:t>
      </w:r>
    </w:p>
    <w:p>
      <w:pPr>
        <w:pStyle w:val="ListParagraph"/>
        <w:numPr>
          <w:ilvl w:val="0"/>
          <w:numId w:val="29"/>
        </w:numPr>
        <w:spacing w:line="276" w:lineRule="auto"/>
        <w:jc w:val="both"/>
        <w:rPr>
          <w:rFonts w:ascii="Times New Roman" w:eastAsia="Arial" w:hAnsi="Times New Roman" w:cs="Times New Roman"/>
          <w:noProof/>
          <w:sz w:val="24"/>
          <w:szCs w:val="24"/>
        </w:rPr>
      </w:pPr>
      <w:r>
        <w:rPr>
          <w:rFonts w:ascii="Times New Roman" w:hAnsi="Times New Roman"/>
          <w:noProof/>
          <w:sz w:val="24"/>
        </w:rPr>
        <w:t>Des progrès supplémentaires sont également nécessaires en ce qui concerne l’</w:t>
      </w:r>
      <w:r>
        <w:rPr>
          <w:rFonts w:ascii="Times New Roman" w:hAnsi="Times New Roman"/>
          <w:b/>
          <w:noProof/>
          <w:sz w:val="24"/>
        </w:rPr>
        <w:t>objectif fixé en matière de réduction de la pauvreté</w:t>
      </w:r>
      <w:r>
        <w:rPr>
          <w:rFonts w:ascii="Times New Roman" w:hAnsi="Times New Roman"/>
          <w:noProof/>
          <w:sz w:val="24"/>
        </w:rPr>
        <w:t xml:space="preserve">. Le nombre de personnes en risque de pauvreté ou d’exclusion sociale dans l’UE a diminué d’environ </w:t>
      </w:r>
      <w:hyperlink r:id="rId39" w:history="1">
        <w:r>
          <w:rPr>
            <w:rStyle w:val="Hyperlink"/>
            <w:rFonts w:ascii="Times New Roman" w:hAnsi="Times New Roman"/>
            <w:b/>
            <w:noProof/>
            <w:sz w:val="24"/>
          </w:rPr>
          <w:t>3,5 millions</w:t>
        </w:r>
      </w:hyperlink>
      <w:r>
        <w:rPr>
          <w:rFonts w:ascii="Times New Roman" w:hAnsi="Times New Roman"/>
          <w:noProof/>
          <w:sz w:val="24"/>
        </w:rPr>
        <w:t xml:space="preserve"> entre 2019 et 2025, ce qui est en deçà de l’objectif de réduction fixé à 15 millions.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Les grands objectifs ne sont pas hors de portée, mais leur réalisation exigera des efforts de mise en œuvre plus soutenus tant au niveau de l’Union européenne qu’à celui des États membres. Les progrès réalisés concernant les sous-objectifs sont présentés dans le document de travail des services de la Commission qui accompagne la communication. La Commission continuera à suivre les progrès accomplis dans la réalisation des objectifs de l’Union pour 2030. La lutte contre la pauvreté nécessite une élaboration des politiques fondées sur des données et des éléments probants, étayés par des indicateurs comparables et de haute qualité. </w:t>
      </w:r>
    </w:p>
    <w:p>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Si l’on observe une évolution positive du taux d’emploi, des efforts supplémentaires restent nécessaires en matière de qualité de l’emploi, en mettant l’accent sur des emplois bien </w:t>
      </w:r>
      <w:r>
        <w:rPr>
          <w:rFonts w:ascii="Times New Roman" w:hAnsi="Times New Roman"/>
          <w:noProof/>
          <w:sz w:val="24"/>
        </w:rPr>
        <w:lastRenderedPageBreak/>
        <w:t xml:space="preserve">rémunérés offrant des perspectives d’épanouissement personnel et professionnel, d’autonomie et de sens, au sein d’un environnement de travail adaptatif. Cela englobe des salaires équitables, la sécurité de l’emploi, la sécurité et la santé au travail, le bien-être au travail, la protection sociale, l’égalité de genre et l’égalité des chances. La </w:t>
      </w:r>
      <w:hyperlink r:id="rId40" w:history="1">
        <w:r>
          <w:rPr>
            <w:rStyle w:val="Hyperlink"/>
            <w:rFonts w:ascii="Times New Roman" w:hAnsi="Times New Roman"/>
            <w:noProof/>
            <w:sz w:val="24"/>
          </w:rPr>
          <w:t>feuille de route pour des emplois de qualité de 2025</w:t>
        </w:r>
      </w:hyperlink>
      <w:r>
        <w:rPr>
          <w:rFonts w:ascii="Times New Roman" w:hAnsi="Times New Roman"/>
          <w:noProof/>
          <w:sz w:val="24"/>
        </w:rPr>
        <w:t xml:space="preserve"> a défini les mesures politiques visant à favoriser des emplois de qualité dans une économie compétitive.</w:t>
      </w:r>
    </w:p>
    <w:tbl>
      <w:tblPr>
        <w:tblStyle w:val="TableGrid"/>
        <w:tblW w:w="0" w:type="auto"/>
        <w:tblLook w:val="04A0" w:firstRow="1" w:lastRow="0" w:firstColumn="1" w:lastColumn="0" w:noHBand="0" w:noVBand="1"/>
      </w:tblPr>
      <w:tblGrid>
        <w:gridCol w:w="9016"/>
      </w:tblGrid>
      <w:tr>
        <w:tc>
          <w:tcPr>
            <w:tcW w:w="9016" w:type="dxa"/>
          </w:tcPr>
          <w:p>
            <w:pPr>
              <w:spacing w:after="120" w:line="276" w:lineRule="auto"/>
              <w:jc w:val="both"/>
              <w:rPr>
                <w:rFonts w:ascii="Times New Roman" w:eastAsia="Arial" w:hAnsi="Times New Roman" w:cs="Times New Roman"/>
                <w:b/>
                <w:bCs/>
                <w:noProof/>
                <w:sz w:val="24"/>
                <w:szCs w:val="24"/>
              </w:rPr>
            </w:pPr>
            <w:r>
              <w:rPr>
                <w:rFonts w:ascii="Times New Roman" w:hAnsi="Times New Roman"/>
                <w:b/>
                <w:noProof/>
                <w:sz w:val="24"/>
              </w:rPr>
              <w:t>Actions:</w:t>
            </w:r>
          </w:p>
          <w:p>
            <w:pPr>
              <w:pStyle w:val="ListParagraph"/>
              <w:numPr>
                <w:ilvl w:val="0"/>
                <w:numId w:val="38"/>
              </w:numPr>
              <w:spacing w:after="120" w:line="276" w:lineRule="auto"/>
              <w:ind w:left="714" w:hanging="357"/>
              <w:contextualSpacing w:val="0"/>
              <w:jc w:val="both"/>
              <w:rPr>
                <w:rFonts w:ascii="Times New Roman" w:eastAsia="Arial" w:hAnsi="Times New Roman" w:cs="Times New Roman"/>
                <w:noProof/>
                <w:sz w:val="24"/>
                <w:szCs w:val="24"/>
              </w:rPr>
            </w:pPr>
            <w:r>
              <w:rPr>
                <w:rFonts w:ascii="Times New Roman" w:hAnsi="Times New Roman"/>
                <w:noProof/>
                <w:sz w:val="24"/>
              </w:rPr>
              <w:t xml:space="preserve">La Commission renforcera le suivi de la qualité de l’emploi dans l’UE sur la base du </w:t>
            </w:r>
            <w:r>
              <w:rPr>
                <w:rFonts w:ascii="Times New Roman" w:hAnsi="Times New Roman"/>
                <w:b/>
                <w:noProof/>
                <w:sz w:val="24"/>
              </w:rPr>
              <w:t>cadre actualisé de suivi de la qualité de l’emploi</w:t>
            </w:r>
            <w:r>
              <w:rPr>
                <w:rFonts w:ascii="Times New Roman" w:hAnsi="Times New Roman"/>
                <w:noProof/>
                <w:sz w:val="24"/>
              </w:rPr>
              <w:t xml:space="preserve"> du Comité de l’emploi (COEM), notamment dans le </w:t>
            </w:r>
            <w:hyperlink r:id="rId41" w:history="1">
              <w:r>
                <w:rPr>
                  <w:rFonts w:ascii="Times New Roman" w:hAnsi="Times New Roman"/>
                  <w:b/>
                  <w:noProof/>
                  <w:color w:val="467886"/>
                  <w:sz w:val="24"/>
                </w:rPr>
                <w:t>rapport conjoint sur l’emploi</w:t>
              </w:r>
            </w:hyperlink>
            <w:r>
              <w:rPr>
                <w:rFonts w:ascii="Times New Roman" w:hAnsi="Times New Roman"/>
                <w:noProof/>
                <w:sz w:val="24"/>
              </w:rPr>
              <w:t xml:space="preserve"> (RCE).</w:t>
            </w:r>
          </w:p>
          <w:p>
            <w:pPr>
              <w:pStyle w:val="ListParagraph"/>
              <w:numPr>
                <w:ilvl w:val="0"/>
                <w:numId w:val="38"/>
              </w:numPr>
              <w:spacing w:after="120" w:line="276" w:lineRule="auto"/>
              <w:ind w:left="714" w:hanging="357"/>
              <w:contextualSpacing w:val="0"/>
              <w:jc w:val="both"/>
              <w:rPr>
                <w:rFonts w:ascii="Times New Roman" w:eastAsia="Arial" w:hAnsi="Times New Roman" w:cs="Times New Roman"/>
                <w:noProof/>
                <w:sz w:val="24"/>
                <w:szCs w:val="24"/>
              </w:rPr>
            </w:pPr>
            <w:r>
              <w:rPr>
                <w:rFonts w:ascii="Times New Roman" w:hAnsi="Times New Roman"/>
                <w:noProof/>
                <w:sz w:val="24"/>
              </w:rPr>
              <w:t>Dans le prolongement des travaux déjà engagés, la Commission lancera, par l’intermédiaire du Comité de l’emploi et en collaboration avec les parties prenantes concernées, une consultation des États membres sur un éventuel nouvel objectif en matière de qualité de l’emploi au-delà de 2030.</w:t>
            </w:r>
          </w:p>
          <w:p>
            <w:pPr>
              <w:pStyle w:val="ListParagraph"/>
              <w:numPr>
                <w:ilvl w:val="0"/>
                <w:numId w:val="38"/>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La Commission présentera un </w:t>
            </w:r>
            <w:r>
              <w:rPr>
                <w:rFonts w:ascii="Times New Roman" w:hAnsi="Times New Roman"/>
                <w:b/>
                <w:noProof/>
                <w:sz w:val="24"/>
              </w:rPr>
              <w:t>acte législatif sur des emplois de qualité</w:t>
            </w:r>
            <w:r>
              <w:rPr>
                <w:rFonts w:ascii="Times New Roman" w:hAnsi="Times New Roman"/>
                <w:noProof/>
                <w:sz w:val="24"/>
              </w:rPr>
              <w:t xml:space="preserve"> (T4 2026).</w:t>
            </w:r>
          </w:p>
          <w:p>
            <w:pPr>
              <w:pStyle w:val="ListParagraph"/>
              <w:numPr>
                <w:ilvl w:val="0"/>
                <w:numId w:val="38"/>
              </w:numPr>
              <w:spacing w:after="120" w:line="276" w:lineRule="auto"/>
              <w:ind w:left="714" w:hanging="357"/>
              <w:contextualSpacing w:val="0"/>
              <w:jc w:val="both"/>
              <w:rPr>
                <w:rFonts w:ascii="Times New Roman" w:eastAsia="Arial" w:hAnsi="Times New Roman" w:cs="Times New Roman"/>
                <w:noProof/>
                <w:sz w:val="24"/>
                <w:szCs w:val="24"/>
              </w:rPr>
            </w:pPr>
            <w:r>
              <w:rPr>
                <w:rFonts w:ascii="Times New Roman" w:hAnsi="Times New Roman"/>
                <w:noProof/>
                <w:sz w:val="24"/>
              </w:rPr>
              <w:t xml:space="preserve">Comme annoncé dans la </w:t>
            </w:r>
            <w:hyperlink r:id="rId42" w:history="1">
              <w:r>
                <w:rPr>
                  <w:rStyle w:val="Hyperlink"/>
                  <w:rFonts w:ascii="Times New Roman" w:hAnsi="Times New Roman"/>
                  <w:b/>
                  <w:noProof/>
                  <w:sz w:val="24"/>
                </w:rPr>
                <w:t>stratégie européenne de lutte contre la pauvreté</w:t>
              </w:r>
            </w:hyperlink>
            <w:r>
              <w:rPr>
                <w:rFonts w:ascii="Times New Roman" w:hAnsi="Times New Roman"/>
                <w:noProof/>
                <w:sz w:val="24"/>
              </w:rPr>
              <w:t xml:space="preserve">, afin d’améliorer le suivi de la pauvreté, la Commission proposera de nouveaux indicateurs destinés à mesurer l’incidence des facteurs liés à l’accessibilité financière et à refléter les différentes dimensions de la pauvreté, dans le but de parvenir à un accord sur ces indicateurs d’ici 2028. Sous réserve d’un accord avec le conseil «Emploi, politique sociale, santé et consommateurs» (EPSCO) et ses comités consultatifs, un réexamen des indicateurs connexes dans le tableau de bord social pourrait être mené en vue de renforcer l’analyse pertinente dans le </w:t>
            </w:r>
            <w:hyperlink r:id="rId43" w:history="1">
              <w:r>
                <w:rPr>
                  <w:rStyle w:val="Hyperlink"/>
                  <w:rFonts w:ascii="Times New Roman" w:hAnsi="Times New Roman"/>
                  <w:noProof/>
                  <w:sz w:val="24"/>
                </w:rPr>
                <w:t>cadre de convergence sociale</w:t>
              </w:r>
            </w:hyperlink>
            <w:r>
              <w:rPr>
                <w:rFonts w:ascii="Times New Roman" w:hAnsi="Times New Roman"/>
                <w:noProof/>
                <w:sz w:val="24"/>
              </w:rPr>
              <w:t xml:space="preserve">. </w:t>
            </w:r>
          </w:p>
        </w:tc>
      </w:tr>
    </w:tbl>
    <w:p>
      <w:pPr>
        <w:spacing w:line="276" w:lineRule="auto"/>
        <w:jc w:val="both"/>
        <w:rPr>
          <w:rFonts w:ascii="Times New Roman" w:eastAsia="Times New Roman" w:hAnsi="Times New Roman" w:cs="Times New Roman"/>
          <w:noProof/>
          <w:sz w:val="24"/>
          <w:szCs w:val="24"/>
          <w:lang w:val="fr-BE"/>
        </w:rPr>
      </w:pPr>
    </w:p>
    <w:p>
      <w:pPr>
        <w:pStyle w:val="ListParagraph"/>
        <w:numPr>
          <w:ilvl w:val="0"/>
          <w:numId w:val="37"/>
        </w:numPr>
        <w:spacing w:line="276" w:lineRule="auto"/>
        <w:jc w:val="both"/>
        <w:rPr>
          <w:rFonts w:ascii="Times New Roman" w:eastAsia="Arial" w:hAnsi="Times New Roman" w:cs="Times New Roman"/>
          <w:b/>
          <w:bCs/>
          <w:noProof/>
          <w:sz w:val="28"/>
          <w:szCs w:val="28"/>
        </w:rPr>
      </w:pPr>
      <w:r>
        <w:rPr>
          <w:rFonts w:ascii="Times New Roman" w:hAnsi="Times New Roman"/>
          <w:b/>
          <w:noProof/>
          <w:sz w:val="28"/>
        </w:rPr>
        <w:t>Plan d’action de 2021: mise en œuvre et réalisation des objectifs</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Le </w:t>
      </w:r>
      <w:hyperlink r:id="rId44" w:history="1">
        <w:r>
          <w:rPr>
            <w:rStyle w:val="Hyperlink"/>
            <w:rFonts w:ascii="Times New Roman" w:hAnsi="Times New Roman"/>
            <w:noProof/>
            <w:sz w:val="24"/>
          </w:rPr>
          <w:t>plan d’action de 2021</w:t>
        </w:r>
      </w:hyperlink>
      <w:r>
        <w:rPr>
          <w:rFonts w:ascii="Times New Roman" w:hAnsi="Times New Roman"/>
          <w:noProof/>
          <w:sz w:val="24"/>
        </w:rPr>
        <w:t xml:space="preserve"> a été mis en œuvre grâce à un effort collectif des institutions de l’UE, des États membres, des autorités régionales et locales, des partenaires sociaux, de la société civile et d’autres parties prenantes. La dynamique politique a été renforcée lors du </w:t>
      </w:r>
      <w:hyperlink r:id="rId45" w:history="1">
        <w:r>
          <w:rPr>
            <w:rStyle w:val="Hyperlink"/>
            <w:rFonts w:ascii="Times New Roman" w:hAnsi="Times New Roman"/>
            <w:noProof/>
            <w:sz w:val="24"/>
          </w:rPr>
          <w:t>sommet social de Porto</w:t>
        </w:r>
      </w:hyperlink>
      <w:r>
        <w:rPr>
          <w:rFonts w:ascii="Times New Roman" w:hAnsi="Times New Roman"/>
          <w:noProof/>
          <w:sz w:val="24"/>
        </w:rPr>
        <w:t xml:space="preserve"> (mai 2021), où les dirigeants de l’UE ont approuvé les grands objectifs et réaffirmé leur soutien au socle européen des droits sociaux. Cette dynamique a été encore renforcée par la </w:t>
      </w:r>
      <w:hyperlink r:id="rId46" w:history="1">
        <w:r>
          <w:rPr>
            <w:rStyle w:val="Hyperlink"/>
            <w:rFonts w:ascii="Times New Roman" w:hAnsi="Times New Roman"/>
            <w:noProof/>
            <w:sz w:val="24"/>
          </w:rPr>
          <w:t>déclaration de La Hulpe</w:t>
        </w:r>
      </w:hyperlink>
      <w:r>
        <w:rPr>
          <w:rFonts w:ascii="Times New Roman" w:hAnsi="Times New Roman"/>
          <w:noProof/>
          <w:sz w:val="24"/>
        </w:rPr>
        <w:t xml:space="preserve"> (avril 2024), qui a souligné le rôle du socle en tant que boussole sociale de l’Europe et a appelé à la poursuite de sa mise en œuvre dans le contexte des transitions écologique, numérique et démographique. Le </w:t>
      </w:r>
      <w:hyperlink r:id="rId47" w:history="1">
        <w:r>
          <w:rPr>
            <w:rStyle w:val="Hyperlink"/>
            <w:rFonts w:ascii="Times New Roman" w:hAnsi="Times New Roman"/>
            <w:noProof/>
            <w:sz w:val="24"/>
          </w:rPr>
          <w:t>pacte pour le dialogue social européen (2025)</w:t>
        </w:r>
      </w:hyperlink>
      <w:r>
        <w:rPr>
          <w:rFonts w:ascii="Times New Roman" w:hAnsi="Times New Roman"/>
          <w:noProof/>
          <w:sz w:val="24"/>
        </w:rPr>
        <w:t xml:space="preserve"> a renouvelé l’engagement à renforcer le dialogue social et à relever les principaux défis liés au marché du travail et à l’économie.</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La dernière étape du plan d’action consistait en son propre examen. À cette fin, la Commission a mené en 2025 de vastes consultations internes et externes, parallèlement à une évaluation analytique des progrès réalisés dans la mise en œuvre des 75 initiatives. L’objectif était de </w:t>
      </w:r>
      <w:r>
        <w:rPr>
          <w:rFonts w:ascii="Times New Roman" w:hAnsi="Times New Roman"/>
          <w:noProof/>
          <w:sz w:val="24"/>
        </w:rPr>
        <w:lastRenderedPageBreak/>
        <w:t xml:space="preserve">dresser le bilan des réalisations, de recenser les lacunes restantes et de définir les priorités pour l’avenir.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Les conclusions font état de progrès tangibles depuis la proclamation du socle il y a près de dix ans. De nouveaux droits sociaux et de nouvelles protections ont été codifiés et mis en œuvre dans toute l’Union européenne, avec des avancées, bien qu’inégales, vers la réalisation des trois grands objectifs. Toutefois, l’examen a également mis en évidence des lacunes persistantes dans la mise en œuvre et la nécessité d’accélérer la mise en œuvre d’initiatives clés. Le renforcement de la mise en œuvre relève d’une responsabilité partagée entre les niveaux européen, national, régional et local, les partenaires sociaux et la société civile jouant un rôle central. Les conclusions de cet examen sont détaillées dans le document de travail des services de la Commission accompagnant la présente communication. </w:t>
      </w:r>
    </w:p>
    <w:p>
      <w:pPr>
        <w:pStyle w:val="ListParagraph"/>
        <w:numPr>
          <w:ilvl w:val="0"/>
          <w:numId w:val="37"/>
        </w:numPr>
        <w:spacing w:line="276" w:lineRule="auto"/>
        <w:jc w:val="both"/>
        <w:rPr>
          <w:rFonts w:ascii="Times New Roman" w:eastAsia="Arial" w:hAnsi="Times New Roman" w:cs="Times New Roman"/>
          <w:b/>
          <w:bCs/>
          <w:noProof/>
          <w:sz w:val="28"/>
          <w:szCs w:val="28"/>
        </w:rPr>
      </w:pPr>
      <w:r>
        <w:rPr>
          <w:rFonts w:ascii="Times New Roman" w:hAnsi="Times New Roman"/>
          <w:b/>
          <w:noProof/>
          <w:sz w:val="28"/>
        </w:rPr>
        <w:t xml:space="preserve">Renforcer la mise en œuvre du socle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Depuis l’adoption du plan d’action en 2021, le contexte dans lequel s’inscrivent les politiques sociales et de l’emploi a radicalement changé. À l’issue de la consultation et de l’analyse menées, la Commission a recensé trois points sensibles qui nécessitent d’urgence une attention supplémentaire. Ces points viennent compléter les initiatives existantes et en cours de la Commission en matière d’emploi, de compétences, de mobilité et de lutte contre la pauvreté, en renforçant leur mise en œuvre et en mettant l’accent sur des défis nouveaux et en constante évolution.</w:t>
      </w:r>
    </w:p>
    <w:p>
      <w:pPr>
        <w:spacing w:line="360" w:lineRule="auto"/>
        <w:jc w:val="both"/>
        <w:rPr>
          <w:rFonts w:ascii="Times New Roman" w:eastAsia="Arial" w:hAnsi="Times New Roman" w:cs="Times New Roman"/>
          <w:b/>
          <w:bCs/>
          <w:i/>
          <w:iCs/>
          <w:noProof/>
          <w:sz w:val="24"/>
          <w:szCs w:val="24"/>
        </w:rPr>
      </w:pPr>
      <w:r>
        <w:rPr>
          <w:rFonts w:ascii="Times New Roman" w:hAnsi="Times New Roman"/>
          <w:b/>
          <w:i/>
          <w:noProof/>
          <w:sz w:val="24"/>
        </w:rPr>
        <w:t>3.1 Coût de la vie et accessibilité financière</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Ces dernières années, le coût de la vie est devenu la</w:t>
      </w:r>
      <w:r>
        <w:rPr>
          <w:rFonts w:ascii="Times New Roman" w:hAnsi="Times New Roman"/>
          <w:noProof/>
          <w:sz w:val="24"/>
        </w:rPr>
        <w:t xml:space="preserve"> </w:t>
      </w:r>
      <w:hyperlink r:id="rId48">
        <w:r>
          <w:rPr>
            <w:rStyle w:val="Hyperlink"/>
            <w:rFonts w:ascii="Times New Roman" w:hAnsi="Times New Roman"/>
            <w:b/>
            <w:noProof/>
            <w:sz w:val="24"/>
          </w:rPr>
          <w:t>principale préoccupation</w:t>
        </w:r>
      </w:hyperlink>
      <w:r>
        <w:rPr>
          <w:rFonts w:ascii="Times New Roman" w:hAnsi="Times New Roman"/>
          <w:noProof/>
          <w:sz w:val="24"/>
        </w:rPr>
        <w:t xml:space="preserve"> </w:t>
      </w:r>
      <w:r>
        <w:rPr>
          <w:rFonts w:ascii="Times New Roman" w:hAnsi="Times New Roman"/>
          <w:b/>
          <w:noProof/>
          <w:sz w:val="24"/>
        </w:rPr>
        <w:t>des Européens.</w:t>
      </w:r>
      <w:r>
        <w:rPr>
          <w:rFonts w:ascii="Times New Roman" w:hAnsi="Times New Roman"/>
          <w:noProof/>
          <w:sz w:val="24"/>
        </w:rPr>
        <w:t xml:space="preserve"> Le coût élevé du logement, de l’alimentation, de l’énergie, des transports et d’autres biens et services essentiels pèse lourdement sur le niveau de vie, l’inclusion sociale et la sécurité économique, en particulier pour les ménages en situation de vulnérabilité et les jeunes. Le coût de la vie a également des répercussions sur la résilience démocratique étant donné que la précarité persistante des revenus, le sentiment d’injustice et la réduction des possibilités peuvent affaiblir la confiance dans les institutions et alimenter la fragmentation sociale.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 xml:space="preserve">À l’avenir, de nouveaux défis pourraient accentuer encore la pression sur les ménages, ce qui risquerait d’aggraver davantage la pauvreté et l’exclusion sociale. </w:t>
      </w:r>
      <w:r>
        <w:rPr>
          <w:rFonts w:ascii="Times New Roman" w:hAnsi="Times New Roman"/>
          <w:noProof/>
          <w:sz w:val="24"/>
        </w:rPr>
        <w:t xml:space="preserve">La croissance de l’emploi devrait rester positive, mais ralentir pour s’établir à 0,3 % en 2026 et à 0,4 % en 2027, tandis que les récents développements géopolitiques, notamment les tensions militaires et les changements dans les flux commerciaux mondiaux, risquent de générer des pressions inflationnistes supplémentaires. Les ménages à faibles revenus sont particulièrement exposés à ces pressions. Disposer d’une vue d’ensemble plus détaillée de l’incidence de la hausse du coût de la vie sur les différents groupes de la société pourrait permettre de mieux suivre la situation des différents groupes confrontés à la pauvreté, ainsi que celle des femmes. </w:t>
      </w:r>
    </w:p>
    <w:p>
      <w:pPr>
        <w:spacing w:line="276" w:lineRule="auto"/>
        <w:jc w:val="both"/>
        <w:rPr>
          <w:rFonts w:ascii="Times New Roman" w:hAnsi="Times New Roman"/>
          <w:noProof/>
          <w:sz w:val="24"/>
        </w:rPr>
      </w:pPr>
      <w:r>
        <w:rPr>
          <w:rFonts w:ascii="Times New Roman" w:hAnsi="Times New Roman"/>
          <w:b/>
          <w:noProof/>
          <w:sz w:val="24"/>
        </w:rPr>
        <w:t xml:space="preserve">Favoriser l’accès au marché du travail et à des emplois de qualité constitue une voie évidente pour sortir de la crise du pouvoir d’achat. </w:t>
      </w:r>
      <w:r>
        <w:rPr>
          <w:rFonts w:ascii="Times New Roman" w:hAnsi="Times New Roman"/>
          <w:noProof/>
          <w:sz w:val="24"/>
        </w:rPr>
        <w:t xml:space="preserve">Alors que le taux d’emploi dans l’UE atteint un niveau record, un </w:t>
      </w:r>
      <w:hyperlink r:id="rId49" w:history="1">
        <w:r>
          <w:rPr>
            <w:rStyle w:val="Hyperlink"/>
            <w:rFonts w:ascii="Times New Roman" w:hAnsi="Times New Roman"/>
            <w:noProof/>
            <w:sz w:val="24"/>
          </w:rPr>
          <w:t>réservoir considérable</w:t>
        </w:r>
      </w:hyperlink>
      <w:r>
        <w:rPr>
          <w:rFonts w:ascii="Times New Roman" w:hAnsi="Times New Roman"/>
          <w:noProof/>
          <w:sz w:val="24"/>
        </w:rPr>
        <w:t xml:space="preserve"> de talents inexploités reste en marge du </w:t>
      </w:r>
      <w:r>
        <w:rPr>
          <w:rFonts w:ascii="Times New Roman" w:hAnsi="Times New Roman"/>
          <w:noProof/>
          <w:sz w:val="24"/>
        </w:rPr>
        <w:lastRenderedPageBreak/>
        <w:t xml:space="preserve">marché du travail. En 2025, </w:t>
      </w:r>
      <w:hyperlink r:id="rId50" w:history="1">
        <w:r>
          <w:rPr>
            <w:rStyle w:val="Hyperlink"/>
            <w:rFonts w:ascii="Times New Roman" w:hAnsi="Times New Roman"/>
            <w:noProof/>
            <w:sz w:val="24"/>
          </w:rPr>
          <w:t>près de 50 millions de personnes</w:t>
        </w:r>
      </w:hyperlink>
      <w:r>
        <w:rPr>
          <w:rFonts w:ascii="Times New Roman" w:hAnsi="Times New Roman"/>
          <w:noProof/>
          <w:sz w:val="24"/>
        </w:rPr>
        <w:t xml:space="preserve"> en âge de travailler se trouvaient en dehors de la population active, aux côtés de 12 millions de chômeurs et de 6,5 millions de travailleurs sous-employés (y compris les travailleurs à temps partiel, en particulier les femmes) qui souhaitaient travailler à temps plein mais ne parvenaient pas à trouver de telles offres. Les femmes représentent la plus grande part de la non-participation, avec environ 32 millions de personnes en âge de travailler qui se trouvaient en dehors du marché du travail. Leur participation au marché du travail est fortement influencée par les inégalités entre les genres, notamment la répartition inégale des responsabilités familiales et des tâches de soins, ainsi que par la disponibilité et la qualité des services de soins.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Faciliter le passage de l’inactivité au travail est non seulement important pour l’inclusion sur le marché du travail et la compétitivité</w:t>
      </w:r>
      <w:r>
        <w:rPr>
          <w:rFonts w:ascii="Times New Roman" w:hAnsi="Times New Roman"/>
          <w:noProof/>
          <w:sz w:val="24"/>
        </w:rPr>
        <w:t>, mais constitue également l’un des outils les plus efficaces pour réduire la pauvreté et l’exclusion. L’intégration d’un plus grand nombre de personnes sur le marché du travail contribue directement à la croissance du PIB, réduit les pénuries de compétences et élargit l’assiette fiscale et celle des cotisations sociales nécessaires au maintien des systèmes de protection sociale européens. Afin d’étudier d’éventuelles mesures supplémentaires, dans le plein respect des principes de subsidiarité et de proportionnalité dans ce domaine, la Commission lance donc la première phase de consultation des partenaires sociaux de l’UE sur l’orientation possible d’une action de l’UE relative à l’activation des personnes qui se heurtent à des obstacles importants à l’emploi.</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Les services publics de l’emploi continuent de jouer un rôle central</w:t>
      </w:r>
      <w:r>
        <w:rPr>
          <w:rFonts w:ascii="Times New Roman" w:hAnsi="Times New Roman"/>
          <w:noProof/>
          <w:sz w:val="24"/>
        </w:rPr>
        <w:t xml:space="preserve"> grâce à un accompagnement personnalisé, à l’évaluation des compétences, à des mesures d’activation et à la mise en adéquation de l’offre et de la demande d’emploi. La Commission présentera en 2026 un rapport d’évaluation sur le </w:t>
      </w:r>
      <w:hyperlink r:id="rId51" w:history="1">
        <w:r>
          <w:rPr>
            <w:rStyle w:val="Hyperlink"/>
            <w:rFonts w:ascii="Times New Roman" w:hAnsi="Times New Roman"/>
            <w:noProof/>
            <w:sz w:val="24"/>
          </w:rPr>
          <w:t>réseau européen des services publics de l’emploi</w:t>
        </w:r>
      </w:hyperlink>
      <w:r>
        <w:rPr>
          <w:rFonts w:ascii="Times New Roman" w:hAnsi="Times New Roman"/>
          <w:noProof/>
          <w:sz w:val="24"/>
        </w:rPr>
        <w:t xml:space="preserve"> et, en fonction de ses conclusions, proposera la poursuite des activités du réseau. Le </w:t>
      </w:r>
      <w:r>
        <w:rPr>
          <w:rFonts w:ascii="Times New Roman" w:hAnsi="Times New Roman"/>
          <w:b/>
          <w:noProof/>
          <w:sz w:val="24"/>
        </w:rPr>
        <w:t>dialogue social</w:t>
      </w:r>
      <w:r>
        <w:rPr>
          <w:rFonts w:ascii="Times New Roman" w:hAnsi="Times New Roman"/>
          <w:noProof/>
          <w:sz w:val="24"/>
        </w:rPr>
        <w:t xml:space="preserve"> restera également essentiel pour anticiper les besoins en compétences, recenser les obstacles à la participation au marché du travail et élaborer des solutions adaptées aux réalités sectorielles.</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La </w:t>
      </w:r>
      <w:hyperlink r:id="rId52">
        <w:r>
          <w:rPr>
            <w:rStyle w:val="Hyperlink"/>
            <w:rFonts w:ascii="Times New Roman" w:hAnsi="Times New Roman"/>
            <w:b/>
            <w:noProof/>
            <w:sz w:val="24"/>
          </w:rPr>
          <w:t>directive relative à des salaires minimaux adéquats dans l’Union européenne</w:t>
        </w:r>
      </w:hyperlink>
      <w:r>
        <w:rPr>
          <w:rFonts w:ascii="Times New Roman" w:hAnsi="Times New Roman"/>
          <w:noProof/>
          <w:sz w:val="24"/>
        </w:rPr>
        <w:t>, en vigueur depuis 2022, a constitué une avancée décisive pour garantir des conditions de travail équitables. Elle a établi un cadre commun visant à</w:t>
      </w:r>
      <w:r>
        <w:rPr>
          <w:rFonts w:ascii="Times New Roman" w:hAnsi="Times New Roman"/>
          <w:b/>
          <w:noProof/>
          <w:sz w:val="24"/>
        </w:rPr>
        <w:t xml:space="preserve"> </w:t>
      </w:r>
      <w:r>
        <w:rPr>
          <w:rFonts w:ascii="Times New Roman" w:hAnsi="Times New Roman"/>
          <w:noProof/>
          <w:sz w:val="24"/>
        </w:rPr>
        <w:t xml:space="preserve">garantir le caractère adéquat des salaires minimums légaux et à promouvoir la négociation collective en matière de fixation des salaires. Depuis son adoption, les salaires minimums ont considérablement augmenté dans toute l’UE, notamment dans les pays où ils étaient les plus bas. Cela a contribué à améliorer les salaires et le niveau de vie de nombreux travailleurs: les taux de pauvreté au travail ont diminué de manière constante, passant d’un pic de 9,6 % en 2016 à 8,3 % en 2025. De plus amples informations figurent dans le rapport de suivi publié parallèlement à la présente communication.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Le logement est apparu comme un défi particulièrement aigu, notamment dans les zones urbaines.</w:t>
      </w:r>
      <w:r>
        <w:rPr>
          <w:rFonts w:ascii="Times New Roman" w:hAnsi="Times New Roman"/>
          <w:noProof/>
          <w:sz w:val="24"/>
        </w:rPr>
        <w:t xml:space="preserve"> Dans de nombreuses régions, les coûts du logement ont augmenté plus rapidement que les revenus, ce qui limite l’accès à des logements abordables et de qualité et nuit à la mobilité professionnelle et éducative, à la constitution de familles ainsi qu’à la cohésion sociale et territoriale. La demande de logements sociaux a pris de l’importance dans un contexte d’investissements publics et privés limités dans le logement abordable. Dans le cadre de la </w:t>
      </w:r>
      <w:r>
        <w:rPr>
          <w:rFonts w:ascii="Times New Roman" w:hAnsi="Times New Roman"/>
          <w:noProof/>
          <w:sz w:val="24"/>
        </w:rPr>
        <w:lastRenderedPageBreak/>
        <w:t xml:space="preserve">stratégie européenne de lutte contre la pauvreté présentée le 6 mai dernier, une proposition de </w:t>
      </w:r>
      <w:hyperlink r:id="rId53" w:history="1">
        <w:r>
          <w:rPr>
            <w:rStyle w:val="Hyperlink"/>
            <w:rFonts w:ascii="Times New Roman" w:hAnsi="Times New Roman"/>
            <w:noProof/>
            <w:sz w:val="24"/>
          </w:rPr>
          <w:t>recommandation du Conseil sur la lutte contre l’exclusion en matière de logement</w:t>
        </w:r>
      </w:hyperlink>
      <w:r>
        <w:rPr>
          <w:rFonts w:ascii="Times New Roman" w:hAnsi="Times New Roman"/>
          <w:noProof/>
          <w:sz w:val="24"/>
        </w:rPr>
        <w:t xml:space="preserve"> met l’accent sur les solutions à long terme et la prévention pour lutter contre l’exclusion liée au logement et le sans-abrisme. Elle promeut également davantage de logements sociaux et abordables, en mettant l’accent sur une approche centrée sur les personnes. Le </w:t>
      </w:r>
      <w:hyperlink r:id="rId54">
        <w:r>
          <w:rPr>
            <w:rStyle w:val="Hyperlink"/>
            <w:rFonts w:ascii="Times New Roman" w:hAnsi="Times New Roman"/>
            <w:noProof/>
            <w:sz w:val="24"/>
          </w:rPr>
          <w:t>plan européen pour des logements abordables</w:t>
        </w:r>
      </w:hyperlink>
      <w:r>
        <w:rPr>
          <w:rFonts w:ascii="Times New Roman" w:hAnsi="Times New Roman"/>
          <w:noProof/>
          <w:sz w:val="24"/>
        </w:rPr>
        <w:t xml:space="preserve"> définit une stratégie visant à lutter contre la crise du logement à l’échelle européenne. Il vise à accroître l’offre de logements, à stimuler les investissements et les réformes, ainsi qu’à soutenir les populations et les zones les plus touchées. La Commission prépare actuellement l’</w:t>
      </w:r>
      <w:r>
        <w:rPr>
          <w:rFonts w:ascii="Times New Roman" w:hAnsi="Times New Roman"/>
          <w:b/>
          <w:noProof/>
          <w:sz w:val="24"/>
        </w:rPr>
        <w:t>acte législatif sur le logement abordable</w:t>
      </w:r>
      <w:r>
        <w:rPr>
          <w:rFonts w:ascii="Times New Roman" w:hAnsi="Times New Roman"/>
          <w:noProof/>
          <w:sz w:val="24"/>
        </w:rPr>
        <w:t xml:space="preserve">, afin d’aider les pouvoirs publics à recenser les zones tendues en matière de logement et de leur permettre de prendre des mesures pour protéger et promouvoir l’accessibilité financière du logement dans ces zones. La </w:t>
      </w:r>
      <w:hyperlink r:id="rId55">
        <w:r>
          <w:rPr>
            <w:rStyle w:val="Hyperlink"/>
            <w:rFonts w:ascii="Times New Roman" w:hAnsi="Times New Roman"/>
            <w:noProof/>
            <w:sz w:val="24"/>
          </w:rPr>
          <w:t>recommandation du Conseil</w:t>
        </w:r>
      </w:hyperlink>
      <w:r>
        <w:rPr>
          <w:rFonts w:ascii="Times New Roman" w:hAnsi="Times New Roman"/>
          <w:noProof/>
          <w:sz w:val="24"/>
        </w:rPr>
        <w:t xml:space="preserve"> récemment adoptée sur le nouveau Bauhaus européen (NBE) encourage les États membres à aligner leurs politiques nationales sur une approche intégrée de la conception et de la transformation des bâtiments, des quartiers et des espaces publics. Les États membres devraient recourir à toutes les possibilités de financement disponibles, notamment au moyen des fonds de cohésion et du </w:t>
      </w:r>
      <w:hyperlink r:id="rId56">
        <w:r>
          <w:rPr>
            <w:rStyle w:val="Hyperlink"/>
            <w:rFonts w:ascii="Times New Roman" w:hAnsi="Times New Roman"/>
            <w:noProof/>
            <w:sz w:val="24"/>
          </w:rPr>
          <w:t>Fonds social pour le climat</w:t>
        </w:r>
      </w:hyperlink>
      <w:r>
        <w:rPr>
          <w:rFonts w:ascii="Times New Roman" w:hAnsi="Times New Roman"/>
          <w:noProof/>
          <w:sz w:val="24"/>
        </w:rPr>
        <w:t>, afin de soutenir le logement abordable et social. Ils sont invités à intégrer la dimension du logement dans les autres politiques ou domaines pertinents, notamment la protection sociale, l’égalité, l’emploi, le développement urbain, rural et régional, la cohésion territoriale, la recherche et le développement, ainsi que les soins de santé</w:t>
      </w:r>
      <w:r>
        <w:rPr>
          <w:rStyle w:val="FootnoteReference"/>
          <w:rFonts w:ascii="Times New Roman" w:eastAsia="Arial" w:hAnsi="Times New Roman" w:cs="Times New Roman"/>
          <w:noProof/>
          <w:sz w:val="24"/>
          <w:szCs w:val="24"/>
        </w:rPr>
        <w:footnoteReference w:id="4"/>
      </w:r>
      <w:r>
        <w:rPr>
          <w:rFonts w:ascii="Times New Roman" w:hAnsi="Times New Roman"/>
          <w:noProof/>
          <w:sz w:val="24"/>
        </w:rPr>
        <w:t>. La Commission publiera en 2027 une étude sur les inégalités et la discrimination en matière de logement, ainsi qu’un train de mesures de simplification en matière de logement, qui contribuera à faciliter l’offre de logements abordables.</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La précarité alimentaire est également une préoccupation croissante au sein de l’UE</w:t>
      </w:r>
      <w:r>
        <w:rPr>
          <w:rFonts w:ascii="Times New Roman" w:hAnsi="Times New Roman"/>
          <w:noProof/>
          <w:sz w:val="24"/>
        </w:rPr>
        <w:t>, la part de la population de l’UE qui n’a pas les moyens de s’offrir un repas à base de viande, de poulet, de poisson (ou d’un équivalent végétarien) un jour sur deux étant passée de 6,8 % en 2019 à 8,5 % en 2025, avec toutefois d’importantes disparités entre les États membres. La Commission publiera en 2026 une étude sur le caractère abordable des denrées alimentaires dans l’UE et lancera un projet pilote sur l’accès à l’alimentation.</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La </w:t>
      </w:r>
      <w:hyperlink r:id="rId57" w:history="1">
        <w:r>
          <w:rPr>
            <w:rStyle w:val="Hyperlink"/>
            <w:rFonts w:ascii="Times New Roman" w:hAnsi="Times New Roman"/>
            <w:b/>
            <w:noProof/>
            <w:sz w:val="24"/>
          </w:rPr>
          <w:t>précarité énergétique</w:t>
        </w:r>
      </w:hyperlink>
      <w:r>
        <w:rPr>
          <w:rFonts w:ascii="Times New Roman" w:hAnsi="Times New Roman"/>
          <w:noProof/>
          <w:sz w:val="24"/>
        </w:rPr>
        <w:t xml:space="preserve"> continue de toucher des millions d’Européens. En 2024, 9,2 % des ménages de l’UE n’étaient pas en mesure de </w:t>
      </w:r>
      <w:hyperlink r:id="rId58" w:history="1">
        <w:r>
          <w:rPr>
            <w:rStyle w:val="Hyperlink"/>
            <w:rFonts w:ascii="Times New Roman" w:hAnsi="Times New Roman"/>
            <w:noProof/>
            <w:sz w:val="24"/>
          </w:rPr>
          <w:t>chauffer correctement</w:t>
        </w:r>
      </w:hyperlink>
      <w:r>
        <w:rPr>
          <w:rFonts w:ascii="Times New Roman" w:hAnsi="Times New Roman"/>
          <w:noProof/>
          <w:sz w:val="24"/>
        </w:rPr>
        <w:t xml:space="preserve"> leur logement, tandis qu’en 2026, 26 % d’entre eux ne parvenaient pas à </w:t>
      </w:r>
      <w:hyperlink r:id="rId59" w:history="1">
        <w:r>
          <w:rPr>
            <w:rStyle w:val="Hyperlink"/>
            <w:rFonts w:ascii="Times New Roman" w:hAnsi="Times New Roman"/>
            <w:noProof/>
            <w:sz w:val="24"/>
          </w:rPr>
          <w:t>rafraîchir</w:t>
        </w:r>
      </w:hyperlink>
      <w:r>
        <w:rPr>
          <w:rFonts w:ascii="Times New Roman" w:hAnsi="Times New Roman"/>
          <w:noProof/>
          <w:sz w:val="24"/>
        </w:rPr>
        <w:t xml:space="preserve"> confortablement leur logement en été. Les rénovations énergétiques ou l’accès à des solutions d’efficacité énergétique et aux énergies renouvelables constituent les moyens les plus efficaces de s’attaquer aux causes profondes de la précarité énergétique et de prévenir la vulnérabilité. Le </w:t>
      </w:r>
      <w:hyperlink r:id="rId60">
        <w:r>
          <w:rPr>
            <w:rStyle w:val="Hyperlink"/>
            <w:rFonts w:ascii="Times New Roman" w:hAnsi="Times New Roman"/>
            <w:noProof/>
            <w:sz w:val="24"/>
          </w:rPr>
          <w:t>train de mesures sur l’énergie citoyenne</w:t>
        </w:r>
      </w:hyperlink>
      <w:r>
        <w:rPr>
          <w:rFonts w:ascii="Times New Roman" w:hAnsi="Times New Roman"/>
          <w:noProof/>
          <w:sz w:val="24"/>
        </w:rPr>
        <w:t xml:space="preserve">, adopté par la Commission en mars 2023, souligne l’importance de lutter contre la précarité énergétique dans l’UE en mettant l’accent sur la protection et l’autonomisation des consommateurs.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La </w:t>
      </w:r>
      <w:hyperlink r:id="rId61" w:history="1">
        <w:r>
          <w:rPr>
            <w:rStyle w:val="Hyperlink"/>
            <w:rFonts w:ascii="Times New Roman" w:hAnsi="Times New Roman"/>
            <w:b/>
            <w:noProof/>
            <w:sz w:val="24"/>
          </w:rPr>
          <w:t>précarité en matière de transport</w:t>
        </w:r>
      </w:hyperlink>
      <w:r>
        <w:rPr>
          <w:rFonts w:ascii="Times New Roman" w:hAnsi="Times New Roman"/>
          <w:noProof/>
          <w:sz w:val="24"/>
        </w:rPr>
        <w:t xml:space="preserve">, entendue comme l’incapacité ou la difficulté à assumer les coûts des transports privés ou publics, ou encore le manque d’accès aux services de </w:t>
      </w:r>
      <w:r>
        <w:rPr>
          <w:rFonts w:ascii="Times New Roman" w:hAnsi="Times New Roman"/>
          <w:noProof/>
          <w:sz w:val="24"/>
        </w:rPr>
        <w:lastRenderedPageBreak/>
        <w:t xml:space="preserve">transport, </w:t>
      </w:r>
      <w:r>
        <w:rPr>
          <w:rFonts w:ascii="Times New Roman" w:hAnsi="Times New Roman"/>
          <w:b/>
          <w:noProof/>
          <w:sz w:val="24"/>
        </w:rPr>
        <w:t>constitue un autre défi majeur</w:t>
      </w:r>
      <w:r>
        <w:rPr>
          <w:rFonts w:ascii="Times New Roman" w:hAnsi="Times New Roman"/>
          <w:noProof/>
          <w:sz w:val="24"/>
        </w:rPr>
        <w:t>: 21 % des ménages exposés au risque de pauvreté sont confrontés à des coûts de transport inabordables. La décarbonation et une action climatique forte comptent parmi les moyens les plus efficaces de réduire les coûts élevés de l’énergie et des transports, rendant ainsi les services essentiels plus abordables, tout en renforçant l’indépendance énergétique de l’Europe. Dans ce contexte, les investissements financés par les recettes issues de la vente des quotas du système d’échange de quotas d’émission via le Fonds social pour le climat, ainsi que les mesures et réformes pertinentes en matière d’action climatique</w:t>
      </w:r>
      <w:r>
        <w:rPr>
          <w:rStyle w:val="FootnoteReference"/>
          <w:rFonts w:ascii="Times New Roman" w:eastAsia="Arial" w:hAnsi="Times New Roman" w:cs="Times New Roman"/>
          <w:noProof/>
          <w:sz w:val="24"/>
          <w:szCs w:val="24"/>
        </w:rPr>
        <w:footnoteReference w:id="5"/>
      </w:r>
      <w:r>
        <w:rPr>
          <w:rFonts w:ascii="Times New Roman" w:hAnsi="Times New Roman"/>
          <w:noProof/>
          <w:sz w:val="24"/>
        </w:rPr>
        <w:t xml:space="preserve">, constituent de bons exemples.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L’</w:t>
      </w:r>
      <w:r>
        <w:rPr>
          <w:rFonts w:ascii="Times New Roman" w:hAnsi="Times New Roman"/>
          <w:b/>
          <w:noProof/>
          <w:sz w:val="24"/>
        </w:rPr>
        <w:t>accès aux services essentiels</w:t>
      </w:r>
      <w:r>
        <w:rPr>
          <w:rFonts w:ascii="Times New Roman" w:hAnsi="Times New Roman"/>
          <w:noProof/>
          <w:sz w:val="24"/>
        </w:rPr>
        <w:t xml:space="preserve">, inscrit dans le socle, constitue une dimension cruciale, mais souvent négligée, de l’accessibilité financière. Même lorsque ces services existent, des obstacles tels que des coûts élevés, la distance géographique, les formalités administratives ou le manque d’information excluent souvent certaines personnes, en particulier celles qui se trouvent en situation de vulnérabilité. Il est essentiel de combler ces lacunes pour assurer la cohésion sociale, car les inégalités d’accès aggravent les disparités territoriales. Les services d’intérêt économique général (SIEG) jouent un rôle fondamental dans la promotion de la cohésion sociale et territoriale. En vertu des règles de l’UE en matière d’aides d’État révisées en 2025, les États membres peuvent envisager d’accorder des compensations pour la fourniture de SIEG en matière de logement abordable et social, d’accès au marché du travail et de réinsertion professionnelle, ou encore de prise en charge et d’inclusion sociale des groupes vulnérables, y compris les services d’accessibilité et les technologies d’assistance destinés aux personnes en situation de handicap. Les États membres devraient associer ces outils à des stratégies plus larges, telles que la recommandation du Conseil relative à la mise en place de conditions-cadres pour l’économie sociale (2023), afin de garantir l’accès universel et l’équité territoriale.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S’appuyant sur la stratégie européenne en matière de soins (septembre 2022), la Commission s’attachera à mettre en place un cadre plus cohérent pour relever les défis liés au personnel soignant dans le domaine des soins de longue durée et présentera un </w:t>
      </w:r>
      <w:r>
        <w:rPr>
          <w:rFonts w:ascii="Times New Roman" w:hAnsi="Times New Roman"/>
          <w:b/>
          <w:noProof/>
          <w:sz w:val="24"/>
        </w:rPr>
        <w:t>pacte européen en matière de soins</w:t>
      </w:r>
      <w:r>
        <w:rPr>
          <w:rFonts w:ascii="Times New Roman" w:hAnsi="Times New Roman"/>
          <w:noProof/>
          <w:sz w:val="24"/>
        </w:rPr>
        <w:t xml:space="preserve"> en 2027. En renforçant l’offre et l’accès aux services de soins, cette initiative contribuera à la compétitivité de l’Europe, en allégeant la charge qui pèse sur les aidants informels et en stimulant la création d’emplois dans le secteur ainsi que les investissements dans les technologies numériques au service tant des aidants que des personnes dépendantes.</w:t>
      </w:r>
    </w:p>
    <w:tbl>
      <w:tblPr>
        <w:tblStyle w:val="TableGrid"/>
        <w:tblW w:w="0" w:type="auto"/>
        <w:tblLook w:val="04A0" w:firstRow="1" w:lastRow="0" w:firstColumn="1" w:lastColumn="0" w:noHBand="0" w:noVBand="1"/>
      </w:tblPr>
      <w:tblGrid>
        <w:gridCol w:w="9016"/>
      </w:tblGrid>
      <w:tr>
        <w:tc>
          <w:tcPr>
            <w:tcW w:w="9350" w:type="dxa"/>
          </w:tcPr>
          <w:p>
            <w:pPr>
              <w:spacing w:after="120" w:line="276" w:lineRule="auto"/>
              <w:rPr>
                <w:rFonts w:ascii="Times New Roman" w:hAnsi="Times New Roman" w:cs="Times New Roman"/>
                <w:noProof/>
                <w:sz w:val="24"/>
                <w:szCs w:val="24"/>
              </w:rPr>
            </w:pPr>
            <w:r>
              <w:rPr>
                <w:rFonts w:ascii="Times New Roman" w:hAnsi="Times New Roman"/>
                <w:b/>
                <w:noProof/>
                <w:sz w:val="24"/>
              </w:rPr>
              <w:t xml:space="preserve">Actions: </w:t>
            </w:r>
          </w:p>
          <w:p>
            <w:pPr>
              <w:numPr>
                <w:ilvl w:val="0"/>
                <w:numId w:val="38"/>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La Commission lancera la </w:t>
            </w:r>
            <w:r>
              <w:rPr>
                <w:rFonts w:ascii="Times New Roman" w:hAnsi="Times New Roman"/>
                <w:b/>
                <w:noProof/>
                <w:sz w:val="24"/>
              </w:rPr>
              <w:t>première phase de consultation des partenaires sociaux de l’UE sur l’orientation possible de l’action de l’Union concernant l’activation</w:t>
            </w:r>
            <w:r>
              <w:rPr>
                <w:rFonts w:ascii="Times New Roman" w:hAnsi="Times New Roman"/>
                <w:noProof/>
                <w:sz w:val="24"/>
              </w:rPr>
              <w:t xml:space="preserve"> des personnes confrontées à des obstacles importants à l’emploi, y compris en ce qui concerne l’égalité entre les hommes et les femmes en matière de possibilités sur le marché du travail (parallèlement à la présente communication).</w:t>
            </w:r>
          </w:p>
          <w:p>
            <w:pPr>
              <w:numPr>
                <w:ilvl w:val="0"/>
                <w:numId w:val="38"/>
              </w:numPr>
              <w:spacing w:after="120" w:line="276" w:lineRule="auto"/>
              <w:jc w:val="both"/>
              <w:rPr>
                <w:rFonts w:ascii="Times New Roman" w:hAnsi="Times New Roman" w:cs="Times New Roman"/>
                <w:noProof/>
                <w:sz w:val="24"/>
                <w:szCs w:val="24"/>
              </w:rPr>
            </w:pPr>
            <w:r>
              <w:rPr>
                <w:rFonts w:ascii="Times New Roman" w:hAnsi="Times New Roman"/>
                <w:noProof/>
                <w:sz w:val="24"/>
              </w:rPr>
              <w:lastRenderedPageBreak/>
              <w:t>La Commission présentera l’</w:t>
            </w:r>
            <w:r>
              <w:rPr>
                <w:rFonts w:ascii="Times New Roman" w:hAnsi="Times New Roman"/>
                <w:b/>
                <w:noProof/>
                <w:sz w:val="24"/>
              </w:rPr>
              <w:t>acte législatif sur le logement abordable</w:t>
            </w:r>
            <w:r>
              <w:rPr>
                <w:rFonts w:ascii="Times New Roman" w:hAnsi="Times New Roman"/>
                <w:noProof/>
                <w:sz w:val="24"/>
              </w:rPr>
              <w:t xml:space="preserve"> (T3 2026) visant à aider les pouvoirs publics à recenser les zones confrontées à des difficultés en matière de logement et à leur permettre, dans le plein respect du principe de subsidiarité, de prendre des mesures pour protéger et promouvoir l’accessibilité au logement dans ces zones, ainsi qu’un train de mesures de simplification en matière de logement (2027).</w:t>
            </w:r>
          </w:p>
          <w:p>
            <w:pPr>
              <w:pStyle w:val="ListParagraph"/>
              <w:numPr>
                <w:ilvl w:val="0"/>
                <w:numId w:val="38"/>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La Commission présentera un </w:t>
            </w:r>
            <w:r>
              <w:rPr>
                <w:rFonts w:ascii="Times New Roman" w:hAnsi="Times New Roman"/>
                <w:b/>
                <w:noProof/>
                <w:sz w:val="24"/>
              </w:rPr>
              <w:t>pacte européen en matière de soins</w:t>
            </w:r>
            <w:r>
              <w:rPr>
                <w:rFonts w:ascii="Times New Roman" w:hAnsi="Times New Roman"/>
                <w:noProof/>
                <w:sz w:val="24"/>
              </w:rPr>
              <w:t xml:space="preserve"> (2027).</w:t>
            </w:r>
          </w:p>
          <w:p>
            <w:pPr>
              <w:pStyle w:val="ListParagraph"/>
              <w:numPr>
                <w:ilvl w:val="0"/>
                <w:numId w:val="38"/>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La Commission présente un </w:t>
            </w:r>
            <w:r>
              <w:rPr>
                <w:rFonts w:ascii="Times New Roman" w:hAnsi="Times New Roman"/>
                <w:b/>
                <w:noProof/>
                <w:sz w:val="24"/>
              </w:rPr>
              <w:t>rapport de suivi sur la directive relative à des salaires minimaux adéquats dans l’Union européenne</w:t>
            </w:r>
            <w:r>
              <w:rPr>
                <w:rFonts w:ascii="Times New Roman" w:hAnsi="Times New Roman"/>
                <w:noProof/>
                <w:sz w:val="24"/>
              </w:rPr>
              <w:t xml:space="preserve"> (parallèlement à la présente communication).</w:t>
            </w:r>
          </w:p>
        </w:tc>
      </w:tr>
    </w:tbl>
    <w:p>
      <w:pPr>
        <w:spacing w:line="360" w:lineRule="auto"/>
        <w:jc w:val="both"/>
        <w:rPr>
          <w:rFonts w:ascii="Times New Roman" w:eastAsia="Arial" w:hAnsi="Times New Roman" w:cs="Times New Roman"/>
          <w:b/>
          <w:bCs/>
          <w:i/>
          <w:iCs/>
          <w:noProof/>
          <w:sz w:val="24"/>
          <w:szCs w:val="24"/>
          <w:lang w:val="fr-BE"/>
        </w:rPr>
      </w:pPr>
    </w:p>
    <w:p>
      <w:pPr>
        <w:spacing w:line="360" w:lineRule="auto"/>
        <w:jc w:val="both"/>
        <w:rPr>
          <w:rFonts w:ascii="Times New Roman" w:eastAsia="Arial" w:hAnsi="Times New Roman" w:cs="Times New Roman"/>
          <w:b/>
          <w:bCs/>
          <w:i/>
          <w:iCs/>
          <w:noProof/>
          <w:sz w:val="24"/>
          <w:szCs w:val="24"/>
        </w:rPr>
      </w:pPr>
      <w:r>
        <w:rPr>
          <w:rFonts w:ascii="Times New Roman" w:hAnsi="Times New Roman"/>
          <w:b/>
          <w:i/>
          <w:noProof/>
          <w:sz w:val="24"/>
        </w:rPr>
        <w:t xml:space="preserve">3.2 Intelligence artificielle (IA): l’avenir du travail et une prospérité partagée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Le développement et l’adoption rapides de l’intelligence artificielle</w:t>
      </w:r>
      <w:r>
        <w:rPr>
          <w:rFonts w:ascii="Times New Roman" w:hAnsi="Times New Roman"/>
          <w:b/>
          <w:noProof/>
          <w:sz w:val="24"/>
        </w:rPr>
        <w:t xml:space="preserve"> </w:t>
      </w:r>
      <w:r>
        <w:rPr>
          <w:rFonts w:ascii="Times New Roman" w:hAnsi="Times New Roman"/>
          <w:noProof/>
          <w:sz w:val="24"/>
        </w:rPr>
        <w:t xml:space="preserve">(IA), accélérés par l’émergence de l’IA générative depuis 2022, </w:t>
      </w:r>
      <w:r>
        <w:rPr>
          <w:rFonts w:ascii="Times New Roman" w:hAnsi="Times New Roman"/>
          <w:b/>
          <w:noProof/>
          <w:sz w:val="24"/>
        </w:rPr>
        <w:t>transforment les marchés du travail et la société dans son ensemble</w:t>
      </w:r>
      <w:r>
        <w:rPr>
          <w:rFonts w:ascii="Times New Roman" w:hAnsi="Times New Roman"/>
          <w:noProof/>
          <w:sz w:val="24"/>
        </w:rPr>
        <w:t xml:space="preserve">. Cette évolution offre d’énormes possibilités en matière d’innovation, de productivité, d’apprentissage et de croissance, mais soulève également d’importantes questions critiques concernant l’avenir des emplois, de l’éducation, des compétences, de l’inclusion sociale et des droits fondamentaux. Dans l’UE, en 2025, près de 20 % des entreprises utilisaient une forme ou une autre d’IA générative, et 61 % des travailleurs européens estiment qu’ils auront besoin de nouvelles compétences pour suivre le rythme de l’IA d’ici 2029, alors que seuls 15 % d’entre eux ont bénéficié d’une formation à ce jour, comme l’a révélé une </w:t>
      </w:r>
      <w:hyperlink r:id="rId62" w:history="1">
        <w:r>
          <w:rPr>
            <w:rStyle w:val="Hyperlink"/>
            <w:rFonts w:ascii="Times New Roman" w:hAnsi="Times New Roman"/>
            <w:noProof/>
            <w:sz w:val="24"/>
          </w:rPr>
          <w:t>enquête du Cedefop</w:t>
        </w:r>
      </w:hyperlink>
      <w:r>
        <w:rPr>
          <w:rFonts w:ascii="Times New Roman" w:hAnsi="Times New Roman"/>
          <w:noProof/>
          <w:sz w:val="24"/>
        </w:rPr>
        <w:t xml:space="preserve">.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L’Europe doit être prête à faire face à ces changements profonds, en veillant à ce que les citoyens, les travailleurs et les entreprises tirent pleinement parti du potentiel de l’IA</w:t>
      </w:r>
      <w:r>
        <w:rPr>
          <w:rFonts w:ascii="Times New Roman" w:hAnsi="Times New Roman"/>
          <w:noProof/>
          <w:sz w:val="24"/>
        </w:rPr>
        <w:t xml:space="preserve">. Comme le souligne la </w:t>
      </w:r>
      <w:hyperlink r:id="rId63" w:history="1">
        <w:r>
          <w:rPr>
            <w:rStyle w:val="Hyperlink"/>
            <w:rFonts w:ascii="Times New Roman" w:hAnsi="Times New Roman"/>
            <w:noProof/>
            <w:sz w:val="24"/>
          </w:rPr>
          <w:t>déclaration européenne sur les droits et principes numériques pour la décennie numérique</w:t>
        </w:r>
      </w:hyperlink>
      <w:r>
        <w:rPr>
          <w:rFonts w:ascii="Times New Roman" w:hAnsi="Times New Roman"/>
          <w:noProof/>
          <w:sz w:val="24"/>
        </w:rPr>
        <w:t>, une transformation numérique centrée sur l’humain est essentielle pour garantir que les technologies numériques respectent les droits fondamentaux et les valeurs européennes. Les droits sociaux, fondés sur les principes du socle, sont au cœur de cette transformation.</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En ce qui concerne l’incidence </w:t>
      </w:r>
      <w:r>
        <w:rPr>
          <w:rFonts w:ascii="Times New Roman" w:hAnsi="Times New Roman"/>
          <w:b/>
          <w:noProof/>
          <w:sz w:val="24"/>
        </w:rPr>
        <w:t>de l’IA sur la demande de main-d’œuvre et l’organisation du travail</w:t>
      </w:r>
      <w:r>
        <w:rPr>
          <w:rFonts w:ascii="Times New Roman" w:hAnsi="Times New Roman"/>
          <w:noProof/>
          <w:sz w:val="24"/>
        </w:rPr>
        <w:t xml:space="preserve">, les effets globaux au sein de l’UE semblent pour l’instant limités, même si certains groupes, </w:t>
      </w:r>
      <w:hyperlink r:id="rId64" w:history="1">
        <w:r>
          <w:rPr>
            <w:rStyle w:val="Hyperlink"/>
            <w:rFonts w:ascii="Times New Roman" w:hAnsi="Times New Roman"/>
            <w:noProof/>
            <w:sz w:val="24"/>
          </w:rPr>
          <w:t>notamment les jeunes</w:t>
        </w:r>
      </w:hyperlink>
      <w:r>
        <w:rPr>
          <w:rFonts w:ascii="Times New Roman" w:hAnsi="Times New Roman"/>
          <w:noProof/>
          <w:sz w:val="24"/>
        </w:rPr>
        <w:t xml:space="preserve"> occupant des postes de début de carrière, risquent de voir le rythme des embauches ralentir dans certains secteurs et certaines professions. L’IA devrait accélérer la croissance de l’emploi: en 2025, les </w:t>
      </w:r>
      <w:hyperlink r:id="rId65" w:history="1">
        <w:r>
          <w:rPr>
            <w:rStyle w:val="Hyperlink"/>
            <w:rFonts w:ascii="Times New Roman" w:hAnsi="Times New Roman"/>
            <w:noProof/>
            <w:sz w:val="24"/>
          </w:rPr>
          <w:t>entreprises recourant largement à l’IA</w:t>
        </w:r>
      </w:hyperlink>
      <w:r>
        <w:rPr>
          <w:rFonts w:ascii="Times New Roman" w:hAnsi="Times New Roman"/>
          <w:noProof/>
          <w:sz w:val="24"/>
        </w:rPr>
        <w:t xml:space="preserve"> avaient environ 4 points de pourcentage de chances supplémentaires d’avoir augmenté leurs effectifs par rapport à celles qui n’y avaient pas recours. Ces gains en matière d’emploi devraient se concentrer dans certaines professions. L’IA peut également transformer les emplois existants et les exigences en matière de compétences, notamment les</w:t>
      </w:r>
      <w:hyperlink r:id="rId66" w:history="1">
        <w:r>
          <w:rPr>
            <w:rStyle w:val="Hyperlink"/>
            <w:rFonts w:ascii="Times New Roman" w:hAnsi="Times New Roman"/>
            <w:noProof/>
            <w:sz w:val="24"/>
          </w:rPr>
          <w:t xml:space="preserve"> compétences numériques et non techniques</w:t>
        </w:r>
      </w:hyperlink>
      <w:r>
        <w:rPr>
          <w:rFonts w:ascii="Times New Roman" w:hAnsi="Times New Roman"/>
          <w:noProof/>
          <w:sz w:val="24"/>
        </w:rPr>
        <w:t xml:space="preserve">. Toutefois, les tendances restent volatiles et doivent être mieux comprises. Comme le souligne la </w:t>
      </w:r>
      <w:hyperlink r:id="rId67">
        <w:r>
          <w:rPr>
            <w:rStyle w:val="Hyperlink"/>
            <w:rFonts w:ascii="Times New Roman" w:hAnsi="Times New Roman"/>
            <w:noProof/>
            <w:sz w:val="24"/>
          </w:rPr>
          <w:t>stratégie pour l’application de l’IA</w:t>
        </w:r>
      </w:hyperlink>
      <w:r>
        <w:rPr>
          <w:rFonts w:ascii="Times New Roman" w:hAnsi="Times New Roman"/>
          <w:noProof/>
          <w:sz w:val="24"/>
        </w:rPr>
        <w:t xml:space="preserve">, les priorités clés comprennent l’amélioration </w:t>
      </w:r>
      <w:r>
        <w:rPr>
          <w:rFonts w:ascii="Times New Roman" w:hAnsi="Times New Roman"/>
          <w:noProof/>
          <w:sz w:val="24"/>
        </w:rPr>
        <w:lastRenderedPageBreak/>
        <w:t>des compétences et la reconversion professionnelle, ainsi que le soutien aux transitions sur le marché du travail grâce à des politiques d’activation efficaces et à une protection adéquate des revenus. Dans ce contexte, la Commission continue de développer des outils d’analyse en temps réel du marché du travail et d’alerte précoce.</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Outre l’IA et ses effets, le marché du travail parallèle et les tendances démographiques dans l’UE mettent à l’avant-plan les «moteurs d’emplois», c’est</w:t>
      </w:r>
      <w:r>
        <w:rPr>
          <w:rFonts w:ascii="Times New Roman" w:hAnsi="Times New Roman"/>
          <w:noProof/>
          <w:sz w:val="24"/>
        </w:rPr>
        <w:noBreakHyphen/>
        <w:t>à</w:t>
      </w:r>
      <w:r>
        <w:rPr>
          <w:rFonts w:ascii="Times New Roman" w:hAnsi="Times New Roman"/>
          <w:noProof/>
          <w:sz w:val="24"/>
        </w:rPr>
        <w:noBreakHyphen/>
        <w:t xml:space="preserve">dire </w:t>
      </w:r>
      <w:r>
        <w:rPr>
          <w:rFonts w:ascii="Times New Roman" w:hAnsi="Times New Roman"/>
          <w:b/>
          <w:noProof/>
          <w:sz w:val="24"/>
        </w:rPr>
        <w:t>les secteurs ayant un fort potentiel de création d’emplois</w:t>
      </w:r>
      <w:r>
        <w:rPr>
          <w:rFonts w:ascii="Times New Roman" w:hAnsi="Times New Roman"/>
          <w:noProof/>
          <w:sz w:val="24"/>
        </w:rPr>
        <w:t>, une demande croissante de personnel et des besoins de remplacement élevés, notamment les secteurs des soins de longue durée, des soins de santé, de la construction, des services sociaux, de l’économie circulaire et des technologies propres. Il importe de donner aux travailleurs les moyens de saisir les nouvelles occasions qui se présentent et d’améliorer la productivité: les décideurs politiques, les prestataires d’enseignement et de formations, les services publics de l’emploi et les partenaires sociaux doivent agir collectivement à cet effet. Pour qu’ils soient attrayants et pérennes, il sera essentiel de veiller à ce que les emplois créés soient des emplois de qualité.</w:t>
      </w:r>
      <w:r>
        <w:rPr>
          <w:rFonts w:ascii="Arial" w:hAnsi="Arial"/>
          <w:noProof/>
          <w:sz w:val="24"/>
        </w:rPr>
        <w:t xml:space="preserve">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Par ailleurs, l’IA peut contribuer à renforcer les services publics.</w:t>
      </w:r>
      <w:r>
        <w:rPr>
          <w:rFonts w:ascii="Times New Roman" w:hAnsi="Times New Roman"/>
          <w:noProof/>
          <w:sz w:val="24"/>
        </w:rPr>
        <w:t xml:space="preserve"> En matière d’emploi, les outils de profilage et de mise en correspondance de l’offre et de la demande fondés sur l’IA peuvent aider les services publics de l’emploi à fournir une aide plus ciblée, par exemple à faire en sorte que l’offre corresponde mieux à la demande, à offrir un soutien plus personnalisé et à déceler plus rapidement les secteurs qui risquent d’être touchés par le chômage. L’IA peut également améliorer la validation des compétences et l’adéquation de celles-ci avec le marché de l’emploi. Elle peut améliorer l’état de préparation en matière de santé et soutenir les systèmes de soins de santé et de soins de longue durée soumis à des pressions croissantes en raison du vieillissement démographique, en particulier dans les zones où il est difficile de garantir un accès adéquat aux services essentiels. En améliorant les diagnostics, la prestation de services et l’efficacité de la gestion administrative, l’IA peut contribuer à améliorer le sort des citoyens tout en rendant les systèmes de protection sociale plus efficaces et pérennes.</w:t>
      </w:r>
    </w:p>
    <w:p>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Cependant, mal conçue et mal utilisée, </w:t>
      </w:r>
      <w:r>
        <w:rPr>
          <w:rFonts w:ascii="Times New Roman" w:hAnsi="Times New Roman"/>
          <w:b/>
          <w:noProof/>
          <w:sz w:val="24"/>
        </w:rPr>
        <w:t>l’IA peut également susciter de grandes inquiétudes en matière d’égalité des chances et d’inclusion</w:t>
      </w:r>
      <w:r>
        <w:rPr>
          <w:rFonts w:ascii="Times New Roman" w:hAnsi="Times New Roman"/>
          <w:noProof/>
          <w:sz w:val="24"/>
        </w:rPr>
        <w:t>. Le recours à l’IA sur le marché du travail et dans les administrations publiques expose à un risque de biais algorithmiques, notamment de biais dérivés des données utilisées pour «entraîner» les systèmes d’intelligence artificielle, susceptibles de renforcer les inégalités et la discrimination auxquels sont confrontés certains groupes de population, en particulier si les systèmes d’IA n’ont pas été conçus et déployés conformément au règlement sur l’intelligence artificielle (ci-après le «règlement sur l’IA»</w:t>
      </w:r>
      <w:r>
        <w:rPr>
          <w:rStyle w:val="FootnoteReference"/>
          <w:rFonts w:ascii="Times New Roman" w:eastAsia="Arial" w:hAnsi="Times New Roman" w:cs="Times New Roman"/>
          <w:noProof/>
          <w:sz w:val="24"/>
          <w:szCs w:val="24"/>
        </w:rPr>
        <w:footnoteReference w:id="6"/>
      </w:r>
      <w:r>
        <w:rPr>
          <w:noProof/>
        </w:rPr>
        <w:t>.</w:t>
      </w:r>
      <w:r>
        <w:rPr>
          <w:rFonts w:ascii="Times New Roman" w:hAnsi="Times New Roman"/>
          <w:noProof/>
          <w:sz w:val="24"/>
        </w:rPr>
        <w:t xml:space="preserve"> La </w:t>
      </w:r>
      <w:r>
        <w:rPr>
          <w:rFonts w:ascii="Times New Roman" w:hAnsi="Times New Roman"/>
          <w:noProof/>
          <w:sz w:val="24"/>
        </w:rPr>
        <w:lastRenderedPageBreak/>
        <w:t xml:space="preserve">mise en œuvre et le respect effectifs des instruments juridiques de l’UE, tels que </w:t>
      </w:r>
      <w:hyperlink r:id="rId68">
        <w:r>
          <w:rPr>
            <w:rStyle w:val="Hyperlink"/>
            <w:rFonts w:ascii="Times New Roman" w:hAnsi="Times New Roman"/>
            <w:noProof/>
            <w:sz w:val="24"/>
          </w:rPr>
          <w:t>le règlement sur l’IA</w:t>
        </w:r>
      </w:hyperlink>
      <w:r>
        <w:rPr>
          <w:noProof/>
        </w:rPr>
        <w:t xml:space="preserve">, </w:t>
      </w:r>
      <w:r>
        <w:rPr>
          <w:rFonts w:ascii="Times New Roman" w:hAnsi="Times New Roman"/>
          <w:noProof/>
          <w:sz w:val="24"/>
        </w:rPr>
        <w:t xml:space="preserve">sont essentiels pour éviter les biais et écarter ces risques. Dans le même temps, l’IA peut changer la manière dont les individus apprennent, acquièrent de nouvelles qualifications et résolvent les problèmes. Dans la stratégie pour l’application de l’IA, il est souligné que le renforcement de la maîtrise de l’intelligence artificielle est un facteur important d’inclusion et d’égalité des chances, et que cette maîtrise est essentielle pour permettre aux Européens d’utiliser ces outils avec discernement et de manière responsable. Toutes ces évolutions soulèvent des </w:t>
      </w:r>
      <w:r>
        <w:rPr>
          <w:rFonts w:ascii="Times New Roman" w:hAnsi="Times New Roman"/>
          <w:b/>
          <w:noProof/>
          <w:sz w:val="24"/>
        </w:rPr>
        <w:t>questions de fond sur lesquelles l’UE doit se pencher sans tarder</w:t>
      </w:r>
      <w:r>
        <w:rPr>
          <w:rFonts w:ascii="Times New Roman" w:hAnsi="Times New Roman"/>
          <w:noProof/>
          <w:sz w:val="24"/>
        </w:rPr>
        <w:t>. Les décideurs politiques doivent réfléchir à la manière dont l’IA influencera l’offre et la demande de main-d’œuvre à l’avenir, aura des répercussions sur les inégalités et, plus généralement, mettra à l’épreuve la résilience du modèle social européen. De plus, le fait de s’appuyer sur des technologies d’IA non européennes peut entraîner des risques supplémentaires, notamment lorsque des données sensibles, des infrastructures critiques ou des fonctions afférentes à la sécurité sont en jeu. Dès lors, les pouvoirs publics doivent prendre les mesures qui s’imposent pour réduire les risques associés aux ruptures technologiques tout en permettant à l’UE de bénéficier des avantages économiques et sociétaux de l’IA.</w:t>
      </w:r>
    </w:p>
    <w:p>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Pour profiter de ces avantages, et conformément au règlement sur l’IA, les États membres auront besoin des capacités administratives et institutionnelles nécessaires à un déploiement responsable de l’IA, notamment grâce aux moyens suivants: dispositifs de gouvernance appropriés, contrôle humain, gestion des données, analyses d’impact, systèmes de surveillance, garde-fous contre la discrimination et les autres risques pesant sur les droits fondamentaux.</w:t>
      </w:r>
    </w:p>
    <w:p>
      <w:pPr>
        <w:spacing w:line="276" w:lineRule="auto"/>
        <w:jc w:val="both"/>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9016"/>
      </w:tblGrid>
      <w:tr>
        <w:tc>
          <w:tcPr>
            <w:tcW w:w="9016" w:type="dxa"/>
          </w:tcPr>
          <w:p>
            <w:pPr>
              <w:spacing w:after="120" w:line="276" w:lineRule="auto"/>
              <w:rPr>
                <w:rFonts w:ascii="Times New Roman" w:hAnsi="Times New Roman" w:cs="Times New Roman"/>
                <w:b/>
                <w:noProof/>
                <w:sz w:val="24"/>
                <w:szCs w:val="24"/>
              </w:rPr>
            </w:pPr>
            <w:r>
              <w:rPr>
                <w:rFonts w:ascii="Times New Roman" w:hAnsi="Times New Roman"/>
                <w:b/>
                <w:noProof/>
                <w:sz w:val="24"/>
              </w:rPr>
              <w:t xml:space="preserve">Actions prévues: </w:t>
            </w:r>
          </w:p>
          <w:p>
            <w:pPr>
              <w:numPr>
                <w:ilvl w:val="0"/>
                <w:numId w:val="26"/>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La Commission mettra en place un </w:t>
            </w:r>
            <w:r>
              <w:rPr>
                <w:rFonts w:ascii="Times New Roman" w:hAnsi="Times New Roman"/>
                <w:b/>
                <w:noProof/>
                <w:sz w:val="24"/>
              </w:rPr>
              <w:t>groupe d’experts de haut niveau</w:t>
            </w:r>
            <w:r>
              <w:rPr>
                <w:rFonts w:ascii="Times New Roman" w:hAnsi="Times New Roman"/>
                <w:noProof/>
                <w:sz w:val="24"/>
              </w:rPr>
              <w:t xml:space="preserve"> chargé d’examiner les répercussions potentielles de l’IA sur le marché du travail, en veillant à la cohérence, à la complémentarité et aux synergies avec les initiatives existantes, notamment avec la contribution de l’Observatoire de l’IA lancé dans le cadre de la stratégie pour l’application de l’IA, les objectifs étant les suivants: </w:t>
            </w:r>
          </w:p>
          <w:p>
            <w:pPr>
              <w:numPr>
                <w:ilvl w:val="1"/>
                <w:numId w:val="26"/>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élaborer des scénarios relatifs à la </w:t>
            </w:r>
            <w:r>
              <w:rPr>
                <w:rFonts w:ascii="Times New Roman" w:hAnsi="Times New Roman"/>
                <w:b/>
                <w:noProof/>
                <w:sz w:val="24"/>
              </w:rPr>
              <w:t>trajectoire potentielle à long terme de l’emploi dans l’UE</w:t>
            </w:r>
            <w:r>
              <w:rPr>
                <w:rFonts w:ascii="Times New Roman" w:hAnsi="Times New Roman"/>
                <w:noProof/>
                <w:sz w:val="24"/>
              </w:rPr>
              <w:t>, compte tenu du déploiement de l’IA sur les lieux de travail, en s’appuyant sur les contributions de l’Observatoire de l’IA et de l’Observatoire européen de veille stratégique sur les besoins en compétences;</w:t>
            </w:r>
          </w:p>
          <w:p>
            <w:pPr>
              <w:pStyle w:val="ListParagraph"/>
              <w:numPr>
                <w:ilvl w:val="1"/>
                <w:numId w:val="26"/>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trouver les moyens les plus efficaces d’anticiper et de gérer les </w:t>
            </w:r>
            <w:r>
              <w:rPr>
                <w:rFonts w:ascii="Times New Roman" w:hAnsi="Times New Roman"/>
                <w:b/>
                <w:noProof/>
                <w:sz w:val="24"/>
              </w:rPr>
              <w:t>incidences de l’IA sur l’emploi</w:t>
            </w:r>
            <w:r>
              <w:rPr>
                <w:rFonts w:ascii="Times New Roman" w:hAnsi="Times New Roman"/>
                <w:noProof/>
                <w:sz w:val="24"/>
              </w:rPr>
              <w:t xml:space="preserve">, notamment en envisageant un renforcement des outils analytiques de suivi, d’alerte précoce, de prévision et d’anticipation des effets de l’IA sur l’emploi, en veillant à ce que les décideurs politiques, les entreprises et les partenaires sociaux disposent des ressources nécessaires; et </w:t>
            </w:r>
            <w:r>
              <w:rPr>
                <w:rFonts w:ascii="Times New Roman" w:hAnsi="Times New Roman"/>
                <w:noProof/>
                <w:sz w:val="24"/>
              </w:rPr>
              <w:lastRenderedPageBreak/>
              <w:t xml:space="preserve">proposer des pistes pour ajuster en conséquence les politiques relatives aux marchés du travail et améliorer le fonctionnement de ces derniers. </w:t>
            </w:r>
          </w:p>
          <w:p>
            <w:pPr>
              <w:spacing w:after="120" w:line="276" w:lineRule="auto"/>
              <w:ind w:left="1440"/>
              <w:jc w:val="both"/>
              <w:rPr>
                <w:rFonts w:ascii="Times New Roman" w:hAnsi="Times New Roman" w:cs="Times New Roman"/>
                <w:noProof/>
                <w:sz w:val="24"/>
                <w:szCs w:val="24"/>
                <w:lang w:val="fr-BE"/>
              </w:rPr>
            </w:pPr>
          </w:p>
          <w:p>
            <w:pPr>
              <w:numPr>
                <w:ilvl w:val="0"/>
                <w:numId w:val="26"/>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Sans préjuger d’une éventuelle action de l’UE dans le cadre de l’acte législatif sur des emplois de qualité, qui fait actuellement l’objet d’une consultation des partenaires sociaux de l’UE, la Commission envisagera </w:t>
            </w:r>
            <w:r>
              <w:rPr>
                <w:rFonts w:ascii="Times New Roman" w:hAnsi="Times New Roman"/>
                <w:b/>
                <w:noProof/>
                <w:sz w:val="24"/>
              </w:rPr>
              <w:t>des actions de soutien à une adoption responsable d’outils et de pratiques de gestion algorithmique sur les lieux de travail</w:t>
            </w:r>
            <w:r>
              <w:rPr>
                <w:rFonts w:ascii="Times New Roman" w:hAnsi="Times New Roman"/>
                <w:noProof/>
                <w:sz w:val="24"/>
              </w:rPr>
              <w:t>, tels que le partage des bonnes pratiques, l’apprentissage mutuel et le renforcement des capacités.</w:t>
            </w:r>
            <w:r>
              <w:rPr>
                <w:noProof/>
                <w:sz w:val="24"/>
              </w:rPr>
              <w:t xml:space="preserve"> </w:t>
            </w:r>
          </w:p>
        </w:tc>
      </w:tr>
    </w:tbl>
    <w:p>
      <w:pPr>
        <w:rPr>
          <w:rFonts w:ascii="Times New Roman" w:eastAsia="Arial" w:hAnsi="Times New Roman" w:cs="Times New Roman"/>
          <w:b/>
          <w:bCs/>
          <w:i/>
          <w:iCs/>
          <w:noProof/>
          <w:sz w:val="24"/>
          <w:szCs w:val="24"/>
        </w:rPr>
      </w:pPr>
    </w:p>
    <w:p>
      <w:pPr>
        <w:spacing w:line="360" w:lineRule="auto"/>
        <w:jc w:val="both"/>
        <w:rPr>
          <w:rFonts w:ascii="Times New Roman" w:eastAsia="Arial" w:hAnsi="Times New Roman" w:cs="Times New Roman"/>
          <w:b/>
          <w:bCs/>
          <w:i/>
          <w:iCs/>
          <w:noProof/>
          <w:sz w:val="24"/>
          <w:szCs w:val="24"/>
        </w:rPr>
      </w:pPr>
      <w:r>
        <w:rPr>
          <w:rFonts w:ascii="Times New Roman" w:hAnsi="Times New Roman"/>
          <w:b/>
          <w:i/>
          <w:noProof/>
          <w:sz w:val="24"/>
        </w:rPr>
        <w:t>3.3 Inégalités, équité, et égalité des chances</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L’Union européenne reste pleinement résolue à réduire les inégalités persistantes</w:t>
      </w:r>
      <w:r>
        <w:rPr>
          <w:rFonts w:ascii="Times New Roman" w:hAnsi="Times New Roman"/>
          <w:noProof/>
          <w:sz w:val="24"/>
        </w:rPr>
        <w:t xml:space="preserve"> qui compromettent la cohésion sociale et territoriale, la résilience économique et la promesse fondamentale d’une égalité des chances pour tous relevant du socle européen des droits sociaux. L’UE est nettement moins confrontée aux inégalités que la plupart des autres parties du monde, grâce à la mise en œuvre du modèle social européen. Cependant, malgré les progrès accomplis ces dernières années, des inégalités persistent dans tous les domaines de la vie, et des efforts constants sont nécessaires pour mettre en œuvre des mesures présentant un bon rapport coût-efficacité. Les inégalités ne sont pas uniquement une source de préoccupation sociale; elles constituent des obstacles structurels qui affaiblissent les capacités à long terme de l’UE en matière de viabilité, d’innovation et de concurrence, ainsi que le tissu démographique de l’UE.</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Les Européens perçoivent de plus en plus les conditions de vie comme étant inéquitables: </w:t>
      </w:r>
      <w:hyperlink r:id="rId69" w:history="1">
        <w:r>
          <w:rPr>
            <w:rStyle w:val="Hyperlink"/>
            <w:rFonts w:ascii="Times New Roman" w:hAnsi="Times New Roman"/>
            <w:noProof/>
            <w:sz w:val="24"/>
          </w:rPr>
          <w:t>en 2022</w:t>
        </w:r>
      </w:hyperlink>
      <w:r>
        <w:rPr>
          <w:noProof/>
        </w:rPr>
        <w:t xml:space="preserve">, </w:t>
      </w:r>
      <w:r>
        <w:rPr>
          <w:rFonts w:ascii="Times New Roman" w:hAnsi="Times New Roman"/>
          <w:noProof/>
          <w:sz w:val="24"/>
        </w:rPr>
        <w:t>seuls 38 % d’entre eux les trouvaient en grande partie équitables, contre 51 % en 2017</w:t>
      </w:r>
      <w:r>
        <w:rPr>
          <w:noProof/>
        </w:rPr>
        <w:t>.</w:t>
      </w:r>
      <w:r>
        <w:rPr>
          <w:rFonts w:ascii="Times New Roman" w:hAnsi="Times New Roman"/>
          <w:noProof/>
          <w:sz w:val="24"/>
        </w:rPr>
        <w:t xml:space="preserve"> Si les</w:t>
      </w:r>
      <w:r>
        <w:rPr>
          <w:noProof/>
        </w:rPr>
        <w:t xml:space="preserve"> </w:t>
      </w:r>
      <w:hyperlink r:id="rId70" w:history="1">
        <w:r>
          <w:rPr>
            <w:rStyle w:val="Hyperlink"/>
            <w:rFonts w:ascii="Times New Roman" w:hAnsi="Times New Roman"/>
            <w:b/>
            <w:noProof/>
            <w:sz w:val="24"/>
          </w:rPr>
          <w:t>inégalités en matière de revenus</w:t>
        </w:r>
      </w:hyperlink>
      <w:r>
        <w:rPr>
          <w:rFonts w:ascii="Times New Roman" w:hAnsi="Times New Roman"/>
          <w:noProof/>
          <w:sz w:val="24"/>
        </w:rPr>
        <w:t xml:space="preserve"> ont diminué à la suite de la pandémie de COVID-19, elles demeurent cependant élevées: les revenus des 20 % de personnes situés au sommet de l’échelle des revenus sont près de cinq fois supérieurs à ceux des 20 % situés au bas de l’échelle. Et la </w:t>
      </w:r>
      <w:r>
        <w:rPr>
          <w:rFonts w:ascii="Times New Roman" w:hAnsi="Times New Roman"/>
          <w:b/>
          <w:noProof/>
          <w:sz w:val="24"/>
        </w:rPr>
        <w:t>concentration des richesses</w:t>
      </w:r>
      <w:r>
        <w:rPr>
          <w:rFonts w:ascii="Times New Roman" w:hAnsi="Times New Roman"/>
          <w:noProof/>
          <w:sz w:val="24"/>
        </w:rPr>
        <w:t xml:space="preserve"> s’est encore accrue: selon les données de 2025 de la </w:t>
      </w:r>
      <w:hyperlink r:id="rId71" w:history="1">
        <w:r>
          <w:rPr>
            <w:rStyle w:val="Hyperlink"/>
            <w:rFonts w:ascii="Times New Roman" w:hAnsi="Times New Roman"/>
            <w:noProof/>
            <w:sz w:val="24"/>
          </w:rPr>
          <w:t>Banque centrale européenne</w:t>
        </w:r>
      </w:hyperlink>
      <w:r>
        <w:rPr>
          <w:rFonts w:ascii="Times New Roman" w:hAnsi="Times New Roman"/>
          <w:noProof/>
          <w:sz w:val="24"/>
        </w:rPr>
        <w:t xml:space="preserve"> pour la zone euro, les 10 % de personnes les plus riches détenaient environ 57,3 % du patrimoine net total des ménages (pourcentage en grande partie inchangé par rapport à 2023), tandis que les 50 % de personnes les plus pauvres en détenaient environ 5 %.</w:t>
      </w:r>
    </w:p>
    <w:p>
      <w:pPr>
        <w:spacing w:line="276" w:lineRule="auto"/>
        <w:jc w:val="both"/>
        <w:rPr>
          <w:rFonts w:ascii="Times New Roman" w:hAnsi="Times New Roman"/>
          <w:noProof/>
          <w:color w:val="000000" w:themeColor="text1"/>
          <w:sz w:val="24"/>
        </w:rPr>
      </w:pPr>
      <w:r>
        <w:rPr>
          <w:rFonts w:ascii="Times New Roman" w:hAnsi="Times New Roman"/>
          <w:noProof/>
          <w:sz w:val="24"/>
        </w:rPr>
        <w:t xml:space="preserve">Les </w:t>
      </w:r>
      <w:r>
        <w:rPr>
          <w:rFonts w:ascii="Times New Roman" w:hAnsi="Times New Roman"/>
          <w:b/>
          <w:noProof/>
          <w:sz w:val="24"/>
        </w:rPr>
        <w:t>disparités régionales et territoriales</w:t>
      </w:r>
      <w:r>
        <w:rPr>
          <w:rFonts w:ascii="Times New Roman" w:hAnsi="Times New Roman"/>
          <w:noProof/>
          <w:sz w:val="24"/>
        </w:rPr>
        <w:t xml:space="preserve"> continuent creuser les inégalités sociales en limitant l’accès à une éducation de qualité, à l’emploi, aux soins de santé, aux soins de longue durée et à d’autres services essentiels. Les quartiers défavorisés, les zones rurales et isolées et les régions ultrapériphériques, confrontés au déclin démographique, à l’exode des jeunes ainsi qu’aux écueils en matière de développement des talents et/ou à leur multiplication, sont particulièrement touchés. Ces difficultés engendrent des coûts sociaux et économiques importants, nuisent à la cohésion territoriale, à la compétitivité, et ne permettent pas d’exploiter le plein potentiel du marché unique.</w:t>
      </w:r>
    </w:p>
    <w:p>
      <w:pPr>
        <w:spacing w:line="276" w:lineRule="auto"/>
        <w:jc w:val="both"/>
        <w:rPr>
          <w:rFonts w:ascii="Times New Roman" w:eastAsia="Arial" w:hAnsi="Times New Roman" w:cs="Times New Roman"/>
          <w:bCs/>
          <w:noProof/>
          <w:sz w:val="24"/>
          <w:szCs w:val="24"/>
        </w:rPr>
      </w:pPr>
      <w:r>
        <w:rPr>
          <w:rFonts w:ascii="Times New Roman" w:hAnsi="Times New Roman"/>
          <w:noProof/>
          <w:sz w:val="24"/>
        </w:rPr>
        <w:lastRenderedPageBreak/>
        <w:t>Dans le même temps, les groupes qui sont défavorisés sur le plan socio</w:t>
      </w:r>
      <w:r>
        <w:rPr>
          <w:rFonts w:ascii="Times New Roman" w:hAnsi="Times New Roman"/>
          <w:noProof/>
          <w:sz w:val="24"/>
        </w:rPr>
        <w:noBreakHyphen/>
        <w:t xml:space="preserve">économique, discriminés et marginalisés sont souvent plus exposés à la pollution et à la dégradation de l’environnement, ainsi qu’aux effets négatifs du changement climatique (inondations, incendies de forêt, vagues de chaleur, retrait des sols, etc.), et sont moins à même de fuir ce type de risques. Les </w:t>
      </w:r>
      <w:r>
        <w:rPr>
          <w:rFonts w:ascii="Times New Roman" w:hAnsi="Times New Roman"/>
          <w:b/>
          <w:noProof/>
          <w:sz w:val="24"/>
        </w:rPr>
        <w:t>inégalités environnementales</w:t>
      </w:r>
      <w:r>
        <w:rPr>
          <w:rFonts w:ascii="Times New Roman" w:hAnsi="Times New Roman"/>
          <w:noProof/>
          <w:sz w:val="24"/>
        </w:rPr>
        <w:t xml:space="preserve"> touchent aussi le secteur du logement: les ménages à faibles revenus sont plus susceptibles de vivre dans des logements inadéquats, parfois mal isolés, et d’être peu à même de pouvoir quitter les zones exposées à des risques tels que le risque d’inondations.</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Afin de combler ces lacunes, des mesures décisives ont été prises dans le cadre du </w:t>
      </w:r>
      <w:hyperlink r:id="rId72" w:history="1">
        <w:r>
          <w:rPr>
            <w:rStyle w:val="Hyperlink"/>
            <w:rFonts w:ascii="Times New Roman" w:hAnsi="Times New Roman"/>
            <w:noProof/>
            <w:sz w:val="24"/>
          </w:rPr>
          <w:t>plan d’action de 2021</w:t>
        </w:r>
      </w:hyperlink>
      <w:r>
        <w:rPr>
          <w:rFonts w:ascii="Times New Roman" w:hAnsi="Times New Roman"/>
          <w:noProof/>
          <w:sz w:val="24"/>
        </w:rPr>
        <w:t xml:space="preserve"> pour lutter contre les inégalités et renforcer l’égalité des chances. Pour éviter d’emblée la survenue d’effets indésirables, il convient d’élaborer les politiques voulues en gardant à l’esprit leurs effets distributifs. La Commission publiera en 2027 une étude sur les évaluations des effets distributifs dans les États membres et continuera de promouvoir leur utilisation dans le cadre de l’élaboration des politiques.</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L’</w:t>
      </w:r>
      <w:hyperlink r:id="rId73">
        <w:r>
          <w:rPr>
            <w:rStyle w:val="Hyperlink"/>
            <w:rFonts w:ascii="Times New Roman" w:hAnsi="Times New Roman"/>
            <w:noProof/>
            <w:sz w:val="24"/>
          </w:rPr>
          <w:t>Union de l’égalité</w:t>
        </w:r>
      </w:hyperlink>
      <w:r>
        <w:rPr>
          <w:rFonts w:ascii="Times New Roman" w:hAnsi="Times New Roman"/>
          <w:noProof/>
          <w:sz w:val="24"/>
        </w:rPr>
        <w:t xml:space="preserve"> fournit un cadre stratégique global, qui intègre les stratégies en faveur de l’égalité de genre, de l’égalité de traitement à l’égard des personnes LGBTIQ+, des droits des personnes handicapées, de la lutte contre le racisme, ainsi que de l’égalité, de l’inclusion et de la participation des Roms. La Commission assurera le suivi de la mise en œuvre de ce cadre, notamment de son évolution au niveau national, et en rendra compte dans les prochains rapports sur l’Union de l’égalité.</w:t>
      </w:r>
    </w:p>
    <w:p>
      <w:pPr>
        <w:spacing w:line="276" w:lineRule="auto"/>
        <w:jc w:val="both"/>
        <w:rPr>
          <w:rFonts w:ascii="Times New Roman" w:hAnsi="Times New Roman"/>
          <w:noProof/>
          <w:sz w:val="24"/>
        </w:rPr>
      </w:pPr>
      <w:r>
        <w:rPr>
          <w:rFonts w:ascii="Times New Roman" w:hAnsi="Times New Roman"/>
          <w:noProof/>
          <w:sz w:val="24"/>
        </w:rPr>
        <w:t xml:space="preserve">L’application de la législation et des politiques de l’UE en matière de lutte contre la discrimination reste également fondamentale. Ainsi, la </w:t>
      </w:r>
      <w:hyperlink r:id="rId74">
        <w:r>
          <w:rPr>
            <w:rStyle w:val="Hyperlink"/>
            <w:rFonts w:ascii="Times New Roman" w:hAnsi="Times New Roman"/>
            <w:noProof/>
            <w:sz w:val="24"/>
          </w:rPr>
          <w:t>directive relative à l’égalité raciale</w:t>
        </w:r>
      </w:hyperlink>
      <w:r>
        <w:rPr>
          <w:rFonts w:ascii="Times New Roman" w:hAnsi="Times New Roman"/>
          <w:noProof/>
          <w:sz w:val="24"/>
        </w:rPr>
        <w:t xml:space="preserve"> et la </w:t>
      </w:r>
      <w:hyperlink r:id="rId75" w:history="1">
        <w:r>
          <w:rPr>
            <w:rStyle w:val="Hyperlink"/>
            <w:rFonts w:ascii="Times New Roman" w:hAnsi="Times New Roman"/>
            <w:noProof/>
            <w:sz w:val="24"/>
          </w:rPr>
          <w:t>directive relative à l’égalité de traitement en matière d’emploi et de travail</w:t>
        </w:r>
      </w:hyperlink>
      <w:r>
        <w:rPr>
          <w:rFonts w:ascii="Times New Roman" w:hAnsi="Times New Roman"/>
          <w:noProof/>
          <w:sz w:val="24"/>
        </w:rPr>
        <w:t xml:space="preserve"> visent à prévenir et à combattre la discrimination fondée sur la race ou l’origine ethnique, la religion ou les convictions, un handicap, l’âge ou l’orientation sexuelle. Des sanctions efficaces, proportionnées et dissuasives sont essentielles pour lutter contre la discrimination et les obstacles qui en découlent en matière d’emploi et dans d’autres domaines de la vie. La Commission exhorte les États membres à veiller à ce que des sanctions effectives soient appliquées en cas de discrimination.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La </w:t>
      </w:r>
      <w:hyperlink r:id="rId76" w:history="1">
        <w:r>
          <w:rPr>
            <w:rStyle w:val="Hyperlink"/>
            <w:rFonts w:ascii="Times New Roman" w:hAnsi="Times New Roman"/>
            <w:b/>
            <w:noProof/>
            <w:sz w:val="24"/>
          </w:rPr>
          <w:t>directive sur la transparence des rémunérations</w:t>
        </w:r>
      </w:hyperlink>
      <w:r>
        <w:rPr>
          <w:rFonts w:ascii="Times New Roman" w:hAnsi="Times New Roman"/>
          <w:noProof/>
          <w:sz w:val="24"/>
        </w:rPr>
        <w:t xml:space="preserve">, qui est entrée en vigueur en mai 2023 et devait être transposée en droit national par les États membres pour juin 2026 au plus tard, renforce le principe de l’égalité des rémunérations entre les femmes et les hommes pour un même travail ou un travail de même valeur, contribuant ainsi à faire progresser l’égalité de genre sur le marché du travail. </w:t>
      </w:r>
      <w:r>
        <w:rPr>
          <w:rStyle w:val="CommentReference"/>
          <w:rFonts w:ascii="Times New Roman" w:hAnsi="Times New Roman"/>
          <w:noProof/>
          <w:sz w:val="24"/>
        </w:rPr>
        <w:t>La Commission reste pleinement résolue à garantir sa mise en œuvre et son application.</w:t>
      </w:r>
      <w:r>
        <w:rPr>
          <w:rFonts w:ascii="Times New Roman" w:hAnsi="Times New Roman"/>
          <w:noProof/>
          <w:sz w:val="24"/>
        </w:rPr>
        <w:t xml:space="preserve"> À cette fin, elle continuera d’aider les États membres et les partenaires sociaux à mettre en œuvre la directive de manière efficace, en veillant à ce que la charge administrative reste proportionnée tout en permettant le plein respect de la directive. La Commission apportera par ailleurs un soutien supplémentaire, notamment aux PME qui, en adoptant des pratiques équitables et transparentes en matière de rémunérations, sont les mieux à même d’en tirer des effets concrets, l’aide apportée visant notamment à garantir que la charge administrative liée aux mesures de mise en œuvre soit la plus limitée possible. </w:t>
      </w:r>
    </w:p>
    <w:p>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 xml:space="preserve">L’écart de pension entre les hommes et les femmes (23,9 % en 2025 dans l’UE) témoigne lui aussi des inégalités en matière de progression de carrière, de même que le taux de pauvreté plus élevé observé chez les femmes âgées (21,9 % pour les femmes de plus de 65 ans en 2025 dans l’UE). La stratégie en faveur de l’équité intergénérationnelle et la stratégie en faveur de l’égalité de genre 2026-2030 mettent en évidence le fait que les inégalités en matière d’emploi et de rémunération, ainsi que les tâches de soins non rémunérées s’accumulent tout au long de la vie et débouchent sur des écarts très importants entre les hommes et les femmes en ce qui concerne la pension de retraite et la sécurité des revenus des personnes âgées. </w:t>
      </w:r>
    </w:p>
    <w:p>
      <w:pPr>
        <w:spacing w:line="276" w:lineRule="auto"/>
        <w:jc w:val="both"/>
        <w:rPr>
          <w:rFonts w:ascii="Times New Roman" w:eastAsia="Arial" w:hAnsi="Times New Roman" w:cs="Times New Roman"/>
          <w:bCs/>
          <w:noProof/>
          <w:sz w:val="24"/>
          <w:szCs w:val="24"/>
        </w:rPr>
      </w:pPr>
      <w:r>
        <w:rPr>
          <w:rFonts w:ascii="Times New Roman" w:hAnsi="Times New Roman"/>
          <w:noProof/>
          <w:sz w:val="24"/>
        </w:rPr>
        <w:t xml:space="preserve">En contribuant à réduire la pauvreté, la couverture des soins de santé a des effets </w:t>
      </w:r>
      <w:hyperlink r:id="rId77" w:history="1">
        <w:r>
          <w:rPr>
            <w:rStyle w:val="Hyperlink"/>
            <w:rFonts w:ascii="Times New Roman" w:hAnsi="Times New Roman"/>
            <w:noProof/>
            <w:sz w:val="24"/>
          </w:rPr>
          <w:t>comparables à des transferts en espèces</w:t>
        </w:r>
      </w:hyperlink>
      <w:r>
        <w:rPr>
          <w:rFonts w:ascii="Times New Roman" w:hAnsi="Times New Roman"/>
          <w:noProof/>
          <w:sz w:val="24"/>
        </w:rPr>
        <w:t xml:space="preserve">. Dès lors, une </w:t>
      </w:r>
      <w:r>
        <w:rPr>
          <w:rFonts w:ascii="Times New Roman" w:hAnsi="Times New Roman"/>
          <w:b/>
          <w:noProof/>
          <w:sz w:val="24"/>
        </w:rPr>
        <w:t>réforme bien conçue des soins de santé peut aussi contribuer aux efforts de lutte contre la pauvreté de l’UE</w:t>
      </w:r>
      <w:r>
        <w:rPr>
          <w:rFonts w:ascii="Times New Roman" w:hAnsi="Times New Roman"/>
          <w:noProof/>
          <w:sz w:val="24"/>
        </w:rPr>
        <w:t xml:space="preserve">. Il est essentiel que les États membres s’appuient sur les lignes directrices des actions </w:t>
      </w:r>
      <w:r>
        <w:rPr>
          <w:rFonts w:ascii="Times New Roman" w:hAnsi="Times New Roman"/>
          <w:b/>
          <w:noProof/>
          <w:sz w:val="24"/>
        </w:rPr>
        <w:t>EU4Health</w:t>
      </w:r>
      <w:r>
        <w:rPr>
          <w:rFonts w:ascii="Times New Roman" w:hAnsi="Times New Roman"/>
          <w:noProof/>
          <w:sz w:val="24"/>
        </w:rPr>
        <w:t xml:space="preserve"> («L’UE pour la santé») et exploitent le potentiel des outils élaborés dans ce cadre, notamment de ceux qui permettent de répartir plus équitablement les prestations de santé, d’offrir des soins de santé plus abordables ou d’</w:t>
      </w:r>
      <w:hyperlink r:id="rId78" w:history="1">
        <w:r>
          <w:rPr>
            <w:rStyle w:val="Hyperlink"/>
            <w:rFonts w:ascii="Times New Roman" w:hAnsi="Times New Roman"/>
            <w:noProof/>
            <w:sz w:val="24"/>
          </w:rPr>
          <w:t>améliorer l’accès des personnes handicapées aux soins de santé</w:t>
        </w:r>
      </w:hyperlink>
      <w:r>
        <w:rPr>
          <w:rFonts w:ascii="Times New Roman" w:hAnsi="Times New Roman"/>
          <w:noProof/>
          <w:sz w:val="24"/>
        </w:rPr>
        <w:t>.</w:t>
      </w:r>
      <w:r>
        <w:rPr>
          <w:noProof/>
        </w:rPr>
        <w:t xml:space="preserve"> </w:t>
      </w:r>
      <w:r>
        <w:rPr>
          <w:rFonts w:ascii="Times New Roman" w:hAnsi="Times New Roman"/>
          <w:noProof/>
          <w:sz w:val="24"/>
        </w:rPr>
        <w:t>Dans le cadre de ces actions, les États membres peuvent aussi compter sur des instruments qui les aident à faire face aux pénuries de personnel de santé, comme les modèles de planification concernant ce personnel et les programmes visant une mobilité équitable et durable de la main-d’œuvre entre l’UE et les pays d’origine des travailleurs du secteur de la santé, susceptible d’inciter ces derniers à venir travailler dans l’Union, par exemple dans le cadre des partenariats pour les talents.</w:t>
      </w:r>
    </w:p>
    <w:p>
      <w:pPr>
        <w:spacing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Commission œuvre actuellement au </w:t>
      </w:r>
      <w:r>
        <w:rPr>
          <w:rFonts w:ascii="Times New Roman" w:hAnsi="Times New Roman"/>
          <w:b/>
          <w:noProof/>
          <w:color w:val="000000" w:themeColor="text1"/>
          <w:sz w:val="24"/>
        </w:rPr>
        <w:t xml:space="preserve">renforcement de la dimension territoriale </w:t>
      </w:r>
      <w:r>
        <w:rPr>
          <w:rFonts w:ascii="Times New Roman" w:hAnsi="Times New Roman"/>
          <w:noProof/>
          <w:color w:val="000000" w:themeColor="text1"/>
          <w:sz w:val="24"/>
        </w:rPr>
        <w:t>du socle européen des droits sociaux grâce à de récentes stratégies territoriales applicables au niveau de l’UE</w:t>
      </w:r>
      <w:r>
        <w:rPr>
          <w:rStyle w:val="FootnoteReference"/>
          <w:rFonts w:ascii="Times New Roman" w:eastAsia="Arial" w:hAnsi="Times New Roman" w:cs="Times New Roman"/>
          <w:noProof/>
          <w:sz w:val="24"/>
          <w:szCs w:val="24"/>
        </w:rPr>
        <w:footnoteReference w:id="7"/>
      </w:r>
      <w:r>
        <w:rPr>
          <w:rStyle w:val="FootnoteReference"/>
          <w:rFonts w:eastAsia="Arial"/>
          <w:noProof/>
        </w:rPr>
        <w:t xml:space="preserve"> </w:t>
      </w:r>
      <w:r>
        <w:rPr>
          <w:rFonts w:ascii="Times New Roman" w:hAnsi="Times New Roman"/>
          <w:noProof/>
          <w:color w:val="000000" w:themeColor="text1"/>
          <w:sz w:val="24"/>
        </w:rPr>
        <w:t>, à l’élaboration d’une stratégie pour les régions ultrapériphériques, et d’une stratégie sur le droit au maintien sur le territoire (</w:t>
      </w:r>
      <w:r>
        <w:rPr>
          <w:rFonts w:ascii="Times New Roman" w:hAnsi="Times New Roman"/>
          <w:i/>
          <w:iCs/>
          <w:noProof/>
          <w:color w:val="000000" w:themeColor="text1"/>
          <w:sz w:val="24"/>
        </w:rPr>
        <w:t>Strategy on the Right to Stay</w:t>
      </w:r>
      <w:r>
        <w:rPr>
          <w:rFonts w:ascii="Times New Roman" w:hAnsi="Times New Roman"/>
          <w:noProof/>
          <w:color w:val="000000" w:themeColor="text1"/>
          <w:sz w:val="24"/>
        </w:rPr>
        <w:t>), en s’attachant tout particulièrement à faire en sorte qu’il soit plus facile pour les personnes concernées de saisir les occasions qui se présentent à eux ou d’accéder aux services essentiels, leur permettant ainsi de s’épanouir dans un environnement où ils se sentent chez eux.</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 xml:space="preserve">L’être humain est confronté aux inégalités dès le début de sa vie, et ces inégalités se multiplient au fil du temps. </w:t>
      </w:r>
      <w:r>
        <w:rPr>
          <w:rFonts w:ascii="Times New Roman" w:hAnsi="Times New Roman"/>
          <w:noProof/>
          <w:sz w:val="24"/>
        </w:rPr>
        <w:t xml:space="preserve">Les inégalités persistantes en matière d’éducation, aggravées par un sous-investissement du secteur et par la pénurie d’enseignants dans les zones défavorisées, continuent de limiter la mobilité sociale et le potentiel économique.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Les inégalités ne touchent pas uniquement les générations actuelles, elles se transmettent de génération en génération: il convient donc de se pencher sur la question de l’</w:t>
      </w:r>
      <w:r>
        <w:rPr>
          <w:rFonts w:ascii="Times New Roman" w:hAnsi="Times New Roman"/>
          <w:b/>
          <w:noProof/>
          <w:sz w:val="24"/>
        </w:rPr>
        <w:t>équité intergénérationnelle</w:t>
      </w:r>
      <w:r>
        <w:rPr>
          <w:rStyle w:val="FootnoteReference"/>
          <w:rFonts w:ascii="Times New Roman" w:hAnsi="Times New Roman" w:cs="Times New Roman"/>
          <w:b/>
          <w:noProof/>
          <w:sz w:val="24"/>
          <w:szCs w:val="24"/>
          <w:lang w:val="en-IE"/>
        </w:rPr>
        <w:footnoteReference w:id="8"/>
      </w:r>
      <w:r>
        <w:rPr>
          <w:rFonts w:ascii="Times New Roman" w:hAnsi="Times New Roman"/>
          <w:noProof/>
          <w:sz w:val="24"/>
        </w:rPr>
        <w:t xml:space="preserve">. Si l’on veut réduire la transmission des inégalités, il faut adopter des </w:t>
      </w:r>
      <w:r>
        <w:rPr>
          <w:rFonts w:ascii="Times New Roman" w:hAnsi="Times New Roman"/>
          <w:noProof/>
          <w:sz w:val="24"/>
        </w:rPr>
        <w:lastRenderedPageBreak/>
        <w:t xml:space="preserve">politiques qui agissent à un stade précoce et empêchent la répétition de ce schéma tout au long de la vie. La </w:t>
      </w:r>
      <w:hyperlink r:id="rId79">
        <w:r>
          <w:rPr>
            <w:rStyle w:val="Hyperlink"/>
            <w:rFonts w:ascii="Times New Roman" w:hAnsi="Times New Roman"/>
            <w:noProof/>
            <w:sz w:val="24"/>
          </w:rPr>
          <w:t>stratégie relative à l’équité intergénérationnelle</w:t>
        </w:r>
      </w:hyperlink>
      <w:r>
        <w:rPr>
          <w:rFonts w:ascii="Times New Roman" w:hAnsi="Times New Roman"/>
          <w:noProof/>
          <w:sz w:val="24"/>
        </w:rPr>
        <w:t xml:space="preserve"> encourage une élaboration des politiques s’inscrivant davantage dans le long terme et prend davantage en considération les préoccupations des jeunes et leur point de vue. </w:t>
      </w:r>
      <w:r>
        <w:rPr>
          <w:rFonts w:ascii="Times New Roman" w:hAnsi="Times New Roman"/>
          <w:b/>
          <w:noProof/>
          <w:sz w:val="24"/>
        </w:rPr>
        <w:t>Un investissement social adéquat et bien ciblé, centré sur la personne et sur un territoire,</w:t>
      </w:r>
      <w:r>
        <w:rPr>
          <w:rFonts w:ascii="Times New Roman" w:hAnsi="Times New Roman"/>
          <w:noProof/>
          <w:sz w:val="24"/>
        </w:rPr>
        <w:t xml:space="preserve"> contribue à prévenir la reproduction des inégalités sociales et permet de réduire les coûts budgétaires et économiques à long terme et de concilier ces objectifs avec la nécessité de garantir la viabilité budgétaire à long terme. Le renforcement de la </w:t>
      </w:r>
      <w:r>
        <w:rPr>
          <w:rFonts w:ascii="Times New Roman" w:hAnsi="Times New Roman"/>
          <w:b/>
          <w:noProof/>
          <w:sz w:val="24"/>
        </w:rPr>
        <w:t>garantie européenne pour l’enfance</w:t>
      </w:r>
      <w:r>
        <w:rPr>
          <w:rFonts w:ascii="Times New Roman" w:hAnsi="Times New Roman"/>
          <w:noProof/>
          <w:sz w:val="24"/>
        </w:rPr>
        <w:t xml:space="preserve"> et le nouvel objectif de l’UE consistant à améliorer les compétences de base des apprenants des milieux défavorisés constituent des outils essentiels pour relever ces défis. Par ailleurs, un </w:t>
      </w:r>
      <w:r>
        <w:rPr>
          <w:rFonts w:ascii="Times New Roman" w:hAnsi="Times New Roman"/>
          <w:b/>
          <w:noProof/>
          <w:sz w:val="24"/>
        </w:rPr>
        <w:t>large accès aux pensions complémentaires</w:t>
      </w:r>
      <w:r>
        <w:rPr>
          <w:rFonts w:ascii="Times New Roman" w:hAnsi="Times New Roman"/>
          <w:noProof/>
          <w:sz w:val="24"/>
        </w:rPr>
        <w:t xml:space="preserve"> peut contribuer à maintenir des niveaux de pensions adéquats pour les futurs retraités et est particulièrement nécessaire compte tenu des effets qu’aura sur les ménages l’évolution démographique dans l’Union</w:t>
      </w:r>
      <w:r>
        <w:rPr>
          <w:rStyle w:val="FootnoteReference"/>
          <w:rFonts w:ascii="Times New Roman" w:eastAsia="Arial" w:hAnsi="Times New Roman" w:cs="Times New Roman"/>
          <w:noProof/>
          <w:sz w:val="24"/>
          <w:szCs w:val="24"/>
          <w:lang w:val="en-US"/>
        </w:rPr>
        <w:footnoteReference w:id="9"/>
      </w:r>
      <w:r>
        <w:rPr>
          <w:noProof/>
        </w:rPr>
        <w:t>.</w:t>
      </w:r>
      <w:r>
        <w:rPr>
          <w:rFonts w:ascii="Times New Roman" w:hAnsi="Times New Roman"/>
          <w:noProof/>
          <w:sz w:val="24"/>
        </w:rPr>
        <w:t xml:space="preserve"> </w:t>
      </w:r>
    </w:p>
    <w:p>
      <w:pPr>
        <w:spacing w:line="276" w:lineRule="auto"/>
        <w:jc w:val="both"/>
        <w:rPr>
          <w:rFonts w:ascii="Times New Roman" w:eastAsia="Arial" w:hAnsi="Times New Roman" w:cs="Times New Roman"/>
          <w:noProof/>
          <w:sz w:val="24"/>
          <w:szCs w:val="24"/>
        </w:rPr>
      </w:pPr>
    </w:p>
    <w:tbl>
      <w:tblPr>
        <w:tblStyle w:val="TableGrid"/>
        <w:tblW w:w="0" w:type="auto"/>
        <w:tblLook w:val="04A0" w:firstRow="1" w:lastRow="0" w:firstColumn="1" w:lastColumn="0" w:noHBand="0" w:noVBand="1"/>
      </w:tblPr>
      <w:tblGrid>
        <w:gridCol w:w="9016"/>
      </w:tblGrid>
      <w:tr>
        <w:tc>
          <w:tcPr>
            <w:tcW w:w="9350" w:type="dxa"/>
          </w:tcPr>
          <w:p>
            <w:pPr>
              <w:spacing w:after="120" w:line="276" w:lineRule="auto"/>
              <w:rPr>
                <w:rFonts w:ascii="Times New Roman" w:hAnsi="Times New Roman" w:cs="Times New Roman"/>
                <w:b/>
                <w:noProof/>
                <w:sz w:val="24"/>
                <w:szCs w:val="24"/>
              </w:rPr>
            </w:pPr>
            <w:r>
              <w:rPr>
                <w:rFonts w:ascii="Times New Roman" w:hAnsi="Times New Roman"/>
                <w:b/>
                <w:noProof/>
                <w:sz w:val="24"/>
              </w:rPr>
              <w:t xml:space="preserve">Actions prévues: </w:t>
            </w:r>
          </w:p>
          <w:p>
            <w:pPr>
              <w:numPr>
                <w:ilvl w:val="0"/>
                <w:numId w:val="28"/>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La Commission apportera un </w:t>
            </w:r>
            <w:r>
              <w:rPr>
                <w:rFonts w:ascii="Times New Roman" w:hAnsi="Times New Roman"/>
                <w:b/>
                <w:noProof/>
                <w:sz w:val="24"/>
              </w:rPr>
              <w:t>soutien</w:t>
            </w:r>
            <w:r>
              <w:rPr>
                <w:rFonts w:ascii="Times New Roman" w:hAnsi="Times New Roman"/>
                <w:noProof/>
                <w:sz w:val="24"/>
              </w:rPr>
              <w:t xml:space="preserve"> supplémentaire</w:t>
            </w:r>
            <w:r>
              <w:rPr>
                <w:rFonts w:ascii="Times New Roman" w:hAnsi="Times New Roman"/>
                <w:b/>
                <w:noProof/>
                <w:sz w:val="24"/>
              </w:rPr>
              <w:t>, en particulier aux PME, en ce qui concerne la mise en œuvre de la directive sur la transparence des rémunérations</w:t>
            </w:r>
            <w:r>
              <w:rPr>
                <w:rFonts w:ascii="Times New Roman" w:hAnsi="Times New Roman"/>
                <w:noProof/>
                <w:sz w:val="24"/>
              </w:rPr>
              <w:t>.</w:t>
            </w:r>
          </w:p>
          <w:p>
            <w:pPr>
              <w:numPr>
                <w:ilvl w:val="0"/>
                <w:numId w:val="28"/>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La Commission fera le point sur les </w:t>
            </w:r>
            <w:r>
              <w:rPr>
                <w:rFonts w:ascii="Times New Roman" w:hAnsi="Times New Roman"/>
                <w:b/>
                <w:noProof/>
                <w:sz w:val="24"/>
              </w:rPr>
              <w:t>indicateurs</w:t>
            </w:r>
            <w:r>
              <w:rPr>
                <w:rFonts w:ascii="Times New Roman" w:hAnsi="Times New Roman"/>
                <w:noProof/>
                <w:sz w:val="24"/>
              </w:rPr>
              <w:t xml:space="preserve"> disponibles permettant de </w:t>
            </w:r>
            <w:r>
              <w:rPr>
                <w:rFonts w:ascii="Times New Roman" w:hAnsi="Times New Roman"/>
                <w:b/>
                <w:noProof/>
                <w:sz w:val="24"/>
              </w:rPr>
              <w:t>surveiller l’évolution des inégalités socio</w:t>
            </w:r>
            <w:r>
              <w:rPr>
                <w:rFonts w:ascii="Times New Roman" w:hAnsi="Times New Roman"/>
                <w:b/>
                <w:noProof/>
                <w:sz w:val="24"/>
              </w:rPr>
              <w:noBreakHyphen/>
              <w:t>économiques et la mobilité sociale</w:t>
            </w:r>
            <w:r>
              <w:rPr>
                <w:rFonts w:ascii="Times New Roman" w:hAnsi="Times New Roman"/>
                <w:noProof/>
                <w:sz w:val="24"/>
              </w:rPr>
              <w:t>, en coopération avec les États membres.</w:t>
            </w:r>
          </w:p>
          <w:p>
            <w:pPr>
              <w:numPr>
                <w:ilvl w:val="0"/>
                <w:numId w:val="28"/>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La Commission fournira des </w:t>
            </w:r>
            <w:r>
              <w:rPr>
                <w:rFonts w:ascii="Times New Roman" w:hAnsi="Times New Roman"/>
                <w:b/>
                <w:noProof/>
                <w:sz w:val="24"/>
              </w:rPr>
              <w:t>orientations sur les pratiques d’embauche inclusives</w:t>
            </w:r>
            <w:r>
              <w:rPr>
                <w:rFonts w:ascii="Times New Roman" w:hAnsi="Times New Roman"/>
                <w:noProof/>
                <w:sz w:val="24"/>
              </w:rPr>
              <w:t xml:space="preserve"> par l’intermédiaire de la plateforme européenne des chartes de la diversité.</w:t>
            </w:r>
          </w:p>
          <w:p>
            <w:pPr>
              <w:numPr>
                <w:ilvl w:val="0"/>
                <w:numId w:val="28"/>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Conformément aux engagements pris dans le cadre de l’union des compétences, la Commission élabore actuellement un </w:t>
            </w:r>
            <w:r>
              <w:rPr>
                <w:rFonts w:ascii="Times New Roman" w:hAnsi="Times New Roman"/>
                <w:b/>
                <w:noProof/>
                <w:sz w:val="24"/>
              </w:rPr>
              <w:t>train de mesures «Éducation»</w:t>
            </w:r>
            <w:r>
              <w:rPr>
                <w:rFonts w:ascii="Times New Roman" w:hAnsi="Times New Roman"/>
                <w:noProof/>
                <w:sz w:val="24"/>
              </w:rPr>
              <w:t xml:space="preserve"> afin d’aider les États membres à améliorer les résultats dans l’enseignement scolaire, et une </w:t>
            </w:r>
            <w:r>
              <w:rPr>
                <w:rFonts w:ascii="Times New Roman" w:hAnsi="Times New Roman"/>
                <w:b/>
                <w:noProof/>
                <w:sz w:val="24"/>
              </w:rPr>
              <w:t>stratégie en matière d’enseignement et de formation professionnels (EFP)</w:t>
            </w:r>
            <w:r>
              <w:rPr>
                <w:rFonts w:ascii="Times New Roman" w:hAnsi="Times New Roman"/>
                <w:noProof/>
                <w:sz w:val="24"/>
              </w:rPr>
              <w:t xml:space="preserve"> afin de rendre les systèmes d’EFP plus attrayants, innovants et inclusifs.</w:t>
            </w:r>
          </w:p>
          <w:p>
            <w:pPr>
              <w:numPr>
                <w:ilvl w:val="0"/>
                <w:numId w:val="28"/>
              </w:numPr>
              <w:spacing w:after="120" w:line="276" w:lineRule="auto"/>
              <w:jc w:val="both"/>
              <w:rPr>
                <w:rFonts w:ascii="Times New Roman" w:eastAsia="Aptos" w:hAnsi="Times New Roman" w:cs="Times New Roman"/>
                <w:noProof/>
                <w:sz w:val="24"/>
                <w:szCs w:val="24"/>
                <w:u w:val="single"/>
              </w:rPr>
            </w:pPr>
            <w:r>
              <w:rPr>
                <w:rFonts w:ascii="Times New Roman" w:hAnsi="Times New Roman"/>
                <w:noProof/>
                <w:sz w:val="24"/>
              </w:rPr>
              <w:t xml:space="preserve">La Commission travaille actuellement à l’élaboration de la </w:t>
            </w:r>
            <w:r>
              <w:rPr>
                <w:rFonts w:ascii="Times New Roman" w:hAnsi="Times New Roman"/>
                <w:b/>
                <w:noProof/>
                <w:sz w:val="24"/>
              </w:rPr>
              <w:t>stratégie sur le droit au maintien sur le territoire</w:t>
            </w:r>
            <w:r>
              <w:rPr>
                <w:rFonts w:ascii="Times New Roman" w:hAnsi="Times New Roman"/>
                <w:noProof/>
                <w:sz w:val="24"/>
              </w:rPr>
              <w:t>, en accordant une attention particulière à la lutte contre les disparités territoriales en matière d’accès aux services essentiels.</w:t>
            </w:r>
          </w:p>
          <w:p>
            <w:pPr>
              <w:numPr>
                <w:ilvl w:val="0"/>
                <w:numId w:val="28"/>
              </w:numPr>
              <w:spacing w:after="160" w:line="259" w:lineRule="auto"/>
              <w:jc w:val="both"/>
              <w:rPr>
                <w:rFonts w:ascii="Times New Roman" w:hAnsi="Times New Roman" w:cs="Times New Roman"/>
                <w:noProof/>
                <w:sz w:val="24"/>
                <w:szCs w:val="24"/>
              </w:rPr>
            </w:pPr>
            <w:r>
              <w:rPr>
                <w:rFonts w:ascii="Times New Roman" w:hAnsi="Times New Roman"/>
                <w:noProof/>
                <w:sz w:val="24"/>
              </w:rPr>
              <w:t xml:space="preserve">La future </w:t>
            </w:r>
            <w:r>
              <w:rPr>
                <w:rFonts w:ascii="Times New Roman" w:hAnsi="Times New Roman"/>
                <w:b/>
                <w:noProof/>
                <w:sz w:val="24"/>
              </w:rPr>
              <w:t>stratégie de l’UE en faveur de la jeunesse pour l’après-2027</w:t>
            </w:r>
            <w:r>
              <w:rPr>
                <w:rFonts w:ascii="Times New Roman" w:hAnsi="Times New Roman"/>
                <w:noProof/>
                <w:sz w:val="24"/>
              </w:rPr>
              <w:t xml:space="preserve"> visera à faire en sorte que tous les jeunes aient la possibilité de tirer pleinement parti de leur potentiel, sur une base équitable et inclusive (2027).</w:t>
            </w:r>
          </w:p>
        </w:tc>
      </w:tr>
    </w:tbl>
    <w:p>
      <w:pPr>
        <w:spacing w:line="276" w:lineRule="auto"/>
        <w:jc w:val="both"/>
        <w:rPr>
          <w:rFonts w:ascii="Times New Roman" w:eastAsia="Arial" w:hAnsi="Times New Roman" w:cs="Times New Roman"/>
          <w:b/>
          <w:bCs/>
          <w:noProof/>
          <w:sz w:val="28"/>
          <w:szCs w:val="28"/>
          <w:lang w:val="fr-BE"/>
        </w:rPr>
      </w:pPr>
    </w:p>
    <w:p>
      <w:pPr>
        <w:pStyle w:val="ListParagraph"/>
        <w:numPr>
          <w:ilvl w:val="0"/>
          <w:numId w:val="37"/>
        </w:numPr>
        <w:spacing w:line="276" w:lineRule="auto"/>
        <w:jc w:val="both"/>
        <w:rPr>
          <w:rFonts w:ascii="Times New Roman" w:eastAsia="Arial" w:hAnsi="Times New Roman" w:cs="Times New Roman"/>
          <w:b/>
          <w:bCs/>
          <w:noProof/>
          <w:sz w:val="28"/>
          <w:szCs w:val="28"/>
        </w:rPr>
      </w:pPr>
      <w:r>
        <w:rPr>
          <w:rFonts w:ascii="Times New Roman" w:hAnsi="Times New Roman"/>
          <w:b/>
          <w:noProof/>
          <w:sz w:val="28"/>
        </w:rPr>
        <w:t>Faire en sorte que les droits sociaux soient une réalité pour tous - relancer l’effort collectif</w:t>
      </w:r>
    </w:p>
    <w:p>
      <w:pPr>
        <w:spacing w:line="360" w:lineRule="auto"/>
        <w:jc w:val="both"/>
        <w:rPr>
          <w:rFonts w:eastAsia="Arial"/>
          <w:b/>
          <w:bCs/>
          <w:i/>
          <w:iCs/>
          <w:noProof/>
          <w:sz w:val="24"/>
          <w:szCs w:val="24"/>
        </w:rPr>
      </w:pPr>
      <w:r>
        <w:rPr>
          <w:rFonts w:ascii="Times New Roman" w:hAnsi="Times New Roman"/>
          <w:b/>
          <w:i/>
          <w:noProof/>
          <w:sz w:val="24"/>
        </w:rPr>
        <w:t>4.1. Simplification, mise en œuvre et application </w:t>
      </w:r>
    </w:p>
    <w:p>
      <w:pPr>
        <w:spacing w:line="276" w:lineRule="auto"/>
        <w:jc w:val="both"/>
        <w:rPr>
          <w:rFonts w:ascii="Times New Roman" w:eastAsia="Arial" w:hAnsi="Times New Roman" w:cs="Times New Roman"/>
          <w:noProof/>
          <w:sz w:val="24"/>
          <w:szCs w:val="24"/>
        </w:rPr>
      </w:pPr>
      <w:r>
        <w:rPr>
          <w:rFonts w:ascii="Times New Roman" w:hAnsi="Times New Roman"/>
          <w:b/>
          <w:noProof/>
          <w:sz w:val="24"/>
        </w:rPr>
        <w:t>L’acquis social de l’UE doit suivre</w:t>
      </w:r>
      <w:r>
        <w:rPr>
          <w:rFonts w:ascii="Times New Roman" w:hAnsi="Times New Roman"/>
          <w:noProof/>
          <w:sz w:val="24"/>
        </w:rPr>
        <w:t xml:space="preserve"> l’évolution des défis qui se posent dans les domaines sociaux et de l’emploi et </w:t>
      </w:r>
      <w:r>
        <w:rPr>
          <w:rFonts w:ascii="Times New Roman" w:hAnsi="Times New Roman"/>
          <w:b/>
          <w:noProof/>
          <w:sz w:val="24"/>
        </w:rPr>
        <w:t>rester efficace, accessible et facile à mettre en œuvre</w:t>
      </w:r>
      <w:r>
        <w:rPr>
          <w:rFonts w:ascii="Times New Roman" w:hAnsi="Times New Roman"/>
          <w:noProof/>
          <w:sz w:val="24"/>
        </w:rPr>
        <w:t xml:space="preserve"> et, dans le même temps, les droits et les normes qui sous-tendent le modèle social européen doivent être pleinement préservés. La Commission s’étant engagée à appliquer le principe de la «simplicité dès la conception», elle continuera de veiller, dans le cadre des initiatives futures, à accorder d’emblée la considération voulue aux questions de simplification, de mise en œuvre et d’application, ainsi qu’à préserver les droits et les protections applicables. La Commission est déterminée à réduire de manière proactive et significative la charge administrative pesant sur les entreprises, les travailleurs et les citoyens, tout en veillant au respect des normes sociales. À cette fin, elle recensera les difficultés de mise en œuvre dans le cadre du Semestre européen et travaillera en étroite collaboration avec les États membres et les parties prenantes afin de faciliter la bonne application de l’acquis social de l’Union. Le futur </w:t>
      </w:r>
      <w:r>
        <w:rPr>
          <w:rFonts w:ascii="Times New Roman" w:hAnsi="Times New Roman"/>
          <w:b/>
          <w:noProof/>
          <w:sz w:val="24"/>
        </w:rPr>
        <w:t>train de mesures sur la mobilité équitable de la main</w:t>
      </w:r>
      <w:r>
        <w:rPr>
          <w:rFonts w:ascii="Times New Roman" w:hAnsi="Times New Roman"/>
          <w:b/>
          <w:noProof/>
          <w:sz w:val="24"/>
        </w:rPr>
        <w:noBreakHyphen/>
        <w:t>d’œuvre</w:t>
      </w:r>
      <w:r>
        <w:rPr>
          <w:rFonts w:ascii="Times New Roman" w:hAnsi="Times New Roman"/>
          <w:noProof/>
          <w:sz w:val="24"/>
        </w:rPr>
        <w:t xml:space="preserve"> contribuera à la réalisation de ces objectifs, en encourageant le recours à des règles plus simples, plus équitables et plus efficaces en matière de mobilité de la main-d’œuvre, notamment celle des travailleurs transfrontières, en renforçant les mesures d’application de la législation, et en soutenant le bon fonctionnement du marché unique.</w:t>
      </w:r>
    </w:p>
    <w:p>
      <w:pPr>
        <w:spacing w:line="276" w:lineRule="auto"/>
        <w:jc w:val="both"/>
        <w:rPr>
          <w:rFonts w:ascii="Times New Roman" w:eastAsia="Arial" w:hAnsi="Times New Roman" w:cs="Times New Roman"/>
          <w:bCs/>
          <w:noProof/>
          <w:sz w:val="24"/>
          <w:szCs w:val="24"/>
        </w:rPr>
      </w:pPr>
      <w:r>
        <w:rPr>
          <w:rFonts w:ascii="Times New Roman" w:hAnsi="Times New Roman"/>
          <w:b/>
          <w:noProof/>
          <w:sz w:val="24"/>
        </w:rPr>
        <w:t>La Commission intensifie ses efforts pour veiller à ce que l’acquis social reste adapté aux objectifs poursuivis.</w:t>
      </w:r>
      <w:r>
        <w:rPr>
          <w:rFonts w:ascii="Times New Roman" w:hAnsi="Times New Roman"/>
          <w:noProof/>
          <w:sz w:val="24"/>
        </w:rPr>
        <w:t xml:space="preserve"> Il s’agit notamment de tester la solidité des cadres juridiques existants et de poursuivre les dialogues sur la mise en œuvre de la réglementation avec les parties prenantes et les partenaires sociaux, en fonction des besoins, afin de recenser les obstacles à la mise en œuvre dans la pratique et de repérer ce qu’il serait possible de simplifier. Les initiatives futures, telles que le train de mesures sur la mobilité équitable de la main‑d’œuvre et certains éléments de l’acte législatif sur des emplois de qualité, contribueront de manière tangible à la simplification et au bon fonctionnement du marché unique, tout en renforçant les droits des travailleurs, notamment des travailleurs transfrontières, en ce qu’elles permettront de mieux faire respecter la législation sociale et du travail et de mieux lutter la concurrence déloyale ainsi que contre la fraude sociale et les abus en matière sociale. Par ailleurs, en 2027, la Commission réexaminera la mise en œuvre de la directive (UE) 2019/1152 relative à des conditions de travail transparentes et prévisibles dans l’Union européenne.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Conformément au pacte pour le dialogue social européen de 2025, la Commission</w:t>
      </w:r>
      <w:r>
        <w:rPr>
          <w:rFonts w:ascii="Times New Roman" w:hAnsi="Times New Roman"/>
          <w:b/>
          <w:noProof/>
          <w:sz w:val="24"/>
        </w:rPr>
        <w:t xml:space="preserve"> continuera de renforcer la coopération avec les partenaires sociaux</w:t>
      </w:r>
      <w:r>
        <w:rPr>
          <w:rFonts w:ascii="Times New Roman" w:hAnsi="Times New Roman"/>
          <w:noProof/>
          <w:sz w:val="24"/>
        </w:rPr>
        <w:t xml:space="preserve">, dont le rôle reste essentiel en ce qui concerne tant la conception des politiques du marché du travail que leur mise en œuvre. Les organisations de la société civile resteront également des partenaires de premier plan, compte tenu de leur rôle fondamental dans l’élaboration de politiques sociales et de l’emploi inclusives: elles portent la voix des marginaux, surveillent la législation pour déceler les </w:t>
      </w:r>
      <w:r>
        <w:rPr>
          <w:rFonts w:ascii="Times New Roman" w:hAnsi="Times New Roman"/>
          <w:noProof/>
          <w:sz w:val="24"/>
        </w:rPr>
        <w:lastRenderedPageBreak/>
        <w:t>éventuelles lacunes dans sa mise en œuvre, et encouragent l’innovation au niveau local. De même, la collaboration avec les agences de l’UE se poursuivra pour soutenir la mise en œuvre, la collecte d’éléments probants et à des fins de suivi. Les structures de gouvernance et les mécanismes de coopération existants seront davantage mis à profit pour faciliter l’échange de bonnes pratiques et améliorer la mise en œuvre des politiques.</w:t>
      </w:r>
    </w:p>
    <w:p>
      <w:pPr>
        <w:spacing w:line="360" w:lineRule="auto"/>
        <w:jc w:val="both"/>
        <w:rPr>
          <w:rFonts w:ascii="Times New Roman" w:eastAsia="Arial" w:hAnsi="Times New Roman" w:cs="Times New Roman"/>
          <w:b/>
          <w:bCs/>
          <w:i/>
          <w:iCs/>
          <w:noProof/>
          <w:sz w:val="24"/>
          <w:szCs w:val="24"/>
        </w:rPr>
      </w:pPr>
      <w:r>
        <w:rPr>
          <w:rFonts w:ascii="Times New Roman" w:hAnsi="Times New Roman"/>
          <w:b/>
          <w:i/>
          <w:noProof/>
          <w:sz w:val="24"/>
        </w:rPr>
        <w:t>4.2 Coordination, financement et suivi des priorités en ce qui concerne les questions sociales et relatives à l’emploi</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Alors que les États membres œuvrent à l’alignement de leurs stratégies, réformes et investissements nationaux sur le socle européen des droits sociaux et sur les grands objectifs définis pour 2030, une action coordonnée, une utilisation optimale des fonds de l’UE et un suivi rigoureux, y compris en ce qui concerne les sous-objectifs, sont essentiels pour garantir la réalisation de progrès tangibles.</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Le </w:t>
      </w:r>
      <w:hyperlink r:id="rId80">
        <w:r>
          <w:rPr>
            <w:rStyle w:val="Hyperlink"/>
            <w:rFonts w:ascii="Times New Roman" w:hAnsi="Times New Roman"/>
            <w:noProof/>
            <w:sz w:val="24"/>
          </w:rPr>
          <w:t>Semestre européen</w:t>
        </w:r>
      </w:hyperlink>
      <w:r>
        <w:rPr>
          <w:rFonts w:ascii="Times New Roman" w:hAnsi="Times New Roman"/>
          <w:noProof/>
          <w:sz w:val="24"/>
        </w:rPr>
        <w:t xml:space="preserve"> et les </w:t>
      </w:r>
      <w:hyperlink r:id="rId81">
        <w:r>
          <w:rPr>
            <w:rStyle w:val="Hyperlink"/>
            <w:rFonts w:ascii="Times New Roman" w:hAnsi="Times New Roman"/>
            <w:noProof/>
            <w:sz w:val="24"/>
          </w:rPr>
          <w:t>lignes directrices pour les politiques de l’emploi de 2026</w:t>
        </w:r>
      </w:hyperlink>
      <w:r>
        <w:rPr>
          <w:rFonts w:ascii="Times New Roman" w:hAnsi="Times New Roman"/>
          <w:noProof/>
          <w:sz w:val="24"/>
        </w:rPr>
        <w:t xml:space="preserve"> fournissent une feuille de route claire, et leur mise en œuvre nécessite des investissements importants et une élaboration des politiques fondée sur les données. Le </w:t>
      </w:r>
      <w:hyperlink r:id="rId82">
        <w:r>
          <w:rPr>
            <w:rStyle w:val="Hyperlink"/>
            <w:rFonts w:ascii="Times New Roman" w:hAnsi="Times New Roman"/>
            <w:noProof/>
            <w:sz w:val="24"/>
          </w:rPr>
          <w:t>cycle 2026 du Semestre européen</w:t>
        </w:r>
      </w:hyperlink>
      <w:r>
        <w:rPr>
          <w:rFonts w:ascii="Times New Roman" w:hAnsi="Times New Roman"/>
          <w:noProof/>
          <w:sz w:val="24"/>
        </w:rPr>
        <w:t xml:space="preserve"> a marqué la deuxième année de mise en œuvre du nouveau </w:t>
      </w:r>
      <w:hyperlink r:id="rId83">
        <w:r>
          <w:rPr>
            <w:rStyle w:val="Hyperlink"/>
            <w:rFonts w:ascii="Times New Roman" w:hAnsi="Times New Roman"/>
            <w:noProof/>
            <w:sz w:val="24"/>
          </w:rPr>
          <w:t>cadre de gouvernance économique de l’Union</w:t>
        </w:r>
      </w:hyperlink>
      <w:r>
        <w:rPr>
          <w:rFonts w:ascii="Times New Roman" w:hAnsi="Times New Roman"/>
          <w:noProof/>
          <w:sz w:val="24"/>
        </w:rPr>
        <w:t xml:space="preserve">, qui repose solidement sur le socle. Le nouveau cadre a permis d’intégrer davantage les politiques économiques, sociales, de l’emploi, de l’éducation et en matière de compétences dans le processus du Semestre européen, notamment grâce à l’introduction d’un </w:t>
      </w:r>
      <w:hyperlink r:id="rId84">
        <w:r>
          <w:rPr>
            <w:rStyle w:val="Hyperlink"/>
            <w:rFonts w:ascii="Times New Roman" w:hAnsi="Times New Roman"/>
            <w:noProof/>
            <w:sz w:val="24"/>
          </w:rPr>
          <w:t>cadre de convergence sociale</w:t>
        </w:r>
      </w:hyperlink>
      <w:r>
        <w:rPr>
          <w:rFonts w:ascii="Times New Roman" w:hAnsi="Times New Roman"/>
          <w:noProof/>
          <w:sz w:val="24"/>
        </w:rPr>
        <w:t>. Cette intégration plus poussée des politiques met en évidence le rôle des réformes et des investissements sociaux en tant que moteurs de productivité, de compétitivité et d’une croissance économique inclusive. En outre, le cycle 2026 du Semestre européen a marqué un tournant important, en permettant d’affiner l’angle sous lequel la compétitivité est examinée, à savoir celui du capital humain. Il en est ressorti la toute première</w:t>
      </w:r>
      <w:hyperlink r:id="rId85">
        <w:r>
          <w:rPr>
            <w:rStyle w:val="Hyperlink"/>
            <w:rFonts w:ascii="Times New Roman" w:hAnsi="Times New Roman"/>
            <w:noProof/>
            <w:sz w:val="24"/>
          </w:rPr>
          <w:t xml:space="preserve"> recommandation relative au capital humain</w:t>
        </w:r>
      </w:hyperlink>
      <w:r>
        <w:rPr>
          <w:rFonts w:ascii="Times New Roman" w:hAnsi="Times New Roman"/>
          <w:noProof/>
          <w:sz w:val="24"/>
        </w:rPr>
        <w:t>.</w:t>
      </w:r>
      <w:r>
        <w:rPr>
          <w:noProof/>
        </w:rPr>
        <w:t xml:space="preserve"> </w:t>
      </w:r>
      <w:r>
        <w:rPr>
          <w:rFonts w:ascii="Times New Roman" w:hAnsi="Times New Roman"/>
          <w:noProof/>
          <w:sz w:val="24"/>
        </w:rPr>
        <w:t>Le Semestre a également débouché sur une analyse complète des politiques en matière de logement abordable et des défis à relever en matière de qualité de l’emploi, sur la base du cadre de suivi actualisé du Comité de l’emploi (COEM). La Commission invite les États membres à mettre en œuvre les recommandations par pays formulées à leur égard.</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Afin de renforcer encore l’efficacité des politiques au niveau de l’UE et au niveau national, il convient de fonder l’évaluation et la conception des politiques sur des données fiables et adéquates. À cet effet, des efforts seront déployés pour mettre en place une </w:t>
      </w:r>
      <w:r>
        <w:rPr>
          <w:rFonts w:ascii="Times New Roman" w:hAnsi="Times New Roman"/>
          <w:b/>
          <w:noProof/>
          <w:sz w:val="24"/>
        </w:rPr>
        <w:t>plateforme de données administratives de l’UE</w:t>
      </w:r>
      <w:r>
        <w:rPr>
          <w:rFonts w:ascii="Times New Roman" w:hAnsi="Times New Roman"/>
          <w:noProof/>
          <w:sz w:val="24"/>
        </w:rPr>
        <w:t xml:space="preserve"> garantissant un meilleur accès aux données et permettant une utilisation secondaire des données relatives à l’emploi, à la sécurité sociale et à la fiscalité, à des fins d’analyse, d’évaluation et de suivi des politiques en la matière, ainsi que de recherche dans ce domaine. L’utilisation de ces données peut s’avérer plus efficace, moins coûteuse et plus rapide que des alternatives telles que l’analyse de données résultant d’enquêtes.</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Par ailleurs, la Commission invite les États membres à exploiter au mieux les instruments de financement existants et futurs de l’UE, en veillant à affecter les ressources à des domaines </w:t>
      </w:r>
      <w:r>
        <w:rPr>
          <w:rFonts w:ascii="Times New Roman" w:hAnsi="Times New Roman"/>
          <w:noProof/>
          <w:sz w:val="24"/>
        </w:rPr>
        <w:lastRenderedPageBreak/>
        <w:t xml:space="preserve">prioritaires tels que le développement des compétences, la protection sociale, l’inclusion sur le marché du travail et des transitions justes.  </w:t>
      </w:r>
    </w:p>
    <w:p>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À la suite de la pandémie de COVID-19, dans le contexte de NextGenerationEU, la facilité pour la reprise et la résilience (FRR) a aidé les États membres à mettre en œuvre des réformes et des investissements portant sur l’accès à une éducation, à des emplois et à des soins de qualité, et à contribuer au renforcement de l’égalité des chances et de l’inclusion sociale, plus de 144 milliards d’EUR ayant été alloués à des objectifs sociaux.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Doté d’un budget de l’UE de </w:t>
      </w:r>
      <w:hyperlink r:id="rId86" w:history="1">
        <w:r>
          <w:rPr>
            <w:rStyle w:val="Hyperlink"/>
            <w:rFonts w:ascii="Times New Roman" w:hAnsi="Times New Roman"/>
            <w:noProof/>
            <w:sz w:val="24"/>
          </w:rPr>
          <w:t>94 milliards d’euros</w:t>
        </w:r>
      </w:hyperlink>
      <w:r>
        <w:rPr>
          <w:rFonts w:ascii="Times New Roman" w:hAnsi="Times New Roman"/>
          <w:noProof/>
          <w:sz w:val="24"/>
        </w:rPr>
        <w:t xml:space="preserve"> (139 milliards d’euros cofinancement national inclus), le Fonds social européen plus (FSE+) reste une pierre angulaire du soutien en faveur d’initiatives qui favorisent l’emploi, l’éducation et l’inclusion sociale. Sa période de financement actuelle a été programmée conformément aux principes du socle, ce qui en fait le principal instrument de la mise en œuvre de ce dernier. Les objectifs de financement correspondent aux trois chapitres du socle, et les seuils minimaux de dépenses reflètent un engagement fort en faveur de l’application des principes qui y sont énoncés.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Le Fonds européen de développement régional (FEDER) appuie également ces efforts en finançant des investissements dans les infrastructures et les équipements ainsi qu’en faveur de la coopération transfrontière, afin de soutenir l’accès à des services inclusifs et de qualité. En outre, le Fonds social pour le climat, financé par les recettes provenant de la vente des quotas du SEQE, continuera de jouer un rôle crucial dans l’atténuation des incidences sociales potentielles découlant du nouveau système d’échange de quotas d’émission (SEQE2) pour les bâtiments, le transport routier et d’autres secteurs, en ce qu’il permet d’aider les ménages vulnérables, les usagers vulnérables des transports et les microentreprises à mesure que l’UE progresse sur la voie de la neutralité climatique. De plus, les priorités horizontales en matière de transitions écologique et numérique relevant d’</w:t>
      </w:r>
      <w:r>
        <w:rPr>
          <w:rFonts w:ascii="Times New Roman" w:hAnsi="Times New Roman"/>
          <w:b/>
          <w:noProof/>
          <w:sz w:val="24"/>
        </w:rPr>
        <w:t>Erasmus+</w:t>
      </w:r>
      <w:r>
        <w:rPr>
          <w:rFonts w:ascii="Times New Roman" w:hAnsi="Times New Roman"/>
          <w:noProof/>
          <w:sz w:val="24"/>
        </w:rPr>
        <w:t xml:space="preserve"> font de ce dernier un instrument majeur pour renforcer les connaissances, les compétences et les comportements liés au changement climatique, soutenir le développement durable, ainsi que l’éducation et les compétences numériques.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Dans le cadre de la programmation actuelle, l’instrument d’appui technique a également aidé les États membres en ayant fait la demande à concevoir et à mettre en œuvre des réformes relevant du socle européen des droits sociaux, notamment dans des domaines tels que les politiques du marché du travail, la gouvernance des compétences, la protection sociale, les politiques en matière de soins de santé et la numérisation des administrations publiques. Au cours de la période restant à courir du cycle 2021-2027 de l’instrument d’appui technique, les États membres pourront continuer à bénéficier d’un appui technique ciblé pour renforcer les capacités administratives et institutionnelles nécessaires à la mise en œuvre des réformes liées au socle.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Les États membres sont vivement encouragés à exploiter pleinement toutes les possibilités de financement disponibles, tant au cours de la période de programmation actuelle que dans le cadre des plans de partenariat national et régional proposés relevant du prochain budget à long terme de l’UE.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lastRenderedPageBreak/>
        <w:t>Au-delà du financement direct, il conviendrait que les États membres étudient les possibilités de mobilisation d’investissements privés dans le cadre d’InvestEU et du futur Fonds européen pour la compétitivité, en développant des solutions innovantes servant les objectifs du socle. Les partenariats public-privé, les instruments financiers mixtes et les garanties budgétaires peuvent constituer de puissants leviers de mobilisation de ressources supplémentaires, décuplant les retombées des financements de l’UE et inspirant des solutions durables axées sur le marché.</w:t>
      </w:r>
    </w:p>
    <w:p>
      <w:pPr>
        <w:jc w:val="both"/>
        <w:rPr>
          <w:rFonts w:ascii="Times New Roman" w:eastAsia="Arial" w:hAnsi="Times New Roman" w:cs="Times New Roman"/>
          <w:b/>
          <w:bCs/>
          <w:noProof/>
          <w:sz w:val="2"/>
          <w:szCs w:val="2"/>
          <w:lang w:val="fr-BE"/>
        </w:rPr>
      </w:pPr>
    </w:p>
    <w:p>
      <w:pPr>
        <w:spacing w:line="276" w:lineRule="auto"/>
        <w:contextualSpacing/>
        <w:jc w:val="both"/>
        <w:rPr>
          <w:rFonts w:ascii="Times New Roman" w:eastAsia="Arial" w:hAnsi="Times New Roman" w:cs="Times New Roman"/>
          <w:noProof/>
          <w:sz w:val="2"/>
          <w:szCs w:val="2"/>
          <w:lang w:val="fr-BE"/>
        </w:rPr>
      </w:pPr>
    </w:p>
    <w:p>
      <w:pPr>
        <w:pStyle w:val="ListParagraph"/>
        <w:numPr>
          <w:ilvl w:val="0"/>
          <w:numId w:val="37"/>
        </w:numPr>
        <w:spacing w:line="276" w:lineRule="auto"/>
        <w:jc w:val="both"/>
        <w:rPr>
          <w:rFonts w:ascii="Times New Roman" w:eastAsia="Arial" w:hAnsi="Times New Roman" w:cs="Times New Roman"/>
          <w:b/>
          <w:bCs/>
          <w:noProof/>
          <w:sz w:val="28"/>
          <w:szCs w:val="28"/>
        </w:rPr>
      </w:pPr>
      <w:r>
        <w:rPr>
          <w:rFonts w:ascii="Times New Roman" w:hAnsi="Times New Roman"/>
          <w:b/>
          <w:noProof/>
          <w:sz w:val="28"/>
        </w:rPr>
        <w:t>Conclusion</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 xml:space="preserve">Si la mise en œuvre intégrale du socle européen des droits sociaux est un impératif pour l’Union, il s’agit aussi d’un avantage stratégique, qui ouvre des perspectives, renforce l’autonomie et favorise la compétitivité en son sein. </w:t>
      </w: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La Commission invite tous les partenaires à intensifier les efforts conjoints qu’ils déploient et à mettre pleinement en œuvre le socle européen des droits sociaux, ainsi que les objectifs stratégiques des États membres et de l’Union à l’horizon 2030. Pour ce faire, un financement ciblé et à long terme est nécessaire, ainsi que des réformes stratégiques et politiques, et des mesures qui génèrent des rendements économiques et sociaux durables. </w:t>
      </w:r>
    </w:p>
    <w:p>
      <w:pPr>
        <w:spacing w:line="276" w:lineRule="auto"/>
        <w:jc w:val="both"/>
        <w:rPr>
          <w:rFonts w:ascii="Times New Roman" w:hAnsi="Times New Roman"/>
          <w:noProof/>
          <w:sz w:val="24"/>
        </w:rPr>
      </w:pPr>
      <w:r>
        <w:rPr>
          <w:rFonts w:ascii="Times New Roman" w:hAnsi="Times New Roman"/>
          <w:b/>
          <w:noProof/>
          <w:sz w:val="24"/>
        </w:rPr>
        <w:t>Le socle a fait ses preuves au fil du temps et reste la boussole d’une Europe sociale forte et résiliente.</w:t>
      </w:r>
      <w:r>
        <w:rPr>
          <w:rFonts w:ascii="Times New Roman" w:hAnsi="Times New Roman"/>
          <w:noProof/>
          <w:sz w:val="24"/>
        </w:rPr>
        <w:t xml:space="preserve"> Les vingt principes sur lesquels il est fondé contribuent à renforcer l’économie sociale de marché de l’Europe, ce qui est une source d’espoir pour de nombreuses personnes alors que nos marchés du travail et nos sociétés subissent de profondes mutations. Nous devons donner une plus grande visibilité aux droits sociaux, renforcer l’évaluation des normes sociales et de la convergence sociale ascendante, à un moment où l’Union fait face à des défis majeurs. L’année 2027 marquera le 10</w:t>
      </w:r>
      <w:r>
        <w:rPr>
          <w:rFonts w:ascii="Times New Roman" w:hAnsi="Times New Roman"/>
          <w:noProof/>
          <w:sz w:val="24"/>
          <w:vertAlign w:val="superscript"/>
        </w:rPr>
        <w:t>e</w:t>
      </w:r>
      <w:r>
        <w:rPr>
          <w:rFonts w:ascii="Times New Roman" w:hAnsi="Times New Roman"/>
          <w:noProof/>
          <w:sz w:val="24"/>
        </w:rPr>
        <w:t xml:space="preserve"> anniversaire de la proclamation du socle, un moment important qui est propice à l’accélération de sa mise en œuvre et qui fournit l’occasion de réitérer l’engagement de continuer à conférer une forte dimension sociale à l’Union d’aujourd'hui et de demain. . </w:t>
      </w:r>
    </w:p>
    <w:p>
      <w:pPr>
        <w:spacing w:line="276" w:lineRule="auto"/>
        <w:jc w:val="both"/>
        <w:rPr>
          <w:rFonts w:ascii="Times New Roman" w:eastAsia="Arial" w:hAnsi="Times New Roman" w:cs="Times New Roman"/>
          <w:noProof/>
          <w:sz w:val="24"/>
          <w:szCs w:val="24"/>
        </w:rPr>
      </w:pPr>
      <w:r>
        <w:rPr>
          <w:rFonts w:ascii="Times New Roman" w:hAnsi="Times New Roman"/>
          <w:noProof/>
          <w:sz w:val="24"/>
        </w:rPr>
        <w:t>En ces temps de mutations profondes et rapides, ce sont le socle et la dimension sociale de l’Europe dans son ensemble qui définissent le mieux les valeurs de l’UE et qui unissent entre eux les Européens. Le socle fournit les filets de sécurité nécessaires ainsi qu'un cadre clair et résilient permettant d’anticiper et de gérer les changements apportés par l’IA et induits par les transformations technologiques, démographiques et géopolitiques. La mise en œuvre du socle démarre aux niveaux national, régional et local, où les partenaires sociaux et la société civile jouent un rôle fondamental, et son renforcement relève d’une responsabilité commune. C’est pourquoi, tout en respectant et en soutenant pleinement les différentes approches adoptées à travers l’Europe, nous devons intensifier nos actions, affirmer nos valeurs communes et renouveler notre engagement à l’égard des vingt principes et droits du socle afin d’offrir les meilleures perspectives possibles aux citoyens, à l’économie et à la société dans son ensemble.</w:t>
      </w:r>
    </w:p>
    <w:sectPr>
      <w:headerReference w:type="even" r:id="rId87"/>
      <w:headerReference w:type="default" r:id="rId88"/>
      <w:footerReference w:type="even" r:id="rId89"/>
      <w:footerReference w:type="default" r:id="rId90"/>
      <w:headerReference w:type="first" r:id="rId91"/>
      <w:footerReference w:type="first" r:id="rId9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09539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r>
        <w:rPr>
          <w:rFonts w:ascii="Times New Roman" w:hAnsi="Times New Roman"/>
        </w:rPr>
        <w:t>Également dans le cadre du pacte pour la Méditerranée</w:t>
      </w:r>
      <w:r>
        <w:t>.</w:t>
      </w:r>
    </w:p>
  </w:footnote>
  <w:footnote w:id="2">
    <w:p>
      <w:pPr>
        <w:spacing w:after="0" w:line="276"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Le plan d’action de 2021 a également défini différents sous-objectifs, qui sont présentés plus en détail dans un document de travail des services de la Commission.</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 xml:space="preserve"> Les progrès réalisés concernant les trois grands objectifs pour 2030 font l’objet d’un suivi annuel dans le cadre du </w:t>
      </w:r>
      <w:hyperlink r:id="rId1" w:history="1">
        <w:r>
          <w:rPr>
            <w:rStyle w:val="Hyperlink"/>
            <w:rFonts w:ascii="Times New Roman" w:hAnsi="Times New Roman"/>
          </w:rPr>
          <w:t>rapport conjoint sur l’emploi</w:t>
        </w:r>
      </w:hyperlink>
      <w:r>
        <w:rPr>
          <w:rFonts w:ascii="Times New Roman" w:hAnsi="Times New Roman"/>
        </w:rPr>
        <w:t>.</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Projet de conclusions du Conseil sur le logement: évolution démographique et élaboration des politiques</w:t>
        </w:r>
      </w:hyperlink>
      <w:r>
        <w:t>.</w:t>
      </w:r>
      <w:r>
        <w:rPr>
          <w:rFonts w:ascii="Times New Roman" w:hAnsi="Times New Roman"/>
        </w:rPr>
        <w:t xml:space="preserve"> </w:t>
      </w:r>
    </w:p>
  </w:footnote>
  <w:footnote w:id="5">
    <w:p>
      <w:pPr>
        <w:spacing w:line="240" w:lineRule="auto"/>
        <w:jc w:val="both"/>
        <w:rPr>
          <w:rFonts w:ascii="Times New Roman" w:eastAsia="Arial"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Afin de renforcer la base factuelle, le Centre commun de recherche de la Commission a mis au point des indicateurs d’accessibilité à haute résolution, disponibles via le pôle européen de lutte contre la précarité en matière de transport, afin de recenser les zones de l’Union européenne où la faiblesse des liaisons de transport limite l’accès aux services essentiels. </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Les outils de profilage et de mise en correspondance de l’offre et de la demande fondés sur l’IA seront souvent considérés comme étant des systèmes d’IA à haut risque au titre de l’annexe III, points 4 et 5, du règlement sur l’IA. Dans ce contexte, les fournisseurs de systèmes d’IA à haut risque seront soumis à des obligations strictes visant à garantir, entre autres, que leurs systèmes ne présentent pas de risque pour les droits fondamentaux, qu’ils sont précis et non biaisés et peuvent être contrôlés de manière adéquate. Les déployeurs de systèmes d’IA à haut risque sont en outre soumis à des obligations appropriées: contrôle humain, surveillance du fonctionnement des systèmes et tenue de journaux (enregistrement des événements). Par ailleurs, outre les règles applicables aux systèmes d’IA à haut risque, le règlement sur l’IA impose des interdictions ciblées, notamment en ce qui concerne les systèmes d’IA utilisés pour reconnaître les émotions («inférer les émotions d’une personne physique») sur le lieu de travail [article 5, paragraphe 1, point f)] et les systèmes d’IA utilisés à des fins de catégorisation biométrique, qui «catégorisent» individuellement les personnes physiques sur la base de certaines caractéristiques telles que leur affiliation à une organisation syndicale, par exemple [article 5, paragraphe 1, point g)].</w:t>
      </w:r>
    </w:p>
    <w:p>
      <w:pPr>
        <w:pStyle w:val="FootnoteText"/>
        <w:jc w:val="both"/>
        <w:rPr>
          <w:rFonts w:ascii="Times New Roman" w:hAnsi="Times New Roman" w:cs="Times New Roman"/>
          <w:lang w:val="fr-BE"/>
        </w:rPr>
      </w:pPr>
    </w:p>
  </w:footnote>
  <w:footnote w:id="7">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Notamment le programme de l’UE pour les villes, la communication sur les régions orientales de l’UE limitrophes de la Russie, de la Biélorussie et de l’Ukraine, et la stratégie de l’Union pour les îles</w:t>
      </w:r>
      <w:r>
        <w:t>.</w:t>
      </w:r>
    </w:p>
  </w:footnote>
  <w:footnote w:id="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Centre commun de recherche soutient cette stratégie avec un </w:t>
      </w:r>
      <w:hyperlink r:id="rId3" w:history="1">
        <w:r>
          <w:rPr>
            <w:rStyle w:val="Hyperlink"/>
            <w:rFonts w:ascii="Times New Roman" w:hAnsi="Times New Roman"/>
          </w:rPr>
          <w:t>outil de suivi</w:t>
        </w:r>
      </w:hyperlink>
      <w:r>
        <w:rPr>
          <w:rFonts w:ascii="Times New Roman" w:hAnsi="Times New Roman"/>
        </w:rPr>
        <w:t xml:space="preserve"> qui sera officiellement lancé en septembre et permettra de savoir où se situent les différents groupes d’âge en matière de résilience économique, sociale, environnementale et sociétale. L’outil permet également d’évaluer l’évolution des conditions de vie au fil du temps, en comparant les conditions de vie actuelles et passées de personnes appartenant aux mêmes groupes d’âge.</w:t>
      </w:r>
    </w:p>
  </w:footnote>
  <w:footnote w:id="9">
    <w:p>
      <w:pPr>
        <w:spacing w:line="276" w:lineRule="auto"/>
        <w:jc w:val="both"/>
        <w:rPr>
          <w:rFonts w:ascii="Times New Roman" w:eastAsia="Arial" w:hAnsi="Times New Roman" w:cs="Times New Roman"/>
          <w:sz w:val="20"/>
          <w:szCs w:val="20"/>
        </w:rPr>
      </w:pPr>
      <w:r>
        <w:rPr>
          <w:rStyle w:val="FootnoteReference"/>
          <w:rFonts w:ascii="Times New Roman" w:hAnsi="Times New Roman" w:cs="Times New Roman"/>
          <w:sz w:val="20"/>
          <w:szCs w:val="20"/>
        </w:rPr>
        <w:footnoteRef/>
      </w:r>
      <w:r>
        <w:t xml:space="preserve"> </w:t>
      </w:r>
      <w:r>
        <w:rPr>
          <w:rFonts w:ascii="Times New Roman" w:hAnsi="Times New Roman"/>
          <w:sz w:val="20"/>
        </w:rPr>
        <w:t xml:space="preserve">À cet égard, la Commission a adopté, en novembre 2025, un </w:t>
      </w:r>
      <w:hyperlink r:id="rId4" w:history="1">
        <w:r>
          <w:rPr>
            <w:rFonts w:ascii="Times New Roman" w:hAnsi="Times New Roman"/>
            <w:sz w:val="20"/>
          </w:rPr>
          <w:t>train de mesures sur les pensions complémentaires</w:t>
        </w:r>
      </w:hyperlink>
      <w:r>
        <w:rPr>
          <w:rFonts w:ascii="Times New Roman" w:hAnsi="Times New Roman"/>
          <w:sz w:val="20"/>
        </w:rPr>
        <w:t xml:space="preserve"> comprenant un ensemble de mesures législatives et stratégiques destinées à stimuler l’épargne-retraite privée et professionnelle dans l’ensemble de l’UE afin de contribuer à garantir des revenus de retraite adéquats.</w:t>
      </w:r>
    </w:p>
    <w:p>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676A"/>
    <w:multiLevelType w:val="hybridMultilevel"/>
    <w:tmpl w:val="98AC88EA"/>
    <w:lvl w:ilvl="0" w:tplc="F5C08478">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5775851"/>
    <w:multiLevelType w:val="hybridMultilevel"/>
    <w:tmpl w:val="AD02D8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4E3D0E"/>
    <w:multiLevelType w:val="hybridMultilevel"/>
    <w:tmpl w:val="9BA8253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35724B"/>
    <w:multiLevelType w:val="hybridMultilevel"/>
    <w:tmpl w:val="D6EA8B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D89380D"/>
    <w:multiLevelType w:val="hybridMultilevel"/>
    <w:tmpl w:val="FFB439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38446F6"/>
    <w:multiLevelType w:val="hybridMultilevel"/>
    <w:tmpl w:val="0F0A683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27EE19AE"/>
    <w:multiLevelType w:val="hybridMultilevel"/>
    <w:tmpl w:val="B8A872E0"/>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88D69A6"/>
    <w:multiLevelType w:val="hybridMultilevel"/>
    <w:tmpl w:val="A7E20986"/>
    <w:lvl w:ilvl="0" w:tplc="954AAED8">
      <w:start w:val="1"/>
      <w:numFmt w:val="decimal"/>
      <w:lvlText w:val="%1)"/>
      <w:lvlJc w:val="left"/>
      <w:pPr>
        <w:ind w:left="1020" w:hanging="360"/>
      </w:pPr>
    </w:lvl>
    <w:lvl w:ilvl="1" w:tplc="006EE6D8">
      <w:start w:val="1"/>
      <w:numFmt w:val="decimal"/>
      <w:lvlText w:val="%2)"/>
      <w:lvlJc w:val="left"/>
      <w:pPr>
        <w:ind w:left="1020" w:hanging="360"/>
      </w:pPr>
    </w:lvl>
    <w:lvl w:ilvl="2" w:tplc="989C38E0">
      <w:start w:val="1"/>
      <w:numFmt w:val="decimal"/>
      <w:lvlText w:val="%3)"/>
      <w:lvlJc w:val="left"/>
      <w:pPr>
        <w:ind w:left="1020" w:hanging="360"/>
      </w:pPr>
    </w:lvl>
    <w:lvl w:ilvl="3" w:tplc="73669188">
      <w:start w:val="1"/>
      <w:numFmt w:val="decimal"/>
      <w:lvlText w:val="%4)"/>
      <w:lvlJc w:val="left"/>
      <w:pPr>
        <w:ind w:left="1020" w:hanging="360"/>
      </w:pPr>
    </w:lvl>
    <w:lvl w:ilvl="4" w:tplc="8996E174">
      <w:start w:val="1"/>
      <w:numFmt w:val="decimal"/>
      <w:lvlText w:val="%5)"/>
      <w:lvlJc w:val="left"/>
      <w:pPr>
        <w:ind w:left="1020" w:hanging="360"/>
      </w:pPr>
    </w:lvl>
    <w:lvl w:ilvl="5" w:tplc="B9CE842E">
      <w:start w:val="1"/>
      <w:numFmt w:val="decimal"/>
      <w:lvlText w:val="%6)"/>
      <w:lvlJc w:val="left"/>
      <w:pPr>
        <w:ind w:left="1020" w:hanging="360"/>
      </w:pPr>
    </w:lvl>
    <w:lvl w:ilvl="6" w:tplc="7B7A706A">
      <w:start w:val="1"/>
      <w:numFmt w:val="decimal"/>
      <w:lvlText w:val="%7)"/>
      <w:lvlJc w:val="left"/>
      <w:pPr>
        <w:ind w:left="1020" w:hanging="360"/>
      </w:pPr>
    </w:lvl>
    <w:lvl w:ilvl="7" w:tplc="0ABC281C">
      <w:start w:val="1"/>
      <w:numFmt w:val="decimal"/>
      <w:lvlText w:val="%8)"/>
      <w:lvlJc w:val="left"/>
      <w:pPr>
        <w:ind w:left="1020" w:hanging="360"/>
      </w:pPr>
    </w:lvl>
    <w:lvl w:ilvl="8" w:tplc="0BE6F6D0">
      <w:start w:val="1"/>
      <w:numFmt w:val="decimal"/>
      <w:lvlText w:val="%9)"/>
      <w:lvlJc w:val="left"/>
      <w:pPr>
        <w:ind w:left="1020" w:hanging="360"/>
      </w:pPr>
    </w:lvl>
  </w:abstractNum>
  <w:abstractNum w:abstractNumId="8" w15:restartNumberingAfterBreak="0">
    <w:nsid w:val="2A036988"/>
    <w:multiLevelType w:val="hybridMultilevel"/>
    <w:tmpl w:val="92F411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A984FFC"/>
    <w:multiLevelType w:val="hybridMultilevel"/>
    <w:tmpl w:val="7DC8F4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F2380A"/>
    <w:multiLevelType w:val="hybridMultilevel"/>
    <w:tmpl w:val="33D6003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2371CD1"/>
    <w:multiLevelType w:val="hybridMultilevel"/>
    <w:tmpl w:val="4F3ACCB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3C67845"/>
    <w:multiLevelType w:val="hybridMultilevel"/>
    <w:tmpl w:val="753AA5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36896F8E"/>
    <w:multiLevelType w:val="hybridMultilevel"/>
    <w:tmpl w:val="C16E20EE"/>
    <w:lvl w:ilvl="0" w:tplc="EF60E2E8">
      <w:start w:val="1"/>
      <w:numFmt w:val="bullet"/>
      <w:lvlText w:val=""/>
      <w:lvlJc w:val="left"/>
      <w:pPr>
        <w:ind w:left="720" w:hanging="360"/>
      </w:pPr>
      <w:rPr>
        <w:rFonts w:ascii="Wingdings" w:hAnsi="Wingdings" w:hint="default"/>
        <w:color w:val="2C7FCE" w:themeColor="text2" w:themeTint="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6E65141"/>
    <w:multiLevelType w:val="hybridMultilevel"/>
    <w:tmpl w:val="E02EF46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375D1AC0"/>
    <w:multiLevelType w:val="hybridMultilevel"/>
    <w:tmpl w:val="12D03D9E"/>
    <w:lvl w:ilvl="0" w:tplc="5AE200E0">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9995E8E"/>
    <w:multiLevelType w:val="multilevel"/>
    <w:tmpl w:val="63E25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9026A8"/>
    <w:multiLevelType w:val="hybridMultilevel"/>
    <w:tmpl w:val="0B9CD0A2"/>
    <w:lvl w:ilvl="0" w:tplc="080C000F">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E3B1C1C"/>
    <w:multiLevelType w:val="hybridMultilevel"/>
    <w:tmpl w:val="4BEC0B12"/>
    <w:lvl w:ilvl="0" w:tplc="B4E0AC38">
      <w:start w:val="3"/>
      <w:numFmt w:val="bullet"/>
      <w:lvlText w:val="-"/>
      <w:lvlJc w:val="left"/>
      <w:pPr>
        <w:ind w:left="720" w:hanging="360"/>
      </w:pPr>
      <w:rPr>
        <w:rFonts w:ascii="Arial" w:eastAsia="Arial"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E6F79D8"/>
    <w:multiLevelType w:val="hybridMultilevel"/>
    <w:tmpl w:val="6840F1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41A6DEF"/>
    <w:multiLevelType w:val="hybridMultilevel"/>
    <w:tmpl w:val="581A3E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A450FCC"/>
    <w:multiLevelType w:val="hybridMultilevel"/>
    <w:tmpl w:val="3EE659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FED00CF"/>
    <w:multiLevelType w:val="multilevel"/>
    <w:tmpl w:val="58A6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A4609F"/>
    <w:multiLevelType w:val="multilevel"/>
    <w:tmpl w:val="F7A8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F23F44"/>
    <w:multiLevelType w:val="hybridMultilevel"/>
    <w:tmpl w:val="B7F4B3E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596419A5"/>
    <w:multiLevelType w:val="multilevel"/>
    <w:tmpl w:val="2BAC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FB0069"/>
    <w:multiLevelType w:val="hybridMultilevel"/>
    <w:tmpl w:val="B8F8837C"/>
    <w:lvl w:ilvl="0" w:tplc="8C1215E4">
      <w:start w:val="1"/>
      <w:numFmt w:val="decimal"/>
      <w:lvlText w:val="%1)"/>
      <w:lvlJc w:val="left"/>
      <w:pPr>
        <w:ind w:left="1020" w:hanging="360"/>
      </w:pPr>
    </w:lvl>
    <w:lvl w:ilvl="1" w:tplc="25EC4DDC">
      <w:start w:val="1"/>
      <w:numFmt w:val="decimal"/>
      <w:lvlText w:val="%2)"/>
      <w:lvlJc w:val="left"/>
      <w:pPr>
        <w:ind w:left="1020" w:hanging="360"/>
      </w:pPr>
    </w:lvl>
    <w:lvl w:ilvl="2" w:tplc="485ED2F2">
      <w:start w:val="1"/>
      <w:numFmt w:val="decimal"/>
      <w:lvlText w:val="%3)"/>
      <w:lvlJc w:val="left"/>
      <w:pPr>
        <w:ind w:left="1020" w:hanging="360"/>
      </w:pPr>
    </w:lvl>
    <w:lvl w:ilvl="3" w:tplc="4ED6D398">
      <w:start w:val="1"/>
      <w:numFmt w:val="decimal"/>
      <w:lvlText w:val="%4)"/>
      <w:lvlJc w:val="left"/>
      <w:pPr>
        <w:ind w:left="1020" w:hanging="360"/>
      </w:pPr>
    </w:lvl>
    <w:lvl w:ilvl="4" w:tplc="2FC85EBE">
      <w:start w:val="1"/>
      <w:numFmt w:val="decimal"/>
      <w:lvlText w:val="%5)"/>
      <w:lvlJc w:val="left"/>
      <w:pPr>
        <w:ind w:left="1020" w:hanging="360"/>
      </w:pPr>
    </w:lvl>
    <w:lvl w:ilvl="5" w:tplc="02A601FA">
      <w:start w:val="1"/>
      <w:numFmt w:val="decimal"/>
      <w:lvlText w:val="%6)"/>
      <w:lvlJc w:val="left"/>
      <w:pPr>
        <w:ind w:left="1020" w:hanging="360"/>
      </w:pPr>
    </w:lvl>
    <w:lvl w:ilvl="6" w:tplc="1CF2F250">
      <w:start w:val="1"/>
      <w:numFmt w:val="decimal"/>
      <w:lvlText w:val="%7)"/>
      <w:lvlJc w:val="left"/>
      <w:pPr>
        <w:ind w:left="1020" w:hanging="360"/>
      </w:pPr>
    </w:lvl>
    <w:lvl w:ilvl="7" w:tplc="6B3EAD02">
      <w:start w:val="1"/>
      <w:numFmt w:val="decimal"/>
      <w:lvlText w:val="%8)"/>
      <w:lvlJc w:val="left"/>
      <w:pPr>
        <w:ind w:left="1020" w:hanging="360"/>
      </w:pPr>
    </w:lvl>
    <w:lvl w:ilvl="8" w:tplc="C2746460">
      <w:start w:val="1"/>
      <w:numFmt w:val="decimal"/>
      <w:lvlText w:val="%9)"/>
      <w:lvlJc w:val="left"/>
      <w:pPr>
        <w:ind w:left="1020" w:hanging="360"/>
      </w:pPr>
    </w:lvl>
  </w:abstractNum>
  <w:abstractNum w:abstractNumId="27" w15:restartNumberingAfterBreak="0">
    <w:nsid w:val="5C532F8B"/>
    <w:multiLevelType w:val="multilevel"/>
    <w:tmpl w:val="5B96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56213E"/>
    <w:multiLevelType w:val="multilevel"/>
    <w:tmpl w:val="E06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8518F5"/>
    <w:multiLevelType w:val="hybridMultilevel"/>
    <w:tmpl w:val="61A4323C"/>
    <w:lvl w:ilvl="0" w:tplc="A91E534A">
      <w:start w:val="1"/>
      <w:numFmt w:val="decimal"/>
      <w:lvlText w:val="%1)"/>
      <w:lvlJc w:val="left"/>
      <w:pPr>
        <w:ind w:left="1020" w:hanging="360"/>
      </w:pPr>
    </w:lvl>
    <w:lvl w:ilvl="1" w:tplc="D8F26E22">
      <w:start w:val="1"/>
      <w:numFmt w:val="decimal"/>
      <w:lvlText w:val="%2)"/>
      <w:lvlJc w:val="left"/>
      <w:pPr>
        <w:ind w:left="1020" w:hanging="360"/>
      </w:pPr>
    </w:lvl>
    <w:lvl w:ilvl="2" w:tplc="B07C0B56">
      <w:start w:val="1"/>
      <w:numFmt w:val="decimal"/>
      <w:lvlText w:val="%3)"/>
      <w:lvlJc w:val="left"/>
      <w:pPr>
        <w:ind w:left="1020" w:hanging="360"/>
      </w:pPr>
    </w:lvl>
    <w:lvl w:ilvl="3" w:tplc="64BAC22A">
      <w:start w:val="1"/>
      <w:numFmt w:val="decimal"/>
      <w:lvlText w:val="%4)"/>
      <w:lvlJc w:val="left"/>
      <w:pPr>
        <w:ind w:left="1020" w:hanging="360"/>
      </w:pPr>
    </w:lvl>
    <w:lvl w:ilvl="4" w:tplc="737CED2C">
      <w:start w:val="1"/>
      <w:numFmt w:val="decimal"/>
      <w:lvlText w:val="%5)"/>
      <w:lvlJc w:val="left"/>
      <w:pPr>
        <w:ind w:left="1020" w:hanging="360"/>
      </w:pPr>
    </w:lvl>
    <w:lvl w:ilvl="5" w:tplc="5358D854">
      <w:start w:val="1"/>
      <w:numFmt w:val="decimal"/>
      <w:lvlText w:val="%6)"/>
      <w:lvlJc w:val="left"/>
      <w:pPr>
        <w:ind w:left="1020" w:hanging="360"/>
      </w:pPr>
    </w:lvl>
    <w:lvl w:ilvl="6" w:tplc="A894AD2A">
      <w:start w:val="1"/>
      <w:numFmt w:val="decimal"/>
      <w:lvlText w:val="%7)"/>
      <w:lvlJc w:val="left"/>
      <w:pPr>
        <w:ind w:left="1020" w:hanging="360"/>
      </w:pPr>
    </w:lvl>
    <w:lvl w:ilvl="7" w:tplc="D9A8A206">
      <w:start w:val="1"/>
      <w:numFmt w:val="decimal"/>
      <w:lvlText w:val="%8)"/>
      <w:lvlJc w:val="left"/>
      <w:pPr>
        <w:ind w:left="1020" w:hanging="360"/>
      </w:pPr>
    </w:lvl>
    <w:lvl w:ilvl="8" w:tplc="42147D6C">
      <w:start w:val="1"/>
      <w:numFmt w:val="decimal"/>
      <w:lvlText w:val="%9)"/>
      <w:lvlJc w:val="left"/>
      <w:pPr>
        <w:ind w:left="1020" w:hanging="360"/>
      </w:pPr>
    </w:lvl>
  </w:abstractNum>
  <w:abstractNum w:abstractNumId="30" w15:restartNumberingAfterBreak="0">
    <w:nsid w:val="62CB5C35"/>
    <w:multiLevelType w:val="hybridMultilevel"/>
    <w:tmpl w:val="3A16AA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C292EF6"/>
    <w:multiLevelType w:val="hybridMultilevel"/>
    <w:tmpl w:val="BB7C22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F2A7E35"/>
    <w:multiLevelType w:val="hybridMultilevel"/>
    <w:tmpl w:val="37041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30C7617"/>
    <w:multiLevelType w:val="hybridMultilevel"/>
    <w:tmpl w:val="CE32EAA2"/>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58B04ED"/>
    <w:multiLevelType w:val="hybridMultilevel"/>
    <w:tmpl w:val="DEA6358C"/>
    <w:lvl w:ilvl="0" w:tplc="40927AFC">
      <w:start w:val="1"/>
      <w:numFmt w:val="bullet"/>
      <w:lvlText w:val=""/>
      <w:lvlJc w:val="left"/>
      <w:pPr>
        <w:ind w:left="720" w:hanging="360"/>
      </w:pPr>
      <w:rPr>
        <w:rFonts w:ascii="Symbol" w:hAnsi="Symbol" w:hint="default"/>
      </w:rPr>
    </w:lvl>
    <w:lvl w:ilvl="1" w:tplc="B62EA05C">
      <w:start w:val="1"/>
      <w:numFmt w:val="bullet"/>
      <w:lvlText w:val="o"/>
      <w:lvlJc w:val="left"/>
      <w:pPr>
        <w:ind w:left="1440" w:hanging="360"/>
      </w:pPr>
      <w:rPr>
        <w:rFonts w:ascii="Courier New" w:hAnsi="Courier New" w:hint="default"/>
      </w:rPr>
    </w:lvl>
    <w:lvl w:ilvl="2" w:tplc="7E5E5652">
      <w:start w:val="1"/>
      <w:numFmt w:val="bullet"/>
      <w:lvlText w:val=""/>
      <w:lvlJc w:val="left"/>
      <w:pPr>
        <w:ind w:left="2160" w:hanging="360"/>
      </w:pPr>
      <w:rPr>
        <w:rFonts w:ascii="Wingdings" w:hAnsi="Wingdings" w:hint="default"/>
      </w:rPr>
    </w:lvl>
    <w:lvl w:ilvl="3" w:tplc="00E6AE4A">
      <w:start w:val="1"/>
      <w:numFmt w:val="bullet"/>
      <w:lvlText w:val=""/>
      <w:lvlJc w:val="left"/>
      <w:pPr>
        <w:ind w:left="2880" w:hanging="360"/>
      </w:pPr>
      <w:rPr>
        <w:rFonts w:ascii="Symbol" w:hAnsi="Symbol" w:hint="default"/>
      </w:rPr>
    </w:lvl>
    <w:lvl w:ilvl="4" w:tplc="C5168B8C">
      <w:start w:val="1"/>
      <w:numFmt w:val="bullet"/>
      <w:lvlText w:val="o"/>
      <w:lvlJc w:val="left"/>
      <w:pPr>
        <w:ind w:left="3600" w:hanging="360"/>
      </w:pPr>
      <w:rPr>
        <w:rFonts w:ascii="Courier New" w:hAnsi="Courier New" w:hint="default"/>
      </w:rPr>
    </w:lvl>
    <w:lvl w:ilvl="5" w:tplc="0A3A8DE2">
      <w:start w:val="1"/>
      <w:numFmt w:val="bullet"/>
      <w:lvlText w:val=""/>
      <w:lvlJc w:val="left"/>
      <w:pPr>
        <w:ind w:left="4320" w:hanging="360"/>
      </w:pPr>
      <w:rPr>
        <w:rFonts w:ascii="Wingdings" w:hAnsi="Wingdings" w:hint="default"/>
      </w:rPr>
    </w:lvl>
    <w:lvl w:ilvl="6" w:tplc="B54CB0B4">
      <w:start w:val="1"/>
      <w:numFmt w:val="bullet"/>
      <w:lvlText w:val=""/>
      <w:lvlJc w:val="left"/>
      <w:pPr>
        <w:ind w:left="5040" w:hanging="360"/>
      </w:pPr>
      <w:rPr>
        <w:rFonts w:ascii="Symbol" w:hAnsi="Symbol" w:hint="default"/>
      </w:rPr>
    </w:lvl>
    <w:lvl w:ilvl="7" w:tplc="80ACB7C0">
      <w:start w:val="1"/>
      <w:numFmt w:val="bullet"/>
      <w:lvlText w:val="o"/>
      <w:lvlJc w:val="left"/>
      <w:pPr>
        <w:ind w:left="5760" w:hanging="360"/>
      </w:pPr>
      <w:rPr>
        <w:rFonts w:ascii="Courier New" w:hAnsi="Courier New" w:hint="default"/>
      </w:rPr>
    </w:lvl>
    <w:lvl w:ilvl="8" w:tplc="CD3E3972">
      <w:start w:val="1"/>
      <w:numFmt w:val="bullet"/>
      <w:lvlText w:val=""/>
      <w:lvlJc w:val="left"/>
      <w:pPr>
        <w:ind w:left="6480" w:hanging="360"/>
      </w:pPr>
      <w:rPr>
        <w:rFonts w:ascii="Wingdings" w:hAnsi="Wingdings" w:hint="default"/>
      </w:rPr>
    </w:lvl>
  </w:abstractNum>
  <w:abstractNum w:abstractNumId="35" w15:restartNumberingAfterBreak="0">
    <w:nsid w:val="76D179F7"/>
    <w:multiLevelType w:val="hybridMultilevel"/>
    <w:tmpl w:val="7A50DA8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AD457A7"/>
    <w:multiLevelType w:val="hybridMultilevel"/>
    <w:tmpl w:val="69E61C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E2C1F1B"/>
    <w:multiLevelType w:val="hybridMultilevel"/>
    <w:tmpl w:val="0C902A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1"/>
  </w:num>
  <w:num w:numId="2">
    <w:abstractNumId w:val="2"/>
  </w:num>
  <w:num w:numId="3">
    <w:abstractNumId w:val="3"/>
  </w:num>
  <w:num w:numId="4">
    <w:abstractNumId w:val="30"/>
  </w:num>
  <w:num w:numId="5">
    <w:abstractNumId w:val="16"/>
  </w:num>
  <w:num w:numId="6">
    <w:abstractNumId w:val="18"/>
  </w:num>
  <w:num w:numId="7">
    <w:abstractNumId w:val="10"/>
  </w:num>
  <w:num w:numId="8">
    <w:abstractNumId w:val="11"/>
  </w:num>
  <w:num w:numId="9">
    <w:abstractNumId w:val="13"/>
  </w:num>
  <w:num w:numId="10">
    <w:abstractNumId w:val="23"/>
  </w:num>
  <w:num w:numId="11">
    <w:abstractNumId w:val="27"/>
  </w:num>
  <w:num w:numId="12">
    <w:abstractNumId w:val="12"/>
  </w:num>
  <w:num w:numId="13">
    <w:abstractNumId w:val="0"/>
  </w:num>
  <w:num w:numId="14">
    <w:abstractNumId w:val="0"/>
  </w:num>
  <w:num w:numId="15">
    <w:abstractNumId w:val="6"/>
  </w:num>
  <w:num w:numId="16">
    <w:abstractNumId w:val="34"/>
  </w:num>
  <w:num w:numId="17">
    <w:abstractNumId w:val="22"/>
  </w:num>
  <w:num w:numId="18">
    <w:abstractNumId w:val="25"/>
  </w:num>
  <w:num w:numId="19">
    <w:abstractNumId w:val="28"/>
  </w:num>
  <w:num w:numId="20">
    <w:abstractNumId w:val="33"/>
  </w:num>
  <w:num w:numId="21">
    <w:abstractNumId w:val="36"/>
  </w:num>
  <w:num w:numId="22">
    <w:abstractNumId w:val="1"/>
  </w:num>
  <w:num w:numId="23">
    <w:abstractNumId w:val="9"/>
  </w:num>
  <w:num w:numId="24">
    <w:abstractNumId w:val="20"/>
  </w:num>
  <w:num w:numId="25">
    <w:abstractNumId w:val="14"/>
  </w:num>
  <w:num w:numId="26">
    <w:abstractNumId w:val="21"/>
  </w:num>
  <w:num w:numId="27">
    <w:abstractNumId w:val="37"/>
  </w:num>
  <w:num w:numId="28">
    <w:abstractNumId w:val="32"/>
  </w:num>
  <w:num w:numId="29">
    <w:abstractNumId w:val="19"/>
  </w:num>
  <w:num w:numId="30">
    <w:abstractNumId w:val="17"/>
  </w:num>
  <w:num w:numId="31">
    <w:abstractNumId w:val="21"/>
  </w:num>
  <w:num w:numId="32">
    <w:abstractNumId w:val="7"/>
  </w:num>
  <w:num w:numId="33">
    <w:abstractNumId w:val="26"/>
  </w:num>
  <w:num w:numId="34">
    <w:abstractNumId w:val="29"/>
  </w:num>
  <w:num w:numId="35">
    <w:abstractNumId w:val="4"/>
  </w:num>
  <w:num w:numId="36">
    <w:abstractNumId w:val="35"/>
  </w:num>
  <w:num w:numId="37">
    <w:abstractNumId w:val="5"/>
  </w:num>
  <w:num w:numId="38">
    <w:abstractNumId w:val="8"/>
  </w:num>
  <w:num w:numId="39">
    <w:abstractNumId w:val="24"/>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EA92B36C-B069-42D1-8211-38F655468B7E"/>
    <w:docVar w:name="LW_COVERPAGE_TYPE" w:val="1"/>
    <w:docVar w:name="LW_CROSSREFERENCE" w:val="{SWD(2026) 650 final}"/>
    <w:docVar w:name="LW_DocType" w:val="NORMAL"/>
    <w:docVar w:name="LW_EMISSION" w:val="22.7.2026"/>
    <w:docVar w:name="LW_EMISSION_ISODATE" w:val="2026-07-22"/>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6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 socle européen des droits sociaux "/>
    <w:docVar w:name="LW_TYPE.DOC.CP" w:val="COMMUNICATION DE LA COMMISSION AU PARLEMENT EUROPÉEN, AU CONSEIL, AU COMITÉ ÉCONOMIQUE ET SOCIAL EUROPÉEN ET AU COMITÉ DES RÉGIONS"/>
    <w:docVar w:name="LW_TYPE.DOC.CP.USERTEXT" w:val="&lt;EMPTY&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2A140DCB-808D-4ED7-8A3E-7676B0490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pPr>
      <w:spacing w:after="0" w:line="240" w:lineRule="auto"/>
    </w:pPr>
  </w:style>
  <w:style w:type="paragraph" w:customStyle="1" w:styleId="gstkn">
    <w:name w:val="gs_tkn"/>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gstkn1">
    <w:name w:val="gs_tkn1"/>
    <w:basedOn w:val="DefaultParagraphFont"/>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style>
  <w:style w:type="character" w:customStyle="1" w:styleId="eop">
    <w:name w:val="eop"/>
    <w:basedOn w:val="DefaultParagraphFont"/>
  </w:style>
  <w:style w:type="character" w:styleId="Mention">
    <w:name w:val="Mention"/>
    <w:basedOn w:val="DefaultParagraphFont"/>
    <w:uiPriority w:val="99"/>
    <w:unhideWhenUsed/>
    <w:rPr>
      <w:color w:val="2B579A"/>
      <w:shd w:val="clear" w:color="auto" w:fill="E1DFDD"/>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chriftart: 9 pt,Schriftart: 10 pt,Schriftart: 8 pt,WB-Fußnotentext,fn,Footnotes,Footnote ak,footnote,Footnote Text Char1 Char,Footnote Text Char Char Char,Footnote Text Char1 Char Char Char,Footnote Text Char Char Char Char Char,EMPL6,o,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Char,Footnote Text Char1 Char Char,Footnote Text Char Char Char Char,EMPL6 Char,o Char,C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ootnote,fr"/>
    <w:basedOn w:val="DefaultParagraphFont"/>
    <w:link w:val="BVIfnrCarCarCarCarCharCharCharChar"/>
    <w:uiPriority w:val="99"/>
    <w:unhideWhenUsed/>
    <w:qFormat/>
    <w:rPr>
      <w:vertAlign w:val="superscript"/>
    </w:rPr>
  </w:style>
  <w:style w:type="paragraph" w:customStyle="1" w:styleId="BVIfnrCarCarCarCarCharCharCharChar">
    <w:name w:val="BVI fnr Car Car Car Car Char Char Char Char"/>
    <w:basedOn w:val="Normal"/>
    <w:link w:val="FootnoteReference"/>
    <w:uiPriority w:val="99"/>
    <w:pPr>
      <w:spacing w:before="200" w:line="240" w:lineRule="exact"/>
      <w:jc w:val="both"/>
    </w:pPr>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ftrefCharCharCharCharCharCharCharCharChar">
    <w:name w:val="ftref Char Char Char Char Char Char Char Char Char"/>
    <w:basedOn w:val="Normal"/>
    <w:next w:val="Normal"/>
    <w:rPr>
      <w:rFonts w:ascii="Times New Roman" w:eastAsia="Times New Roman" w:hAnsi="Times New Roman" w:cs="Times New Roman"/>
      <w:kern w:val="0"/>
      <w:sz w:val="20"/>
      <w:szCs w:val="20"/>
      <w:vertAlign w:val="superscript"/>
      <w:lang w:eastAsia="fr-BE"/>
      <w14:ligatures w14:val="none"/>
    </w:rPr>
  </w:style>
  <w:style w:type="paragraph" w:styleId="NormalWeb">
    <w:name w:val="Normal (Web)"/>
    <w:basedOn w:val="Normal"/>
    <w:uiPriority w:val="99"/>
    <w:semiHidden/>
    <w:unhideWhenUsed/>
    <w:rPr>
      <w:rFonts w:ascii="Times New Roman" w:hAnsi="Times New Roman" w:cs="Times New Roman"/>
      <w:sz w:val="24"/>
      <w:szCs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4684">
      <w:bodyDiv w:val="1"/>
      <w:marLeft w:val="0"/>
      <w:marRight w:val="0"/>
      <w:marTop w:val="0"/>
      <w:marBottom w:val="0"/>
      <w:divBdr>
        <w:top w:val="none" w:sz="0" w:space="0" w:color="auto"/>
        <w:left w:val="none" w:sz="0" w:space="0" w:color="auto"/>
        <w:bottom w:val="none" w:sz="0" w:space="0" w:color="auto"/>
        <w:right w:val="none" w:sz="0" w:space="0" w:color="auto"/>
      </w:divBdr>
    </w:div>
    <w:div w:id="78216367">
      <w:bodyDiv w:val="1"/>
      <w:marLeft w:val="0"/>
      <w:marRight w:val="0"/>
      <w:marTop w:val="0"/>
      <w:marBottom w:val="0"/>
      <w:divBdr>
        <w:top w:val="none" w:sz="0" w:space="0" w:color="auto"/>
        <w:left w:val="none" w:sz="0" w:space="0" w:color="auto"/>
        <w:bottom w:val="none" w:sz="0" w:space="0" w:color="auto"/>
        <w:right w:val="none" w:sz="0" w:space="0" w:color="auto"/>
      </w:divBdr>
    </w:div>
    <w:div w:id="110561042">
      <w:bodyDiv w:val="1"/>
      <w:marLeft w:val="0"/>
      <w:marRight w:val="0"/>
      <w:marTop w:val="0"/>
      <w:marBottom w:val="0"/>
      <w:divBdr>
        <w:top w:val="none" w:sz="0" w:space="0" w:color="auto"/>
        <w:left w:val="none" w:sz="0" w:space="0" w:color="auto"/>
        <w:bottom w:val="none" w:sz="0" w:space="0" w:color="auto"/>
        <w:right w:val="none" w:sz="0" w:space="0" w:color="auto"/>
      </w:divBdr>
    </w:div>
    <w:div w:id="149103519">
      <w:bodyDiv w:val="1"/>
      <w:marLeft w:val="0"/>
      <w:marRight w:val="0"/>
      <w:marTop w:val="0"/>
      <w:marBottom w:val="0"/>
      <w:divBdr>
        <w:top w:val="none" w:sz="0" w:space="0" w:color="auto"/>
        <w:left w:val="none" w:sz="0" w:space="0" w:color="auto"/>
        <w:bottom w:val="none" w:sz="0" w:space="0" w:color="auto"/>
        <w:right w:val="none" w:sz="0" w:space="0" w:color="auto"/>
      </w:divBdr>
    </w:div>
    <w:div w:id="167529504">
      <w:bodyDiv w:val="1"/>
      <w:marLeft w:val="0"/>
      <w:marRight w:val="0"/>
      <w:marTop w:val="0"/>
      <w:marBottom w:val="0"/>
      <w:divBdr>
        <w:top w:val="none" w:sz="0" w:space="0" w:color="auto"/>
        <w:left w:val="none" w:sz="0" w:space="0" w:color="auto"/>
        <w:bottom w:val="none" w:sz="0" w:space="0" w:color="auto"/>
        <w:right w:val="none" w:sz="0" w:space="0" w:color="auto"/>
      </w:divBdr>
      <w:divsChild>
        <w:div w:id="1813592545">
          <w:marLeft w:val="0"/>
          <w:marRight w:val="0"/>
          <w:marTop w:val="0"/>
          <w:marBottom w:val="0"/>
          <w:divBdr>
            <w:top w:val="none" w:sz="0" w:space="0" w:color="auto"/>
            <w:left w:val="none" w:sz="0" w:space="0" w:color="auto"/>
            <w:bottom w:val="none" w:sz="0" w:space="0" w:color="auto"/>
            <w:right w:val="none" w:sz="0" w:space="0" w:color="auto"/>
          </w:divBdr>
        </w:div>
      </w:divsChild>
    </w:div>
    <w:div w:id="195433473">
      <w:bodyDiv w:val="1"/>
      <w:marLeft w:val="0"/>
      <w:marRight w:val="0"/>
      <w:marTop w:val="0"/>
      <w:marBottom w:val="0"/>
      <w:divBdr>
        <w:top w:val="none" w:sz="0" w:space="0" w:color="auto"/>
        <w:left w:val="none" w:sz="0" w:space="0" w:color="auto"/>
        <w:bottom w:val="none" w:sz="0" w:space="0" w:color="auto"/>
        <w:right w:val="none" w:sz="0" w:space="0" w:color="auto"/>
      </w:divBdr>
    </w:div>
    <w:div w:id="235825067">
      <w:bodyDiv w:val="1"/>
      <w:marLeft w:val="0"/>
      <w:marRight w:val="0"/>
      <w:marTop w:val="0"/>
      <w:marBottom w:val="0"/>
      <w:divBdr>
        <w:top w:val="none" w:sz="0" w:space="0" w:color="auto"/>
        <w:left w:val="none" w:sz="0" w:space="0" w:color="auto"/>
        <w:bottom w:val="none" w:sz="0" w:space="0" w:color="auto"/>
        <w:right w:val="none" w:sz="0" w:space="0" w:color="auto"/>
      </w:divBdr>
    </w:div>
    <w:div w:id="241984868">
      <w:bodyDiv w:val="1"/>
      <w:marLeft w:val="0"/>
      <w:marRight w:val="0"/>
      <w:marTop w:val="0"/>
      <w:marBottom w:val="0"/>
      <w:divBdr>
        <w:top w:val="none" w:sz="0" w:space="0" w:color="auto"/>
        <w:left w:val="none" w:sz="0" w:space="0" w:color="auto"/>
        <w:bottom w:val="none" w:sz="0" w:space="0" w:color="auto"/>
        <w:right w:val="none" w:sz="0" w:space="0" w:color="auto"/>
      </w:divBdr>
    </w:div>
    <w:div w:id="254364439">
      <w:bodyDiv w:val="1"/>
      <w:marLeft w:val="0"/>
      <w:marRight w:val="0"/>
      <w:marTop w:val="0"/>
      <w:marBottom w:val="0"/>
      <w:divBdr>
        <w:top w:val="none" w:sz="0" w:space="0" w:color="auto"/>
        <w:left w:val="none" w:sz="0" w:space="0" w:color="auto"/>
        <w:bottom w:val="none" w:sz="0" w:space="0" w:color="auto"/>
        <w:right w:val="none" w:sz="0" w:space="0" w:color="auto"/>
      </w:divBdr>
    </w:div>
    <w:div w:id="310908027">
      <w:bodyDiv w:val="1"/>
      <w:marLeft w:val="0"/>
      <w:marRight w:val="0"/>
      <w:marTop w:val="0"/>
      <w:marBottom w:val="0"/>
      <w:divBdr>
        <w:top w:val="none" w:sz="0" w:space="0" w:color="auto"/>
        <w:left w:val="none" w:sz="0" w:space="0" w:color="auto"/>
        <w:bottom w:val="none" w:sz="0" w:space="0" w:color="auto"/>
        <w:right w:val="none" w:sz="0" w:space="0" w:color="auto"/>
      </w:divBdr>
      <w:divsChild>
        <w:div w:id="1982878212">
          <w:marLeft w:val="0"/>
          <w:marRight w:val="0"/>
          <w:marTop w:val="0"/>
          <w:marBottom w:val="0"/>
          <w:divBdr>
            <w:top w:val="none" w:sz="0" w:space="0" w:color="auto"/>
            <w:left w:val="none" w:sz="0" w:space="0" w:color="auto"/>
            <w:bottom w:val="none" w:sz="0" w:space="0" w:color="auto"/>
            <w:right w:val="none" w:sz="0" w:space="0" w:color="auto"/>
          </w:divBdr>
        </w:div>
      </w:divsChild>
    </w:div>
    <w:div w:id="317073157">
      <w:bodyDiv w:val="1"/>
      <w:marLeft w:val="0"/>
      <w:marRight w:val="0"/>
      <w:marTop w:val="0"/>
      <w:marBottom w:val="0"/>
      <w:divBdr>
        <w:top w:val="none" w:sz="0" w:space="0" w:color="auto"/>
        <w:left w:val="none" w:sz="0" w:space="0" w:color="auto"/>
        <w:bottom w:val="none" w:sz="0" w:space="0" w:color="auto"/>
        <w:right w:val="none" w:sz="0" w:space="0" w:color="auto"/>
      </w:divBdr>
    </w:div>
    <w:div w:id="345980021">
      <w:bodyDiv w:val="1"/>
      <w:marLeft w:val="0"/>
      <w:marRight w:val="0"/>
      <w:marTop w:val="0"/>
      <w:marBottom w:val="0"/>
      <w:divBdr>
        <w:top w:val="none" w:sz="0" w:space="0" w:color="auto"/>
        <w:left w:val="none" w:sz="0" w:space="0" w:color="auto"/>
        <w:bottom w:val="none" w:sz="0" w:space="0" w:color="auto"/>
        <w:right w:val="none" w:sz="0" w:space="0" w:color="auto"/>
      </w:divBdr>
    </w:div>
    <w:div w:id="390539700">
      <w:bodyDiv w:val="1"/>
      <w:marLeft w:val="0"/>
      <w:marRight w:val="0"/>
      <w:marTop w:val="0"/>
      <w:marBottom w:val="0"/>
      <w:divBdr>
        <w:top w:val="none" w:sz="0" w:space="0" w:color="auto"/>
        <w:left w:val="none" w:sz="0" w:space="0" w:color="auto"/>
        <w:bottom w:val="none" w:sz="0" w:space="0" w:color="auto"/>
        <w:right w:val="none" w:sz="0" w:space="0" w:color="auto"/>
      </w:divBdr>
    </w:div>
    <w:div w:id="465008578">
      <w:bodyDiv w:val="1"/>
      <w:marLeft w:val="0"/>
      <w:marRight w:val="0"/>
      <w:marTop w:val="0"/>
      <w:marBottom w:val="0"/>
      <w:divBdr>
        <w:top w:val="none" w:sz="0" w:space="0" w:color="auto"/>
        <w:left w:val="none" w:sz="0" w:space="0" w:color="auto"/>
        <w:bottom w:val="none" w:sz="0" w:space="0" w:color="auto"/>
        <w:right w:val="none" w:sz="0" w:space="0" w:color="auto"/>
      </w:divBdr>
    </w:div>
    <w:div w:id="468744174">
      <w:bodyDiv w:val="1"/>
      <w:marLeft w:val="0"/>
      <w:marRight w:val="0"/>
      <w:marTop w:val="0"/>
      <w:marBottom w:val="0"/>
      <w:divBdr>
        <w:top w:val="none" w:sz="0" w:space="0" w:color="auto"/>
        <w:left w:val="none" w:sz="0" w:space="0" w:color="auto"/>
        <w:bottom w:val="none" w:sz="0" w:space="0" w:color="auto"/>
        <w:right w:val="none" w:sz="0" w:space="0" w:color="auto"/>
      </w:divBdr>
    </w:div>
    <w:div w:id="556011434">
      <w:bodyDiv w:val="1"/>
      <w:marLeft w:val="0"/>
      <w:marRight w:val="0"/>
      <w:marTop w:val="0"/>
      <w:marBottom w:val="0"/>
      <w:divBdr>
        <w:top w:val="none" w:sz="0" w:space="0" w:color="auto"/>
        <w:left w:val="none" w:sz="0" w:space="0" w:color="auto"/>
        <w:bottom w:val="none" w:sz="0" w:space="0" w:color="auto"/>
        <w:right w:val="none" w:sz="0" w:space="0" w:color="auto"/>
      </w:divBdr>
    </w:div>
    <w:div w:id="574819805">
      <w:bodyDiv w:val="1"/>
      <w:marLeft w:val="0"/>
      <w:marRight w:val="0"/>
      <w:marTop w:val="0"/>
      <w:marBottom w:val="0"/>
      <w:divBdr>
        <w:top w:val="none" w:sz="0" w:space="0" w:color="auto"/>
        <w:left w:val="none" w:sz="0" w:space="0" w:color="auto"/>
        <w:bottom w:val="none" w:sz="0" w:space="0" w:color="auto"/>
        <w:right w:val="none" w:sz="0" w:space="0" w:color="auto"/>
      </w:divBdr>
      <w:divsChild>
        <w:div w:id="574246812">
          <w:marLeft w:val="0"/>
          <w:marRight w:val="0"/>
          <w:marTop w:val="0"/>
          <w:marBottom w:val="0"/>
          <w:divBdr>
            <w:top w:val="none" w:sz="0" w:space="0" w:color="auto"/>
            <w:left w:val="none" w:sz="0" w:space="0" w:color="auto"/>
            <w:bottom w:val="none" w:sz="0" w:space="0" w:color="auto"/>
            <w:right w:val="none" w:sz="0" w:space="0" w:color="auto"/>
          </w:divBdr>
        </w:div>
        <w:div w:id="960721428">
          <w:marLeft w:val="0"/>
          <w:marRight w:val="0"/>
          <w:marTop w:val="0"/>
          <w:marBottom w:val="0"/>
          <w:divBdr>
            <w:top w:val="none" w:sz="0" w:space="0" w:color="auto"/>
            <w:left w:val="none" w:sz="0" w:space="0" w:color="auto"/>
            <w:bottom w:val="none" w:sz="0" w:space="0" w:color="auto"/>
            <w:right w:val="none" w:sz="0" w:space="0" w:color="auto"/>
          </w:divBdr>
        </w:div>
        <w:div w:id="1667248076">
          <w:marLeft w:val="0"/>
          <w:marRight w:val="0"/>
          <w:marTop w:val="0"/>
          <w:marBottom w:val="0"/>
          <w:divBdr>
            <w:top w:val="none" w:sz="0" w:space="0" w:color="auto"/>
            <w:left w:val="none" w:sz="0" w:space="0" w:color="auto"/>
            <w:bottom w:val="none" w:sz="0" w:space="0" w:color="auto"/>
            <w:right w:val="none" w:sz="0" w:space="0" w:color="auto"/>
          </w:divBdr>
        </w:div>
      </w:divsChild>
    </w:div>
    <w:div w:id="600645022">
      <w:bodyDiv w:val="1"/>
      <w:marLeft w:val="0"/>
      <w:marRight w:val="0"/>
      <w:marTop w:val="0"/>
      <w:marBottom w:val="0"/>
      <w:divBdr>
        <w:top w:val="none" w:sz="0" w:space="0" w:color="auto"/>
        <w:left w:val="none" w:sz="0" w:space="0" w:color="auto"/>
        <w:bottom w:val="none" w:sz="0" w:space="0" w:color="auto"/>
        <w:right w:val="none" w:sz="0" w:space="0" w:color="auto"/>
      </w:divBdr>
    </w:div>
    <w:div w:id="624580881">
      <w:bodyDiv w:val="1"/>
      <w:marLeft w:val="0"/>
      <w:marRight w:val="0"/>
      <w:marTop w:val="0"/>
      <w:marBottom w:val="0"/>
      <w:divBdr>
        <w:top w:val="none" w:sz="0" w:space="0" w:color="auto"/>
        <w:left w:val="none" w:sz="0" w:space="0" w:color="auto"/>
        <w:bottom w:val="none" w:sz="0" w:space="0" w:color="auto"/>
        <w:right w:val="none" w:sz="0" w:space="0" w:color="auto"/>
      </w:divBdr>
    </w:div>
    <w:div w:id="673067910">
      <w:bodyDiv w:val="1"/>
      <w:marLeft w:val="0"/>
      <w:marRight w:val="0"/>
      <w:marTop w:val="0"/>
      <w:marBottom w:val="0"/>
      <w:divBdr>
        <w:top w:val="none" w:sz="0" w:space="0" w:color="auto"/>
        <w:left w:val="none" w:sz="0" w:space="0" w:color="auto"/>
        <w:bottom w:val="none" w:sz="0" w:space="0" w:color="auto"/>
        <w:right w:val="none" w:sz="0" w:space="0" w:color="auto"/>
      </w:divBdr>
    </w:div>
    <w:div w:id="791948529">
      <w:bodyDiv w:val="1"/>
      <w:marLeft w:val="0"/>
      <w:marRight w:val="0"/>
      <w:marTop w:val="0"/>
      <w:marBottom w:val="0"/>
      <w:divBdr>
        <w:top w:val="none" w:sz="0" w:space="0" w:color="auto"/>
        <w:left w:val="none" w:sz="0" w:space="0" w:color="auto"/>
        <w:bottom w:val="none" w:sz="0" w:space="0" w:color="auto"/>
        <w:right w:val="none" w:sz="0" w:space="0" w:color="auto"/>
      </w:divBdr>
    </w:div>
    <w:div w:id="795490992">
      <w:bodyDiv w:val="1"/>
      <w:marLeft w:val="0"/>
      <w:marRight w:val="0"/>
      <w:marTop w:val="0"/>
      <w:marBottom w:val="0"/>
      <w:divBdr>
        <w:top w:val="none" w:sz="0" w:space="0" w:color="auto"/>
        <w:left w:val="none" w:sz="0" w:space="0" w:color="auto"/>
        <w:bottom w:val="none" w:sz="0" w:space="0" w:color="auto"/>
        <w:right w:val="none" w:sz="0" w:space="0" w:color="auto"/>
      </w:divBdr>
    </w:div>
    <w:div w:id="802843846">
      <w:bodyDiv w:val="1"/>
      <w:marLeft w:val="0"/>
      <w:marRight w:val="0"/>
      <w:marTop w:val="0"/>
      <w:marBottom w:val="0"/>
      <w:divBdr>
        <w:top w:val="none" w:sz="0" w:space="0" w:color="auto"/>
        <w:left w:val="none" w:sz="0" w:space="0" w:color="auto"/>
        <w:bottom w:val="none" w:sz="0" w:space="0" w:color="auto"/>
        <w:right w:val="none" w:sz="0" w:space="0" w:color="auto"/>
      </w:divBdr>
    </w:div>
    <w:div w:id="823468330">
      <w:bodyDiv w:val="1"/>
      <w:marLeft w:val="0"/>
      <w:marRight w:val="0"/>
      <w:marTop w:val="0"/>
      <w:marBottom w:val="0"/>
      <w:divBdr>
        <w:top w:val="none" w:sz="0" w:space="0" w:color="auto"/>
        <w:left w:val="none" w:sz="0" w:space="0" w:color="auto"/>
        <w:bottom w:val="none" w:sz="0" w:space="0" w:color="auto"/>
        <w:right w:val="none" w:sz="0" w:space="0" w:color="auto"/>
      </w:divBdr>
      <w:divsChild>
        <w:div w:id="1749424151">
          <w:marLeft w:val="0"/>
          <w:marRight w:val="0"/>
          <w:marTop w:val="0"/>
          <w:marBottom w:val="0"/>
          <w:divBdr>
            <w:top w:val="none" w:sz="0" w:space="0" w:color="auto"/>
            <w:left w:val="none" w:sz="0" w:space="0" w:color="auto"/>
            <w:bottom w:val="none" w:sz="0" w:space="0" w:color="auto"/>
            <w:right w:val="none" w:sz="0" w:space="0" w:color="auto"/>
          </w:divBdr>
          <w:divsChild>
            <w:div w:id="939139330">
              <w:marLeft w:val="0"/>
              <w:marRight w:val="0"/>
              <w:marTop w:val="0"/>
              <w:marBottom w:val="0"/>
              <w:divBdr>
                <w:top w:val="none" w:sz="0" w:space="0" w:color="auto"/>
                <w:left w:val="none" w:sz="0" w:space="0" w:color="auto"/>
                <w:bottom w:val="none" w:sz="0" w:space="0" w:color="auto"/>
                <w:right w:val="none" w:sz="0" w:space="0" w:color="auto"/>
              </w:divBdr>
              <w:divsChild>
                <w:div w:id="40642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67304">
      <w:bodyDiv w:val="1"/>
      <w:marLeft w:val="0"/>
      <w:marRight w:val="0"/>
      <w:marTop w:val="0"/>
      <w:marBottom w:val="0"/>
      <w:divBdr>
        <w:top w:val="none" w:sz="0" w:space="0" w:color="auto"/>
        <w:left w:val="none" w:sz="0" w:space="0" w:color="auto"/>
        <w:bottom w:val="none" w:sz="0" w:space="0" w:color="auto"/>
        <w:right w:val="none" w:sz="0" w:space="0" w:color="auto"/>
      </w:divBdr>
    </w:div>
    <w:div w:id="992874631">
      <w:bodyDiv w:val="1"/>
      <w:marLeft w:val="0"/>
      <w:marRight w:val="0"/>
      <w:marTop w:val="0"/>
      <w:marBottom w:val="0"/>
      <w:divBdr>
        <w:top w:val="none" w:sz="0" w:space="0" w:color="auto"/>
        <w:left w:val="none" w:sz="0" w:space="0" w:color="auto"/>
        <w:bottom w:val="none" w:sz="0" w:space="0" w:color="auto"/>
        <w:right w:val="none" w:sz="0" w:space="0" w:color="auto"/>
      </w:divBdr>
    </w:div>
    <w:div w:id="1118449245">
      <w:bodyDiv w:val="1"/>
      <w:marLeft w:val="0"/>
      <w:marRight w:val="0"/>
      <w:marTop w:val="0"/>
      <w:marBottom w:val="0"/>
      <w:divBdr>
        <w:top w:val="none" w:sz="0" w:space="0" w:color="auto"/>
        <w:left w:val="none" w:sz="0" w:space="0" w:color="auto"/>
        <w:bottom w:val="none" w:sz="0" w:space="0" w:color="auto"/>
        <w:right w:val="none" w:sz="0" w:space="0" w:color="auto"/>
      </w:divBdr>
    </w:div>
    <w:div w:id="1144590460">
      <w:bodyDiv w:val="1"/>
      <w:marLeft w:val="0"/>
      <w:marRight w:val="0"/>
      <w:marTop w:val="0"/>
      <w:marBottom w:val="0"/>
      <w:divBdr>
        <w:top w:val="none" w:sz="0" w:space="0" w:color="auto"/>
        <w:left w:val="none" w:sz="0" w:space="0" w:color="auto"/>
        <w:bottom w:val="none" w:sz="0" w:space="0" w:color="auto"/>
        <w:right w:val="none" w:sz="0" w:space="0" w:color="auto"/>
      </w:divBdr>
    </w:div>
    <w:div w:id="1193760384">
      <w:bodyDiv w:val="1"/>
      <w:marLeft w:val="0"/>
      <w:marRight w:val="0"/>
      <w:marTop w:val="0"/>
      <w:marBottom w:val="0"/>
      <w:divBdr>
        <w:top w:val="none" w:sz="0" w:space="0" w:color="auto"/>
        <w:left w:val="none" w:sz="0" w:space="0" w:color="auto"/>
        <w:bottom w:val="none" w:sz="0" w:space="0" w:color="auto"/>
        <w:right w:val="none" w:sz="0" w:space="0" w:color="auto"/>
      </w:divBdr>
      <w:divsChild>
        <w:div w:id="349263426">
          <w:marLeft w:val="0"/>
          <w:marRight w:val="0"/>
          <w:marTop w:val="0"/>
          <w:marBottom w:val="0"/>
          <w:divBdr>
            <w:top w:val="none" w:sz="0" w:space="0" w:color="auto"/>
            <w:left w:val="none" w:sz="0" w:space="0" w:color="auto"/>
            <w:bottom w:val="none" w:sz="0" w:space="0" w:color="auto"/>
            <w:right w:val="none" w:sz="0" w:space="0" w:color="auto"/>
          </w:divBdr>
        </w:div>
      </w:divsChild>
    </w:div>
    <w:div w:id="1214198377">
      <w:bodyDiv w:val="1"/>
      <w:marLeft w:val="0"/>
      <w:marRight w:val="0"/>
      <w:marTop w:val="0"/>
      <w:marBottom w:val="0"/>
      <w:divBdr>
        <w:top w:val="none" w:sz="0" w:space="0" w:color="auto"/>
        <w:left w:val="none" w:sz="0" w:space="0" w:color="auto"/>
        <w:bottom w:val="none" w:sz="0" w:space="0" w:color="auto"/>
        <w:right w:val="none" w:sz="0" w:space="0" w:color="auto"/>
      </w:divBdr>
    </w:div>
    <w:div w:id="1219513379">
      <w:bodyDiv w:val="1"/>
      <w:marLeft w:val="0"/>
      <w:marRight w:val="0"/>
      <w:marTop w:val="0"/>
      <w:marBottom w:val="0"/>
      <w:divBdr>
        <w:top w:val="none" w:sz="0" w:space="0" w:color="auto"/>
        <w:left w:val="none" w:sz="0" w:space="0" w:color="auto"/>
        <w:bottom w:val="none" w:sz="0" w:space="0" w:color="auto"/>
        <w:right w:val="none" w:sz="0" w:space="0" w:color="auto"/>
      </w:divBdr>
    </w:div>
    <w:div w:id="1413158151">
      <w:bodyDiv w:val="1"/>
      <w:marLeft w:val="0"/>
      <w:marRight w:val="0"/>
      <w:marTop w:val="0"/>
      <w:marBottom w:val="0"/>
      <w:divBdr>
        <w:top w:val="none" w:sz="0" w:space="0" w:color="auto"/>
        <w:left w:val="none" w:sz="0" w:space="0" w:color="auto"/>
        <w:bottom w:val="none" w:sz="0" w:space="0" w:color="auto"/>
        <w:right w:val="none" w:sz="0" w:space="0" w:color="auto"/>
      </w:divBdr>
    </w:div>
    <w:div w:id="1465149957">
      <w:bodyDiv w:val="1"/>
      <w:marLeft w:val="0"/>
      <w:marRight w:val="0"/>
      <w:marTop w:val="0"/>
      <w:marBottom w:val="0"/>
      <w:divBdr>
        <w:top w:val="none" w:sz="0" w:space="0" w:color="auto"/>
        <w:left w:val="none" w:sz="0" w:space="0" w:color="auto"/>
        <w:bottom w:val="none" w:sz="0" w:space="0" w:color="auto"/>
        <w:right w:val="none" w:sz="0" w:space="0" w:color="auto"/>
      </w:divBdr>
    </w:div>
    <w:div w:id="1491487273">
      <w:bodyDiv w:val="1"/>
      <w:marLeft w:val="0"/>
      <w:marRight w:val="0"/>
      <w:marTop w:val="0"/>
      <w:marBottom w:val="0"/>
      <w:divBdr>
        <w:top w:val="none" w:sz="0" w:space="0" w:color="auto"/>
        <w:left w:val="none" w:sz="0" w:space="0" w:color="auto"/>
        <w:bottom w:val="none" w:sz="0" w:space="0" w:color="auto"/>
        <w:right w:val="none" w:sz="0" w:space="0" w:color="auto"/>
      </w:divBdr>
      <w:divsChild>
        <w:div w:id="746731377">
          <w:marLeft w:val="0"/>
          <w:marRight w:val="0"/>
          <w:marTop w:val="0"/>
          <w:marBottom w:val="0"/>
          <w:divBdr>
            <w:top w:val="none" w:sz="0" w:space="0" w:color="auto"/>
            <w:left w:val="none" w:sz="0" w:space="0" w:color="auto"/>
            <w:bottom w:val="none" w:sz="0" w:space="0" w:color="auto"/>
            <w:right w:val="none" w:sz="0" w:space="0" w:color="auto"/>
          </w:divBdr>
        </w:div>
        <w:div w:id="1282612643">
          <w:marLeft w:val="0"/>
          <w:marRight w:val="0"/>
          <w:marTop w:val="0"/>
          <w:marBottom w:val="0"/>
          <w:divBdr>
            <w:top w:val="none" w:sz="0" w:space="0" w:color="auto"/>
            <w:left w:val="none" w:sz="0" w:space="0" w:color="auto"/>
            <w:bottom w:val="none" w:sz="0" w:space="0" w:color="auto"/>
            <w:right w:val="none" w:sz="0" w:space="0" w:color="auto"/>
          </w:divBdr>
        </w:div>
        <w:div w:id="1595285932">
          <w:marLeft w:val="0"/>
          <w:marRight w:val="0"/>
          <w:marTop w:val="0"/>
          <w:marBottom w:val="0"/>
          <w:divBdr>
            <w:top w:val="none" w:sz="0" w:space="0" w:color="auto"/>
            <w:left w:val="none" w:sz="0" w:space="0" w:color="auto"/>
            <w:bottom w:val="none" w:sz="0" w:space="0" w:color="auto"/>
            <w:right w:val="none" w:sz="0" w:space="0" w:color="auto"/>
          </w:divBdr>
        </w:div>
        <w:div w:id="1918439988">
          <w:marLeft w:val="0"/>
          <w:marRight w:val="0"/>
          <w:marTop w:val="0"/>
          <w:marBottom w:val="0"/>
          <w:divBdr>
            <w:top w:val="none" w:sz="0" w:space="0" w:color="auto"/>
            <w:left w:val="none" w:sz="0" w:space="0" w:color="auto"/>
            <w:bottom w:val="none" w:sz="0" w:space="0" w:color="auto"/>
            <w:right w:val="none" w:sz="0" w:space="0" w:color="auto"/>
          </w:divBdr>
        </w:div>
      </w:divsChild>
    </w:div>
    <w:div w:id="1499616510">
      <w:bodyDiv w:val="1"/>
      <w:marLeft w:val="0"/>
      <w:marRight w:val="0"/>
      <w:marTop w:val="0"/>
      <w:marBottom w:val="0"/>
      <w:divBdr>
        <w:top w:val="none" w:sz="0" w:space="0" w:color="auto"/>
        <w:left w:val="none" w:sz="0" w:space="0" w:color="auto"/>
        <w:bottom w:val="none" w:sz="0" w:space="0" w:color="auto"/>
        <w:right w:val="none" w:sz="0" w:space="0" w:color="auto"/>
      </w:divBdr>
    </w:div>
    <w:div w:id="1551531720">
      <w:bodyDiv w:val="1"/>
      <w:marLeft w:val="0"/>
      <w:marRight w:val="0"/>
      <w:marTop w:val="0"/>
      <w:marBottom w:val="0"/>
      <w:divBdr>
        <w:top w:val="none" w:sz="0" w:space="0" w:color="auto"/>
        <w:left w:val="none" w:sz="0" w:space="0" w:color="auto"/>
        <w:bottom w:val="none" w:sz="0" w:space="0" w:color="auto"/>
        <w:right w:val="none" w:sz="0" w:space="0" w:color="auto"/>
      </w:divBdr>
    </w:div>
    <w:div w:id="1578631674">
      <w:bodyDiv w:val="1"/>
      <w:marLeft w:val="0"/>
      <w:marRight w:val="0"/>
      <w:marTop w:val="0"/>
      <w:marBottom w:val="0"/>
      <w:divBdr>
        <w:top w:val="none" w:sz="0" w:space="0" w:color="auto"/>
        <w:left w:val="none" w:sz="0" w:space="0" w:color="auto"/>
        <w:bottom w:val="none" w:sz="0" w:space="0" w:color="auto"/>
        <w:right w:val="none" w:sz="0" w:space="0" w:color="auto"/>
      </w:divBdr>
    </w:div>
    <w:div w:id="1613979554">
      <w:bodyDiv w:val="1"/>
      <w:marLeft w:val="0"/>
      <w:marRight w:val="0"/>
      <w:marTop w:val="0"/>
      <w:marBottom w:val="0"/>
      <w:divBdr>
        <w:top w:val="none" w:sz="0" w:space="0" w:color="auto"/>
        <w:left w:val="none" w:sz="0" w:space="0" w:color="auto"/>
        <w:bottom w:val="none" w:sz="0" w:space="0" w:color="auto"/>
        <w:right w:val="none" w:sz="0" w:space="0" w:color="auto"/>
      </w:divBdr>
      <w:divsChild>
        <w:div w:id="420806762">
          <w:marLeft w:val="0"/>
          <w:marRight w:val="0"/>
          <w:marTop w:val="0"/>
          <w:marBottom w:val="0"/>
          <w:divBdr>
            <w:top w:val="none" w:sz="0" w:space="0" w:color="auto"/>
            <w:left w:val="none" w:sz="0" w:space="0" w:color="auto"/>
            <w:bottom w:val="none" w:sz="0" w:space="0" w:color="auto"/>
            <w:right w:val="none" w:sz="0" w:space="0" w:color="auto"/>
          </w:divBdr>
        </w:div>
        <w:div w:id="1162887066">
          <w:marLeft w:val="0"/>
          <w:marRight w:val="0"/>
          <w:marTop w:val="0"/>
          <w:marBottom w:val="0"/>
          <w:divBdr>
            <w:top w:val="none" w:sz="0" w:space="0" w:color="auto"/>
            <w:left w:val="none" w:sz="0" w:space="0" w:color="auto"/>
            <w:bottom w:val="none" w:sz="0" w:space="0" w:color="auto"/>
            <w:right w:val="none" w:sz="0" w:space="0" w:color="auto"/>
          </w:divBdr>
        </w:div>
        <w:div w:id="1879125454">
          <w:marLeft w:val="0"/>
          <w:marRight w:val="0"/>
          <w:marTop w:val="0"/>
          <w:marBottom w:val="0"/>
          <w:divBdr>
            <w:top w:val="none" w:sz="0" w:space="0" w:color="auto"/>
            <w:left w:val="none" w:sz="0" w:space="0" w:color="auto"/>
            <w:bottom w:val="none" w:sz="0" w:space="0" w:color="auto"/>
            <w:right w:val="none" w:sz="0" w:space="0" w:color="auto"/>
          </w:divBdr>
        </w:div>
      </w:divsChild>
    </w:div>
    <w:div w:id="1631276373">
      <w:bodyDiv w:val="1"/>
      <w:marLeft w:val="0"/>
      <w:marRight w:val="0"/>
      <w:marTop w:val="0"/>
      <w:marBottom w:val="0"/>
      <w:divBdr>
        <w:top w:val="none" w:sz="0" w:space="0" w:color="auto"/>
        <w:left w:val="none" w:sz="0" w:space="0" w:color="auto"/>
        <w:bottom w:val="none" w:sz="0" w:space="0" w:color="auto"/>
        <w:right w:val="none" w:sz="0" w:space="0" w:color="auto"/>
      </w:divBdr>
    </w:div>
    <w:div w:id="1716663072">
      <w:bodyDiv w:val="1"/>
      <w:marLeft w:val="0"/>
      <w:marRight w:val="0"/>
      <w:marTop w:val="0"/>
      <w:marBottom w:val="0"/>
      <w:divBdr>
        <w:top w:val="none" w:sz="0" w:space="0" w:color="auto"/>
        <w:left w:val="none" w:sz="0" w:space="0" w:color="auto"/>
        <w:bottom w:val="none" w:sz="0" w:space="0" w:color="auto"/>
        <w:right w:val="none" w:sz="0" w:space="0" w:color="auto"/>
      </w:divBdr>
    </w:div>
    <w:div w:id="1738940474">
      <w:bodyDiv w:val="1"/>
      <w:marLeft w:val="0"/>
      <w:marRight w:val="0"/>
      <w:marTop w:val="0"/>
      <w:marBottom w:val="0"/>
      <w:divBdr>
        <w:top w:val="none" w:sz="0" w:space="0" w:color="auto"/>
        <w:left w:val="none" w:sz="0" w:space="0" w:color="auto"/>
        <w:bottom w:val="none" w:sz="0" w:space="0" w:color="auto"/>
        <w:right w:val="none" w:sz="0" w:space="0" w:color="auto"/>
      </w:divBdr>
      <w:divsChild>
        <w:div w:id="109015246">
          <w:marLeft w:val="0"/>
          <w:marRight w:val="0"/>
          <w:marTop w:val="0"/>
          <w:marBottom w:val="0"/>
          <w:divBdr>
            <w:top w:val="none" w:sz="0" w:space="0" w:color="auto"/>
            <w:left w:val="none" w:sz="0" w:space="0" w:color="auto"/>
            <w:bottom w:val="none" w:sz="0" w:space="0" w:color="auto"/>
            <w:right w:val="none" w:sz="0" w:space="0" w:color="auto"/>
          </w:divBdr>
        </w:div>
        <w:div w:id="630281801">
          <w:marLeft w:val="0"/>
          <w:marRight w:val="0"/>
          <w:marTop w:val="0"/>
          <w:marBottom w:val="0"/>
          <w:divBdr>
            <w:top w:val="none" w:sz="0" w:space="0" w:color="auto"/>
            <w:left w:val="none" w:sz="0" w:space="0" w:color="auto"/>
            <w:bottom w:val="none" w:sz="0" w:space="0" w:color="auto"/>
            <w:right w:val="none" w:sz="0" w:space="0" w:color="auto"/>
          </w:divBdr>
        </w:div>
        <w:div w:id="1005129753">
          <w:marLeft w:val="0"/>
          <w:marRight w:val="0"/>
          <w:marTop w:val="0"/>
          <w:marBottom w:val="0"/>
          <w:divBdr>
            <w:top w:val="none" w:sz="0" w:space="0" w:color="auto"/>
            <w:left w:val="none" w:sz="0" w:space="0" w:color="auto"/>
            <w:bottom w:val="none" w:sz="0" w:space="0" w:color="auto"/>
            <w:right w:val="none" w:sz="0" w:space="0" w:color="auto"/>
          </w:divBdr>
        </w:div>
        <w:div w:id="1424185233">
          <w:marLeft w:val="0"/>
          <w:marRight w:val="0"/>
          <w:marTop w:val="0"/>
          <w:marBottom w:val="0"/>
          <w:divBdr>
            <w:top w:val="none" w:sz="0" w:space="0" w:color="auto"/>
            <w:left w:val="none" w:sz="0" w:space="0" w:color="auto"/>
            <w:bottom w:val="none" w:sz="0" w:space="0" w:color="auto"/>
            <w:right w:val="none" w:sz="0" w:space="0" w:color="auto"/>
          </w:divBdr>
        </w:div>
      </w:divsChild>
    </w:div>
    <w:div w:id="1740588760">
      <w:bodyDiv w:val="1"/>
      <w:marLeft w:val="0"/>
      <w:marRight w:val="0"/>
      <w:marTop w:val="0"/>
      <w:marBottom w:val="0"/>
      <w:divBdr>
        <w:top w:val="none" w:sz="0" w:space="0" w:color="auto"/>
        <w:left w:val="none" w:sz="0" w:space="0" w:color="auto"/>
        <w:bottom w:val="none" w:sz="0" w:space="0" w:color="auto"/>
        <w:right w:val="none" w:sz="0" w:space="0" w:color="auto"/>
      </w:divBdr>
    </w:div>
    <w:div w:id="1875730279">
      <w:bodyDiv w:val="1"/>
      <w:marLeft w:val="0"/>
      <w:marRight w:val="0"/>
      <w:marTop w:val="0"/>
      <w:marBottom w:val="0"/>
      <w:divBdr>
        <w:top w:val="none" w:sz="0" w:space="0" w:color="auto"/>
        <w:left w:val="none" w:sz="0" w:space="0" w:color="auto"/>
        <w:bottom w:val="none" w:sz="0" w:space="0" w:color="auto"/>
        <w:right w:val="none" w:sz="0" w:space="0" w:color="auto"/>
      </w:divBdr>
    </w:div>
    <w:div w:id="1884126534">
      <w:bodyDiv w:val="1"/>
      <w:marLeft w:val="0"/>
      <w:marRight w:val="0"/>
      <w:marTop w:val="0"/>
      <w:marBottom w:val="0"/>
      <w:divBdr>
        <w:top w:val="none" w:sz="0" w:space="0" w:color="auto"/>
        <w:left w:val="none" w:sz="0" w:space="0" w:color="auto"/>
        <w:bottom w:val="none" w:sz="0" w:space="0" w:color="auto"/>
        <w:right w:val="none" w:sz="0" w:space="0" w:color="auto"/>
      </w:divBdr>
    </w:div>
    <w:div w:id="1972514534">
      <w:bodyDiv w:val="1"/>
      <w:marLeft w:val="0"/>
      <w:marRight w:val="0"/>
      <w:marTop w:val="0"/>
      <w:marBottom w:val="0"/>
      <w:divBdr>
        <w:top w:val="none" w:sz="0" w:space="0" w:color="auto"/>
        <w:left w:val="none" w:sz="0" w:space="0" w:color="auto"/>
        <w:bottom w:val="none" w:sz="0" w:space="0" w:color="auto"/>
        <w:right w:val="none" w:sz="0" w:space="0" w:color="auto"/>
      </w:divBdr>
    </w:div>
    <w:div w:id="1989167915">
      <w:bodyDiv w:val="1"/>
      <w:marLeft w:val="0"/>
      <w:marRight w:val="0"/>
      <w:marTop w:val="0"/>
      <w:marBottom w:val="0"/>
      <w:divBdr>
        <w:top w:val="none" w:sz="0" w:space="0" w:color="auto"/>
        <w:left w:val="none" w:sz="0" w:space="0" w:color="auto"/>
        <w:bottom w:val="none" w:sz="0" w:space="0" w:color="auto"/>
        <w:right w:val="none" w:sz="0" w:space="0" w:color="auto"/>
      </w:divBdr>
    </w:div>
    <w:div w:id="2018463772">
      <w:bodyDiv w:val="1"/>
      <w:marLeft w:val="0"/>
      <w:marRight w:val="0"/>
      <w:marTop w:val="0"/>
      <w:marBottom w:val="0"/>
      <w:divBdr>
        <w:top w:val="none" w:sz="0" w:space="0" w:color="auto"/>
        <w:left w:val="none" w:sz="0" w:space="0" w:color="auto"/>
        <w:bottom w:val="none" w:sz="0" w:space="0" w:color="auto"/>
        <w:right w:val="none" w:sz="0" w:space="0" w:color="auto"/>
      </w:divBdr>
    </w:div>
    <w:div w:id="2031836321">
      <w:bodyDiv w:val="1"/>
      <w:marLeft w:val="0"/>
      <w:marRight w:val="0"/>
      <w:marTop w:val="0"/>
      <w:marBottom w:val="0"/>
      <w:divBdr>
        <w:top w:val="none" w:sz="0" w:space="0" w:color="auto"/>
        <w:left w:val="none" w:sz="0" w:space="0" w:color="auto"/>
        <w:bottom w:val="none" w:sz="0" w:space="0" w:color="auto"/>
        <w:right w:val="none" w:sz="0" w:space="0" w:color="auto"/>
      </w:divBdr>
      <w:divsChild>
        <w:div w:id="1318993117">
          <w:marLeft w:val="0"/>
          <w:marRight w:val="0"/>
          <w:marTop w:val="0"/>
          <w:marBottom w:val="0"/>
          <w:divBdr>
            <w:top w:val="none" w:sz="0" w:space="0" w:color="auto"/>
            <w:left w:val="none" w:sz="0" w:space="0" w:color="auto"/>
            <w:bottom w:val="none" w:sz="0" w:space="0" w:color="auto"/>
            <w:right w:val="none" w:sz="0" w:space="0" w:color="auto"/>
          </w:divBdr>
          <w:divsChild>
            <w:div w:id="1932397944">
              <w:marLeft w:val="0"/>
              <w:marRight w:val="0"/>
              <w:marTop w:val="0"/>
              <w:marBottom w:val="0"/>
              <w:divBdr>
                <w:top w:val="none" w:sz="0" w:space="0" w:color="auto"/>
                <w:left w:val="none" w:sz="0" w:space="0" w:color="auto"/>
                <w:bottom w:val="none" w:sz="0" w:space="0" w:color="auto"/>
                <w:right w:val="none" w:sz="0" w:space="0" w:color="auto"/>
              </w:divBdr>
              <w:divsChild>
                <w:div w:id="194178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45749">
      <w:bodyDiv w:val="1"/>
      <w:marLeft w:val="0"/>
      <w:marRight w:val="0"/>
      <w:marTop w:val="0"/>
      <w:marBottom w:val="0"/>
      <w:divBdr>
        <w:top w:val="none" w:sz="0" w:space="0" w:color="auto"/>
        <w:left w:val="none" w:sz="0" w:space="0" w:color="auto"/>
        <w:bottom w:val="none" w:sz="0" w:space="0" w:color="auto"/>
        <w:right w:val="none" w:sz="0" w:space="0" w:color="auto"/>
      </w:divBdr>
    </w:div>
    <w:div w:id="2075812609">
      <w:bodyDiv w:val="1"/>
      <w:marLeft w:val="0"/>
      <w:marRight w:val="0"/>
      <w:marTop w:val="0"/>
      <w:marBottom w:val="0"/>
      <w:divBdr>
        <w:top w:val="none" w:sz="0" w:space="0" w:color="auto"/>
        <w:left w:val="none" w:sz="0" w:space="0" w:color="auto"/>
        <w:bottom w:val="none" w:sz="0" w:space="0" w:color="auto"/>
        <w:right w:val="none" w:sz="0" w:space="0" w:color="auto"/>
      </w:divBdr>
    </w:div>
    <w:div w:id="2131243832">
      <w:bodyDiv w:val="1"/>
      <w:marLeft w:val="0"/>
      <w:marRight w:val="0"/>
      <w:marTop w:val="0"/>
      <w:marBottom w:val="0"/>
      <w:divBdr>
        <w:top w:val="none" w:sz="0" w:space="0" w:color="auto"/>
        <w:left w:val="none" w:sz="0" w:space="0" w:color="auto"/>
        <w:bottom w:val="none" w:sz="0" w:space="0" w:color="auto"/>
        <w:right w:val="none" w:sz="0" w:space="0" w:color="auto"/>
      </w:divBdr>
      <w:divsChild>
        <w:div w:id="83769600">
          <w:marLeft w:val="0"/>
          <w:marRight w:val="0"/>
          <w:marTop w:val="0"/>
          <w:marBottom w:val="0"/>
          <w:divBdr>
            <w:top w:val="none" w:sz="0" w:space="0" w:color="auto"/>
            <w:left w:val="none" w:sz="0" w:space="0" w:color="auto"/>
            <w:bottom w:val="none" w:sz="0" w:space="0" w:color="auto"/>
            <w:right w:val="none" w:sz="0" w:space="0" w:color="auto"/>
          </w:divBdr>
        </w:div>
        <w:div w:id="363945239">
          <w:marLeft w:val="0"/>
          <w:marRight w:val="0"/>
          <w:marTop w:val="0"/>
          <w:marBottom w:val="0"/>
          <w:divBdr>
            <w:top w:val="none" w:sz="0" w:space="0" w:color="auto"/>
            <w:left w:val="none" w:sz="0" w:space="0" w:color="auto"/>
            <w:bottom w:val="none" w:sz="0" w:space="0" w:color="auto"/>
            <w:right w:val="none" w:sz="0" w:space="0" w:color="auto"/>
          </w:divBdr>
        </w:div>
        <w:div w:id="592788626">
          <w:marLeft w:val="0"/>
          <w:marRight w:val="0"/>
          <w:marTop w:val="0"/>
          <w:marBottom w:val="0"/>
          <w:divBdr>
            <w:top w:val="none" w:sz="0" w:space="0" w:color="auto"/>
            <w:left w:val="none" w:sz="0" w:space="0" w:color="auto"/>
            <w:bottom w:val="none" w:sz="0" w:space="0" w:color="auto"/>
            <w:right w:val="none" w:sz="0" w:space="0" w:color="auto"/>
          </w:divBdr>
        </w:div>
        <w:div w:id="789670659">
          <w:marLeft w:val="0"/>
          <w:marRight w:val="0"/>
          <w:marTop w:val="0"/>
          <w:marBottom w:val="0"/>
          <w:divBdr>
            <w:top w:val="none" w:sz="0" w:space="0" w:color="auto"/>
            <w:left w:val="none" w:sz="0" w:space="0" w:color="auto"/>
            <w:bottom w:val="none" w:sz="0" w:space="0" w:color="auto"/>
            <w:right w:val="none" w:sz="0" w:space="0" w:color="auto"/>
          </w:divBdr>
        </w:div>
      </w:divsChild>
    </w:div>
    <w:div w:id="214364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FR/legal-content/summary/temporary-support-to-mitigate-unemployment-risks-in-an-emergency-due-to-the-covid-19-outbreak-sure.html" TargetMode="External"/><Relationship Id="rId21" Type="http://schemas.openxmlformats.org/officeDocument/2006/relationships/footer" Target="footer6.xml"/><Relationship Id="rId42" Type="http://schemas.openxmlformats.org/officeDocument/2006/relationships/hyperlink" Target="https://employment-social-affairs.ec.europa.eu/policies-and-activities/social-protection-social-inclusion/addressing-poverty-and-supporting-social-inclusion/eu-anti-poverty-strategy_en?prefLang=fr" TargetMode="External"/><Relationship Id="rId47" Type="http://schemas.openxmlformats.org/officeDocument/2006/relationships/hyperlink" Target="https://employment-social-affairs.ec.europa.eu/document/download/93c513bd-9faa-4ba7-a4c7-9a06505790fc_en?filename=Pact%20for%20European%20Social%20Dialogue_signed%20version.pdf" TargetMode="External"/><Relationship Id="rId63" Type="http://schemas.openxmlformats.org/officeDocument/2006/relationships/hyperlink" Target="https://eur-lex.europa.eu/legal-content/FR/TXT/?uri=CELEX%3A52022DC0028" TargetMode="External"/><Relationship Id="rId68" Type="http://schemas.openxmlformats.org/officeDocument/2006/relationships/hyperlink" Target="https://eur-lex.europa.eu/eli/reg/2024/1689/oj/fra" TargetMode="External"/><Relationship Id="rId84" Type="http://schemas.openxmlformats.org/officeDocument/2006/relationships/hyperlink" Target="https://employment-social-affairs.ec.europa.eu/news/commission-analyses-social-convergence-10-eu-countries-2025-04-11_en" TargetMode="External"/><Relationship Id="rId89" Type="http://schemas.openxmlformats.org/officeDocument/2006/relationships/footer" Target="footer7.xml"/><Relationship Id="rId16" Type="http://schemas.openxmlformats.org/officeDocument/2006/relationships/header" Target="header4.xml"/><Relationship Id="rId11" Type="http://schemas.openxmlformats.org/officeDocument/2006/relationships/header" Target="header2.xml"/><Relationship Id="rId32" Type="http://schemas.openxmlformats.org/officeDocument/2006/relationships/hyperlink" Target="https://www.consilium.europa.eu/fr/meetings/european-council/2021/05/07/social-summit/" TargetMode="External"/><Relationship Id="rId37" Type="http://schemas.openxmlformats.org/officeDocument/2006/relationships/hyperlink" Target="https://fra.europa.eu/fr/publication/2025/roma-survey-2024" TargetMode="External"/><Relationship Id="rId53" Type="http://schemas.openxmlformats.org/officeDocument/2006/relationships/hyperlink" Target="https://employment-social-affairs.ec.europa.eu/document/21450169-5eaf-40e7-8a5a-4133f20510f1_en?prefLang=fr" TargetMode="External"/><Relationship Id="rId58" Type="http://schemas.openxmlformats.org/officeDocument/2006/relationships/hyperlink" Target="https://ec.europa.eu/eurostat/databrowser/view/ilc_mdes01/default/table" TargetMode="External"/><Relationship Id="rId74" Type="http://schemas.openxmlformats.org/officeDocument/2006/relationships/hyperlink" Target="https://eur-lex.europa.eu/eli/dir/2000/43/oj/fra" TargetMode="External"/><Relationship Id="rId79" Type="http://schemas.openxmlformats.org/officeDocument/2006/relationships/hyperlink" Target="https://ec.europa.eu/assets/eac/intergenerational-fairness-communication/intergenerational_fairness_strategy_layout.pdf" TargetMode="External"/><Relationship Id="rId5" Type="http://schemas.openxmlformats.org/officeDocument/2006/relationships/settings" Target="settings.xml"/><Relationship Id="rId90" Type="http://schemas.openxmlformats.org/officeDocument/2006/relationships/footer" Target="footer8.xml"/><Relationship Id="rId22" Type="http://schemas.openxmlformats.org/officeDocument/2006/relationships/hyperlink" Target="https://employment-social-affairs.ec.europa.eu/policies-and-activities/european-pillar-social-rights-building-fairer-and-more-inclusive-european-union_en?prefLang=fr" TargetMode="External"/><Relationship Id="rId27" Type="http://schemas.openxmlformats.org/officeDocument/2006/relationships/hyperlink" Target="https://commission.europa.eu/strategy-and-policy/eu-budget/performance-and-reporting/programme-performance-statements/recovery-and-resilience-facility-performance_en?prefLang=fr" TargetMode="External"/><Relationship Id="rId43" Type="http://schemas.openxmlformats.org/officeDocument/2006/relationships/hyperlink" Target="https://employment-social-affairs.ec.europa.eu/news/commission-analyses-social-convergence-nine-eu-countries-2026-04-21_en?prefLang=fr" TargetMode="External"/><Relationship Id="rId48" Type="http://schemas.openxmlformats.org/officeDocument/2006/relationships/hyperlink" Target="https://ec.europa.eu/commission/presscorner/detail/fr/ip_26_1041" TargetMode="External"/><Relationship Id="rId64" Type="http://schemas.openxmlformats.org/officeDocument/2006/relationships/hyperlink" Target="https://employment-social-affairs.ec.europa.eu/future-employment-impact-artificial-intelligence-and-emerging-digital-technologies-euro_en?prefLang=fr" TargetMode="External"/><Relationship Id="rId69" Type="http://schemas.openxmlformats.org/officeDocument/2006/relationships/hyperlink" Target="https://europa.eu/eurobarometer/surveys/detail/2652" TargetMode="External"/><Relationship Id="rId8" Type="http://schemas.openxmlformats.org/officeDocument/2006/relationships/endnotes" Target="endnotes.xml"/><Relationship Id="rId51" Type="http://schemas.openxmlformats.org/officeDocument/2006/relationships/hyperlink" Target="https://employment-social-affairs.ec.europa.eu/policies-and-activities/coordination-employment-and-social-policies/european-network-public-employment-services-pes-network_en?prefLang=fr" TargetMode="External"/><Relationship Id="rId72" Type="http://schemas.openxmlformats.org/officeDocument/2006/relationships/hyperlink" Target="https://op.europa.eu/webpub/empl/european-pillar-of-social-rights/fr/index.html" TargetMode="External"/><Relationship Id="rId80" Type="http://schemas.openxmlformats.org/officeDocument/2006/relationships/hyperlink" Target="https://commission.europa.eu/topics/economy-and-euro/european-semester/european-semester-framework_fr" TargetMode="External"/><Relationship Id="rId85" Type="http://schemas.openxmlformats.org/officeDocument/2006/relationships/hyperlink" Target="https://eur-lex.europa.eu/legal-content/FR/TXT/PDF/?uri=CELEX:52025DC0959" TargetMode="External"/><Relationship Id="rId93"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yperlink" Target="https://ec.europa.eu/eurostat/databrowser/view/lfsi_emp_a/default/table" TargetMode="External"/><Relationship Id="rId38" Type="http://schemas.openxmlformats.org/officeDocument/2006/relationships/hyperlink" Target="https://circabc.europa.eu/ui/group/d14c857a-601d-438a-b878-4b4cebd0e10f/library/c5a8b987-1e37-44d7-a20e-2c50d6101d27/details" TargetMode="External"/><Relationship Id="rId46" Type="http://schemas.openxmlformats.org/officeDocument/2006/relationships/hyperlink" Target="https://data.consilium.europa.eu/doc/document/ST-8434-2024-INIT/en/pdf" TargetMode="External"/><Relationship Id="rId59" Type="http://schemas.openxmlformats.org/officeDocument/2006/relationships/hyperlink" Target="https://op.europa.eu/fr/publication-detail/-/publication/8fb24735-fb31-11f0-8da5-01aa75ed71a1" TargetMode="External"/><Relationship Id="rId67" Type="http://schemas.openxmlformats.org/officeDocument/2006/relationships/hyperlink" Target="https://eur-lex.europa.eu/legal-content/FR/TXT/?uri=CELEX%3A52025DC0723" TargetMode="External"/><Relationship Id="rId20" Type="http://schemas.openxmlformats.org/officeDocument/2006/relationships/header" Target="header6.xml"/><Relationship Id="rId41" Type="http://schemas.openxmlformats.org/officeDocument/2006/relationships/hyperlink" Target="https://op.europa.eu/fr/publication-detail/-/publication/428fd92f-1c2f-11f1-8c3a-01aa75ed71a1" TargetMode="External"/><Relationship Id="rId54" Type="http://schemas.openxmlformats.org/officeDocument/2006/relationships/hyperlink" Target="https://housing.ec.europa.eu/european-affordable-housing-plan_en?prefLang=fr" TargetMode="External"/><Relationship Id="rId62" Type="http://schemas.openxmlformats.org/officeDocument/2006/relationships/hyperlink" Target="https://www.cedefop.europa.eu/files/9201_en.pdf" TargetMode="External"/><Relationship Id="rId70" Type="http://schemas.openxmlformats.org/officeDocument/2006/relationships/hyperlink" Target="https://ec.europa.eu/eurostat/databrowser/view/ilc_di11/default/table?category=livcon.ilc.ilc_ie.ilc_iei" TargetMode="External"/><Relationship Id="rId75" Type="http://schemas.openxmlformats.org/officeDocument/2006/relationships/hyperlink" Target="https://eur-lex.europa.eu/eli/dir/2000/78/oj/fra" TargetMode="External"/><Relationship Id="rId83" Type="http://schemas.openxmlformats.org/officeDocument/2006/relationships/hyperlink" Target="https://economy-finance.ec.europa.eu/economic-governance-framework_en" TargetMode="External"/><Relationship Id="rId88" Type="http://schemas.openxmlformats.org/officeDocument/2006/relationships/header" Target="header8.xml"/><Relationship Id="rId9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employment-social-affairs.ec.europa.eu/policies-and-activities/european-pillar-social-rights-building-fairer-and-more-inclusive-european-union_en?prefLang=fr" TargetMode="External"/><Relationship Id="rId28" Type="http://schemas.openxmlformats.org/officeDocument/2006/relationships/hyperlink" Target="https://ec.europa.eu/regional_policy/2021-2027_fr" TargetMode="External"/><Relationship Id="rId36" Type="http://schemas.openxmlformats.org/officeDocument/2006/relationships/hyperlink" Target="https://ec.europa.eu/eurostat/databrowser/view/hlth_dlm200/bookmark/table?bookmarkId=4bd07205-8d36-4f8d-9dc6-21881a70369d&amp;c=1744294337286" TargetMode="External"/><Relationship Id="rId49" Type="http://schemas.openxmlformats.org/officeDocument/2006/relationships/hyperlink" Target="https://employment-social-affairs.ec.europa.eu/employment-and-social-developments-europe-2025_en?prefLang=fr" TargetMode="External"/><Relationship Id="rId57" Type="http://schemas.openxmlformats.org/officeDocument/2006/relationships/hyperlink" Target="https://energy.ec.europa.eu/topics/markets-and-consumers/energy-consumers-and-prosumers/energy-poverty_en?prefLang=fr" TargetMode="External"/><Relationship Id="rId10" Type="http://schemas.openxmlformats.org/officeDocument/2006/relationships/header" Target="header1.xml"/><Relationship Id="rId31" Type="http://schemas.openxmlformats.org/officeDocument/2006/relationships/hyperlink" Target="https://www.consilium.europa.eu/fr/press/press-releases/2026/04/24/european-institutions-agree-roadmap-to-achieve-one-europe-one-market-by-end-of-2027/" TargetMode="External"/><Relationship Id="rId44" Type="http://schemas.openxmlformats.org/officeDocument/2006/relationships/hyperlink" Target="https://employment-social-affairs.ec.europa.eu/policies-and-activities/european-pillar-social-rights-building-fairer-and-more-inclusive-european-union/european-pillar-social-rights-action-plan_en?prefLang=fr" TargetMode="External"/><Relationship Id="rId52" Type="http://schemas.openxmlformats.org/officeDocument/2006/relationships/hyperlink" Target="https://employment-social-affairs.ec.europa.eu/employment-and-social-developments-europe-2025_en?prefLang=fr" TargetMode="External"/><Relationship Id="rId60" Type="http://schemas.openxmlformats.org/officeDocument/2006/relationships/hyperlink" Target="https://op.europa.eu/fr/publication-detail/-/publication/8fb24735-fb31-11f0-8da5-01aa75ed71a1" TargetMode="External"/><Relationship Id="rId65" Type="http://schemas.openxmlformats.org/officeDocument/2006/relationships/hyperlink" Target="https://www.ecb.europa.eu/press/blog/date/2026/html/ecb.blog20260304~d9e34fc95f.fr.html" TargetMode="External"/><Relationship Id="rId73" Type="http://schemas.openxmlformats.org/officeDocument/2006/relationships/hyperlink" Target="https://commission.europa.eu/topics/equality-and-inclusion/equality-and-inclusion-key-actions_fr" TargetMode="External"/><Relationship Id="rId78" Type="http://schemas.openxmlformats.org/officeDocument/2006/relationships/hyperlink" Target="https://op.europa.eu/en/publication-detail/-/publication/c2959f58-d63d-11f0-8da2-01aa75ed71a1/language-en" TargetMode="External"/><Relationship Id="rId81" Type="http://schemas.openxmlformats.org/officeDocument/2006/relationships/hyperlink" Target="https://reforms-investments.ec.europa.eu/publications-0/2026-european-semester-employment-guidelines_en" TargetMode="External"/><Relationship Id="rId86" Type="http://schemas.openxmlformats.org/officeDocument/2006/relationships/hyperlink" Target="https://cohesiondata.ec.europa.eu/funds/esf_plus/21-27" TargetMode="External"/><Relationship Id="rId9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hyperlink" Target="https://ec.europa.eu/eurostat/databrowser/view/ilc_pecs01/bookmark/table?bookmarkId=b31a92ec-787b-4435-8289-c342035ba32b&amp;c=1782891735000" TargetMode="External"/><Relationship Id="rId34" Type="http://schemas.openxmlformats.org/officeDocument/2006/relationships/hyperlink" Target="https://ec.europa.eu/eurostat/databrowser/view/sdg_05_30__custom_7247894/bookmark/table?bookmarkId=e69bba83-6e00-4a60-90ed-9e80af75628e&amp;c=1746603366244" TargetMode="External"/><Relationship Id="rId50" Type="http://schemas.openxmlformats.org/officeDocument/2006/relationships/hyperlink" Target="https://ec.europa.eu/eurostat/databrowser/view/lfsa_igan__custom_22046170/default/table" TargetMode="External"/><Relationship Id="rId55" Type="http://schemas.openxmlformats.org/officeDocument/2006/relationships/hyperlink" Target="https://www.consilium.europa.eu/fr/press/press-releases/2026/05/11/new-european-bauhaus-council-calls-for-sustainable-and-inclusive-neighbourhoods-across-the-eu/" TargetMode="External"/><Relationship Id="rId76" Type="http://schemas.openxmlformats.org/officeDocument/2006/relationships/hyperlink" Target="https://eur-lex.europa.eu/eli/dir/2023/970/oj/fra" TargetMode="External"/><Relationship Id="rId7" Type="http://schemas.openxmlformats.org/officeDocument/2006/relationships/footnotes" Target="footnotes.xml"/><Relationship Id="rId71" Type="http://schemas.openxmlformats.org/officeDocument/2006/relationships/hyperlink" Target="https://data.ecb.europa.eu/data/datasets/DWA?dataset%5B0%5D=Distributional+Wealth+Accounts+%28DWA%29&amp;advFilterDataset%5B0%5D=Distributional+Wealth+Accounts+%28DWA%29&amp;layerType=AL&amp;showDatasetModal=false&amp;resetAllFilters=false&amp;filterType=basic&amp;tags_array%5B0%5D=Wealth+Share+of+the+Bottom+50%25&amp;filtersReset=false" TargetMode="External"/><Relationship Id="rId92" Type="http://schemas.openxmlformats.org/officeDocument/2006/relationships/footer" Target="footer9.xml"/><Relationship Id="rId2" Type="http://schemas.openxmlformats.org/officeDocument/2006/relationships/customXml" Target="../customXml/item2.xml"/><Relationship Id="rId29" Type="http://schemas.openxmlformats.org/officeDocument/2006/relationships/hyperlink" Target="https://commission.europa.eu/system/files/2026-07/Demography_Report_2026.pdf" TargetMode="External"/><Relationship Id="rId24" Type="http://schemas.openxmlformats.org/officeDocument/2006/relationships/hyperlink" Target="https://op.europa.eu/webpub/empl/european-pillar-of-social-rights/fr/index.html" TargetMode="External"/><Relationship Id="rId40" Type="http://schemas.openxmlformats.org/officeDocument/2006/relationships/hyperlink" Target="https://eur-lex.europa.eu/legal-content/FR/TXT/PDF/?uri=CELEX:52025DC0944" TargetMode="External"/><Relationship Id="rId45" Type="http://schemas.openxmlformats.org/officeDocument/2006/relationships/hyperlink" Target="https://www.consilium.europa.eu/fr/meetings/european-council/2021/05/07/social-summit/" TargetMode="External"/><Relationship Id="rId66" Type="http://schemas.openxmlformats.org/officeDocument/2006/relationships/hyperlink" Target="https://www.oecd.org/content/dam/oecd/fr/publications/reports/2025/12/oecd-skills-outlook-2025_ac37c7d4/455ad4a8-fr.pdf" TargetMode="External"/><Relationship Id="rId87" Type="http://schemas.openxmlformats.org/officeDocument/2006/relationships/header" Target="header7.xml"/><Relationship Id="rId61" Type="http://schemas.openxmlformats.org/officeDocument/2006/relationships/hyperlink" Target="https://urban-mobility-observatory.transport.ec.europa.eu/news-events/news/european-commission-publishes-final-report-transport-poverty-2024-12-11_en?prefLang=fr" TargetMode="External"/><Relationship Id="rId82" Type="http://schemas.openxmlformats.org/officeDocument/2006/relationships/hyperlink" Target="https://commission.europa.eu/publications/2026-european-semester-autumn-package_en" TargetMode="External"/><Relationship Id="rId19" Type="http://schemas.openxmlformats.org/officeDocument/2006/relationships/footer" Target="footer5.xml"/><Relationship Id="rId14" Type="http://schemas.openxmlformats.org/officeDocument/2006/relationships/header" Target="header3.xml"/><Relationship Id="rId30" Type="http://schemas.openxmlformats.org/officeDocument/2006/relationships/hyperlink" Target="https://commission.europa.eu/system/files/2026-07/Demography_Report_2026.pdf" TargetMode="External"/><Relationship Id="rId35" Type="http://schemas.openxmlformats.org/officeDocument/2006/relationships/hyperlink" Target="https://ec.europa.eu/commission/presscorner/detail/fr/ip_26_1120" TargetMode="External"/><Relationship Id="rId56" Type="http://schemas.openxmlformats.org/officeDocument/2006/relationships/hyperlink" Target="https://eur-lex.europa.eu/FR/legal-content/summary/social-climate-fund.html" TargetMode="External"/><Relationship Id="rId77" Type="http://schemas.openxmlformats.org/officeDocument/2006/relationships/hyperlink" Target="https://op.europa.eu/en/publication-detail/-/publication/e86e91df-a97a-11f0-89c6-01aa75ed71a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igf.coin-dev.eu/" TargetMode="External"/><Relationship Id="rId2" Type="http://schemas.openxmlformats.org/officeDocument/2006/relationships/hyperlink" Target="https://data.consilium.europa.eu/doc/document/ST-10765-2026-INIT/en/pdf" TargetMode="External"/><Relationship Id="rId1" Type="http://schemas.openxmlformats.org/officeDocument/2006/relationships/hyperlink" Target="https://employment-social-affairs.ec.europa.eu/joint-employment-report-2026_en?prefLang=fr" TargetMode="External"/><Relationship Id="rId4" Type="http://schemas.openxmlformats.org/officeDocument/2006/relationships/hyperlink" Target="https://finance.ec.europa.eu/publications/commission-proposes-boost-supplementary-pensions-help-ensure-adequate-retirement-incom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31DAD5A7FDD944875FA0996A4AEE24" ma:contentTypeVersion="18" ma:contentTypeDescription="Create a new document." ma:contentTypeScope="" ma:versionID="5086951a56bd403f54613d2b21ac8ac3">
  <xsd:schema xmlns:xsd="http://www.w3.org/2001/XMLSchema" xmlns:xs="http://www.w3.org/2001/XMLSchema" xmlns:p="http://schemas.microsoft.com/office/2006/metadata/properties" xmlns:ns2="1de22d93-b4db-40b3-b539-9cd128ca414e" xmlns:ns3="d682ccd9-731a-4685-8a70-5bf593b8e58c" targetNamespace="http://schemas.microsoft.com/office/2006/metadata/properties" ma:root="true" ma:fieldsID="2031cc4aed659dca6508a3538ba824d3" ns2:_="" ns3:_="">
    <xsd:import namespace="1de22d93-b4db-40b3-b539-9cd128ca414e"/>
    <xsd:import namespace="d682ccd9-731a-4685-8a70-5bf593b8e5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22d93-b4db-40b3-b539-9cd128ca4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82ccd9-731a-4685-8a70-5bf593b8e5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8e782df-4ea0-432a-87aa-cead7bb37b3d}" ma:internalName="TaxCatchAll" ma:showField="CatchAllData" ma:web="d682ccd9-731a-4685-8a70-5bf593b8e5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6CBAC-FFE6-48AC-8FF4-4F95EF48F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e22d93-b4db-40b3-b539-9cd128ca414e"/>
    <ds:schemaRef ds:uri="d682ccd9-731a-4685-8a70-5bf593b8e5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8DB432-E1D0-4F9F-A3FA-4C84FFA23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10415</Words>
  <Characters>59372</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69648</CharactersWithSpaces>
  <SharedDoc>false</SharedDoc>
  <HLinks>
    <vt:vector size="414" baseType="variant">
      <vt:variant>
        <vt:i4>4391015</vt:i4>
      </vt:variant>
      <vt:variant>
        <vt:i4>186</vt:i4>
      </vt:variant>
      <vt:variant>
        <vt:i4>0</vt:i4>
      </vt:variant>
      <vt:variant>
        <vt:i4>5</vt:i4>
      </vt:variant>
      <vt:variant>
        <vt:lpwstr>https://cohesiondata.ec.europa.eu/funds/esf_plus/21-27</vt:lpwstr>
      </vt:variant>
      <vt:variant>
        <vt:lpwstr/>
      </vt:variant>
      <vt:variant>
        <vt:i4>1245267</vt:i4>
      </vt:variant>
      <vt:variant>
        <vt:i4>183</vt:i4>
      </vt:variant>
      <vt:variant>
        <vt:i4>0</vt:i4>
      </vt:variant>
      <vt:variant>
        <vt:i4>5</vt:i4>
      </vt:variant>
      <vt:variant>
        <vt:lpwstr>https://eur-lex.europa.eu/legal-content/EN/TXT/PDF/?uri=CELEX:52025DC0959</vt:lpwstr>
      </vt:variant>
      <vt:variant>
        <vt:lpwstr/>
      </vt:variant>
      <vt:variant>
        <vt:i4>3604552</vt:i4>
      </vt:variant>
      <vt:variant>
        <vt:i4>180</vt:i4>
      </vt:variant>
      <vt:variant>
        <vt:i4>0</vt:i4>
      </vt:variant>
      <vt:variant>
        <vt:i4>5</vt:i4>
      </vt:variant>
      <vt:variant>
        <vt:lpwstr>https://employment-social-affairs.ec.europa.eu/news/commission-analyses-social-convergence-10-eu-countries-2025-04-11_en</vt:lpwstr>
      </vt:variant>
      <vt:variant>
        <vt:lpwstr/>
      </vt:variant>
      <vt:variant>
        <vt:i4>720943</vt:i4>
      </vt:variant>
      <vt:variant>
        <vt:i4>177</vt:i4>
      </vt:variant>
      <vt:variant>
        <vt:i4>0</vt:i4>
      </vt:variant>
      <vt:variant>
        <vt:i4>5</vt:i4>
      </vt:variant>
      <vt:variant>
        <vt:lpwstr>https://economy-finance.ec.europa.eu/economic-governance-framework_en</vt:lpwstr>
      </vt:variant>
      <vt:variant>
        <vt:lpwstr/>
      </vt:variant>
      <vt:variant>
        <vt:i4>4915251</vt:i4>
      </vt:variant>
      <vt:variant>
        <vt:i4>174</vt:i4>
      </vt:variant>
      <vt:variant>
        <vt:i4>0</vt:i4>
      </vt:variant>
      <vt:variant>
        <vt:i4>5</vt:i4>
      </vt:variant>
      <vt:variant>
        <vt:lpwstr>https://commission.europa.eu/publications/2026-european-semester-autumn-package_en</vt:lpwstr>
      </vt:variant>
      <vt:variant>
        <vt:lpwstr/>
      </vt:variant>
      <vt:variant>
        <vt:i4>2162777</vt:i4>
      </vt:variant>
      <vt:variant>
        <vt:i4>171</vt:i4>
      </vt:variant>
      <vt:variant>
        <vt:i4>0</vt:i4>
      </vt:variant>
      <vt:variant>
        <vt:i4>5</vt:i4>
      </vt:variant>
      <vt:variant>
        <vt:lpwstr>https://reforms-investments.ec.europa.eu/publications-0/2026-european-semester-employment-guidelines_en</vt:lpwstr>
      </vt:variant>
      <vt:variant>
        <vt:lpwstr/>
      </vt:variant>
      <vt:variant>
        <vt:i4>262199</vt:i4>
      </vt:variant>
      <vt:variant>
        <vt:i4>168</vt:i4>
      </vt:variant>
      <vt:variant>
        <vt:i4>0</vt:i4>
      </vt:variant>
      <vt:variant>
        <vt:i4>5</vt:i4>
      </vt:variant>
      <vt:variant>
        <vt:lpwstr>https://commission.europa.eu/topics/economy-and-euro/european-semester/european-semester-framework_en</vt:lpwstr>
      </vt:variant>
      <vt:variant>
        <vt:lpwstr/>
      </vt:variant>
      <vt:variant>
        <vt:i4>1310767</vt:i4>
      </vt:variant>
      <vt:variant>
        <vt:i4>165</vt:i4>
      </vt:variant>
      <vt:variant>
        <vt:i4>0</vt:i4>
      </vt:variant>
      <vt:variant>
        <vt:i4>5</vt:i4>
      </vt:variant>
      <vt:variant>
        <vt:lpwstr>https://ec.europa.eu/assets/eac/intergenerational-fairness-communication/intergenerational_fairness_strategy_layout.pdf</vt:lpwstr>
      </vt:variant>
      <vt:variant>
        <vt:lpwstr/>
      </vt:variant>
      <vt:variant>
        <vt:i4>1769502</vt:i4>
      </vt:variant>
      <vt:variant>
        <vt:i4>162</vt:i4>
      </vt:variant>
      <vt:variant>
        <vt:i4>0</vt:i4>
      </vt:variant>
      <vt:variant>
        <vt:i4>5</vt:i4>
      </vt:variant>
      <vt:variant>
        <vt:lpwstr>https://op.europa.eu/en/publication-detail/-/publication/c2959f58-d63d-11f0-8da2-01aa75ed71a1/language-en</vt:lpwstr>
      </vt:variant>
      <vt:variant>
        <vt:lpwstr/>
      </vt:variant>
      <vt:variant>
        <vt:i4>5767234</vt:i4>
      </vt:variant>
      <vt:variant>
        <vt:i4>159</vt:i4>
      </vt:variant>
      <vt:variant>
        <vt:i4>0</vt:i4>
      </vt:variant>
      <vt:variant>
        <vt:i4>5</vt:i4>
      </vt:variant>
      <vt:variant>
        <vt:lpwstr>https://op.europa.eu/en/publication-detail/-/publication/e86e91df-a97a-11f0-89c6-01aa75ed71a1</vt:lpwstr>
      </vt:variant>
      <vt:variant>
        <vt:lpwstr/>
      </vt:variant>
      <vt:variant>
        <vt:i4>1179741</vt:i4>
      </vt:variant>
      <vt:variant>
        <vt:i4>156</vt:i4>
      </vt:variant>
      <vt:variant>
        <vt:i4>0</vt:i4>
      </vt:variant>
      <vt:variant>
        <vt:i4>5</vt:i4>
      </vt:variant>
      <vt:variant>
        <vt:lpwstr>https://eur-lex.europa.eu/eli/dir/2023/970/oj/eng</vt:lpwstr>
      </vt:variant>
      <vt:variant>
        <vt:lpwstr/>
      </vt:variant>
      <vt:variant>
        <vt:i4>4587614</vt:i4>
      </vt:variant>
      <vt:variant>
        <vt:i4>153</vt:i4>
      </vt:variant>
      <vt:variant>
        <vt:i4>0</vt:i4>
      </vt:variant>
      <vt:variant>
        <vt:i4>5</vt:i4>
      </vt:variant>
      <vt:variant>
        <vt:lpwstr>https://eur-lex.europa.eu/eli/dir/2000/78/oj/eng</vt:lpwstr>
      </vt:variant>
      <vt:variant>
        <vt:lpwstr/>
      </vt:variant>
      <vt:variant>
        <vt:i4>4522069</vt:i4>
      </vt:variant>
      <vt:variant>
        <vt:i4>150</vt:i4>
      </vt:variant>
      <vt:variant>
        <vt:i4>0</vt:i4>
      </vt:variant>
      <vt:variant>
        <vt:i4>5</vt:i4>
      </vt:variant>
      <vt:variant>
        <vt:lpwstr>https://eur-lex.europa.eu/eli/dir/2000/43/oj/eng</vt:lpwstr>
      </vt:variant>
      <vt:variant>
        <vt:lpwstr/>
      </vt:variant>
      <vt:variant>
        <vt:i4>2490373</vt:i4>
      </vt:variant>
      <vt:variant>
        <vt:i4>147</vt:i4>
      </vt:variant>
      <vt:variant>
        <vt:i4>0</vt:i4>
      </vt:variant>
      <vt:variant>
        <vt:i4>5</vt:i4>
      </vt:variant>
      <vt:variant>
        <vt:lpwstr>https://commission.europa.eu/topics/equality-and-inclusion/equality-and-inclusion-key-actions_en</vt:lpwstr>
      </vt:variant>
      <vt:variant>
        <vt:lpwstr/>
      </vt:variant>
      <vt:variant>
        <vt:i4>4653073</vt:i4>
      </vt:variant>
      <vt:variant>
        <vt:i4>144</vt:i4>
      </vt:variant>
      <vt:variant>
        <vt:i4>0</vt:i4>
      </vt:variant>
      <vt:variant>
        <vt:i4>5</vt:i4>
      </vt:variant>
      <vt:variant>
        <vt:lpwstr>https://op.europa.eu/webpub/empl/european-pillar-of-social-rights/en/</vt:lpwstr>
      </vt:variant>
      <vt:variant>
        <vt:lpwstr/>
      </vt:variant>
      <vt:variant>
        <vt:i4>5242987</vt:i4>
      </vt:variant>
      <vt:variant>
        <vt:i4>141</vt:i4>
      </vt:variant>
      <vt:variant>
        <vt:i4>0</vt:i4>
      </vt:variant>
      <vt:variant>
        <vt:i4>5</vt:i4>
      </vt:variant>
      <vt:variant>
        <vt:lpwstr>https://data.ecb.europa.eu/data/datasets/DWA?dataset%5B0%5D=Distributional+Wealth+Accounts+%28DWA%29&amp;advFilterDataset%5B0%5D=Distributional+Wealth+Accounts+%28DWA%29&amp;layerType=AL&amp;showDatasetModal=false&amp;resetAllFilters=false&amp;filterType=basic&amp;tags_array%5B0%5D=Wealth+Share+of+the+Bottom+50%25&amp;filtersReset=false</vt:lpwstr>
      </vt:variant>
      <vt:variant>
        <vt:lpwstr/>
      </vt:variant>
      <vt:variant>
        <vt:i4>2228224</vt:i4>
      </vt:variant>
      <vt:variant>
        <vt:i4>138</vt:i4>
      </vt:variant>
      <vt:variant>
        <vt:i4>0</vt:i4>
      </vt:variant>
      <vt:variant>
        <vt:i4>5</vt:i4>
      </vt:variant>
      <vt:variant>
        <vt:lpwstr>https://ec.europa.eu/eurostat/databrowser/view/ilc_di11/default/table?lang=en&amp;category=livcon.ilc.ilc_ie.ilc_iei</vt:lpwstr>
      </vt:variant>
      <vt:variant>
        <vt:lpwstr/>
      </vt:variant>
      <vt:variant>
        <vt:i4>2162791</vt:i4>
      </vt:variant>
      <vt:variant>
        <vt:i4>135</vt:i4>
      </vt:variant>
      <vt:variant>
        <vt:i4>0</vt:i4>
      </vt:variant>
      <vt:variant>
        <vt:i4>5</vt:i4>
      </vt:variant>
      <vt:variant>
        <vt:lpwstr>https://europa.eu/eurobarometer/surveys/detail/2652</vt:lpwstr>
      </vt:variant>
      <vt:variant>
        <vt:lpwstr/>
      </vt:variant>
      <vt:variant>
        <vt:i4>7340136</vt:i4>
      </vt:variant>
      <vt:variant>
        <vt:i4>132</vt:i4>
      </vt:variant>
      <vt:variant>
        <vt:i4>0</vt:i4>
      </vt:variant>
      <vt:variant>
        <vt:i4>5</vt:i4>
      </vt:variant>
      <vt:variant>
        <vt:lpwstr>https://eur-lex.europa.eu/eli/reg/2024/1689/oj/eng</vt:lpwstr>
      </vt:variant>
      <vt:variant>
        <vt:lpwstr/>
      </vt:variant>
      <vt:variant>
        <vt:i4>131094</vt:i4>
      </vt:variant>
      <vt:variant>
        <vt:i4>129</vt:i4>
      </vt:variant>
      <vt:variant>
        <vt:i4>0</vt:i4>
      </vt:variant>
      <vt:variant>
        <vt:i4>5</vt:i4>
      </vt:variant>
      <vt:variant>
        <vt:lpwstr>https://eur-lex.europa.eu/legal-content/EN/TXT/?uri=CELEX:52025DC0723</vt:lpwstr>
      </vt:variant>
      <vt:variant>
        <vt:lpwstr/>
      </vt:variant>
      <vt:variant>
        <vt:i4>6291529</vt:i4>
      </vt:variant>
      <vt:variant>
        <vt:i4>126</vt:i4>
      </vt:variant>
      <vt:variant>
        <vt:i4>0</vt:i4>
      </vt:variant>
      <vt:variant>
        <vt:i4>5</vt:i4>
      </vt:variant>
      <vt:variant>
        <vt:lpwstr>https://www.oecd.org/content/dam/oecd/en/publications/reports/2025/12/oecd-skills-outlook-2025_ac37c7d4/26163cd3-en.pdf</vt:lpwstr>
      </vt:variant>
      <vt:variant>
        <vt:lpwstr/>
      </vt:variant>
      <vt:variant>
        <vt:i4>6488180</vt:i4>
      </vt:variant>
      <vt:variant>
        <vt:i4>123</vt:i4>
      </vt:variant>
      <vt:variant>
        <vt:i4>0</vt:i4>
      </vt:variant>
      <vt:variant>
        <vt:i4>5</vt:i4>
      </vt:variant>
      <vt:variant>
        <vt:lpwstr>https://www.ecb.europa.eu/press/blog/date/2026/html/ecb.blog20260304~d9e34fc95f.en.html</vt:lpwstr>
      </vt:variant>
      <vt:variant>
        <vt:lpwstr/>
      </vt:variant>
      <vt:variant>
        <vt:i4>1769525</vt:i4>
      </vt:variant>
      <vt:variant>
        <vt:i4>120</vt:i4>
      </vt:variant>
      <vt:variant>
        <vt:i4>0</vt:i4>
      </vt:variant>
      <vt:variant>
        <vt:i4>5</vt:i4>
      </vt:variant>
      <vt:variant>
        <vt:lpwstr>https://employment-social-affairs.ec.europa.eu/future-employment-impact-artificial-intelligence-and-emerging-digital-technologies-euro_en</vt:lpwstr>
      </vt:variant>
      <vt:variant>
        <vt:lpwstr/>
      </vt:variant>
      <vt:variant>
        <vt:i4>131094</vt:i4>
      </vt:variant>
      <vt:variant>
        <vt:i4>117</vt:i4>
      </vt:variant>
      <vt:variant>
        <vt:i4>0</vt:i4>
      </vt:variant>
      <vt:variant>
        <vt:i4>5</vt:i4>
      </vt:variant>
      <vt:variant>
        <vt:lpwstr>https://eur-lex.europa.eu/legal-content/EN/TXT/?uri=CELEX:52022DC0028</vt:lpwstr>
      </vt:variant>
      <vt:variant>
        <vt:lpwstr/>
      </vt:variant>
      <vt:variant>
        <vt:i4>3604572</vt:i4>
      </vt:variant>
      <vt:variant>
        <vt:i4>114</vt:i4>
      </vt:variant>
      <vt:variant>
        <vt:i4>0</vt:i4>
      </vt:variant>
      <vt:variant>
        <vt:i4>5</vt:i4>
      </vt:variant>
      <vt:variant>
        <vt:lpwstr>https://www.cedefop.europa.eu/files/9201_en.pdf</vt:lpwstr>
      </vt:variant>
      <vt:variant>
        <vt:lpwstr/>
      </vt:variant>
      <vt:variant>
        <vt:i4>5505123</vt:i4>
      </vt:variant>
      <vt:variant>
        <vt:i4>111</vt:i4>
      </vt:variant>
      <vt:variant>
        <vt:i4>0</vt:i4>
      </vt:variant>
      <vt:variant>
        <vt:i4>5</vt:i4>
      </vt:variant>
      <vt:variant>
        <vt:lpwstr>https://urban-mobility-observatory.transport.ec.europa.eu/news-events/news/european-commission-publishes-final-report-transport-poverty-2024-12-11_en</vt:lpwstr>
      </vt:variant>
      <vt:variant>
        <vt:lpwstr/>
      </vt:variant>
      <vt:variant>
        <vt:i4>983145</vt:i4>
      </vt:variant>
      <vt:variant>
        <vt:i4>108</vt:i4>
      </vt:variant>
      <vt:variant>
        <vt:i4>0</vt:i4>
      </vt:variant>
      <vt:variant>
        <vt:i4>5</vt:i4>
      </vt:variant>
      <vt:variant>
        <vt:lpwstr>https://energy.ec.europa.eu/topics/markets-and-consumers/energy-consumers-and-prosumers/citizens-energy-package_en</vt:lpwstr>
      </vt:variant>
      <vt:variant>
        <vt:lpwstr/>
      </vt:variant>
      <vt:variant>
        <vt:i4>1441811</vt:i4>
      </vt:variant>
      <vt:variant>
        <vt:i4>105</vt:i4>
      </vt:variant>
      <vt:variant>
        <vt:i4>0</vt:i4>
      </vt:variant>
      <vt:variant>
        <vt:i4>5</vt:i4>
      </vt:variant>
      <vt:variant>
        <vt:lpwstr>https://op.europa.eu/en/publication-detail/-/publication/8fb24735-fb31-11f0-8da5-01aa75ed71a1/language-en</vt:lpwstr>
      </vt:variant>
      <vt:variant>
        <vt:lpwstr/>
      </vt:variant>
      <vt:variant>
        <vt:i4>4063322</vt:i4>
      </vt:variant>
      <vt:variant>
        <vt:i4>102</vt:i4>
      </vt:variant>
      <vt:variant>
        <vt:i4>0</vt:i4>
      </vt:variant>
      <vt:variant>
        <vt:i4>5</vt:i4>
      </vt:variant>
      <vt:variant>
        <vt:lpwstr>https://ec.europa.eu/eurostat/databrowser/view/ilc_mdes01/default/table?lang=en</vt:lpwstr>
      </vt:variant>
      <vt:variant>
        <vt:lpwstr/>
      </vt:variant>
      <vt:variant>
        <vt:i4>131131</vt:i4>
      </vt:variant>
      <vt:variant>
        <vt:i4>99</vt:i4>
      </vt:variant>
      <vt:variant>
        <vt:i4>0</vt:i4>
      </vt:variant>
      <vt:variant>
        <vt:i4>5</vt:i4>
      </vt:variant>
      <vt:variant>
        <vt:lpwstr>https://energy.ec.europa.eu/topics/markets-and-consumers/energy-consumers-and-prosumers/energy-poverty_en</vt:lpwstr>
      </vt:variant>
      <vt:variant>
        <vt:lpwstr/>
      </vt:variant>
      <vt:variant>
        <vt:i4>3145781</vt:i4>
      </vt:variant>
      <vt:variant>
        <vt:i4>96</vt:i4>
      </vt:variant>
      <vt:variant>
        <vt:i4>0</vt:i4>
      </vt:variant>
      <vt:variant>
        <vt:i4>5</vt:i4>
      </vt:variant>
      <vt:variant>
        <vt:lpwstr>https://eur-lex.europa.eu/EN/legal-content/summary/social-climate-fund.html</vt:lpwstr>
      </vt:variant>
      <vt:variant>
        <vt:lpwstr/>
      </vt:variant>
      <vt:variant>
        <vt:i4>5767260</vt:i4>
      </vt:variant>
      <vt:variant>
        <vt:i4>93</vt:i4>
      </vt:variant>
      <vt:variant>
        <vt:i4>0</vt:i4>
      </vt:variant>
      <vt:variant>
        <vt:i4>5</vt:i4>
      </vt:variant>
      <vt:variant>
        <vt:lpwstr>https://www.consilium.europa.eu/en/press/press-releases/2026/05/11/new-european-bauhaus-council-calls-for-sustainable-and-inclusive-neighbourhoods-across-the-eu/</vt:lpwstr>
      </vt:variant>
      <vt:variant>
        <vt:lpwstr/>
      </vt:variant>
      <vt:variant>
        <vt:i4>6291541</vt:i4>
      </vt:variant>
      <vt:variant>
        <vt:i4>90</vt:i4>
      </vt:variant>
      <vt:variant>
        <vt:i4>0</vt:i4>
      </vt:variant>
      <vt:variant>
        <vt:i4>5</vt:i4>
      </vt:variant>
      <vt:variant>
        <vt:lpwstr>https://housing.ec.europa.eu/european-affordable-housing-plan_en</vt:lpwstr>
      </vt:variant>
      <vt:variant>
        <vt:lpwstr/>
      </vt:variant>
      <vt:variant>
        <vt:i4>3670041</vt:i4>
      </vt:variant>
      <vt:variant>
        <vt:i4>87</vt:i4>
      </vt:variant>
      <vt:variant>
        <vt:i4>0</vt:i4>
      </vt:variant>
      <vt:variant>
        <vt:i4>5</vt:i4>
      </vt:variant>
      <vt:variant>
        <vt:lpwstr>https://employment-social-affairs.ec.europa.eu/document/21450169-5eaf-40e7-8a5a-4133f20510f1_en</vt:lpwstr>
      </vt:variant>
      <vt:variant>
        <vt:lpwstr/>
      </vt:variant>
      <vt:variant>
        <vt:i4>2162716</vt:i4>
      </vt:variant>
      <vt:variant>
        <vt:i4>84</vt:i4>
      </vt:variant>
      <vt:variant>
        <vt:i4>0</vt:i4>
      </vt:variant>
      <vt:variant>
        <vt:i4>5</vt:i4>
      </vt:variant>
      <vt:variant>
        <vt:lpwstr>https://employment-social-affairs.ec.europa.eu/employment-and-social-developments-europe-2025_en</vt:lpwstr>
      </vt:variant>
      <vt:variant>
        <vt:lpwstr/>
      </vt:variant>
      <vt:variant>
        <vt:i4>131168</vt:i4>
      </vt:variant>
      <vt:variant>
        <vt:i4>81</vt:i4>
      </vt:variant>
      <vt:variant>
        <vt:i4>0</vt:i4>
      </vt:variant>
      <vt:variant>
        <vt:i4>5</vt:i4>
      </vt:variant>
      <vt:variant>
        <vt:lpwstr>https://employment-social-affairs.ec.europa.eu/policies-and-activities/coordination-employment-and-social-policies/european-network-public-employment-services-pes-network_en</vt:lpwstr>
      </vt:variant>
      <vt:variant>
        <vt:lpwstr/>
      </vt:variant>
      <vt:variant>
        <vt:i4>2687074</vt:i4>
      </vt:variant>
      <vt:variant>
        <vt:i4>78</vt:i4>
      </vt:variant>
      <vt:variant>
        <vt:i4>0</vt:i4>
      </vt:variant>
      <vt:variant>
        <vt:i4>5</vt:i4>
      </vt:variant>
      <vt:variant>
        <vt:lpwstr>https://ec.europa.eu/eurostat/databrowser/view/lfsa_igan__custom_22046170/default/table</vt:lpwstr>
      </vt:variant>
      <vt:variant>
        <vt:lpwstr/>
      </vt:variant>
      <vt:variant>
        <vt:i4>2162716</vt:i4>
      </vt:variant>
      <vt:variant>
        <vt:i4>75</vt:i4>
      </vt:variant>
      <vt:variant>
        <vt:i4>0</vt:i4>
      </vt:variant>
      <vt:variant>
        <vt:i4>5</vt:i4>
      </vt:variant>
      <vt:variant>
        <vt:lpwstr>https://employment-social-affairs.ec.europa.eu/employment-and-social-developments-europe-2025_en</vt:lpwstr>
      </vt:variant>
      <vt:variant>
        <vt:lpwstr/>
      </vt:variant>
      <vt:variant>
        <vt:i4>8257636</vt:i4>
      </vt:variant>
      <vt:variant>
        <vt:i4>72</vt:i4>
      </vt:variant>
      <vt:variant>
        <vt:i4>0</vt:i4>
      </vt:variant>
      <vt:variant>
        <vt:i4>5</vt:i4>
      </vt:variant>
      <vt:variant>
        <vt:lpwstr>https://ec.europa.eu/commission/presscorner/detail/en/ip_26_1041</vt:lpwstr>
      </vt:variant>
      <vt:variant>
        <vt:lpwstr/>
      </vt:variant>
      <vt:variant>
        <vt:i4>4456519</vt:i4>
      </vt:variant>
      <vt:variant>
        <vt:i4>69</vt:i4>
      </vt:variant>
      <vt:variant>
        <vt:i4>0</vt:i4>
      </vt:variant>
      <vt:variant>
        <vt:i4>5</vt:i4>
      </vt:variant>
      <vt:variant>
        <vt:lpwstr>https://employment-social-affairs.ec.europa.eu/document/download/93c513bd-9faa-4ba7-a4c7-9a06505790fc_en?filename=Pact%20for%20European%20Social%20Dialogue_signed%20version.pdf</vt:lpwstr>
      </vt:variant>
      <vt:variant>
        <vt:lpwstr/>
      </vt:variant>
      <vt:variant>
        <vt:i4>6291560</vt:i4>
      </vt:variant>
      <vt:variant>
        <vt:i4>66</vt:i4>
      </vt:variant>
      <vt:variant>
        <vt:i4>0</vt:i4>
      </vt:variant>
      <vt:variant>
        <vt:i4>5</vt:i4>
      </vt:variant>
      <vt:variant>
        <vt:lpwstr>https://data.consilium.europa.eu/doc/document/ST-8434-2024-INIT/en/pdf</vt:lpwstr>
      </vt:variant>
      <vt:variant>
        <vt:lpwstr/>
      </vt:variant>
      <vt:variant>
        <vt:i4>2752559</vt:i4>
      </vt:variant>
      <vt:variant>
        <vt:i4>63</vt:i4>
      </vt:variant>
      <vt:variant>
        <vt:i4>0</vt:i4>
      </vt:variant>
      <vt:variant>
        <vt:i4>5</vt:i4>
      </vt:variant>
      <vt:variant>
        <vt:lpwstr>https://www.consilium.europa.eu/en/meetings/european-council/2021/05/07/social-summit/</vt:lpwstr>
      </vt:variant>
      <vt:variant>
        <vt:lpwstr/>
      </vt:variant>
      <vt:variant>
        <vt:i4>3014680</vt:i4>
      </vt:variant>
      <vt:variant>
        <vt:i4>60</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327799</vt:i4>
      </vt:variant>
      <vt:variant>
        <vt:i4>57</vt:i4>
      </vt:variant>
      <vt:variant>
        <vt:i4>0</vt:i4>
      </vt:variant>
      <vt:variant>
        <vt:i4>5</vt:i4>
      </vt:variant>
      <vt:variant>
        <vt:lpwstr>https://employment-social-affairs.ec.europa.eu/news/commission-analyses-social-convergence-nine-eu-countries-2026-04-21_en</vt:lpwstr>
      </vt:variant>
      <vt:variant>
        <vt:lpwstr/>
      </vt:variant>
      <vt:variant>
        <vt:i4>3473487</vt:i4>
      </vt:variant>
      <vt:variant>
        <vt:i4>54</vt:i4>
      </vt:variant>
      <vt:variant>
        <vt:i4>0</vt:i4>
      </vt:variant>
      <vt:variant>
        <vt:i4>5</vt:i4>
      </vt:variant>
      <vt:variant>
        <vt:lpwstr>https://employment-social-affairs.ec.europa.eu/policies-and-activities/social-protection-social-inclusion/addressing-poverty-and-supporting-social-inclusion/eu-anti-poverty-strategy_en</vt:lpwstr>
      </vt:variant>
      <vt:variant>
        <vt:lpwstr/>
      </vt:variant>
      <vt:variant>
        <vt:i4>1310795</vt:i4>
      </vt:variant>
      <vt:variant>
        <vt:i4>51</vt:i4>
      </vt:variant>
      <vt:variant>
        <vt:i4>0</vt:i4>
      </vt:variant>
      <vt:variant>
        <vt:i4>5</vt:i4>
      </vt:variant>
      <vt:variant>
        <vt:lpwstr>https://op.europa.eu/en/publication-detail/-/publication/428fd92f-1c2f-11f1-8c3a-01aa75ed71a1/language-en</vt:lpwstr>
      </vt:variant>
      <vt:variant>
        <vt:lpwstr/>
      </vt:variant>
      <vt:variant>
        <vt:i4>6422622</vt:i4>
      </vt:variant>
      <vt:variant>
        <vt:i4>48</vt:i4>
      </vt:variant>
      <vt:variant>
        <vt:i4>0</vt:i4>
      </vt:variant>
      <vt:variant>
        <vt:i4>5</vt:i4>
      </vt:variant>
      <vt:variant>
        <vt:lpwstr>https://employment-social-affairs.ec.europa.eu/document/download/82975aa7-bdd6-4a64-b3e3-82433901f8f7_en?filename=Quality-Jobs-Roadmap_Communication_2025.pdf</vt:lpwstr>
      </vt:variant>
      <vt:variant>
        <vt:lpwstr/>
      </vt:variant>
      <vt:variant>
        <vt:i4>655481</vt:i4>
      </vt:variant>
      <vt:variant>
        <vt:i4>45</vt:i4>
      </vt:variant>
      <vt:variant>
        <vt:i4>0</vt:i4>
      </vt:variant>
      <vt:variant>
        <vt:i4>5</vt:i4>
      </vt:variant>
      <vt:variant>
        <vt:lpwstr>https://ec.europa.eu/eurostat/databrowser/view/ilc_pecs01/bookmark/table?lang=en&amp;bookmarkId=b31a92ec-787b-4435-8289-c342035ba32b&amp;c=1782891735000</vt:lpwstr>
      </vt:variant>
      <vt:variant>
        <vt:lpwstr/>
      </vt:variant>
      <vt:variant>
        <vt:i4>1179666</vt:i4>
      </vt:variant>
      <vt:variant>
        <vt:i4>42</vt:i4>
      </vt:variant>
      <vt:variant>
        <vt:i4>0</vt:i4>
      </vt:variant>
      <vt:variant>
        <vt:i4>5</vt:i4>
      </vt:variant>
      <vt:variant>
        <vt:lpwstr>https://circabc.europa.eu/ui/group/d14c857a-601d-438a-b878-4b4cebd0e10f/library/c5a8b987-1e37-44d7-a20e-2c50d6101d27/details</vt:lpwstr>
      </vt:variant>
      <vt:variant>
        <vt:lpwstr/>
      </vt:variant>
      <vt:variant>
        <vt:i4>6488114</vt:i4>
      </vt:variant>
      <vt:variant>
        <vt:i4>39</vt:i4>
      </vt:variant>
      <vt:variant>
        <vt:i4>0</vt:i4>
      </vt:variant>
      <vt:variant>
        <vt:i4>5</vt:i4>
      </vt:variant>
      <vt:variant>
        <vt:lpwstr>https://fra.europa.eu/en/publication/2025/roma-survey-2024</vt:lpwstr>
      </vt:variant>
      <vt:variant>
        <vt:lpwstr/>
      </vt:variant>
      <vt:variant>
        <vt:i4>7864341</vt:i4>
      </vt:variant>
      <vt:variant>
        <vt:i4>36</vt:i4>
      </vt:variant>
      <vt:variant>
        <vt:i4>0</vt:i4>
      </vt:variant>
      <vt:variant>
        <vt:i4>5</vt:i4>
      </vt:variant>
      <vt:variant>
        <vt:lpwstr>https://ec.europa.eu/eurostat/databrowser/view/hlth_dlm200/bookmark/table?lang=en&amp;bookmarkId=4bd07205-8d36-4f8d-9dc6-21881a70369d&amp;c=1744294337286</vt:lpwstr>
      </vt:variant>
      <vt:variant>
        <vt:lpwstr/>
      </vt:variant>
      <vt:variant>
        <vt:i4>8257634</vt:i4>
      </vt:variant>
      <vt:variant>
        <vt:i4>33</vt:i4>
      </vt:variant>
      <vt:variant>
        <vt:i4>0</vt:i4>
      </vt:variant>
      <vt:variant>
        <vt:i4>5</vt:i4>
      </vt:variant>
      <vt:variant>
        <vt:lpwstr>https://ec.europa.eu/commission/presscorner/detail/en/ip_26_1120</vt:lpwstr>
      </vt:variant>
      <vt:variant>
        <vt:lpwstr/>
      </vt:variant>
      <vt:variant>
        <vt:i4>2424832</vt:i4>
      </vt:variant>
      <vt:variant>
        <vt:i4>30</vt:i4>
      </vt:variant>
      <vt:variant>
        <vt:i4>0</vt:i4>
      </vt:variant>
      <vt:variant>
        <vt:i4>5</vt:i4>
      </vt:variant>
      <vt:variant>
        <vt:lpwstr>https://ec.europa.eu/eurostat/databrowser/view/sdg_05_30__custom_7247894/bookmark/table?lang=en&amp;bookmarkId=e69bba83-6e00-4a60-90ed-9e80af75628e&amp;c=1746603366244</vt:lpwstr>
      </vt:variant>
      <vt:variant>
        <vt:lpwstr/>
      </vt:variant>
      <vt:variant>
        <vt:i4>8257588</vt:i4>
      </vt:variant>
      <vt:variant>
        <vt:i4>27</vt:i4>
      </vt:variant>
      <vt:variant>
        <vt:i4>0</vt:i4>
      </vt:variant>
      <vt:variant>
        <vt:i4>5</vt:i4>
      </vt:variant>
      <vt:variant>
        <vt:lpwstr>https://ec.europa.eu/eurostat/databrowser/view/lfsi_emp_a/default/table?lang=en</vt:lpwstr>
      </vt:variant>
      <vt:variant>
        <vt:lpwstr/>
      </vt:variant>
      <vt:variant>
        <vt:i4>2752559</vt:i4>
      </vt:variant>
      <vt:variant>
        <vt:i4>24</vt:i4>
      </vt:variant>
      <vt:variant>
        <vt:i4>0</vt:i4>
      </vt:variant>
      <vt:variant>
        <vt:i4>5</vt:i4>
      </vt:variant>
      <vt:variant>
        <vt:lpwstr>https://www.consilium.europa.eu/en/meetings/european-council/2021/05/07/social-summit/</vt:lpwstr>
      </vt:variant>
      <vt:variant>
        <vt:lpwstr/>
      </vt:variant>
      <vt:variant>
        <vt:i4>2424950</vt:i4>
      </vt:variant>
      <vt:variant>
        <vt:i4>21</vt:i4>
      </vt:variant>
      <vt:variant>
        <vt:i4>0</vt:i4>
      </vt:variant>
      <vt:variant>
        <vt:i4>5</vt:i4>
      </vt:variant>
      <vt:variant>
        <vt:lpwstr>https://www.consilium.europa.eu/en/press/press-releases/2026/04/24/european-institutions-agree-roadmap-to-achieve-one-europe-one-market-by-end-of-2027/</vt:lpwstr>
      </vt:variant>
      <vt:variant>
        <vt:lpwstr/>
      </vt:variant>
      <vt:variant>
        <vt:i4>6619179</vt:i4>
      </vt:variant>
      <vt:variant>
        <vt:i4>18</vt:i4>
      </vt:variant>
      <vt:variant>
        <vt:i4>0</vt:i4>
      </vt:variant>
      <vt:variant>
        <vt:i4>5</vt:i4>
      </vt:variant>
      <vt:variant>
        <vt:lpwstr>https://commission.europa.eu/system/files/2026-07/Demography_Report_2026.pdf</vt:lpwstr>
      </vt:variant>
      <vt:variant>
        <vt:lpwstr/>
      </vt:variant>
      <vt:variant>
        <vt:i4>3801146</vt:i4>
      </vt:variant>
      <vt:variant>
        <vt:i4>15</vt:i4>
      </vt:variant>
      <vt:variant>
        <vt:i4>0</vt:i4>
      </vt:variant>
      <vt:variant>
        <vt:i4>5</vt:i4>
      </vt:variant>
      <vt:variant>
        <vt:lpwstr>https://ec.europa.eu/regional_policy/2021-2027_en</vt:lpwstr>
      </vt:variant>
      <vt:variant>
        <vt:lpwstr/>
      </vt:variant>
      <vt:variant>
        <vt:i4>131184</vt:i4>
      </vt:variant>
      <vt:variant>
        <vt:i4>12</vt:i4>
      </vt:variant>
      <vt:variant>
        <vt:i4>0</vt:i4>
      </vt:variant>
      <vt:variant>
        <vt:i4>5</vt:i4>
      </vt:variant>
      <vt:variant>
        <vt:lpwstr>https://commission.europa.eu/strategy-and-policy/eu-budget/performance-and-reporting/programme-performance-statements/recovery-and-resilience-facility-performance_en</vt:lpwstr>
      </vt:variant>
      <vt:variant>
        <vt:lpwstr/>
      </vt:variant>
      <vt:variant>
        <vt:i4>7733305</vt:i4>
      </vt:variant>
      <vt:variant>
        <vt:i4>9</vt:i4>
      </vt:variant>
      <vt:variant>
        <vt:i4>0</vt:i4>
      </vt:variant>
      <vt:variant>
        <vt:i4>5</vt:i4>
      </vt:variant>
      <vt:variant>
        <vt:lpwstr>https://eur-lex.europa.eu/EN/legal-content/summary/temporary-support-to-mitigate-unemployment-risks-in-an-emergency-due-to-the-covid-19-outbreak-sure.html</vt:lpwstr>
      </vt:variant>
      <vt:variant>
        <vt:lpwstr/>
      </vt:variant>
      <vt:variant>
        <vt:i4>4653073</vt:i4>
      </vt:variant>
      <vt:variant>
        <vt:i4>6</vt:i4>
      </vt:variant>
      <vt:variant>
        <vt:i4>0</vt:i4>
      </vt:variant>
      <vt:variant>
        <vt:i4>5</vt:i4>
      </vt:variant>
      <vt:variant>
        <vt:lpwstr>https://op.europa.eu/webpub/empl/european-pillar-of-social-rights/en/</vt:lpwstr>
      </vt:variant>
      <vt:variant>
        <vt:lpwstr/>
      </vt:variant>
      <vt:variant>
        <vt:i4>589861</vt:i4>
      </vt:variant>
      <vt:variant>
        <vt:i4>3</vt:i4>
      </vt:variant>
      <vt:variant>
        <vt:i4>0</vt:i4>
      </vt:variant>
      <vt:variant>
        <vt:i4>5</vt:i4>
      </vt:variant>
      <vt:variant>
        <vt:lpwstr>https://employment-social-affairs.ec.europa.eu/policies-and-activities/european-pillar-social-rights-building-fairer-and-more-inclusive-european-union_en</vt:lpwstr>
      </vt:variant>
      <vt:variant>
        <vt:lpwstr/>
      </vt:variant>
      <vt:variant>
        <vt:i4>589861</vt:i4>
      </vt:variant>
      <vt:variant>
        <vt:i4>0</vt:i4>
      </vt:variant>
      <vt:variant>
        <vt:i4>0</vt:i4>
      </vt:variant>
      <vt:variant>
        <vt:i4>5</vt:i4>
      </vt:variant>
      <vt:variant>
        <vt:lpwstr>https://employment-social-affairs.ec.europa.eu/policies-and-activities/european-pillar-social-rights-building-fairer-and-more-inclusive-european-union_en</vt:lpwstr>
      </vt:variant>
      <vt:variant>
        <vt:lpwstr/>
      </vt:variant>
      <vt:variant>
        <vt:i4>3342416</vt:i4>
      </vt:variant>
      <vt:variant>
        <vt:i4>9</vt:i4>
      </vt:variant>
      <vt:variant>
        <vt:i4>0</vt:i4>
      </vt:variant>
      <vt:variant>
        <vt:i4>5</vt:i4>
      </vt:variant>
      <vt:variant>
        <vt:lpwstr>https://finance.ec.europa.eu/publications/commission-proposes-boost-supplementary-pensions-help-ensure-adequate-retirement-income_en</vt:lpwstr>
      </vt:variant>
      <vt:variant>
        <vt:lpwstr/>
      </vt:variant>
      <vt:variant>
        <vt:i4>65622</vt:i4>
      </vt:variant>
      <vt:variant>
        <vt:i4>6</vt:i4>
      </vt:variant>
      <vt:variant>
        <vt:i4>0</vt:i4>
      </vt:variant>
      <vt:variant>
        <vt:i4>5</vt:i4>
      </vt:variant>
      <vt:variant>
        <vt:lpwstr>https://igf.coin-dev.eu/</vt:lpwstr>
      </vt:variant>
      <vt:variant>
        <vt:lpwstr/>
      </vt:variant>
      <vt:variant>
        <vt:i4>4128877</vt:i4>
      </vt:variant>
      <vt:variant>
        <vt:i4>3</vt:i4>
      </vt:variant>
      <vt:variant>
        <vt:i4>0</vt:i4>
      </vt:variant>
      <vt:variant>
        <vt:i4>5</vt:i4>
      </vt:variant>
      <vt:variant>
        <vt:lpwstr>https://data.consilium.europa.eu/doc/document/ST-10765-2026-INIT/en/pdf</vt:lpwstr>
      </vt:variant>
      <vt:variant>
        <vt:lpwstr/>
      </vt:variant>
      <vt:variant>
        <vt:i4>4980834</vt:i4>
      </vt:variant>
      <vt:variant>
        <vt:i4>0</vt:i4>
      </vt:variant>
      <vt:variant>
        <vt:i4>0</vt:i4>
      </vt:variant>
      <vt:variant>
        <vt:i4>5</vt:i4>
      </vt:variant>
      <vt:variant>
        <vt:lpwstr>https://employment-social-affairs.ec.europa.eu/joint-employment-report-2026_en</vt:lpwstr>
      </vt:variant>
      <vt:variant>
        <vt:lpwstr/>
      </vt:variant>
      <vt:variant>
        <vt:i4>7602255</vt:i4>
      </vt:variant>
      <vt:variant>
        <vt:i4>3</vt:i4>
      </vt:variant>
      <vt:variant>
        <vt:i4>0</vt:i4>
      </vt:variant>
      <vt:variant>
        <vt:i4>5</vt:i4>
      </vt:variant>
      <vt:variant>
        <vt:lpwstr>https://www.ecb.europa.eu/stats/ecb_surveys/safe/html/ecb.safe202604.en.html</vt:lpwstr>
      </vt:variant>
      <vt:variant>
        <vt:lpwstr/>
      </vt:variant>
      <vt:variant>
        <vt:i4>1769525</vt:i4>
      </vt:variant>
      <vt:variant>
        <vt:i4>0</vt:i4>
      </vt:variant>
      <vt:variant>
        <vt:i4>0</vt:i4>
      </vt:variant>
      <vt:variant>
        <vt:i4>5</vt:i4>
      </vt:variant>
      <vt:variant>
        <vt:lpwstr>https://employment-social-affairs.ec.europa.eu/future-employment-impact-artificial-intelligence-and-emerging-digital-technologies-euro_en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8</cp:revision>
  <dcterms:created xsi:type="dcterms:W3CDTF">2026-07-18T15:35:00Z</dcterms:created>
  <dcterms:modified xsi:type="dcterms:W3CDTF">2026-09-04T10:50:00Z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2026-07-18T15:24:56Z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c35b9de0-620e-453c-8483-13629597f16e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