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BB5BE0D-3AD5-4B10-A83E-8F9291E027AD" style="width:455.25pt;height:357.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footnotePr>
            <w:numRestart w:val="eachSect"/>
          </w:footnotePr>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EXPLANATORY MEMORANDUM</w:t>
      </w:r>
    </w:p>
    <w:p>
      <w:pPr>
        <w:pStyle w:val="ManualHeading1"/>
        <w:rPr>
          <w:noProof/>
        </w:rPr>
      </w:pPr>
      <w:r>
        <w:rPr>
          <w:noProof/>
        </w:rPr>
        <w:t>1.</w:t>
      </w:r>
      <w:r>
        <w:rPr>
          <w:noProof/>
        </w:rPr>
        <w:tab/>
        <w:t>CONTEXT OF THE PROPOSAL</w:t>
      </w:r>
    </w:p>
    <w:p>
      <w:pPr>
        <w:pStyle w:val="ManualHeading2"/>
        <w:rPr>
          <w:rFonts w:eastAsia="Arial Unicode MS"/>
          <w:noProof/>
        </w:rPr>
      </w:pPr>
      <w:r>
        <w:rPr>
          <w:noProof/>
          <w:color w:val="000000"/>
          <w:u w:color="000000"/>
          <w:bdr w:val="nil"/>
        </w:rPr>
        <w:t>•</w:t>
      </w:r>
      <w:r>
        <w:rPr>
          <w:noProof/>
          <w:color w:val="000000"/>
          <w:u w:color="000000"/>
          <w:bdr w:val="nil"/>
        </w:rPr>
        <w:tab/>
      </w:r>
      <w:r>
        <w:rPr>
          <w:rFonts w:eastAsia="Arial Unicode MS"/>
          <w:noProof/>
        </w:rPr>
        <w:t>Reasons for and objectives of the proposal</w:t>
      </w:r>
    </w:p>
    <w:p>
      <w:pPr>
        <w:rPr>
          <w:noProof/>
        </w:rPr>
      </w:pPr>
      <w:r>
        <w:rPr>
          <w:noProof/>
        </w:rPr>
        <w:t>The European Union’s nine outermost regions – Guadeloupe, French Guiana, Martinique, Mayotte, Réunion, and Saint-Martin (France); the Azores and Madeira (Portugal); and the Canary Islands (Spain) – are EU regions, located in the Caribbean basin, South America, and in the Atlantic and Indian Oceans, and are home to five million citizens.</w:t>
      </w:r>
    </w:p>
    <w:p>
      <w:pPr>
        <w:rPr>
          <w:noProof/>
        </w:rPr>
      </w:pPr>
      <w:r>
        <w:rPr>
          <w:noProof/>
        </w:rPr>
        <w:t>These regions face structural challenges to, and permanent constraints on their development. These constraints – recognised in Article 349 of the Treaty on the Functioning of the European Union (TFEU) – include remoteness, insularity, climate vulnerability, and economic dependence on a limited range of sectors. Article 349 TFEU provides for specific measures to support these territories, including the tailored application of EU law in these regions and specific rules on access to EU funds and programmes.</w:t>
      </w:r>
    </w:p>
    <w:p>
      <w:pPr>
        <w:rPr>
          <w:noProof/>
        </w:rPr>
      </w:pPr>
      <w:r>
        <w:rPr>
          <w:noProof/>
        </w:rPr>
        <w:t>However, despite these provisions and existing EU strategies, certain EU regulations – designed primarily for continental Europe – can result in disproportionate burdens on the outermost regions. For example, agriculture, taxation, environment and fisheries rules may not fully take into account the unique conditions of these regions, leading to higher costs, market distortions, and missed economic opportunities.</w:t>
      </w:r>
    </w:p>
    <w:p>
      <w:pPr>
        <w:rPr>
          <w:noProof/>
        </w:rPr>
      </w:pPr>
      <w:r>
        <w:rPr>
          <w:noProof/>
        </w:rPr>
        <w:t>The regulatory package on the outermost regions focuses on five key areas where targeted adaptations to EU legislation are necessary to address the specificities of the outermost regions, ensure a level playing field with other EU territories, reduce administrative burdens, and unlock their economic potential, while fully complying with broader EU policy goals.</w:t>
      </w:r>
    </w:p>
    <w:p>
      <w:pPr>
        <w:rPr>
          <w:noProof/>
        </w:rPr>
      </w:pPr>
      <w:r>
        <w:rPr>
          <w:noProof/>
        </w:rPr>
        <w:t xml:space="preserve">This proposal for a Council Decision focuses on taxation and in particular on the </w:t>
      </w:r>
      <w:r>
        <w:rPr>
          <w:i/>
          <w:noProof/>
        </w:rPr>
        <w:t>octroi de mer</w:t>
      </w:r>
      <w:r>
        <w:rPr>
          <w:noProof/>
        </w:rPr>
        <w:t xml:space="preserve"> (dock dues) regime for the French outermost regions.</w:t>
      </w:r>
    </w:p>
    <w:p>
      <w:pPr>
        <w:rPr>
          <w:noProof/>
        </w:rPr>
      </w:pPr>
      <w:r>
        <w:rPr>
          <w:noProof/>
        </w:rPr>
        <w:t xml:space="preserve">The </w:t>
      </w:r>
      <w:r>
        <w:rPr>
          <w:i/>
          <w:noProof/>
        </w:rPr>
        <w:t>octroi de mer</w:t>
      </w:r>
      <w:r>
        <w:rPr>
          <w:noProof/>
        </w:rPr>
        <w:t xml:space="preserve"> is a consumption tax applied in Guadeloupe, French Guiana, Martinique, Mayotte, and Réunion, levied on both imported goods and locally produced goods at the point of sale. While EU Treaty provisions generally prohibit differential taxation between local and EU-sourced products, Article 349 TFEU permits tailored measures, such as exemptions or reductions of the dock dues for certain products for which local production exists in the French outermost regions, in order to address their structural constraints.</w:t>
      </w:r>
    </w:p>
    <w:p>
      <w:pPr>
        <w:rPr>
          <w:noProof/>
        </w:rPr>
      </w:pPr>
      <w:r>
        <w:rPr>
          <w:noProof/>
        </w:rPr>
        <w:t xml:space="preserve">Under Council Decision (EU) 2021/991 (in force from 1 January 2022 to 31 December 2027), France is authorised to apply reduced or exempted </w:t>
      </w:r>
      <w:r>
        <w:rPr>
          <w:i/>
          <w:noProof/>
        </w:rPr>
        <w:t xml:space="preserve">octroi de mer </w:t>
      </w:r>
      <w:r>
        <w:rPr>
          <w:noProof/>
        </w:rPr>
        <w:t>rates for locally produced goods listed in Annex I (Lists A and B), with permissible tax differentials of up to 20 percentage points (List A) or 30 percentage points (List B) compared to imported equivalents.</w:t>
      </w:r>
    </w:p>
    <w:p>
      <w:pPr>
        <w:rPr>
          <w:noProof/>
        </w:rPr>
      </w:pPr>
      <w:r>
        <w:rPr>
          <w:noProof/>
        </w:rPr>
        <w:t xml:space="preserve">The customs nomenclature codes in Annex I were fixed in 2021, based on the EU’s tariff classification system for that year. However, the EU’s Combined Nomenclature (CN) is updated annually, rendering some 2021 codes obsolete or misaligned with current classifications. Regional authorities must apply </w:t>
      </w:r>
      <w:r>
        <w:rPr>
          <w:i/>
          <w:noProof/>
        </w:rPr>
        <w:t>octroi de mer</w:t>
      </w:r>
      <w:r>
        <w:rPr>
          <w:noProof/>
        </w:rPr>
        <w:t xml:space="preserve"> rates using the latest CN codes, which may create legal uncertainty over whether certain goods still qualify for differential taxation.</w:t>
      </w:r>
    </w:p>
    <w:p>
      <w:pPr>
        <w:rPr>
          <w:noProof/>
        </w:rPr>
      </w:pPr>
      <w:r>
        <w:rPr>
          <w:noProof/>
        </w:rPr>
        <w:t>This Council Decision will allow the change of five CN codes in the list of goods eligible for a dock dues differential to ensure consistency with the latest classification of the Common Customs Tariff nomenclature.</w:t>
      </w:r>
    </w:p>
    <w:p>
      <w:pPr>
        <w:rPr>
          <w:noProof/>
        </w:rPr>
      </w:pPr>
    </w:p>
    <w:p>
      <w:pPr>
        <w:rPr>
          <w:noProof/>
        </w:rPr>
      </w:pPr>
      <w:r>
        <w:rPr>
          <w:noProof/>
        </w:rPr>
        <w:t>Furthermore, the addition of twenty-two new CN codes will make new local products eligible for a lower dock dues rate, which will help the outermost regions’ economies to diversify and develop.</w:t>
      </w:r>
    </w:p>
    <w:p>
      <w:pPr>
        <w:rPr>
          <w:noProof/>
        </w:rPr>
      </w:pPr>
      <w:r>
        <w:rPr>
          <w:noProof/>
        </w:rPr>
        <w:t>Lastly, the extension of the dock dues regime until 2030 will bring predictability and legal certainty, allowing businesses to make longer-term decisions on investments in the outermost regions.</w:t>
      </w:r>
    </w:p>
    <w:p>
      <w:pPr>
        <w:pStyle w:val="ManualHeading2"/>
        <w:rPr>
          <w:noProof/>
          <w:color w:val="000000"/>
          <w:u w:color="000000"/>
          <w:bdr w:val="nil"/>
        </w:rPr>
      </w:pPr>
      <w:r>
        <w:rPr>
          <w:noProof/>
          <w:color w:val="000000"/>
          <w:u w:color="000000"/>
          <w:bdr w:val="nil"/>
        </w:rPr>
        <w:t>•</w:t>
      </w:r>
      <w:r>
        <w:rPr>
          <w:noProof/>
          <w:color w:val="000000"/>
          <w:u w:color="000000"/>
          <w:bdr w:val="nil"/>
        </w:rPr>
        <w:tab/>
      </w:r>
      <w:r>
        <w:rPr>
          <w:rFonts w:eastAsia="Arial Unicode MS"/>
          <w:noProof/>
        </w:rPr>
        <w:t>Consistency with existing policy provisions in the policy area</w:t>
      </w:r>
    </w:p>
    <w:p>
      <w:pPr>
        <w:rPr>
          <w:noProof/>
        </w:rPr>
      </w:pPr>
      <w:r>
        <w:rPr>
          <w:noProof/>
        </w:rPr>
        <w:t>The adoption of successive Commission strategies (2004, 2007, 2008, 2012, 2017, 2022) to address the specific needs of the outermost regions has had a positive impact on their development and territorial cohesion. The latest 2022 strategy ‘Putting people first, securing sustainable and inclusive growth, unlocking the potential of the EU’s outermost regions’ has been fully implemented and has yielded positive results</w:t>
      </w:r>
      <w:r>
        <w:rPr>
          <w:rStyle w:val="FootnoteReference"/>
          <w:noProof/>
        </w:rPr>
        <w:footnoteReference w:id="1"/>
      </w:r>
      <w:r>
        <w:rPr>
          <w:noProof/>
        </w:rPr>
        <w:t>.</w:t>
      </w:r>
    </w:p>
    <w:p>
      <w:pPr>
        <w:rPr>
          <w:noProof/>
        </w:rPr>
      </w:pPr>
      <w:r>
        <w:rPr>
          <w:noProof/>
        </w:rPr>
        <w:t>Nonetheless, the outermost regions still lag well behind the rest of the EU in terms of development, living standards and access to basic needs and services. The Commission announced a strategy for these regions in its Communication on the mid-term review of cohesion policy (adopted on 1 April 2025)</w:t>
      </w:r>
      <w:r>
        <w:rPr>
          <w:rStyle w:val="FootnoteReference"/>
          <w:noProof/>
        </w:rPr>
        <w:footnoteReference w:id="2"/>
      </w:r>
      <w:r>
        <w:rPr>
          <w:noProof/>
        </w:rPr>
        <w:t>. The outermost regions strategy is one of the key priorities in the 2025 State of the Union Letter of Intent (10 September 2025) and is included in the Commission Work Programme 2026</w:t>
      </w:r>
      <w:r>
        <w:rPr>
          <w:rStyle w:val="FootnoteReference"/>
          <w:noProof/>
        </w:rPr>
        <w:footnoteReference w:id="3"/>
      </w:r>
      <w:r>
        <w:rPr>
          <w:noProof/>
        </w:rPr>
        <w:t>.</w:t>
      </w:r>
    </w:p>
    <w:p>
      <w:pPr>
        <w:pBdr>
          <w:top w:val="nil"/>
          <w:left w:val="nil"/>
          <w:bottom w:val="nil"/>
          <w:right w:val="nil"/>
          <w:between w:val="nil"/>
          <w:bar w:val="nil"/>
        </w:pBdr>
        <w:spacing w:before="0" w:after="240"/>
        <w:rPr>
          <w:rFonts w:eastAsia="Arial Unicode MS"/>
          <w:noProof/>
        </w:rPr>
      </w:pPr>
      <w:r>
        <w:rPr>
          <w:noProof/>
        </w:rPr>
        <w:t>In line with the 2024-2029 political guidelines</w:t>
      </w:r>
      <w:r>
        <w:rPr>
          <w:rStyle w:val="FootnoteReference"/>
          <w:noProof/>
        </w:rPr>
        <w:footnoteReference w:id="4"/>
      </w:r>
      <w:r>
        <w:rPr>
          <w:noProof/>
        </w:rPr>
        <w:t xml:space="preserve"> and the Council Conclusions of 10 March 2025 (6787/25) on cohesion and Cohesion Policy post-2027</w:t>
      </w:r>
      <w:r>
        <w:rPr>
          <w:rStyle w:val="FootnoteReference"/>
          <w:noProof/>
        </w:rPr>
        <w:footnoteReference w:id="5"/>
      </w:r>
      <w:r>
        <w:rPr>
          <w:noProof/>
        </w:rPr>
        <w:t>, an ambitious and place-based approach must be taken to improve the living conditions of the five million EU citizens living in the outermost regions.</w:t>
      </w:r>
    </w:p>
    <w:p>
      <w:pPr>
        <w:pStyle w:val="ManualHeading2"/>
        <w:rPr>
          <w:rFonts w:eastAsia="Arial Unicode MS"/>
          <w:noProof/>
        </w:rPr>
      </w:pPr>
      <w:r>
        <w:rPr>
          <w:noProof/>
          <w:color w:val="000000"/>
          <w:u w:color="000000"/>
          <w:bdr w:val="nil"/>
        </w:rPr>
        <w:t>•</w:t>
      </w:r>
      <w:r>
        <w:rPr>
          <w:noProof/>
          <w:color w:val="000000"/>
          <w:u w:color="000000"/>
          <w:bdr w:val="nil"/>
        </w:rPr>
        <w:tab/>
      </w:r>
      <w:r>
        <w:rPr>
          <w:rFonts w:eastAsia="Arial Unicode MS"/>
          <w:noProof/>
        </w:rPr>
        <w:t>Consistency with other Union policies</w:t>
      </w:r>
    </w:p>
    <w:p>
      <w:pPr>
        <w:rPr>
          <w:noProof/>
        </w:rPr>
      </w:pPr>
      <w:r>
        <w:rPr>
          <w:noProof/>
        </w:rPr>
        <w:t>The strategy and the regulatory package for outermost regions aim to promote territorial cohesion, thus contributing to the political objectives of social fairness, competitiveness and prosperity.</w:t>
      </w:r>
    </w:p>
    <w:p>
      <w:pPr>
        <w:pBdr>
          <w:top w:val="nil"/>
          <w:left w:val="nil"/>
          <w:bottom w:val="nil"/>
          <w:right w:val="nil"/>
          <w:between w:val="nil"/>
          <w:bar w:val="nil"/>
        </w:pBdr>
        <w:spacing w:before="0" w:after="240"/>
        <w:rPr>
          <w:rFonts w:eastAsia="Arial Unicode MS"/>
          <w:noProof/>
        </w:rPr>
      </w:pPr>
      <w:r>
        <w:rPr>
          <w:noProof/>
        </w:rPr>
        <w:t>The proposal for a Council Decision is consistent with the overall legal framework established for the Council Decision (EU) 2021/991 and is limited to a targeted amendment of this Decision.</w:t>
      </w:r>
    </w:p>
    <w:p>
      <w:pPr>
        <w:pStyle w:val="ManualHeading1"/>
        <w:rPr>
          <w:noProof/>
        </w:rPr>
      </w:pPr>
      <w:r>
        <w:rPr>
          <w:noProof/>
        </w:rPr>
        <w:t>2.</w:t>
      </w:r>
      <w:r>
        <w:rPr>
          <w:noProof/>
        </w:rPr>
        <w:tab/>
        <w:t>LEGAL BASIS, SUBSIDIARITY AND PROPORTIONALITY</w:t>
      </w:r>
    </w:p>
    <w:p>
      <w:pPr>
        <w:pStyle w:val="ManualHeading2"/>
        <w:rPr>
          <w:noProof/>
          <w:u w:color="000000"/>
          <w:bdr w:val="nil"/>
        </w:rPr>
      </w:pPr>
      <w:r>
        <w:rPr>
          <w:noProof/>
          <w:u w:color="000000"/>
          <w:bdr w:val="nil"/>
        </w:rPr>
        <w:t>•</w:t>
      </w:r>
      <w:r>
        <w:rPr>
          <w:noProof/>
          <w:u w:color="000000"/>
          <w:bdr w:val="nil"/>
        </w:rPr>
        <w:tab/>
        <w:t>Legal basis</w:t>
      </w:r>
    </w:p>
    <w:p>
      <w:pPr>
        <w:pBdr>
          <w:top w:val="nil"/>
          <w:left w:val="nil"/>
          <w:bottom w:val="nil"/>
          <w:right w:val="nil"/>
          <w:between w:val="nil"/>
          <w:bar w:val="nil"/>
        </w:pBdr>
        <w:spacing w:before="0" w:after="240"/>
        <w:rPr>
          <w:rFonts w:eastAsia="Arial Unicode MS"/>
          <w:noProof/>
        </w:rPr>
      </w:pPr>
      <w:r>
        <w:rPr>
          <w:noProof/>
        </w:rPr>
        <w:t xml:space="preserve">Article 349 TFEU is the sole legal basis for the proposal. </w:t>
      </w:r>
      <w:bookmarkStart w:id="0" w:name="_Hlk233201947"/>
      <w:r>
        <w:rPr>
          <w:noProof/>
        </w:rPr>
        <w:t>This provision enables the Council, acting on a proposal from the Commission and after consulting the European Parliament, to adopt specific measures aimed at laying down the conditions of application of the Treaties to the outermost regions. These include common policies, in particular in areas such as customs and trade policies, fiscal policy, free zones, agriculture and fisheries policies, conditions of supply of raw materials and essential consumer goods, State aid and conditions for access to structural funds and horizontal EU programmes.</w:t>
      </w:r>
    </w:p>
    <w:bookmarkEnd w:id="0"/>
    <w:p>
      <w:pPr>
        <w:pStyle w:val="ManualHeading2"/>
        <w:rPr>
          <w:noProof/>
          <w:u w:color="000000"/>
          <w:bdr w:val="nil"/>
        </w:rPr>
      </w:pPr>
      <w:r>
        <w:rPr>
          <w:noProof/>
          <w:u w:color="000000"/>
          <w:bdr w:val="nil"/>
        </w:rPr>
        <w:t>•</w:t>
      </w:r>
      <w:r>
        <w:rPr>
          <w:noProof/>
          <w:u w:color="000000"/>
          <w:bdr w:val="nil"/>
        </w:rPr>
        <w:tab/>
        <w:t>Subsidiarity (for non-exclusive competence)</w:t>
      </w:r>
    </w:p>
    <w:p>
      <w:pPr>
        <w:pBdr>
          <w:top w:val="nil"/>
          <w:left w:val="nil"/>
          <w:bottom w:val="nil"/>
          <w:right w:val="nil"/>
          <w:between w:val="nil"/>
          <w:bar w:val="nil"/>
        </w:pBdr>
        <w:spacing w:before="0" w:after="240"/>
        <w:rPr>
          <w:rFonts w:eastAsia="Arial Unicode MS"/>
          <w:noProof/>
        </w:rPr>
      </w:pPr>
      <w:r>
        <w:rPr>
          <w:noProof/>
        </w:rPr>
        <w:t>The specific constraints on the socio-economic development of the outermost regions cannot be adequately addressed by the Member States and outermost regions alone, as the outermost regions need cross-cutting measures at EU level, in particular when their specific challenges have a transregional and/or transnational dimension or require existing EU sectoral legislation to be adapted or streamlined.</w:t>
      </w:r>
    </w:p>
    <w:p>
      <w:pPr>
        <w:pStyle w:val="ManualHeading2"/>
        <w:rPr>
          <w:noProof/>
          <w:u w:color="000000"/>
          <w:bdr w:val="nil"/>
        </w:rPr>
      </w:pPr>
      <w:r>
        <w:rPr>
          <w:noProof/>
          <w:u w:color="000000"/>
          <w:bdr w:val="nil"/>
        </w:rPr>
        <w:t>•</w:t>
      </w:r>
      <w:r>
        <w:rPr>
          <w:noProof/>
          <w:u w:color="000000"/>
          <w:bdr w:val="nil"/>
        </w:rPr>
        <w:tab/>
        <w:t>Proportionality</w:t>
      </w:r>
    </w:p>
    <w:p>
      <w:pPr>
        <w:pBdr>
          <w:top w:val="nil"/>
          <w:left w:val="nil"/>
          <w:bottom w:val="nil"/>
          <w:right w:val="nil"/>
          <w:between w:val="nil"/>
          <w:bar w:val="nil"/>
        </w:pBdr>
        <w:spacing w:before="0" w:after="240"/>
        <w:rPr>
          <w:rFonts w:eastAsia="Arial Unicode MS"/>
          <w:noProof/>
        </w:rPr>
      </w:pPr>
      <w:r>
        <w:rPr>
          <w:noProof/>
        </w:rPr>
        <w:t>The proposal adapts EU law provisions to the unique characteristics of the outermost regions, as recognised in Article 349 TFUE, to the extent strictly necessary to address the identified regulatory issues. The overall impact of achieving the objectives of the underlying EU sectoral legislation to be simplified or on the EU as a whole is therefore minimal.</w:t>
      </w:r>
    </w:p>
    <w:p>
      <w:pPr>
        <w:pStyle w:val="ManualHeading2"/>
        <w:rPr>
          <w:noProof/>
          <w:u w:color="000000"/>
          <w:bdr w:val="nil"/>
        </w:rPr>
      </w:pPr>
      <w:r>
        <w:rPr>
          <w:noProof/>
          <w:u w:color="000000"/>
          <w:bdr w:val="nil"/>
        </w:rPr>
        <w:t>•</w:t>
      </w:r>
      <w:r>
        <w:rPr>
          <w:noProof/>
          <w:u w:color="000000"/>
          <w:bdr w:val="nil"/>
        </w:rPr>
        <w:tab/>
        <w:t>Choice of the instrument</w:t>
      </w:r>
    </w:p>
    <w:p>
      <w:pPr>
        <w:pBdr>
          <w:top w:val="nil"/>
          <w:left w:val="nil"/>
          <w:bottom w:val="nil"/>
          <w:right w:val="nil"/>
          <w:between w:val="nil"/>
          <w:bar w:val="nil"/>
        </w:pBdr>
        <w:spacing w:before="0" w:after="240"/>
        <w:rPr>
          <w:rFonts w:eastAsia="Arial Unicode MS"/>
          <w:noProof/>
        </w:rPr>
      </w:pPr>
      <w:r>
        <w:rPr>
          <w:noProof/>
        </w:rPr>
        <w:t>This proposal is composed of a Council decision that amends Council Decision 2021/991.</w:t>
      </w:r>
    </w:p>
    <w:p>
      <w:pPr>
        <w:pStyle w:val="ManualHeading1"/>
        <w:rPr>
          <w:noProof/>
        </w:rPr>
      </w:pPr>
      <w:r>
        <w:rPr>
          <w:noProof/>
        </w:rPr>
        <w:t>3.</w:t>
      </w:r>
      <w:r>
        <w:rPr>
          <w:noProof/>
        </w:rPr>
        <w:tab/>
        <w:t xml:space="preserve">RESULTS OF </w:t>
      </w:r>
      <w:r>
        <w:rPr>
          <w:i/>
          <w:noProof/>
        </w:rPr>
        <w:t>EX POST</w:t>
      </w:r>
      <w:r>
        <w:rPr>
          <w:noProof/>
        </w:rPr>
        <w:t xml:space="preserve"> EVALUATIONS, STAKEHOLDER CONSULTATIONS AND IMPACT ASSESSMENTS</w:t>
      </w:r>
    </w:p>
    <w:p>
      <w:pPr>
        <w:pStyle w:val="ManualHeading2"/>
        <w:rPr>
          <w:noProof/>
          <w:u w:color="000000"/>
          <w:bdr w:val="nil"/>
        </w:rPr>
      </w:pPr>
      <w:r>
        <w:rPr>
          <w:noProof/>
          <w:u w:color="000000"/>
          <w:bdr w:val="nil"/>
        </w:rPr>
        <w:t>•</w:t>
      </w:r>
      <w:r>
        <w:rPr>
          <w:noProof/>
          <w:u w:color="000000"/>
          <w:bdr w:val="nil"/>
        </w:rPr>
        <w:tab/>
      </w:r>
      <w:r>
        <w:rPr>
          <w:rFonts w:eastAsia="Arial Unicode MS"/>
          <w:i/>
          <w:noProof/>
          <w:u w:color="000000"/>
          <w:bdr w:val="nil"/>
          <w:lang w:eastAsia="en-GB"/>
        </w:rPr>
        <w:t>Ex post</w:t>
      </w:r>
      <w:r>
        <w:rPr>
          <w:noProof/>
          <w:u w:color="000000"/>
          <w:bdr w:val="nil"/>
        </w:rPr>
        <w:t xml:space="preserve"> evaluations/fitness checks of existing legislation</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noProof/>
          <w:u w:color="000000"/>
          <w:bdr w:val="nil"/>
        </w:rPr>
      </w:pPr>
      <w:r>
        <w:rPr>
          <w:noProof/>
          <w:u w:color="000000"/>
          <w:bdr w:val="nil"/>
        </w:rPr>
        <w:t>•</w:t>
      </w:r>
      <w:r>
        <w:rPr>
          <w:noProof/>
          <w:u w:color="000000"/>
          <w:bdr w:val="nil"/>
        </w:rPr>
        <w:tab/>
        <w:t>Stakeholder consultations</w:t>
      </w:r>
    </w:p>
    <w:p>
      <w:pPr>
        <w:rPr>
          <w:noProof/>
        </w:rPr>
      </w:pPr>
      <w:r>
        <w:rPr>
          <w:noProof/>
        </w:rPr>
        <w:t>The Commission has engaged in a broad consultation with stakeholders, public authorities and businesses, Member States, and citizens.</w:t>
      </w:r>
    </w:p>
    <w:p>
      <w:pPr>
        <w:rPr>
          <w:noProof/>
        </w:rPr>
      </w:pPr>
      <w:r>
        <w:rPr>
          <w:noProof/>
        </w:rPr>
        <w:t>The following consultation activities were carried out to prepare this proposal:</w:t>
      </w:r>
    </w:p>
    <w:p>
      <w:pPr>
        <w:pStyle w:val="Tiret0"/>
        <w:numPr>
          <w:ilvl w:val="0"/>
          <w:numId w:val="9"/>
        </w:numPr>
        <w:rPr>
          <w:noProof/>
        </w:rPr>
      </w:pPr>
      <w:r>
        <w:rPr>
          <w:noProof/>
        </w:rPr>
        <w:t>targeted consultation of the public authorities of the nine outermost regions and the governments of the relevant Member States (France, Spain and Portugal);</w:t>
      </w:r>
    </w:p>
    <w:p>
      <w:pPr>
        <w:pStyle w:val="Tiret0"/>
        <w:rPr>
          <w:noProof/>
        </w:rPr>
      </w:pPr>
      <w:r>
        <w:rPr>
          <w:noProof/>
        </w:rPr>
        <w:t>high-level forum with the outermost regions’ Presidents and representatives from the relevant Member States at ministerial level;</w:t>
      </w:r>
    </w:p>
    <w:p>
      <w:pPr>
        <w:pStyle w:val="Tiret0"/>
        <w:rPr>
          <w:noProof/>
        </w:rPr>
      </w:pPr>
      <w:r>
        <w:rPr>
          <w:noProof/>
        </w:rPr>
        <w:t>call for evidence to gather feedback;</w:t>
      </w:r>
    </w:p>
    <w:p>
      <w:pPr>
        <w:pStyle w:val="Tiret0"/>
        <w:rPr>
          <w:noProof/>
        </w:rPr>
      </w:pPr>
      <w:r>
        <w:rPr>
          <w:noProof/>
        </w:rPr>
        <w:t>implementation dialogue (on 21 April 2026 in Brussels and online), gathering stakeholders from the nine outermost regions.</w:t>
      </w:r>
    </w:p>
    <w:p>
      <w:pPr>
        <w:rPr>
          <w:noProof/>
        </w:rPr>
      </w:pPr>
      <w:r>
        <w:rPr>
          <w:noProof/>
        </w:rPr>
        <w:t xml:space="preserve">The Commission published the call for evidence on the regulatory package on the ‘Have your say’ website: </w:t>
      </w:r>
      <w:hyperlink r:id="rId18">
        <w:r>
          <w:rPr>
            <w:rStyle w:val="Hyperlink"/>
            <w:noProof/>
          </w:rPr>
          <w:t>Regulatory simplification package for the EU’s outermost regions</w:t>
        </w:r>
      </w:hyperlink>
      <w:r>
        <w:rPr>
          <w:noProof/>
        </w:rPr>
        <w:t>. The feedback period was from 17 November 2025 until 12 January 2026. All feedback is published on the ‘Have your say’ website.</w:t>
      </w:r>
    </w:p>
    <w:p>
      <w:pPr>
        <w:pStyle w:val="ManualHeading2"/>
        <w:tabs>
          <w:tab w:val="clear" w:pos="850"/>
        </w:tabs>
        <w:ind w:left="0" w:firstLine="0"/>
        <w:rPr>
          <w:noProof/>
          <w:kern w:val="2"/>
          <w:szCs w:val="24"/>
          <w:lang w:val="en-US"/>
          <w14:ligatures w14:val="standardContextual"/>
        </w:rPr>
      </w:pPr>
      <w:r>
        <w:rPr>
          <w:noProof/>
          <w:kern w:val="2"/>
          <w:szCs w:val="24"/>
          <w:lang w:val="en-US"/>
          <w14:ligatures w14:val="standardContextual"/>
        </w:rPr>
        <w:t xml:space="preserve">The call received 137 contributions from a total of </w:t>
      </w:r>
      <w:r>
        <w:rPr>
          <w:b w:val="0"/>
          <w:noProof/>
          <w:kern w:val="2"/>
          <w:szCs w:val="24"/>
          <w:lang w:val="en-US"/>
          <w14:ligatures w14:val="standardContextual"/>
        </w:rPr>
        <w:t>91 participants</w:t>
      </w:r>
      <w:r>
        <w:rPr>
          <w:noProof/>
          <w:kern w:val="2"/>
          <w:szCs w:val="24"/>
          <w:lang w:val="en-US"/>
          <w14:ligatures w14:val="standardContextual"/>
        </w:rPr>
        <w:t xml:space="preserve"> representing a wide range of stakeholder groups. After the deadline, </w:t>
      </w:r>
      <w:r>
        <w:rPr>
          <w:b w:val="0"/>
          <w:noProof/>
          <w:kern w:val="2"/>
          <w:szCs w:val="24"/>
          <w:lang w:val="en-US"/>
          <w14:ligatures w14:val="standardContextual"/>
        </w:rPr>
        <w:t>four additional</w:t>
      </w:r>
      <w:r>
        <w:rPr>
          <w:noProof/>
          <w:kern w:val="2"/>
          <w:szCs w:val="24"/>
          <w:lang w:val="en-US"/>
          <w14:ligatures w14:val="standardContextual"/>
        </w:rPr>
        <w:t xml:space="preserve"> contributions were submitted by email and were also taken into consideration. This amounts to a total of </w:t>
      </w:r>
      <w:r>
        <w:rPr>
          <w:b w:val="0"/>
          <w:noProof/>
          <w:kern w:val="2"/>
          <w:szCs w:val="24"/>
          <w:lang w:val="en-US"/>
          <w14:ligatures w14:val="standardContextual"/>
        </w:rPr>
        <w:t>95 contributors</w:t>
      </w:r>
      <w:r>
        <w:rPr>
          <w:noProof/>
          <w:kern w:val="2"/>
          <w:szCs w:val="24"/>
          <w:lang w:val="en-US"/>
          <w14:ligatures w14:val="standardContextual"/>
        </w:rPr>
        <w:t xml:space="preserve">. </w:t>
      </w:r>
    </w:p>
    <w:p>
      <w:pPr>
        <w:pStyle w:val="ManualHeading2"/>
        <w:tabs>
          <w:tab w:val="clear" w:pos="850"/>
        </w:tabs>
        <w:ind w:left="0" w:firstLine="0"/>
        <w:rPr>
          <w:noProof/>
          <w:bdr w:val="nil"/>
        </w:rPr>
      </w:pPr>
      <w:r>
        <w:rPr>
          <w:noProof/>
          <w:bdr w:val="nil"/>
        </w:rPr>
        <w:t>•</w:t>
      </w:r>
      <w:r>
        <w:rPr>
          <w:noProof/>
          <w:u w:color="000000"/>
          <w:bdr w:val="nil"/>
        </w:rPr>
        <w:tab/>
      </w:r>
      <w:r>
        <w:rPr>
          <w:noProof/>
          <w:bdr w:val="nil"/>
        </w:rPr>
        <w:t>Collection and use of expertise</w:t>
      </w:r>
    </w:p>
    <w:p>
      <w:pPr>
        <w:rPr>
          <w:noProof/>
        </w:rPr>
      </w:pPr>
      <w:r>
        <w:rPr>
          <w:noProof/>
        </w:rPr>
        <w:t>Evidence of the potential of more effective and consistent application of Article 349 TFEU for adapting EU laws, policies and programmes to the constraints of outermost regions and increasing their access to the internal market through a simplified, more flexible and tailor-made approach can be also found in recent research and reports containing analytical data and recommendations, including:</w:t>
      </w:r>
    </w:p>
    <w:p>
      <w:pPr>
        <w:pStyle w:val="Tiret0"/>
        <w:rPr>
          <w:noProof/>
        </w:rPr>
      </w:pPr>
      <w:r>
        <w:rPr>
          <w:noProof/>
        </w:rPr>
        <w:t>the Commission’s report on the implementation of the 2022 ‘Communication on a Strategy for the Outermost Regions’</w:t>
      </w:r>
      <w:r>
        <w:rPr>
          <w:rStyle w:val="FootnoteReference"/>
          <w:noProof/>
        </w:rPr>
        <w:footnoteReference w:id="6"/>
      </w:r>
      <w:r>
        <w:rPr>
          <w:noProof/>
        </w:rPr>
        <w:t xml:space="preserve"> and the related staff working document</w:t>
      </w:r>
      <w:r>
        <w:rPr>
          <w:rStyle w:val="FootnoteReference"/>
          <w:noProof/>
        </w:rPr>
        <w:footnoteReference w:id="7"/>
      </w:r>
    </w:p>
    <w:p>
      <w:pPr>
        <w:pStyle w:val="Tiret0"/>
        <w:rPr>
          <w:noProof/>
        </w:rPr>
      </w:pPr>
      <w:r>
        <w:rPr>
          <w:noProof/>
        </w:rPr>
        <w:t>the study on living conditions and access to selected basic needs in outermost regions</w:t>
      </w:r>
      <w:r>
        <w:rPr>
          <w:rStyle w:val="FootnoteReference"/>
          <w:noProof/>
        </w:rPr>
        <w:footnoteReference w:id="8"/>
      </w:r>
    </w:p>
    <w:p>
      <w:pPr>
        <w:pStyle w:val="Tiret0"/>
        <w:rPr>
          <w:noProof/>
        </w:rPr>
      </w:pPr>
      <w:r>
        <w:rPr>
          <w:noProof/>
        </w:rPr>
        <w:t>the study on the impact of COVID-19 in the outermost regions</w:t>
      </w:r>
      <w:r>
        <w:rPr>
          <w:rStyle w:val="FootnoteReference"/>
          <w:noProof/>
        </w:rPr>
        <w:footnoteReference w:id="9"/>
      </w:r>
    </w:p>
    <w:p>
      <w:pPr>
        <w:pStyle w:val="Tiret0"/>
        <w:rPr>
          <w:noProof/>
        </w:rPr>
      </w:pPr>
      <w:r>
        <w:rPr>
          <w:noProof/>
        </w:rPr>
        <w:t>the study on the collection stock data on fisheries in outermost regions</w:t>
      </w:r>
      <w:r>
        <w:rPr>
          <w:rStyle w:val="FootnoteReference"/>
          <w:noProof/>
        </w:rPr>
        <w:footnoteReference w:id="10"/>
      </w:r>
    </w:p>
    <w:p>
      <w:pPr>
        <w:pStyle w:val="Tiret0"/>
        <w:rPr>
          <w:noProof/>
        </w:rPr>
      </w:pPr>
      <w:r>
        <w:rPr>
          <w:noProof/>
        </w:rPr>
        <w:t>the support study on the ‘programme of options specifically relating to remoteness and insularity’ (POSEI) in relation to the outermost regions</w:t>
      </w:r>
      <w:r>
        <w:rPr>
          <w:rStyle w:val="FootnoteReference"/>
          <w:noProof/>
        </w:rPr>
        <w:footnoteReference w:id="11"/>
      </w:r>
    </w:p>
    <w:p>
      <w:pPr>
        <w:pStyle w:val="Tiret0"/>
        <w:rPr>
          <w:noProof/>
        </w:rPr>
      </w:pPr>
      <w:r>
        <w:rPr>
          <w:noProof/>
        </w:rPr>
        <w:t>relevant OECD studies on the outermost regions</w:t>
      </w:r>
      <w:r>
        <w:rPr>
          <w:rStyle w:val="FootnoteReference"/>
          <w:noProof/>
        </w:rPr>
        <w:footnoteReference w:id="12"/>
      </w:r>
    </w:p>
    <w:p>
      <w:pPr>
        <w:pStyle w:val="Tiret0"/>
        <w:pBdr>
          <w:bar w:val="nil"/>
        </w:pBdr>
        <w:rPr>
          <w:noProof/>
        </w:rPr>
      </w:pPr>
      <w:r>
        <w:rPr>
          <w:noProof/>
        </w:rPr>
        <w:t>studies from other EU institutions, academia, relevant stakeholders and NGOs.</w:t>
      </w:r>
    </w:p>
    <w:p>
      <w:pPr>
        <w:pStyle w:val="ManualHeading2"/>
        <w:rPr>
          <w:noProof/>
          <w:u w:color="000000"/>
          <w:bdr w:val="nil"/>
        </w:rPr>
      </w:pPr>
      <w:r>
        <w:rPr>
          <w:noProof/>
          <w:u w:color="000000"/>
          <w:bdr w:val="nil"/>
        </w:rPr>
        <w:t>•</w:t>
      </w:r>
      <w:r>
        <w:rPr>
          <w:noProof/>
          <w:u w:color="000000"/>
          <w:bdr w:val="nil"/>
        </w:rPr>
        <w:tab/>
        <w:t>Impact assessment</w:t>
      </w:r>
    </w:p>
    <w:p>
      <w:pPr>
        <w:rPr>
          <w:noProof/>
        </w:rPr>
      </w:pPr>
      <w:r>
        <w:rPr>
          <w:noProof/>
        </w:rPr>
        <w:t>An impact assessment was not prepared for this proposal due to the targeted and limited scope of the proposed amendments, which apply exclusively to five French outermost regions (Guadeloupe, French Guiana, Martinique, Mayotte and Réunion). The proposed amendment is based on:</w:t>
      </w:r>
    </w:p>
    <w:p>
      <w:pPr>
        <w:pStyle w:val="Tiret0"/>
        <w:rPr>
          <w:noProof/>
        </w:rPr>
      </w:pPr>
      <w:r>
        <w:rPr>
          <w:noProof/>
        </w:rPr>
        <w:t>unique geographical, climatic situation that justifies a tailored adaptation to EU legislation;</w:t>
      </w:r>
    </w:p>
    <w:p>
      <w:pPr>
        <w:pStyle w:val="Tiret0"/>
        <w:rPr>
          <w:noProof/>
        </w:rPr>
      </w:pPr>
      <w:r>
        <w:rPr>
          <w:noProof/>
        </w:rPr>
        <w:t>existing impact assessments for the underlying legislation</w:t>
      </w:r>
      <w:r>
        <w:rPr>
          <w:rStyle w:val="FootnoteReference"/>
          <w:noProof/>
        </w:rPr>
        <w:footnoteReference w:id="13"/>
      </w:r>
      <w:r>
        <w:rPr>
          <w:noProof/>
        </w:rPr>
        <w:t>;</w:t>
      </w:r>
    </w:p>
    <w:p>
      <w:pPr>
        <w:pStyle w:val="Tiret0"/>
        <w:rPr>
          <w:noProof/>
        </w:rPr>
      </w:pPr>
      <w:r>
        <w:rPr>
          <w:noProof/>
        </w:rPr>
        <w:t>Commission studies and reports providing evidence on the regions support needs</w:t>
      </w:r>
      <w:r>
        <w:rPr>
          <w:rStyle w:val="FootnoteReference"/>
          <w:noProof/>
        </w:rPr>
        <w:footnoteReference w:id="14"/>
      </w:r>
      <w:r>
        <w:rPr>
          <w:noProof/>
        </w:rPr>
        <w:t>;</w:t>
      </w:r>
    </w:p>
    <w:p>
      <w:pPr>
        <w:pStyle w:val="Tiret0"/>
        <w:rPr>
          <w:noProof/>
          <w:lang w:val="en-IE" w:eastAsia="en-IE"/>
        </w:rPr>
      </w:pPr>
      <w:r>
        <w:rPr>
          <w:noProof/>
          <w:lang w:eastAsia="en-IE"/>
        </w:rPr>
        <w:t>t</w:t>
      </w:r>
      <w:r>
        <w:rPr>
          <w:noProof/>
          <w:lang w:val="en-IE" w:eastAsia="en-IE"/>
        </w:rPr>
        <w:t>he limited policy alternatives, as maintaining the status quo would have a negative impact on the development of these regions.</w:t>
      </w:r>
    </w:p>
    <w:p>
      <w:pPr>
        <w:pBdr>
          <w:top w:val="nil"/>
          <w:left w:val="nil"/>
          <w:bottom w:val="nil"/>
          <w:right w:val="nil"/>
          <w:between w:val="nil"/>
          <w:bar w:val="nil"/>
        </w:pBdr>
        <w:spacing w:before="0" w:after="240"/>
        <w:rPr>
          <w:noProof/>
        </w:rPr>
      </w:pPr>
      <w:r>
        <w:rPr>
          <w:noProof/>
        </w:rPr>
        <w:t>The proposal does not introduce substantive policy changes but instead adapts existing legislation on a specific, targeted issue without affecting the Union’s broader objectives. A staff working document accompanies the proposal, providing justification for its elements and data on expected impacts where available. The contributions received under the Call for Evidence have made it possible to substantiate the changes proposed with relevant background data and information.</w:t>
      </w:r>
    </w:p>
    <w:p>
      <w:pPr>
        <w:pStyle w:val="ManualHeading2"/>
        <w:rPr>
          <w:noProof/>
          <w:bdr w:val="nil"/>
        </w:rPr>
      </w:pPr>
      <w:r>
        <w:rPr>
          <w:noProof/>
          <w:bdr w:val="nil"/>
        </w:rPr>
        <w:t>•</w:t>
      </w:r>
      <w:r>
        <w:rPr>
          <w:noProof/>
          <w:u w:color="000000"/>
          <w:bdr w:val="nil"/>
        </w:rPr>
        <w:tab/>
      </w:r>
      <w:r>
        <w:rPr>
          <w:noProof/>
          <w:bdr w:val="nil"/>
        </w:rPr>
        <w:t>Regulatory fitness and simplification</w:t>
      </w:r>
    </w:p>
    <w:p>
      <w:pPr>
        <w:pBdr>
          <w:top w:val="nil"/>
          <w:left w:val="nil"/>
          <w:bottom w:val="nil"/>
          <w:right w:val="nil"/>
          <w:between w:val="nil"/>
          <w:bar w:val="nil"/>
        </w:pBdr>
        <w:spacing w:before="0" w:after="240"/>
        <w:rPr>
          <w:rFonts w:eastAsia="Arial Unicode MS"/>
          <w:noProof/>
        </w:rPr>
      </w:pPr>
      <w:r>
        <w:rPr>
          <w:noProof/>
        </w:rPr>
        <w:t>This proposal is designed to address bottlenecks in EU legislation with regard to the specific constraints of the outermost regions.</w:t>
      </w:r>
    </w:p>
    <w:p>
      <w:pPr>
        <w:pStyle w:val="ManualHeading2"/>
        <w:rPr>
          <w:noProof/>
          <w:u w:color="000000"/>
          <w:bdr w:val="nil"/>
        </w:rPr>
      </w:pPr>
      <w:r>
        <w:rPr>
          <w:noProof/>
          <w:u w:color="000000"/>
          <w:bdr w:val="nil"/>
        </w:rPr>
        <w:t>•</w:t>
      </w:r>
      <w:r>
        <w:rPr>
          <w:noProof/>
          <w:u w:color="000000"/>
          <w:bdr w:val="nil"/>
        </w:rPr>
        <w:tab/>
        <w:t>Fundamental rights</w:t>
      </w:r>
    </w:p>
    <w:p>
      <w:pPr>
        <w:pBdr>
          <w:top w:val="nil"/>
          <w:left w:val="nil"/>
          <w:bottom w:val="nil"/>
          <w:right w:val="nil"/>
          <w:between w:val="nil"/>
          <w:bar w:val="nil"/>
        </w:pBdr>
        <w:spacing w:before="0" w:after="240"/>
        <w:rPr>
          <w:rFonts w:eastAsia="Arial Unicode MS"/>
          <w:noProof/>
        </w:rPr>
      </w:pPr>
      <w:r>
        <w:rPr>
          <w:noProof/>
          <w:color w:val="000000" w:themeColor="text1"/>
        </w:rPr>
        <w:t>This decision will be implemented in accordance with the Charter of Fundamental Rights.</w:t>
      </w:r>
    </w:p>
    <w:p>
      <w:pPr>
        <w:pStyle w:val="ManualHeading1"/>
        <w:rPr>
          <w:noProof/>
        </w:rPr>
      </w:pPr>
      <w:r>
        <w:rPr>
          <w:noProof/>
        </w:rPr>
        <w:t>4.</w:t>
      </w:r>
      <w:r>
        <w:rPr>
          <w:noProof/>
        </w:rPr>
        <w:tab/>
        <w:t>BUDGETARY IMPLICATIONS</w:t>
      </w:r>
    </w:p>
    <w:p>
      <w:pPr>
        <w:pBdr>
          <w:top w:val="nil"/>
          <w:left w:val="nil"/>
          <w:bottom w:val="nil"/>
          <w:right w:val="nil"/>
          <w:between w:val="nil"/>
          <w:bar w:val="nil"/>
        </w:pBdr>
        <w:spacing w:before="0" w:after="240"/>
        <w:rPr>
          <w:rFonts w:eastAsia="Arial Unicode MS"/>
          <w:noProof/>
        </w:rPr>
      </w:pPr>
      <w:r>
        <w:rPr>
          <w:noProof/>
        </w:rPr>
        <w:t>The proposal has no impact on the budget of the European Union.</w:t>
      </w:r>
    </w:p>
    <w:p>
      <w:pPr>
        <w:pStyle w:val="ManualHeading1"/>
        <w:rPr>
          <w:noProof/>
        </w:rPr>
      </w:pPr>
      <w:r>
        <w:rPr>
          <w:noProof/>
        </w:rPr>
        <w:t>5.</w:t>
      </w:r>
      <w:r>
        <w:rPr>
          <w:noProof/>
        </w:rPr>
        <w:tab/>
        <w:t>OTHER ELEMENTS</w:t>
      </w:r>
    </w:p>
    <w:p>
      <w:pPr>
        <w:pStyle w:val="ManualHeading2"/>
        <w:rPr>
          <w:noProof/>
          <w:u w:color="000000"/>
          <w:bdr w:val="nil"/>
        </w:rPr>
      </w:pPr>
      <w:r>
        <w:rPr>
          <w:noProof/>
          <w:u w:color="000000"/>
          <w:bdr w:val="nil"/>
        </w:rPr>
        <w:t>•</w:t>
      </w:r>
      <w:r>
        <w:rPr>
          <w:noProof/>
          <w:u w:color="000000"/>
          <w:bdr w:val="nil"/>
        </w:rPr>
        <w:tab/>
        <w:t>Implementation plans and monitoring, evaluation and reporting arrangements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noProof/>
          <w:u w:color="000000"/>
          <w:bdr w:val="nil"/>
        </w:rPr>
      </w:pPr>
      <w:r>
        <w:rPr>
          <w:noProof/>
          <w:u w:color="000000"/>
          <w:bdr w:val="nil"/>
        </w:rPr>
        <w:t>•</w:t>
      </w:r>
      <w:r>
        <w:rPr>
          <w:noProof/>
          <w:u w:color="000000"/>
          <w:bdr w:val="nil"/>
        </w:rPr>
        <w:tab/>
        <w:t>Explanatory documents (for directives)</w:t>
      </w:r>
    </w:p>
    <w:p>
      <w:pPr>
        <w:pBdr>
          <w:top w:val="nil"/>
          <w:left w:val="nil"/>
          <w:bottom w:val="nil"/>
          <w:right w:val="nil"/>
          <w:between w:val="nil"/>
          <w:bar w:val="nil"/>
        </w:pBdr>
        <w:spacing w:before="0" w:after="240"/>
        <w:rPr>
          <w:rFonts w:eastAsia="Arial Unicode MS"/>
          <w:noProof/>
        </w:rPr>
      </w:pPr>
      <w:r>
        <w:rPr>
          <w:noProof/>
        </w:rPr>
        <w:t>Not applicable.</w:t>
      </w:r>
    </w:p>
    <w:p>
      <w:pPr>
        <w:pStyle w:val="ManualHeading2"/>
        <w:rPr>
          <w:noProof/>
          <w:u w:color="000000"/>
          <w:bdr w:val="nil"/>
        </w:rPr>
      </w:pPr>
      <w:r>
        <w:rPr>
          <w:noProof/>
          <w:u w:color="000000"/>
          <w:bdr w:val="nil"/>
        </w:rPr>
        <w:t>•</w:t>
      </w:r>
      <w:r>
        <w:rPr>
          <w:noProof/>
          <w:u w:color="000000"/>
          <w:bdr w:val="nil"/>
        </w:rPr>
        <w:tab/>
        <w:t>Detailed explanation of the specific provisions of the proposal</w:t>
      </w:r>
    </w:p>
    <w:p>
      <w:pPr>
        <w:rPr>
          <w:noProof/>
        </w:rPr>
      </w:pPr>
      <w:r>
        <w:rPr>
          <w:noProof/>
        </w:rPr>
        <w:t>The proposal for a Council decision amends Council Decision (EU) 2021/991 as follows:</w:t>
      </w:r>
    </w:p>
    <w:p>
      <w:pPr>
        <w:pStyle w:val="Tiret0"/>
        <w:rPr>
          <w:noProof/>
        </w:rPr>
      </w:pPr>
      <w:r>
        <w:rPr>
          <w:noProof/>
        </w:rPr>
        <w:t>adds the following new tariff code for the outermost region of Guadeloupe to Annex I: plastics and articles thereof (3921 11 00);</w:t>
      </w:r>
    </w:p>
    <w:p>
      <w:pPr>
        <w:pStyle w:val="Tiret0"/>
        <w:rPr>
          <w:noProof/>
        </w:rPr>
      </w:pPr>
      <w:r>
        <w:rPr>
          <w:noProof/>
        </w:rPr>
        <w:t>adds the following tariff codes for the outermost region of Réunion to Annex I: animal products (</w:t>
      </w:r>
      <w:r>
        <w:rPr>
          <w:noProof/>
          <w:lang w:val="en-IE"/>
        </w:rPr>
        <w:t>0511 91 90), vegetables</w:t>
      </w:r>
      <w:r>
        <w:rPr>
          <w:noProof/>
        </w:rPr>
        <w:t xml:space="preserve"> (</w:t>
      </w:r>
      <w:r>
        <w:rPr>
          <w:noProof/>
          <w:lang w:val="en-IE"/>
        </w:rPr>
        <w:t>0714 20 90</w:t>
      </w:r>
      <w:r>
        <w:rPr>
          <w:noProof/>
        </w:rPr>
        <w:t>), fats and oils (</w:t>
      </w:r>
      <w:r>
        <w:rPr>
          <w:noProof/>
          <w:lang w:val="en-IE"/>
        </w:rPr>
        <w:t xml:space="preserve">1517 90 91), cement </w:t>
      </w:r>
      <w:r>
        <w:rPr>
          <w:noProof/>
        </w:rPr>
        <w:t>(</w:t>
      </w:r>
      <w:r>
        <w:rPr>
          <w:noProof/>
          <w:lang w:val="en-IE"/>
        </w:rPr>
        <w:t>2523 29 00</w:t>
      </w:r>
      <w:r>
        <w:rPr>
          <w:noProof/>
        </w:rPr>
        <w:t>), chemicals (</w:t>
      </w:r>
      <w:r>
        <w:rPr>
          <w:noProof/>
          <w:lang w:val="en-IE"/>
        </w:rPr>
        <w:t>2804 30 00, 2811 21 00), articles of</w:t>
      </w:r>
      <w:r>
        <w:rPr>
          <w:noProof/>
        </w:rPr>
        <w:t xml:space="preserve"> paper and paperboard (4819), </w:t>
      </w:r>
      <w:r>
        <w:rPr>
          <w:noProof/>
          <w:lang w:val="en-IE"/>
        </w:rPr>
        <w:t>articles of iron and steel</w:t>
      </w:r>
      <w:r>
        <w:rPr>
          <w:noProof/>
        </w:rPr>
        <w:t xml:space="preserve"> (</w:t>
      </w:r>
      <w:r>
        <w:rPr>
          <w:noProof/>
          <w:lang w:val="en-IE"/>
        </w:rPr>
        <w:t>7306 90 00);</w:t>
      </w:r>
    </w:p>
    <w:p>
      <w:pPr>
        <w:pStyle w:val="Tiret0"/>
        <w:rPr>
          <w:noProof/>
        </w:rPr>
      </w:pPr>
      <w:r>
        <w:rPr>
          <w:noProof/>
        </w:rPr>
        <w:t xml:space="preserve">adds the following tariff codes for the outermost region of French Guiana to Annex I: </w:t>
      </w:r>
      <w:r>
        <w:rPr>
          <w:noProof/>
          <w:lang w:val="en-IE"/>
        </w:rPr>
        <w:t xml:space="preserve"> rice </w:t>
      </w:r>
      <w:r>
        <w:rPr>
          <w:noProof/>
        </w:rPr>
        <w:t>(</w:t>
      </w:r>
      <w:r>
        <w:rPr>
          <w:noProof/>
          <w:lang w:val="en-IE"/>
        </w:rPr>
        <w:t>1006 30 98, 1006 30 99, 1006 40 00</w:t>
      </w:r>
      <w:r>
        <w:rPr>
          <w:noProof/>
        </w:rPr>
        <w:t>), products of chemical or allied industries (</w:t>
      </w:r>
      <w:r>
        <w:rPr>
          <w:noProof/>
          <w:lang w:val="en-IE"/>
        </w:rPr>
        <w:t>3506 99 00, 3808 92</w:t>
      </w:r>
      <w:r>
        <w:rPr>
          <w:noProof/>
        </w:rPr>
        <w:t>), wood and articles of wood (</w:t>
      </w:r>
      <w:r>
        <w:rPr>
          <w:noProof/>
          <w:lang w:val="en-IE"/>
        </w:rPr>
        <w:t xml:space="preserve">4410 11 90, 4411 94 90), articles of </w:t>
      </w:r>
      <w:r>
        <w:rPr>
          <w:noProof/>
        </w:rPr>
        <w:t>paper and paperboard (</w:t>
      </w:r>
      <w:r>
        <w:rPr>
          <w:noProof/>
          <w:lang w:val="en-IE"/>
        </w:rPr>
        <w:t>4819 10 00);</w:t>
      </w:r>
    </w:p>
    <w:p>
      <w:pPr>
        <w:pStyle w:val="Tiret0"/>
        <w:rPr>
          <w:noProof/>
        </w:rPr>
      </w:pPr>
      <w:r>
        <w:rPr>
          <w:noProof/>
        </w:rPr>
        <w:t xml:space="preserve">adds the following tariff codes for the outermost region of Martinique to Annex I: animal </w:t>
      </w:r>
      <w:r>
        <w:rPr>
          <w:noProof/>
          <w:lang w:val="en-IE"/>
        </w:rPr>
        <w:t>products (0209 10</w:t>
      </w:r>
      <w:r>
        <w:rPr>
          <w:noProof/>
        </w:rPr>
        <w:t>), wood and articles of wood (</w:t>
      </w:r>
      <w:r>
        <w:rPr>
          <w:noProof/>
          <w:lang w:val="en-IE"/>
        </w:rPr>
        <w:t>4404 10 00, 4411 94 90</w:t>
      </w:r>
      <w:r>
        <w:rPr>
          <w:noProof/>
        </w:rPr>
        <w:t>), glass and glassware (7005, 7007 29 00);</w:t>
      </w:r>
    </w:p>
    <w:p>
      <w:pPr>
        <w:pStyle w:val="Tiret0"/>
        <w:rPr>
          <w:rFonts w:ascii="Calibri" w:hAnsi="Calibri"/>
          <w:noProof/>
          <w:color w:val="000000" w:themeColor="text1"/>
        </w:rPr>
      </w:pPr>
      <w:r>
        <w:rPr>
          <w:noProof/>
        </w:rPr>
        <w:t>changes some codes in Annex I to four-digit tariff codes in some cases for the outermost regions of Guadeloupe, Réunion, French Guiana and Martinique for simplification purposes. These changes increase the scope of new products covered by Annex I;</w:t>
      </w:r>
    </w:p>
    <w:p>
      <w:pPr>
        <w:pStyle w:val="Tiret0"/>
        <w:rPr>
          <w:noProof/>
        </w:rPr>
      </w:pPr>
      <w:r>
        <w:rPr>
          <w:noProof/>
        </w:rPr>
        <w:t>aligns tariff codes in Annex I with the EU Combined Nomenclature;</w:t>
      </w:r>
    </w:p>
    <w:p>
      <w:pPr>
        <w:pStyle w:val="Tiret0"/>
        <w:rPr>
          <w:noProof/>
          <w:color w:val="000000" w:themeColor="text1"/>
        </w:rPr>
      </w:pPr>
      <w:r>
        <w:rPr>
          <w:noProof/>
        </w:rPr>
        <w:t xml:space="preserve">sets the duration of the scheme </w:t>
      </w:r>
      <w:r>
        <w:rPr>
          <w:noProof/>
          <w:color w:val="000000" w:themeColor="text1"/>
        </w:rPr>
        <w:t>until 31 December 2030</w:t>
      </w:r>
      <w:r>
        <w:rPr>
          <w:rFonts w:eastAsia="Times New Roman"/>
          <w:noProof/>
          <w:color w:val="000000" w:themeColor="text1"/>
        </w:rPr>
        <w:t>;</w:t>
      </w:r>
    </w:p>
    <w:p>
      <w:pPr>
        <w:pStyle w:val="Tiret0"/>
        <w:rPr>
          <w:noProof/>
          <w:color w:val="000000" w:themeColor="text1"/>
        </w:rPr>
      </w:pPr>
      <w:r>
        <w:rPr>
          <w:rFonts w:eastAsia="Times New Roman"/>
          <w:noProof/>
          <w:color w:val="000000" w:themeColor="text1"/>
        </w:rPr>
        <w:t>s</w:t>
      </w:r>
      <w:r>
        <w:rPr>
          <w:noProof/>
          <w:color w:val="000000" w:themeColor="text1"/>
        </w:rPr>
        <w:t xml:space="preserve">ets the deadline </w:t>
      </w:r>
      <w:r>
        <w:rPr>
          <w:rFonts w:eastAsia="Times New Roman"/>
          <w:noProof/>
          <w:color w:val="000000" w:themeColor="text1"/>
        </w:rPr>
        <w:t xml:space="preserve">for submitting </w:t>
      </w:r>
      <w:r>
        <w:rPr>
          <w:noProof/>
          <w:color w:val="000000" w:themeColor="text1"/>
        </w:rPr>
        <w:t xml:space="preserve">an evaluation report to the Commission </w:t>
      </w:r>
      <w:r>
        <w:rPr>
          <w:rFonts w:eastAsia="Times New Roman"/>
          <w:noProof/>
          <w:color w:val="000000" w:themeColor="text1"/>
        </w:rPr>
        <w:t xml:space="preserve">to </w:t>
      </w:r>
      <w:r>
        <w:rPr>
          <w:noProof/>
          <w:color w:val="000000" w:themeColor="text1"/>
        </w:rPr>
        <w:t>30 September 2028</w:t>
      </w:r>
      <w:r>
        <w:rPr>
          <w:rFonts w:eastAsia="Times New Roman"/>
          <w:noProof/>
          <w:color w:val="000000" w:themeColor="text1"/>
        </w:rPr>
        <w:t>;</w:t>
      </w:r>
    </w:p>
    <w:p>
      <w:pPr>
        <w:pStyle w:val="Tiret0"/>
        <w:spacing w:before="0" w:after="240"/>
        <w:rPr>
          <w:rFonts w:eastAsia="Arial Unicode MS"/>
          <w:noProof/>
        </w:rPr>
      </w:pPr>
      <w:r>
        <w:rPr>
          <w:rFonts w:eastAsia="Times New Roman"/>
          <w:noProof/>
          <w:color w:val="000000" w:themeColor="text1"/>
          <w:lang w:val="en-IE"/>
        </w:rPr>
        <w:t xml:space="preserve">updates </w:t>
      </w:r>
      <w:r>
        <w:rPr>
          <w:noProof/>
          <w:color w:val="000000" w:themeColor="text1"/>
        </w:rPr>
        <w:t xml:space="preserve">tables </w:t>
      </w:r>
      <w:r>
        <w:rPr>
          <w:rFonts w:eastAsia="Times New Roman"/>
          <w:noProof/>
          <w:color w:val="000000" w:themeColor="text1"/>
        </w:rPr>
        <w:t xml:space="preserve">in Annex II </w:t>
      </w:r>
      <w:r>
        <w:rPr>
          <w:noProof/>
          <w:color w:val="000000" w:themeColor="text1"/>
        </w:rPr>
        <w:t>for France to fill in for the evaluation report</w:t>
      </w:r>
      <w:r>
        <w:rPr>
          <w:rFonts w:eastAsia="Times New Roman"/>
          <w:noProof/>
          <w:color w:val="000000" w:themeColor="text1"/>
        </w:rPr>
        <w:t>;</w:t>
      </w:r>
    </w:p>
    <w:p>
      <w:pPr>
        <w:pStyle w:val="Tiret0"/>
        <w:spacing w:before="0" w:after="240"/>
        <w:rPr>
          <w:rFonts w:eastAsia="Arial Unicode MS"/>
          <w:noProof/>
        </w:rPr>
      </w:pPr>
      <w:r>
        <w:rPr>
          <w:noProof/>
        </w:rPr>
        <w:t>confers a delegated power on the Commission to update the list of eligible products following the adoption of the annual nomenclature, ensuring that the measures remain relevant and effective without the need for repeated legislative intervention.</w:t>
      </w:r>
    </w:p>
    <w:p>
      <w:pPr>
        <w:rPr>
          <w:noProof/>
        </w:rPr>
        <w:sectPr>
          <w:headerReference w:type="even" r:id="rId19"/>
          <w:footerReference w:type="even" r:id="rId20"/>
          <w:footerReference w:type="default" r:id="rId21"/>
          <w:headerReference w:type="first" r:id="rId22"/>
          <w:footerReference w:type="first" r:id="rId23"/>
          <w:footnotePr>
            <w:numRestart w:val="eachSect"/>
          </w:footnotePr>
          <w:pgSz w:w="11907" w:h="16839"/>
          <w:pgMar w:top="1134" w:right="1417" w:bottom="1134" w:left="1417" w:header="709" w:footer="709" w:gutter="0"/>
          <w:cols w:space="708"/>
          <w:docGrid w:linePitch="360"/>
        </w:sectPr>
      </w:pPr>
    </w:p>
    <w:p>
      <w:pPr>
        <w:pStyle w:val="Rfrenceinterinstitutionnelle"/>
        <w:rPr>
          <w:noProof/>
        </w:rPr>
      </w:pPr>
      <w:r>
        <w:rPr>
          <w:noProof/>
        </w:rPr>
        <w:t>2026/0260 (CNS)</w:t>
      </w:r>
    </w:p>
    <w:p>
      <w:pPr>
        <w:pStyle w:val="Statut"/>
        <w:rPr>
          <w:noProof/>
        </w:rPr>
      </w:pPr>
      <w:r>
        <w:rPr>
          <w:noProof/>
        </w:rPr>
        <w:t>Proposal for a</w:t>
      </w:r>
    </w:p>
    <w:p>
      <w:pPr>
        <w:pStyle w:val="Typedudocument"/>
        <w:rPr>
          <w:noProof/>
        </w:rPr>
      </w:pPr>
      <w:r>
        <w:rPr>
          <w:noProof/>
        </w:rPr>
        <w:t>COUNCIL DECISION</w:t>
      </w:r>
    </w:p>
    <w:p>
      <w:pPr>
        <w:pStyle w:val="Titreobjet"/>
        <w:rPr>
          <w:noProof/>
        </w:rPr>
      </w:pPr>
      <w:r>
        <w:rPr>
          <w:noProof/>
        </w:rPr>
        <w:t>amending Decision (EU) 2021/991 concerning the dock dues scheme in the French outermost regions</w:t>
      </w:r>
    </w:p>
    <w:p>
      <w:pPr>
        <w:pStyle w:val="Institutionquiagit"/>
        <w:rPr>
          <w:noProof/>
        </w:rPr>
      </w:pPr>
      <w:r>
        <w:rPr>
          <w:noProof/>
        </w:rPr>
        <w:t xml:space="preserve">THE COUNCIL OF THE EUROPEAN </w:t>
      </w:r>
      <w:smartTag w:uri="urn:schemas-microsoft-com:office:smarttags" w:element="place">
        <w:r>
          <w:rPr>
            <w:noProof/>
          </w:rPr>
          <w:t>UNION</w:t>
        </w:r>
      </w:smartTag>
      <w:r>
        <w:rPr>
          <w:noProof/>
        </w:rPr>
        <w:t>,</w:t>
      </w:r>
    </w:p>
    <w:p>
      <w:pPr>
        <w:rPr>
          <w:noProof/>
        </w:rPr>
      </w:pPr>
      <w:r>
        <w:rPr>
          <w:noProof/>
        </w:rPr>
        <w:t>Having regard to the Treaty on the Functioning of the European Union, and in particular Article 349 thereof,</w:t>
      </w:r>
    </w:p>
    <w:p>
      <w:pPr>
        <w:rPr>
          <w:noProof/>
        </w:rPr>
      </w:pPr>
      <w:r>
        <w:rPr>
          <w:noProof/>
        </w:rPr>
        <w:t>Having regard to the proposal from the European Commission,</w:t>
      </w:r>
    </w:p>
    <w:p>
      <w:pPr>
        <w:rPr>
          <w:noProof/>
        </w:rPr>
      </w:pPr>
      <w:r>
        <w:rPr>
          <w:noProof/>
        </w:rPr>
        <w:t>After transmission of the draft legislative act to the national parliaments,</w:t>
      </w:r>
    </w:p>
    <w:p>
      <w:pPr>
        <w:rPr>
          <w:noProof/>
        </w:rPr>
      </w:pPr>
      <w:r>
        <w:rPr>
          <w:noProof/>
        </w:rPr>
        <w:t>Having regard to the opinion of the European Parliament</w:t>
      </w:r>
      <w:r>
        <w:rPr>
          <w:rStyle w:val="FootnoteReference"/>
          <w:noProof/>
        </w:rPr>
        <w:footnoteReference w:id="15"/>
      </w:r>
      <w:r>
        <w:rPr>
          <w:noProof/>
        </w:rPr>
        <w:t>,</w:t>
      </w:r>
    </w:p>
    <w:p>
      <w:pPr>
        <w:jc w:val="left"/>
        <w:rPr>
          <w:noProof/>
        </w:rPr>
      </w:pPr>
      <w:r>
        <w:rPr>
          <w:noProof/>
        </w:rPr>
        <w:t>Acting in accordance with a special legislative procedure,</w:t>
      </w:r>
    </w:p>
    <w:p>
      <w:pPr>
        <w:rPr>
          <w:noProof/>
        </w:rPr>
      </w:pPr>
      <w:r>
        <w:rPr>
          <w:noProof/>
        </w:rPr>
        <w:t>Whereas:</w:t>
      </w:r>
    </w:p>
    <w:p>
      <w:pPr>
        <w:pStyle w:val="ManualConsidrant"/>
        <w:rPr>
          <w:noProof/>
        </w:rPr>
      </w:pPr>
      <w:r>
        <w:rPr>
          <w:noProof/>
        </w:rPr>
        <w:t>(1)</w:t>
      </w:r>
      <w:r>
        <w:rPr>
          <w:noProof/>
        </w:rPr>
        <w:tab/>
        <w:t>The Treaty provisions which apply to the French outermost regions in principle do not authorise any difference between the taxation of local products and the taxation of products from metropolitan France or the other Member States. However, Article 349 of the Treaty for the Functioning of the European Union provides for the possibility of introducing specific measures for outermost regions because of permanent constraints affecting their economic and social situation.</w:t>
      </w:r>
    </w:p>
    <w:p>
      <w:pPr>
        <w:pStyle w:val="ManualConsidrant"/>
        <w:rPr>
          <w:noProof/>
        </w:rPr>
      </w:pPr>
      <w:r>
        <w:rPr>
          <w:noProof/>
        </w:rPr>
        <w:t>(2)</w:t>
      </w:r>
      <w:r>
        <w:rPr>
          <w:noProof/>
        </w:rPr>
        <w:tab/>
        <w:t>The French outermost regions are severely constrained by their remoteness, insularity, small size, difficult topography, and climate. Their local economies depend largely on imports for raw materials and energy, require larger stockpiles, and have limited domestic markets with low export activity. Moreover, local authorities rely heavily on dock dues, which are taxes levied on imports of goods, regardless of their origin, as well as on the supply of goods made for consideration by persons engaged in production activities. The combination of those competitive disadvantages increases production costs. Therefore, the cost price of goods produced locally, without specific measures, would be less competitive than equivalent goods produced elsewhere, even considering the cost of transporting such goods to the French outermost regions. Consequently, targeted support is needed to sustain local production, thereby enhancing the competitiveness of local industries.</w:t>
      </w:r>
    </w:p>
    <w:p>
      <w:pPr>
        <w:pStyle w:val="ManualConsidrant"/>
        <w:rPr>
          <w:noProof/>
        </w:rPr>
      </w:pPr>
      <w:r>
        <w:rPr>
          <w:noProof/>
        </w:rPr>
        <w:t>(3)</w:t>
      </w:r>
      <w:r>
        <w:rPr>
          <w:noProof/>
        </w:rPr>
        <w:tab/>
        <w:t>To ensure the competitiveness of locally produced goods in the face of strong competition from imports, and thereby safeguard the viability of local production, Decision (EU) 2021/991</w:t>
      </w:r>
      <w:r>
        <w:rPr>
          <w:rStyle w:val="FootnoteReference"/>
          <w:noProof/>
        </w:rPr>
        <w:footnoteReference w:id="16"/>
      </w:r>
      <w:r>
        <w:rPr>
          <w:noProof/>
        </w:rPr>
        <w:t xml:space="preserve"> </w:t>
      </w:r>
      <w:bookmarkStart w:id="1" w:name="_Hlk229152501"/>
      <w:r>
        <w:rPr>
          <w:noProof/>
        </w:rPr>
        <w:t xml:space="preserve">authorises France to apply exemptions or reductions to dock dues for certain products for which local production exists </w:t>
      </w:r>
      <w:bookmarkEnd w:id="1"/>
      <w:r>
        <w:rPr>
          <w:noProof/>
        </w:rPr>
        <w:t>in the outermost regions of Guadeloupe, French Guiana, Martinique, Mayotte and Réunion until 31 December 2027. Annex I to that Decision lists the specific products eligible for tax exemptions or reductions. The difference in taxation between locally produced goods and other products is capped at 20 or 30 percentage points, depending on the product in question.</w:t>
      </w:r>
    </w:p>
    <w:p>
      <w:pPr>
        <w:pStyle w:val="ManualConsidrant"/>
        <w:rPr>
          <w:noProof/>
        </w:rPr>
      </w:pPr>
      <w:r>
        <w:rPr>
          <w:noProof/>
        </w:rPr>
        <w:t>(4)</w:t>
      </w:r>
      <w:r>
        <w:rPr>
          <w:noProof/>
        </w:rPr>
        <w:tab/>
        <w:t>France has requested an extension of the system established by Decision (EU) 2021/991 beyond 31 December 2027, and an update of the list in Annex I to that Decision to reflect changes in the Union Combined Nomenclature and to add new products to the list. France has explained that, although the competitive disadvantages of its outermost regions continue to exist, the tax arrangements established by Decision (EU) 2021/991 have made it possible to maintain and even, in certain cases, develop local production, without disrupting external trade or leading to overcompensation for the additional costs borne by enterprises. More concretely, France has submitted to the Commission a list of products for the outermost regions concerned, proposing a tax differential of up to 20 or 30 percentage points for each product. The French outermost region of Saint-Martin is not included in the request.</w:t>
      </w:r>
    </w:p>
    <w:p>
      <w:pPr>
        <w:pStyle w:val="ManualConsidrant"/>
        <w:rPr>
          <w:noProof/>
        </w:rPr>
      </w:pPr>
      <w:r>
        <w:rPr>
          <w:noProof/>
        </w:rPr>
        <w:t>(5)</w:t>
      </w:r>
      <w:r>
        <w:rPr>
          <w:noProof/>
        </w:rPr>
        <w:tab/>
        <w:t xml:space="preserve">France’s request should be considered justified because the Union Combined Nomenclature changes annually and therefore certain codes may become obsolete. Therefore, the codes should be updated and include a limited number of additional codes to ensure that the measures are consistent and effective. </w:t>
      </w:r>
    </w:p>
    <w:p>
      <w:pPr>
        <w:pStyle w:val="ManualConsidrant"/>
        <w:rPr>
          <w:noProof/>
        </w:rPr>
      </w:pPr>
      <w:r>
        <w:rPr>
          <w:noProof/>
        </w:rPr>
        <w:t>(6)</w:t>
      </w:r>
      <w:r>
        <w:rPr>
          <w:noProof/>
        </w:rPr>
        <w:tab/>
        <w:t>The duration of the scheme should be set until 31 December 2030 to provide legal certainty to economic operators and to support the competitiveness of goods produced locally in the concerned outermost regions. To enable the Commission to determine whether the grounds for the derogation still apply, France should submit an evaluation report to the Commission by 30 September 2028. Consequently, the tables in Annex II to Decision (EU) 2021/991 should be modified to include years until 2027.</w:t>
      </w:r>
    </w:p>
    <w:p>
      <w:pPr>
        <w:pStyle w:val="ManualConsidrant"/>
        <w:rPr>
          <w:noProof/>
        </w:rPr>
      </w:pPr>
      <w:r>
        <w:rPr>
          <w:noProof/>
        </w:rPr>
        <w:t>(7)</w:t>
      </w:r>
      <w:r>
        <w:rPr>
          <w:noProof/>
        </w:rPr>
        <w:tab/>
        <w:t>In order to ensure that the measures remain relevant and effective following annual updates of the Combined Nomenclature pursuant to Article 12 of Council Regulation (EEC) No 2658/87</w:t>
      </w:r>
      <w:r>
        <w:rPr>
          <w:rStyle w:val="FootnoteReference"/>
          <w:noProof/>
        </w:rPr>
        <w:footnoteReference w:id="17"/>
      </w:r>
      <w:r>
        <w:rPr>
          <w:noProof/>
        </w:rPr>
        <w:t>, the power to adopt acts in accordance with Article 290 of the Treaty on the Functioning of the European Union should be delegated to the Commission in respect of amending the list of products eligible for dock dues exemptions or reductions in the French outermost regions on an annual basis.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rStyle w:val="FootnoteReference"/>
          <w:noProof/>
        </w:rPr>
        <w:footnoteReference w:id="18"/>
      </w:r>
      <w:r>
        <w:rPr>
          <w:noProof/>
        </w:rPr>
        <w:t>.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pPr>
        <w:pStyle w:val="ManualConsidrant"/>
        <w:rPr>
          <w:noProof/>
        </w:rPr>
      </w:pPr>
      <w:r>
        <w:rPr>
          <w:noProof/>
        </w:rPr>
        <w:t>(8)</w:t>
      </w:r>
      <w:r>
        <w:rPr>
          <w:noProof/>
        </w:rPr>
        <w:tab/>
        <w:t xml:space="preserve">Decision (EU) 2021/991 should therefore be amended accordingly. </w:t>
      </w:r>
    </w:p>
    <w:p>
      <w:pPr>
        <w:pStyle w:val="ManualConsidrant"/>
        <w:rPr>
          <w:noProof/>
        </w:rPr>
      </w:pPr>
      <w:r>
        <w:rPr>
          <w:noProof/>
        </w:rPr>
        <w:t>(9)</w:t>
      </w:r>
      <w:r>
        <w:rPr>
          <w:noProof/>
        </w:rPr>
        <w:tab/>
        <w:t>In order to ensure the continuous application of the system set up in Decision (EU) 2021/991, this Decision should apply from 1 January 2027,</w:t>
      </w:r>
    </w:p>
    <w:p>
      <w:pPr>
        <w:pStyle w:val="Formuledadoption"/>
        <w:rPr>
          <w:noProof/>
        </w:rPr>
      </w:pPr>
      <w:r>
        <w:rPr>
          <w:noProof/>
        </w:rPr>
        <w:t>HAS ADOPTED THIS DECISION:</w:t>
      </w:r>
    </w:p>
    <w:p>
      <w:pPr>
        <w:pStyle w:val="Titrearticle"/>
        <w:rPr>
          <w:noProof/>
        </w:rPr>
      </w:pPr>
      <w:r>
        <w:rPr>
          <w:noProof/>
        </w:rPr>
        <w:t>Article 1</w:t>
      </w:r>
    </w:p>
    <w:p>
      <w:pPr>
        <w:spacing w:line="259" w:lineRule="auto"/>
        <w:rPr>
          <w:rFonts w:eastAsia="Times New Roman"/>
          <w:noProof/>
          <w:color w:val="000000" w:themeColor="text1"/>
          <w:lang w:val="en-IE"/>
        </w:rPr>
      </w:pPr>
      <w:r>
        <w:rPr>
          <w:rFonts w:eastAsia="Times New Roman"/>
          <w:noProof/>
          <w:color w:val="000000" w:themeColor="text1"/>
          <w:lang w:val="en-IE"/>
        </w:rPr>
        <w:t>Decision (EU) 2021/991 is amended as follows:</w:t>
      </w:r>
    </w:p>
    <w:p>
      <w:pPr>
        <w:pStyle w:val="Point0"/>
        <w:rPr>
          <w:noProof/>
          <w:lang w:val="en-IE"/>
        </w:rPr>
      </w:pPr>
      <w:r>
        <w:rPr>
          <w:noProof/>
        </w:rPr>
        <w:t>(1)</w:t>
      </w:r>
      <w:r>
        <w:rPr>
          <w:noProof/>
        </w:rPr>
        <w:tab/>
      </w:r>
      <w:r>
        <w:rPr>
          <w:noProof/>
          <w:lang w:val="en-IE"/>
        </w:rPr>
        <w:t>Article 1 is amended as follows:</w:t>
      </w:r>
    </w:p>
    <w:p>
      <w:pPr>
        <w:pStyle w:val="Point1"/>
        <w:rPr>
          <w:noProof/>
          <w:lang w:val="en-IE"/>
        </w:rPr>
      </w:pPr>
      <w:r>
        <w:rPr>
          <w:noProof/>
        </w:rPr>
        <w:t>(a)</w:t>
      </w:r>
      <w:r>
        <w:rPr>
          <w:noProof/>
        </w:rPr>
        <w:tab/>
      </w:r>
      <w:r>
        <w:rPr>
          <w:noProof/>
          <w:lang w:val="cs-CZ"/>
        </w:rPr>
        <w:t xml:space="preserve">in paragraph 1, </w:t>
      </w:r>
      <w:r>
        <w:rPr>
          <w:noProof/>
          <w:lang w:val="en-IE"/>
        </w:rPr>
        <w:t>the date ‘31 December 2027’ is replaced by the date ‘31 December 2030’;</w:t>
      </w:r>
    </w:p>
    <w:p>
      <w:pPr>
        <w:pStyle w:val="Point1"/>
        <w:rPr>
          <w:noProof/>
          <w:lang w:val="cs-CZ"/>
        </w:rPr>
      </w:pPr>
      <w:r>
        <w:rPr>
          <w:noProof/>
        </w:rPr>
        <w:t>(b)</w:t>
      </w:r>
      <w:r>
        <w:rPr>
          <w:noProof/>
        </w:rPr>
        <w:tab/>
      </w:r>
      <w:r>
        <w:rPr>
          <w:noProof/>
          <w:lang w:val="cs-CZ"/>
        </w:rPr>
        <w:t>the following paragraph 4 is added:</w:t>
      </w:r>
    </w:p>
    <w:p>
      <w:pPr>
        <w:pStyle w:val="Text1"/>
        <w:rPr>
          <w:noProof/>
          <w:lang w:val="en-IE"/>
        </w:rPr>
      </w:pPr>
      <w:r>
        <w:rPr>
          <w:noProof/>
          <w:lang w:val="en-IE"/>
        </w:rPr>
        <w:t>‘</w:t>
      </w:r>
      <w:r>
        <w:rPr>
          <w:noProof/>
          <w:lang w:val="en-US"/>
        </w:rPr>
        <w:t>4. The Commission is empowered to adopt delegated acts in accordance with Article 3a, to amend Annex I</w:t>
      </w:r>
      <w:r>
        <w:rPr>
          <w:noProof/>
          <w:lang w:val="en-IE"/>
        </w:rPr>
        <w:t xml:space="preserve"> by correcting the tariff headings or adding new products on an annual basis following</w:t>
      </w:r>
      <w:r>
        <w:rPr>
          <w:noProof/>
          <w:lang w:val="en-US"/>
        </w:rPr>
        <w:t xml:space="preserve"> </w:t>
      </w:r>
      <w:r>
        <w:rPr>
          <w:noProof/>
          <w:lang w:val="en-IE"/>
        </w:rPr>
        <w:t xml:space="preserve">annual updates of the Combined Nomenclature </w:t>
      </w:r>
      <w:r>
        <w:rPr>
          <w:noProof/>
          <w:lang w:val="en-US"/>
        </w:rPr>
        <w:t>to ensure that the measures are consistent and effective.’;</w:t>
      </w:r>
    </w:p>
    <w:p>
      <w:pPr>
        <w:pStyle w:val="Point0"/>
        <w:rPr>
          <w:noProof/>
          <w:lang w:val="en-IE"/>
        </w:rPr>
      </w:pPr>
      <w:r>
        <w:rPr>
          <w:noProof/>
        </w:rPr>
        <w:t>(2)</w:t>
      </w:r>
      <w:r>
        <w:rPr>
          <w:noProof/>
        </w:rPr>
        <w:tab/>
      </w:r>
      <w:r>
        <w:rPr>
          <w:noProof/>
          <w:lang w:val="en-IE"/>
        </w:rPr>
        <w:t>in Article 3, the date ‘30 September 2025’ is replaced by the date ‘30 September 2028’;</w:t>
      </w:r>
    </w:p>
    <w:p>
      <w:pPr>
        <w:pStyle w:val="Point0"/>
        <w:rPr>
          <w:noProof/>
          <w:lang w:val="en-IE"/>
        </w:rPr>
      </w:pPr>
      <w:r>
        <w:rPr>
          <w:noProof/>
        </w:rPr>
        <w:t>(3)</w:t>
      </w:r>
      <w:r>
        <w:rPr>
          <w:noProof/>
        </w:rPr>
        <w:tab/>
      </w:r>
      <w:r>
        <w:rPr>
          <w:noProof/>
          <w:lang w:val="en-IE"/>
        </w:rPr>
        <w:t>the following Article 3a is inserted:</w:t>
      </w:r>
    </w:p>
    <w:p>
      <w:pPr>
        <w:pStyle w:val="Titrearticle"/>
        <w:rPr>
          <w:noProof/>
        </w:rPr>
      </w:pPr>
      <w:r>
        <w:rPr>
          <w:noProof/>
        </w:rPr>
        <w:t>‘Article 3a</w:t>
      </w:r>
    </w:p>
    <w:p>
      <w:pPr>
        <w:pStyle w:val="ManualNumPar1"/>
        <w:ind w:firstLine="1"/>
        <w:rPr>
          <w:noProof/>
        </w:rPr>
      </w:pPr>
      <w:r>
        <w:rPr>
          <w:noProof/>
        </w:rPr>
        <w:t>1.</w:t>
      </w:r>
      <w:r>
        <w:rPr>
          <w:noProof/>
        </w:rPr>
        <w:tab/>
        <w:t>The power to adopt delegated acts is conferred on the Commission subject to the conditions laid down in this Article.</w:t>
      </w:r>
    </w:p>
    <w:p>
      <w:pPr>
        <w:pStyle w:val="ManualNumPar1"/>
        <w:ind w:firstLine="1"/>
        <w:rPr>
          <w:noProof/>
        </w:rPr>
      </w:pPr>
      <w:r>
        <w:rPr>
          <w:noProof/>
        </w:rPr>
        <w:t>2.</w:t>
      </w:r>
      <w:r>
        <w:rPr>
          <w:noProof/>
        </w:rPr>
        <w:tab/>
        <w:t>The power to adopt delegated acts referred to in Article 1(</w:t>
      </w:r>
      <w:r>
        <w:rPr>
          <w:noProof/>
          <w:lang w:val="en-IE"/>
        </w:rPr>
        <w:t>4</w:t>
      </w:r>
      <w:r>
        <w:rPr>
          <w:noProof/>
        </w:rPr>
        <w:t xml:space="preserve">) shall be conferred on the Commission from [date of entry into force of </w:t>
      </w:r>
      <w:r>
        <w:rPr>
          <w:noProof/>
          <w:lang w:val="en-IE"/>
        </w:rPr>
        <w:t>this amending Decision</w:t>
      </w:r>
      <w:r>
        <w:rPr>
          <w:noProof/>
        </w:rPr>
        <w:t>] until 31 December 2030.</w:t>
      </w:r>
    </w:p>
    <w:p>
      <w:pPr>
        <w:pStyle w:val="ManualNumPar1"/>
        <w:ind w:firstLine="1"/>
        <w:rPr>
          <w:noProof/>
        </w:rPr>
      </w:pPr>
      <w:r>
        <w:rPr>
          <w:noProof/>
        </w:rPr>
        <w:t>3.</w:t>
      </w:r>
      <w:r>
        <w:rPr>
          <w:noProof/>
        </w:rPr>
        <w:tab/>
        <w:t xml:space="preserve">The delegation of power referred to in Article 1(4) may be revoked at any time by the European Parliament or by the Council. A decision to revoke shall put an end to the delegation of the power specified in that decision. It shall take effect the day following the publication of the decision in the </w:t>
      </w:r>
      <w:r>
        <w:rPr>
          <w:i/>
          <w:iCs/>
          <w:noProof/>
        </w:rPr>
        <w:t>Official Journal of the European Union</w:t>
      </w:r>
      <w:r>
        <w:rPr>
          <w:noProof/>
        </w:rPr>
        <w:t xml:space="preserve"> or at a later date specified therein. It shall not affect the validity of any delegated acts already in force.</w:t>
      </w:r>
    </w:p>
    <w:p>
      <w:pPr>
        <w:pStyle w:val="ManualNumPar1"/>
        <w:ind w:firstLine="1"/>
        <w:rPr>
          <w:noProof/>
        </w:rPr>
      </w:pPr>
      <w:r>
        <w:rPr>
          <w:noProof/>
        </w:rPr>
        <w:t>4.</w:t>
      </w:r>
      <w:r>
        <w:rPr>
          <w:noProof/>
        </w:rPr>
        <w:tab/>
        <w:t>Before adopting a delegated act, the Commission shall consult experts designated by each Member State in accordance with the principles laid down in the Interinstitutional Agreement of 13 April 2016 on Better Law-Making.</w:t>
      </w:r>
    </w:p>
    <w:p>
      <w:pPr>
        <w:pStyle w:val="ManualNumPar1"/>
        <w:ind w:firstLine="1"/>
        <w:rPr>
          <w:noProof/>
        </w:rPr>
      </w:pPr>
      <w:r>
        <w:rPr>
          <w:noProof/>
        </w:rPr>
        <w:t>5.</w:t>
      </w:r>
      <w:r>
        <w:rPr>
          <w:noProof/>
        </w:rPr>
        <w:tab/>
        <w:t>As soon as it adopts a delegated act, the Commission shall notify it simultaneously to the European Parliament and to the Council.</w:t>
      </w:r>
    </w:p>
    <w:p>
      <w:pPr>
        <w:pStyle w:val="ManualNumPar1"/>
        <w:ind w:firstLine="1"/>
        <w:rPr>
          <w:noProof/>
        </w:rPr>
      </w:pPr>
      <w:r>
        <w:rPr>
          <w:noProof/>
        </w:rPr>
        <w:t>6.</w:t>
      </w:r>
      <w:r>
        <w:rPr>
          <w:noProof/>
        </w:rPr>
        <w:tab/>
        <w:t>A delegated act adopted pursuant to Article 1(4) shall enter into force only if no objection has been expressed either by the European Parliament or by the Council within a period of two months of notification of that act to the European Parliament and the Council or if, before the expiry of that period, the European Parliament and the Council have both informed the Commission that they will not object. That period shall be extended by two months at the initiative of the European Parliament or of the Council.’;</w:t>
      </w:r>
    </w:p>
    <w:p>
      <w:pPr>
        <w:pStyle w:val="Point0"/>
        <w:rPr>
          <w:noProof/>
        </w:rPr>
      </w:pPr>
      <w:r>
        <w:rPr>
          <w:noProof/>
        </w:rPr>
        <w:t>(4)</w:t>
      </w:r>
      <w:r>
        <w:rPr>
          <w:noProof/>
        </w:rPr>
        <w:tab/>
        <w:t>Annex I is replaced by the text set out in Annex I to this Decision</w:t>
      </w:r>
      <w:r>
        <w:rPr>
          <w:noProof/>
          <w:lang w:val="en-IE"/>
        </w:rPr>
        <w:t>;</w:t>
      </w:r>
    </w:p>
    <w:p>
      <w:pPr>
        <w:pStyle w:val="Point0"/>
        <w:rPr>
          <w:noProof/>
        </w:rPr>
      </w:pPr>
      <w:r>
        <w:rPr>
          <w:noProof/>
        </w:rPr>
        <w:t>(5)</w:t>
      </w:r>
      <w:r>
        <w:rPr>
          <w:noProof/>
        </w:rPr>
        <w:tab/>
        <w:t>Annex II is replaced by the text set out in Annex II to this Decision.</w:t>
      </w:r>
    </w:p>
    <w:p>
      <w:pPr>
        <w:pStyle w:val="Titrearticle"/>
        <w:keepNext w:val="0"/>
        <w:rPr>
          <w:noProof/>
        </w:rPr>
      </w:pPr>
      <w:r>
        <w:rPr>
          <w:noProof/>
        </w:rPr>
        <w:t xml:space="preserve">Article </w:t>
      </w:r>
      <w:bookmarkStart w:id="3" w:name="_Hlk126129799"/>
      <w:r>
        <w:rPr>
          <w:noProof/>
        </w:rPr>
        <w:t>2</w:t>
      </w:r>
      <w:bookmarkEnd w:id="3"/>
    </w:p>
    <w:p>
      <w:pPr>
        <w:rPr>
          <w:noProof/>
        </w:rPr>
      </w:pPr>
      <w:r>
        <w:rPr>
          <w:noProof/>
        </w:rPr>
        <w:t>This Decision shall apply from 1 January 2027.</w:t>
      </w:r>
    </w:p>
    <w:p>
      <w:pPr>
        <w:pStyle w:val="Titrearticle"/>
        <w:rPr>
          <w:noProof/>
        </w:rPr>
      </w:pPr>
      <w:r>
        <w:rPr>
          <w:noProof/>
        </w:rPr>
        <w:t>Article 3</w:t>
      </w:r>
    </w:p>
    <w:p>
      <w:pPr>
        <w:keepNext/>
        <w:keepLines/>
        <w:rPr>
          <w:noProof/>
        </w:rPr>
      </w:pPr>
      <w:r>
        <w:rPr>
          <w:noProof/>
          <w:color w:val="000000"/>
        </w:rPr>
        <w:t xml:space="preserve">This Decision is addressed to </w:t>
      </w:r>
      <w:r>
        <w:rPr>
          <w:noProof/>
          <w:color w:val="000000" w:themeColor="text1"/>
        </w:rPr>
        <w:t>the French Republic</w:t>
      </w:r>
      <w:r>
        <w:rPr>
          <w:noProof/>
        </w:rPr>
        <w:t>.</w:t>
      </w:r>
    </w:p>
    <w:p>
      <w:pPr>
        <w:pStyle w:val="Fait"/>
        <w:rPr>
          <w:noProof/>
        </w:rPr>
      </w:pPr>
      <w:r>
        <w:rPr>
          <w:noProof/>
        </w:rPr>
        <w:t>Done at Brussels,</w:t>
      </w:r>
    </w:p>
    <w:p>
      <w:pPr>
        <w:pStyle w:val="Institutionquisigne"/>
        <w:rPr>
          <w:noProof/>
        </w:rPr>
      </w:pPr>
      <w:r>
        <w:rPr>
          <w:noProof/>
        </w:rPr>
        <w:tab/>
        <w:t>For the Council</w:t>
      </w:r>
    </w:p>
    <w:p>
      <w:pPr>
        <w:pStyle w:val="Personnequisigne"/>
        <w:rPr>
          <w:noProof/>
        </w:rPr>
      </w:pPr>
      <w:r>
        <w:rPr>
          <w:noProof/>
        </w:rPr>
        <w:tab/>
        <w:t>The President</w:t>
      </w:r>
    </w:p>
    <w:sectPr>
      <w:footnotePr>
        <w:numRestart w:val="eachSect"/>
      </w:footnote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pt-PT"/>
        </w:rPr>
      </w:pPr>
      <w:r>
        <w:rPr>
          <w:rStyle w:val="FootnoteReference"/>
        </w:rPr>
        <w:footnoteRef/>
      </w:r>
      <w:r>
        <w:rPr>
          <w:lang w:val="pt-PT"/>
        </w:rPr>
        <w:tab/>
        <w:t>COM(2022) 198 final.</w:t>
      </w:r>
    </w:p>
  </w:footnote>
  <w:footnote w:id="2">
    <w:p>
      <w:pPr>
        <w:pStyle w:val="FootnoteText"/>
        <w:rPr>
          <w:lang w:val="pt-PT"/>
        </w:rPr>
      </w:pPr>
      <w:r>
        <w:rPr>
          <w:rStyle w:val="FootnoteReference"/>
        </w:rPr>
        <w:footnoteRef/>
      </w:r>
      <w:r>
        <w:rPr>
          <w:lang w:val="pt-PT"/>
        </w:rPr>
        <w:tab/>
        <w:t xml:space="preserve">COM(2025) 163 final. </w:t>
      </w:r>
    </w:p>
  </w:footnote>
  <w:footnote w:id="3">
    <w:p>
      <w:pPr>
        <w:pStyle w:val="FootnoteText"/>
        <w:rPr>
          <w:lang w:val="pt-PT"/>
        </w:rPr>
      </w:pPr>
      <w:r>
        <w:rPr>
          <w:rStyle w:val="FootnoteReference"/>
        </w:rPr>
        <w:footnoteRef/>
      </w:r>
      <w:r>
        <w:rPr>
          <w:lang w:val="pt-PT"/>
        </w:rPr>
        <w:tab/>
        <w:t xml:space="preserve">COM(2025) 870 final. </w:t>
      </w:r>
    </w:p>
  </w:footnote>
  <w:footnote w:id="4">
    <w:p>
      <w:pPr>
        <w:pStyle w:val="FootnoteText"/>
        <w:rPr>
          <w:lang w:val="en-IE"/>
        </w:rPr>
      </w:pPr>
      <w:r>
        <w:rPr>
          <w:rStyle w:val="FootnoteReference"/>
        </w:rPr>
        <w:footnoteRef/>
      </w:r>
      <w:r>
        <w:rPr>
          <w:lang w:val="en-IE"/>
        </w:rPr>
        <w:tab/>
      </w:r>
      <w:r>
        <w:t>“Europe’s choice” Political Guidelines for the next European Commission 2024-2029, Strasbourg 18 July 2024.</w:t>
      </w:r>
    </w:p>
  </w:footnote>
  <w:footnote w:id="5">
    <w:p>
      <w:pPr>
        <w:pStyle w:val="FootnoteText"/>
        <w:rPr>
          <w:lang w:val="en-IE"/>
        </w:rPr>
      </w:pPr>
      <w:r>
        <w:rPr>
          <w:rStyle w:val="FootnoteReference"/>
        </w:rPr>
        <w:footnoteRef/>
      </w:r>
      <w:r>
        <w:rPr>
          <w:lang w:val="en-IE"/>
        </w:rPr>
        <w:tab/>
      </w:r>
      <w:r>
        <w:t>These conclusions underline the need to unlock the outermost regions’ full potential within the EU and call on the Commission to make full use of the possibilities offered by Article 349 TFEU, fostering these regions’ regional integration, for tailored rules in the Cohesion Policy post 2027, and in any other legislative proposals.</w:t>
      </w:r>
    </w:p>
  </w:footnote>
  <w:footnote w:id="6">
    <w:p>
      <w:pPr>
        <w:pStyle w:val="FootnoteText"/>
        <w:rPr>
          <w:lang w:val="en-IE"/>
        </w:rPr>
      </w:pPr>
      <w:r>
        <w:rPr>
          <w:rStyle w:val="FootnoteReference"/>
        </w:rPr>
        <w:footnoteRef/>
      </w:r>
      <w:r>
        <w:rPr>
          <w:lang w:val="en-IE"/>
        </w:rPr>
        <w:tab/>
      </w:r>
      <w:r>
        <w:t>COM(2024) 435 final.</w:t>
      </w:r>
    </w:p>
  </w:footnote>
  <w:footnote w:id="7">
    <w:p>
      <w:pPr>
        <w:pStyle w:val="FootnoteText"/>
        <w:rPr>
          <w:lang w:val="en-IE"/>
        </w:rPr>
      </w:pPr>
      <w:r>
        <w:rPr>
          <w:rStyle w:val="FootnoteReference"/>
        </w:rPr>
        <w:footnoteRef/>
      </w:r>
      <w:r>
        <w:rPr>
          <w:lang w:val="en-IE"/>
        </w:rPr>
        <w:tab/>
      </w:r>
      <w:r>
        <w:t>SWD(2024) 227 final.</w:t>
      </w:r>
    </w:p>
  </w:footnote>
  <w:footnote w:id="8">
    <w:p>
      <w:pPr>
        <w:pStyle w:val="FootnoteText"/>
        <w:rPr>
          <w:lang w:val="en-IE"/>
        </w:rPr>
      </w:pPr>
      <w:r>
        <w:rPr>
          <w:rStyle w:val="FootnoteReference"/>
        </w:rPr>
        <w:footnoteRef/>
      </w:r>
      <w:r>
        <w:rPr>
          <w:lang w:val="en-IE"/>
        </w:rPr>
        <w:tab/>
      </w:r>
      <w:r>
        <w:t xml:space="preserve">European Commission, Directorate-General for Regional and Urban Policy, and ECORYS </w:t>
      </w:r>
      <w:r>
        <w:rPr>
          <w:i/>
          <w:iCs/>
        </w:rPr>
        <w:t>Study on living conditions and access to selected basic needs: Final report</w:t>
      </w:r>
      <w:r>
        <w:t xml:space="preserve">, Luxembourg, Publications Office of the European Union, 2024. </w:t>
      </w:r>
    </w:p>
  </w:footnote>
  <w:footnote w:id="9">
    <w:p>
      <w:pPr>
        <w:pStyle w:val="FootnoteText"/>
        <w:rPr>
          <w:lang w:val="en-IE"/>
        </w:rPr>
      </w:pPr>
      <w:r>
        <w:rPr>
          <w:rStyle w:val="FootnoteReference"/>
        </w:rPr>
        <w:footnoteRef/>
      </w:r>
      <w:r>
        <w:rPr>
          <w:lang w:val="en-IE"/>
        </w:rPr>
        <w:tab/>
      </w:r>
      <w:r>
        <w:t xml:space="preserve">European Commission, Directorate-General for Regional and Urban Policy and ECORYS, </w:t>
      </w:r>
      <w:r>
        <w:rPr>
          <w:i/>
          <w:iCs/>
        </w:rPr>
        <w:t>Study on the impact of the COVID-19 pandemic on the outermost regions (OR) – Final report</w:t>
      </w:r>
      <w:r>
        <w:rPr>
          <w:i/>
        </w:rPr>
        <w:t>.</w:t>
      </w:r>
      <w:r>
        <w:t xml:space="preserve"> Luxembourg, Publications Office of the European Union, 2022.</w:t>
      </w:r>
    </w:p>
  </w:footnote>
  <w:footnote w:id="10">
    <w:p>
      <w:pPr>
        <w:pStyle w:val="FootnoteText"/>
        <w:rPr>
          <w:lang w:val="en-IE"/>
        </w:rPr>
      </w:pPr>
      <w:r>
        <w:rPr>
          <w:rStyle w:val="FootnoteReference"/>
        </w:rPr>
        <w:footnoteRef/>
      </w:r>
      <w:r>
        <w:rPr>
          <w:lang w:val="en-IE"/>
        </w:rPr>
        <w:tab/>
      </w:r>
      <w:r>
        <w:t xml:space="preserve">European Commission, European Climate, Infrastructure and Environment Executive Agency, </w:t>
      </w:r>
      <w:r>
        <w:rPr>
          <w:i/>
          <w:iCs/>
          <w:lang w:val="x-none"/>
        </w:rPr>
        <w:t>Overview of the State of Data Collection and Scientific Advice in the EU ORs, with Case Study on a Roadmap towards Regular Stock Assessment in French Guiana</w:t>
      </w:r>
      <w:r>
        <w:t>. Luxembourg, Publications Office of the European Union, 2022.</w:t>
      </w:r>
    </w:p>
  </w:footnote>
  <w:footnote w:id="11">
    <w:p>
      <w:pPr>
        <w:pStyle w:val="FootnoteText"/>
        <w:rPr>
          <w:lang w:val="en-IE"/>
        </w:rPr>
      </w:pPr>
      <w:r>
        <w:rPr>
          <w:rStyle w:val="FootnoteReference"/>
        </w:rPr>
        <w:footnoteRef/>
      </w:r>
      <w:r>
        <w:rPr>
          <w:lang w:val="en-IE"/>
        </w:rPr>
        <w:tab/>
      </w:r>
      <w:r>
        <w:t xml:space="preserve">European Commission, Directorate-General for Agriculture and Rural Development, </w:t>
      </w:r>
      <w:r>
        <w:rPr>
          <w:i/>
          <w:iCs/>
          <w:lang w:val="x-none"/>
        </w:rPr>
        <w:t>Evaluation support study of the EU support schemes for agriculture in the outermost regions (POSEI) and smaller Aegean islands (SAI)</w:t>
      </w:r>
      <w:r>
        <w:rPr>
          <w:i/>
        </w:rPr>
        <w:t>.</w:t>
      </w:r>
      <w:r>
        <w:t xml:space="preserve"> Luxembourg, Publications Office of the European Union, 2024.</w:t>
      </w:r>
    </w:p>
  </w:footnote>
  <w:footnote w:id="12">
    <w:p>
      <w:pPr>
        <w:pStyle w:val="FootnoteText"/>
        <w:rPr>
          <w:lang w:val="en-IE"/>
        </w:rPr>
      </w:pPr>
      <w:r>
        <w:rPr>
          <w:rStyle w:val="FootnoteReference"/>
        </w:rPr>
        <w:footnoteRef/>
      </w:r>
      <w:r>
        <w:rPr>
          <w:lang w:val="en-IE"/>
        </w:rPr>
        <w:tab/>
      </w:r>
      <w:r>
        <w:t>For instance: OECD (2023), “Innovative agro-food industries in the EU Outermost Regions”, OECD Development Policy Papers, No. 49, OECD Publishing, Paris.</w:t>
      </w:r>
    </w:p>
  </w:footnote>
  <w:footnote w:id="13">
    <w:p>
      <w:pPr>
        <w:pStyle w:val="FootnoteText"/>
        <w:rPr>
          <w:lang w:val="en-IE"/>
        </w:rPr>
      </w:pPr>
      <w:r>
        <w:rPr>
          <w:rStyle w:val="FootnoteReference"/>
        </w:rPr>
        <w:footnoteRef/>
      </w:r>
      <w:r>
        <w:rPr>
          <w:lang w:val="en-IE"/>
        </w:rPr>
        <w:tab/>
      </w:r>
      <w:r>
        <w:t>Commission Staff Working Document accompanying the document Proposal for a Council Decision concerning the dock dues in the French outermost regions and amending Decision No 940/2014/EU, SWD(2021) 44 final.</w:t>
      </w:r>
    </w:p>
  </w:footnote>
  <w:footnote w:id="14">
    <w:p>
      <w:pPr>
        <w:pStyle w:val="FootnoteText"/>
        <w:rPr>
          <w:lang w:val="en-IE"/>
        </w:rPr>
      </w:pPr>
      <w:r>
        <w:rPr>
          <w:rStyle w:val="FootnoteReference"/>
        </w:rPr>
        <w:footnoteRef/>
      </w:r>
      <w:r>
        <w:rPr>
          <w:lang w:val="en-IE"/>
        </w:rPr>
        <w:tab/>
      </w:r>
      <w:r>
        <w:t>European Commission, Directorate General for Taxation and Customs Union, and Economisti Associati</w:t>
      </w:r>
      <w:r>
        <w:rPr>
          <w:lang w:val="en-IE"/>
        </w:rPr>
        <w:t xml:space="preserve">, </w:t>
      </w:r>
      <w:r>
        <w:rPr>
          <w:i/>
          <w:iCs/>
          <w:lang w:val="en-IE"/>
        </w:rPr>
        <w:t>Study on Specific Tax Regimes for Outermost Regions Belonging to France and Spain: Final Report</w:t>
      </w:r>
      <w:r>
        <w:rPr>
          <w:lang w:val="en-IE"/>
        </w:rPr>
        <w:t>, Luxembourg, Publications Office of the European Union, 2020.</w:t>
      </w:r>
    </w:p>
  </w:footnote>
  <w:footnote w:id="15">
    <w:p>
      <w:pPr>
        <w:pStyle w:val="FootnoteText"/>
      </w:pPr>
      <w:r>
        <w:rPr>
          <w:rStyle w:val="FootnoteReference"/>
        </w:rPr>
        <w:footnoteRef/>
      </w:r>
      <w:r>
        <w:tab/>
        <w:t>OJ C , , p. .</w:t>
      </w:r>
    </w:p>
  </w:footnote>
  <w:footnote w:id="16">
    <w:p>
      <w:pPr>
        <w:pStyle w:val="FootnoteText"/>
        <w:rPr>
          <w:lang w:val="en-IE"/>
        </w:rPr>
      </w:pPr>
      <w:r>
        <w:rPr>
          <w:rStyle w:val="FootnoteReference"/>
        </w:rPr>
        <w:footnoteRef/>
      </w:r>
      <w:r>
        <w:tab/>
        <w:t xml:space="preserve">Council Decision (EU) 2021/991 of 7 June 2021 concerning the dock dues scheme in the French outermost regions and amending Decision No 940/2014/EU (OJ L 221, 21.6.2021, p. 1, </w:t>
      </w:r>
      <w:r>
        <w:rPr>
          <w:lang w:val="en-IE"/>
        </w:rPr>
        <w:t xml:space="preserve">ELI: </w:t>
      </w:r>
      <w:hyperlink r:id="rId1" w:history="1">
        <w:r>
          <w:rPr>
            <w:rStyle w:val="Hyperlink"/>
            <w:lang w:val="en-IE"/>
          </w:rPr>
          <w:t>http://data.europa.eu/eli/dec/2021/991/oj</w:t>
        </w:r>
      </w:hyperlink>
      <w:r>
        <w:rPr>
          <w:lang w:val="en-IE"/>
        </w:rPr>
        <w:t>).</w:t>
      </w:r>
    </w:p>
  </w:footnote>
  <w:footnote w:id="17">
    <w:p>
      <w:pPr>
        <w:pStyle w:val="FootnoteText"/>
        <w:rPr>
          <w:lang w:val="en-IE"/>
        </w:rPr>
      </w:pPr>
      <w:r>
        <w:rPr>
          <w:rStyle w:val="FootnoteReference"/>
        </w:rPr>
        <w:footnoteRef/>
      </w:r>
      <w:r>
        <w:tab/>
        <w:t xml:space="preserve">Council Regulation (EEC) No 2658/87 of 23 July 1987 on the tariff and statistical nomenclature and on the Common Customs Tariff (OJ L 256, 7.9.1987, p. 1 </w:t>
      </w:r>
      <w:bookmarkStart w:id="2" w:name="_Hlk233036767"/>
      <w:r>
        <w:t xml:space="preserve">ELI: </w:t>
      </w:r>
      <w:hyperlink r:id="rId2" w:history="1">
        <w:r>
          <w:rPr>
            <w:rStyle w:val="Hyperlink"/>
          </w:rPr>
          <w:t>http://data.europa.eu/eli/reg/1987/2658/oj</w:t>
        </w:r>
      </w:hyperlink>
      <w:bookmarkEnd w:id="2"/>
      <w:r>
        <w:t>).</w:t>
      </w:r>
    </w:p>
  </w:footnote>
  <w:footnote w:id="18">
    <w:p>
      <w:pPr>
        <w:pStyle w:val="FootnoteText"/>
        <w:rPr>
          <w:lang w:val="pl-PL"/>
        </w:rPr>
      </w:pPr>
      <w:r>
        <w:rPr>
          <w:rStyle w:val="FootnoteReference"/>
        </w:rPr>
        <w:footnoteRef/>
      </w:r>
      <w:r>
        <w:rPr>
          <w:lang w:val="pl-PL"/>
        </w:rPr>
        <w:tab/>
        <w:t xml:space="preserve">OJ L 123, 12.5.2016, p. 1, ELI: </w:t>
      </w:r>
      <w:hyperlink r:id="rId3" w:history="1">
        <w:r>
          <w:rPr>
            <w:rStyle w:val="Hyperlink"/>
            <w:lang w:val="pl-PL"/>
          </w:rPr>
          <w:t>http://data.europa.eu/eli/agree_interinstit/2016/512/oj</w:t>
        </w:r>
      </w:hyperlink>
      <w:r>
        <w:rPr>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1"/>
    <w:multiLevelType w:val="singleLevel"/>
    <w:tmpl w:val="377296A2"/>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194A9C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E6E0CB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D1C86E5E"/>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A95569"/>
    <w:multiLevelType w:val="hybridMultilevel"/>
    <w:tmpl w:val="ED185D44"/>
    <w:lvl w:ilvl="0" w:tplc="548E29E4">
      <w:start w:val="349"/>
      <w:numFmt w:val="bullet"/>
      <w:pStyle w:val="Das"/>
      <w:lvlText w:val="-"/>
      <w:lvlJc w:val="left"/>
      <w:pPr>
        <w:ind w:left="717"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
  </w:num>
  <w:num w:numId="6">
    <w:abstractNumId w:val="1"/>
  </w:num>
  <w:num w:numId="7">
    <w:abstractNumId w:val="0"/>
  </w:num>
  <w:num w:numId="8">
    <w:abstractNumId w:val="19"/>
    <w:lvlOverride w:ilvl="0">
      <w:startOverride w:val="1"/>
    </w:lvlOverride>
  </w:num>
  <w:num w:numId="9">
    <w:abstractNumId w:val="16"/>
    <w:lvlOverride w:ilvl="0">
      <w:startOverride w:val="1"/>
    </w:lvlOverride>
  </w:num>
  <w:num w:numId="10">
    <w:abstractNumId w:val="4"/>
  </w:num>
  <w:num w:numId="11">
    <w:abstractNumId w:val="19"/>
  </w:num>
  <w:num w:numId="12">
    <w:abstractNumId w:val="16"/>
  </w:num>
  <w:num w:numId="13">
    <w:abstractNumId w:val="9"/>
  </w:num>
  <w:num w:numId="14">
    <w:abstractNumId w:val="18"/>
  </w:num>
  <w:num w:numId="15">
    <w:abstractNumId w:val="7"/>
  </w:num>
  <w:num w:numId="16">
    <w:abstractNumId w:val="10"/>
  </w:num>
  <w:num w:numId="17">
    <w:abstractNumId w:val="11"/>
  </w:num>
  <w:num w:numId="18">
    <w:abstractNumId w:val="5"/>
  </w:num>
  <w:num w:numId="19">
    <w:abstractNumId w:val="17"/>
  </w:num>
  <w:num w:numId="20">
    <w:abstractNumId w:val="4"/>
  </w:num>
  <w:num w:numId="21">
    <w:abstractNumId w:val="12"/>
  </w:num>
  <w:num w:numId="22">
    <w:abstractNumId w:val="14"/>
  </w:num>
  <w:num w:numId="23">
    <w:abstractNumId w:val="15"/>
  </w:num>
  <w:num w:numId="24">
    <w:abstractNumId w:val="6"/>
  </w:num>
  <w:num w:numId="25">
    <w:abstractNumId w:val="13"/>
  </w:num>
  <w:num w:numId="26">
    <w:abstractNumId w:val="1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10 09:59:0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BB5BE0D-3AD5-4B10-A83E-8F9291E027AD"/>
    <w:docVar w:name="LW_COVERPAGE_TYPE" w:val="1"/>
    <w:docVar w:name="LW_CreatedUtc" w:val="2026-04-27T15:20:01.6146566Z"/>
    <w:docVar w:name="LW_CROSSREFERENCE" w:val="{SWD(2026) 661}"/>
    <w:docVar w:name="LW_DocType" w:val="COM"/>
    <w:docVar w:name="LW_EMISSION" w:val="10.9.2026"/>
    <w:docVar w:name="LW_EMISSION_ISODATE" w:val="2026-09-10"/>
    <w:docVar w:name="LW_EMISSION_LOCATION" w:val="BRX"/>
    <w:docVar w:name="LW_EMISSION_PREFIX" w:val="Brussels, "/>
    <w:docVar w:name="LW_EMISSION_SUFFIX" w:val=" "/>
    <w:docVar w:name="LW_ID_DOCMODEL" w:val="SJ-019"/>
    <w:docVar w:name="LW_ID_DOCSIGNATURE" w:val="SJ-019"/>
    <w:docVar w:name="LW_ID_DOCSTRUCTURE" w:val="COM/PL/ORG"/>
    <w:docVar w:name="LW_ID_DOCTYPE" w:val="SJ-019"/>
    <w:docVar w:name="LW_ID_STATUT" w:val="SJ-019"/>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NS"/>
    <w:docVar w:name="LW_REF.II.NEW.CP_NUMBER" w:val="0260"/>
    <w:docVar w:name="LW_REF.II.NEW.CP_YEAR" w:val="2026"/>
    <w:docVar w:name="LW_REF.INST.NEW" w:val="COM"/>
    <w:docVar w:name="LW_REF.INST.NEW_ADOPTED" w:val="final"/>
    <w:docVar w:name="LW_REF.INST.NEW_TEXT" w:val="(2026) 66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ecision (EU) 2021/991 concerning the dock dues scheme in the French outermost regions"/>
    <w:docVar w:name="LW_TYPE.DOC.CP" w:val="COUNCIL DECISION"/>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5:docId w15:val="{F160CCF4-12F1-408D-A19A-4E53A758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hanging="357"/>
      <w:contextualSpacing/>
    </w:pPr>
    <w:rPr>
      <w:rFonts w:asciiTheme="minorHAnsi" w:hAnsiTheme="minorHAnsi" w:cstheme="minorBidi"/>
      <w:kern w:val="2"/>
      <w:sz w:val="22"/>
      <w14:ligatures w14:val="standardContextual"/>
    </w:rPr>
  </w:style>
  <w:style w:type="character" w:styleId="Hyperlink">
    <w:name w:val="Hyperlink"/>
    <w:basedOn w:val="DefaultParagraphFont"/>
    <w:uiPriority w:val="99"/>
    <w:unhideWhenUsed/>
    <w:rPr>
      <w:color w:val="0000FF" w:themeColor="hyperlink"/>
      <w:u w:val="single"/>
    </w:rPr>
  </w:style>
  <w:style w:type="paragraph" w:customStyle="1" w:styleId="Das">
    <w:name w:val="Das"/>
    <w:basedOn w:val="ListParagraph"/>
    <w:pPr>
      <w:numPr>
        <w:numId w:val="1"/>
      </w:numPr>
    </w:pPr>
    <w:rPr>
      <w:rFonts w:ascii="Times New Roman" w:hAnsi="Times New Roman" w:cs="Times New Roman"/>
      <w:sz w:val="24"/>
      <w:szCs w:val="24"/>
      <w:lang w:val="en-IE"/>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ListBullet">
    <w:name w:val="List Bullet"/>
    <w:basedOn w:val="Normal"/>
    <w:uiPriority w:val="99"/>
    <w:semiHidden/>
    <w:unhideWhenUsed/>
    <w:pPr>
      <w:numPr>
        <w:numId w:val="4"/>
      </w:numPr>
      <w:contextualSpacing/>
    </w:pPr>
  </w:style>
  <w:style w:type="paragraph" w:styleId="ListBullet2">
    <w:name w:val="List Bullet 2"/>
    <w:basedOn w:val="Normal"/>
    <w:uiPriority w:val="99"/>
    <w:semiHidden/>
    <w:unhideWhenUsed/>
    <w:pPr>
      <w:numPr>
        <w:numId w:val="5"/>
      </w:numPr>
      <w:contextualSpacing/>
    </w:pPr>
  </w:style>
  <w:style w:type="paragraph" w:styleId="ListBullet3">
    <w:name w:val="List Bullet 3"/>
    <w:basedOn w:val="Normal"/>
    <w:uiPriority w:val="99"/>
    <w:semiHidden/>
    <w:unhideWhenUsed/>
    <w:pPr>
      <w:numPr>
        <w:numId w:val="6"/>
      </w:numPr>
      <w:contextualSpacing/>
    </w:pPr>
  </w:style>
  <w:style w:type="paragraph" w:styleId="ListBullet4">
    <w:name w:val="List Bullet 4"/>
    <w:basedOn w:val="Normal"/>
    <w:uiPriority w:val="99"/>
    <w:semiHidden/>
    <w:unhideWhenUsed/>
    <w:pPr>
      <w:numPr>
        <w:numId w:val="7"/>
      </w:numPr>
      <w:contextualSpacing/>
    </w:pPr>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character" w:styleId="UnresolvedMention">
    <w:name w:val="Unresolved Mention"/>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HeaderChar">
    <w:name w:val="Header Char"/>
    <w:basedOn w:val="DefaultParagraphFont"/>
    <w:link w:val="Header"/>
    <w:uiPriority w:val="99"/>
    <w:rPr>
      <w:rFonts w:ascii="Times New Roman" w:hAnsi="Times New Roman" w:cs="Times New Roman"/>
      <w:sz w:val="24"/>
      <w:lang w:val="en-GB"/>
    </w:rPr>
  </w:style>
  <w:style w:type="character" w:customStyle="1" w:styleId="FooterChar">
    <w:name w:val="Footer Char"/>
    <w:basedOn w:val="DefaultParagraphFont"/>
    <w:link w:val="Footer"/>
    <w:uiPriority w:val="9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2"/>
      </w:numPr>
    </w:pPr>
  </w:style>
  <w:style w:type="paragraph" w:customStyle="1" w:styleId="Tiret1">
    <w:name w:val="Tiret 1"/>
    <w:basedOn w:val="Point1"/>
    <w:pPr>
      <w:numPr>
        <w:numId w:val="13"/>
      </w:numPr>
    </w:pPr>
  </w:style>
  <w:style w:type="paragraph" w:customStyle="1" w:styleId="Tiret2">
    <w:name w:val="Tiret 2"/>
    <w:basedOn w:val="Point2"/>
    <w:pPr>
      <w:numPr>
        <w:numId w:val="14"/>
      </w:numPr>
    </w:pPr>
  </w:style>
  <w:style w:type="paragraph" w:customStyle="1" w:styleId="Tiret3">
    <w:name w:val="Tiret 3"/>
    <w:basedOn w:val="Point3"/>
    <w:pPr>
      <w:numPr>
        <w:numId w:val="15"/>
      </w:numPr>
    </w:pPr>
  </w:style>
  <w:style w:type="paragraph" w:customStyle="1" w:styleId="Tiret4">
    <w:name w:val="Tiret 4"/>
    <w:basedOn w:val="Point4"/>
    <w:pPr>
      <w:numPr>
        <w:numId w:val="16"/>
      </w:numPr>
    </w:pPr>
  </w:style>
  <w:style w:type="paragraph" w:customStyle="1" w:styleId="Tiret5">
    <w:name w:val="Tiret 5"/>
    <w:basedOn w:val="Point5"/>
    <w:pPr>
      <w:numPr>
        <w:numId w:val="1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8"/>
      </w:numPr>
    </w:pPr>
  </w:style>
  <w:style w:type="paragraph" w:customStyle="1" w:styleId="NumPar2">
    <w:name w:val="NumPar 2"/>
    <w:basedOn w:val="Normal"/>
    <w:next w:val="Text1"/>
    <w:pPr>
      <w:numPr>
        <w:ilvl w:val="1"/>
        <w:numId w:val="18"/>
      </w:numPr>
    </w:pPr>
  </w:style>
  <w:style w:type="paragraph" w:customStyle="1" w:styleId="NumPar3">
    <w:name w:val="NumPar 3"/>
    <w:basedOn w:val="Normal"/>
    <w:next w:val="Text1"/>
    <w:pPr>
      <w:numPr>
        <w:ilvl w:val="2"/>
        <w:numId w:val="18"/>
      </w:numPr>
    </w:pPr>
  </w:style>
  <w:style w:type="paragraph" w:customStyle="1" w:styleId="NumPar4">
    <w:name w:val="NumPar 4"/>
    <w:basedOn w:val="Normal"/>
    <w:next w:val="Text1"/>
    <w:pPr>
      <w:numPr>
        <w:ilvl w:val="3"/>
        <w:numId w:val="18"/>
      </w:numPr>
    </w:pPr>
  </w:style>
  <w:style w:type="paragraph" w:customStyle="1" w:styleId="NumPar5">
    <w:name w:val="NumPar 5"/>
    <w:basedOn w:val="Normal"/>
    <w:next w:val="Text2"/>
    <w:pPr>
      <w:numPr>
        <w:ilvl w:val="4"/>
        <w:numId w:val="18"/>
      </w:numPr>
    </w:pPr>
  </w:style>
  <w:style w:type="paragraph" w:customStyle="1" w:styleId="NumPar6">
    <w:name w:val="NumPar 6"/>
    <w:basedOn w:val="Normal"/>
    <w:next w:val="Text2"/>
    <w:pPr>
      <w:numPr>
        <w:ilvl w:val="5"/>
        <w:numId w:val="18"/>
      </w:numPr>
    </w:pPr>
  </w:style>
  <w:style w:type="paragraph" w:customStyle="1" w:styleId="NumPar7">
    <w:name w:val="NumPar 7"/>
    <w:basedOn w:val="Normal"/>
    <w:next w:val="Text2"/>
    <w:pPr>
      <w:numPr>
        <w:ilvl w:val="6"/>
        <w:numId w:val="1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0"/>
      </w:numPr>
    </w:pPr>
  </w:style>
  <w:style w:type="paragraph" w:customStyle="1" w:styleId="Point1number">
    <w:name w:val="Point 1 (number)"/>
    <w:basedOn w:val="Normal"/>
    <w:pPr>
      <w:numPr>
        <w:ilvl w:val="2"/>
        <w:numId w:val="20"/>
      </w:numPr>
    </w:pPr>
  </w:style>
  <w:style w:type="paragraph" w:customStyle="1" w:styleId="Point2number">
    <w:name w:val="Point 2 (number)"/>
    <w:basedOn w:val="Normal"/>
    <w:pPr>
      <w:numPr>
        <w:ilvl w:val="4"/>
        <w:numId w:val="20"/>
      </w:numPr>
    </w:pPr>
  </w:style>
  <w:style w:type="paragraph" w:customStyle="1" w:styleId="Point3number">
    <w:name w:val="Point 3 (number)"/>
    <w:basedOn w:val="Normal"/>
    <w:pPr>
      <w:numPr>
        <w:ilvl w:val="6"/>
        <w:numId w:val="20"/>
      </w:numPr>
    </w:pPr>
  </w:style>
  <w:style w:type="paragraph" w:customStyle="1" w:styleId="Point0letter">
    <w:name w:val="Point 0 (letter)"/>
    <w:basedOn w:val="Normal"/>
    <w:pPr>
      <w:numPr>
        <w:ilvl w:val="1"/>
        <w:numId w:val="20"/>
      </w:numPr>
    </w:pPr>
  </w:style>
  <w:style w:type="paragraph" w:customStyle="1" w:styleId="Point1letter">
    <w:name w:val="Point 1 (letter)"/>
    <w:basedOn w:val="Normal"/>
    <w:pPr>
      <w:numPr>
        <w:ilvl w:val="3"/>
        <w:numId w:val="20"/>
      </w:numPr>
    </w:pPr>
  </w:style>
  <w:style w:type="paragraph" w:customStyle="1" w:styleId="Point2letter">
    <w:name w:val="Point 2 (letter)"/>
    <w:basedOn w:val="Normal"/>
    <w:pPr>
      <w:numPr>
        <w:ilvl w:val="5"/>
        <w:numId w:val="20"/>
      </w:numPr>
    </w:pPr>
  </w:style>
  <w:style w:type="paragraph" w:customStyle="1" w:styleId="Point3letter">
    <w:name w:val="Point 3 (letter)"/>
    <w:basedOn w:val="Normal"/>
    <w:pPr>
      <w:numPr>
        <w:ilvl w:val="7"/>
        <w:numId w:val="20"/>
      </w:numPr>
    </w:pPr>
  </w:style>
  <w:style w:type="paragraph" w:customStyle="1" w:styleId="Point4letter">
    <w:name w:val="Point 4 (letter)"/>
    <w:basedOn w:val="Normal"/>
    <w:pPr>
      <w:numPr>
        <w:ilvl w:val="8"/>
        <w:numId w:val="20"/>
      </w:numPr>
    </w:pPr>
  </w:style>
  <w:style w:type="paragraph" w:customStyle="1" w:styleId="Bullet0">
    <w:name w:val="Bullet 0"/>
    <w:basedOn w:val="Normal"/>
    <w:pPr>
      <w:numPr>
        <w:numId w:val="21"/>
      </w:numPr>
    </w:pPr>
  </w:style>
  <w:style w:type="paragraph" w:customStyle="1" w:styleId="Bullet1">
    <w:name w:val="Bullet 1"/>
    <w:basedOn w:val="Normal"/>
    <w:pPr>
      <w:numPr>
        <w:numId w:val="22"/>
      </w:numPr>
    </w:pPr>
  </w:style>
  <w:style w:type="paragraph" w:customStyle="1" w:styleId="Bullet2">
    <w:name w:val="Bullet 2"/>
    <w:basedOn w:val="Normal"/>
    <w:pPr>
      <w:numPr>
        <w:numId w:val="23"/>
      </w:numPr>
    </w:pPr>
  </w:style>
  <w:style w:type="paragraph" w:customStyle="1" w:styleId="Bullet3">
    <w:name w:val="Bullet 3"/>
    <w:basedOn w:val="Normal"/>
    <w:pPr>
      <w:numPr>
        <w:numId w:val="24"/>
      </w:numPr>
    </w:pPr>
  </w:style>
  <w:style w:type="paragraph" w:customStyle="1" w:styleId="Bullet4">
    <w:name w:val="Bullet 4"/>
    <w:basedOn w:val="Normal"/>
    <w:pPr>
      <w:numPr>
        <w:numId w:val="2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6067259">
      <w:bodyDiv w:val="1"/>
      <w:marLeft w:val="0"/>
      <w:marRight w:val="0"/>
      <w:marTop w:val="0"/>
      <w:marBottom w:val="0"/>
      <w:divBdr>
        <w:top w:val="none" w:sz="0" w:space="0" w:color="auto"/>
        <w:left w:val="none" w:sz="0" w:space="0" w:color="auto"/>
        <w:bottom w:val="none" w:sz="0" w:space="0" w:color="auto"/>
        <w:right w:val="none" w:sz="0" w:space="0" w:color="auto"/>
      </w:divBdr>
    </w:div>
    <w:div w:id="1304386268">
      <w:bodyDiv w:val="1"/>
      <w:marLeft w:val="0"/>
      <w:marRight w:val="0"/>
      <w:marTop w:val="0"/>
      <w:marBottom w:val="0"/>
      <w:divBdr>
        <w:top w:val="none" w:sz="0" w:space="0" w:color="auto"/>
        <w:left w:val="none" w:sz="0" w:space="0" w:color="auto"/>
        <w:bottom w:val="none" w:sz="0" w:space="0" w:color="auto"/>
        <w:right w:val="none" w:sz="0" w:space="0" w:color="auto"/>
      </w:divBdr>
    </w:div>
    <w:div w:id="1451361562">
      <w:bodyDiv w:val="1"/>
      <w:marLeft w:val="0"/>
      <w:marRight w:val="0"/>
      <w:marTop w:val="0"/>
      <w:marBottom w:val="0"/>
      <w:divBdr>
        <w:top w:val="none" w:sz="0" w:space="0" w:color="auto"/>
        <w:left w:val="none" w:sz="0" w:space="0" w:color="auto"/>
        <w:bottom w:val="none" w:sz="0" w:space="0" w:color="auto"/>
        <w:right w:val="none" w:sz="0" w:space="0" w:color="auto"/>
      </w:divBdr>
    </w:div>
    <w:div w:id="1586692893">
      <w:bodyDiv w:val="1"/>
      <w:marLeft w:val="0"/>
      <w:marRight w:val="0"/>
      <w:marTop w:val="0"/>
      <w:marBottom w:val="0"/>
      <w:divBdr>
        <w:top w:val="none" w:sz="0" w:space="0" w:color="auto"/>
        <w:left w:val="none" w:sz="0" w:space="0" w:color="auto"/>
        <w:bottom w:val="none" w:sz="0" w:space="0" w:color="auto"/>
        <w:right w:val="none" w:sz="0" w:space="0" w:color="auto"/>
      </w:divBdr>
    </w:div>
    <w:div w:id="20246219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ec.europa.eu/info/law/better-regulation/have-your-say/initiatives/15714-Regulatory-simplification-package-for-the-EUs-outermost-regions_en" TargetMode="Externa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agree_interinstit/2016/512/oj" TargetMode="External"/><Relationship Id="rId2" Type="http://schemas.openxmlformats.org/officeDocument/2006/relationships/hyperlink" Target="http://data.europa.eu/eli/reg/1987/2658/oj" TargetMode="External"/><Relationship Id="rId1" Type="http://schemas.openxmlformats.org/officeDocument/2006/relationships/hyperlink" Target="http://data.europa.eu/eli/dec/2021/99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429E421B7D0B4085855E79BFBD84D8" ma:contentTypeVersion="16" ma:contentTypeDescription="Create a new document." ma:contentTypeScope="" ma:versionID="7d32643b20c64902953f4920f895fd42">
  <xsd:schema xmlns:xsd="http://www.w3.org/2001/XMLSchema" xmlns:xs="http://www.w3.org/2001/XMLSchema" xmlns:p="http://schemas.microsoft.com/office/2006/metadata/properties" xmlns:ns2="1124f467-e8a7-4788-95b6-921cce7bcfae" xmlns:ns3="d56ed46a-4164-40b6-a09a-3a2f9edb41ee" targetNamespace="http://schemas.microsoft.com/office/2006/metadata/properties" ma:root="true" ma:fieldsID="6ee0568ced101c863131062dd0c79084" ns2:_="" ns3:_="">
    <xsd:import namespace="1124f467-e8a7-4788-95b6-921cce7bcfae"/>
    <xsd:import namespace="d56ed46a-4164-40b6-a09a-3a2f9edb41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24f467-e8a7-4788-95b6-921cce7bcf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6ed46a-4164-40b6-a09a-3a2f9edb41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2da1827-f138-4216-bb45-7551c77d64e0}" ma:internalName="TaxCatchAll" ma:showField="CatchAllData" ma:web="d56ed46a-4164-40b6-a09a-3a2f9edb41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124f467-e8a7-4788-95b6-921cce7bcfae">
      <Terms xmlns="http://schemas.microsoft.com/office/infopath/2007/PartnerControls"/>
    </lcf76f155ced4ddcb4097134ff3c332f>
    <TaxCatchAll xmlns="d56ed46a-4164-40b6-a09a-3a2f9edb41ee" xsi:nil="true"/>
  </documentManagement>
</p:properties>
</file>

<file path=customXml/itemProps1.xml><?xml version="1.0" encoding="utf-8"?>
<ds:datastoreItem xmlns:ds="http://schemas.openxmlformats.org/officeDocument/2006/customXml" ds:itemID="{20248B7E-413F-4E39-A6F0-9CA4CDB27B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24f467-e8a7-4788-95b6-921cce7bcfae"/>
    <ds:schemaRef ds:uri="d56ed46a-4164-40b6-a09a-3a2f9edb4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64887B-C0E2-4E86-950E-A2D1BE4E1326}">
  <ds:schemaRefs>
    <ds:schemaRef ds:uri="http://schemas.openxmlformats.org/officeDocument/2006/bibliography"/>
  </ds:schemaRefs>
</ds:datastoreItem>
</file>

<file path=customXml/itemProps3.xml><?xml version="1.0" encoding="utf-8"?>
<ds:datastoreItem xmlns:ds="http://schemas.openxmlformats.org/officeDocument/2006/customXml" ds:itemID="{8400360B-44D5-4432-8AE4-08479A6748E6}">
  <ds:schemaRefs>
    <ds:schemaRef ds:uri="http://schemas.microsoft.com/sharepoint/v3/contenttype/forms"/>
  </ds:schemaRefs>
</ds:datastoreItem>
</file>

<file path=customXml/itemProps4.xml><?xml version="1.0" encoding="utf-8"?>
<ds:datastoreItem xmlns:ds="http://schemas.openxmlformats.org/officeDocument/2006/customXml" ds:itemID="{F815CFC6-67C1-460D-9B92-57136E0A9E62}">
  <ds:schemaRefs>
    <ds:schemaRef ds:uri="http://schemas.microsoft.com/office/2006/metadata/properties"/>
    <ds:schemaRef ds:uri="http://schemas.microsoft.com/office/infopath/2007/PartnerControls"/>
    <ds:schemaRef ds:uri="1124f467-e8a7-4788-95b6-921cce7bcfae"/>
    <ds:schemaRef ds:uri="d56ed46a-4164-40b6-a09a-3a2f9edb41ee"/>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6</Pages>
  <Words>3237</Words>
  <Characters>18451</Characters>
  <Application>Microsoft Office Word</Application>
  <DocSecurity>0</DocSecurity>
  <Lines>153</Lines>
  <Paragraphs>43</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
      <vt:lpstr>1.	CONTEXT OF THE PROPOSAL</vt:lpstr>
      <vt:lpstr>    •	Reasons for and objectives of the proposal</vt:lpstr>
      <vt:lpstr>    •	Consistency with existing policy provisions in the policy area</vt:lpstr>
      <vt:lpstr>    •	Consistency with other Union policies</vt:lpstr>
      <vt:lpstr>2.	LEGAL BASIS, SUBSIDIARITY AND PROPORTIONALITY</vt:lpstr>
      <vt:lpstr>    •	Legal basis</vt:lpstr>
      <vt:lpstr>    •	Subsidiarity (for non-exclusive competence)</vt:lpstr>
      <vt:lpstr>    •	Proportionality</vt:lpstr>
      <vt:lpstr>    •	Choice of the instrument</vt:lpstr>
      <vt:lpstr>3.	RESULTS OF EX POST EVALUATIONS, STAKEHOLDER CONSULTATIONS AND IMPACT ASSESSME</vt:lpstr>
      <vt:lpstr>    •	Ex post evaluations/fitness checks of existing legislation</vt:lpstr>
      <vt:lpstr>    •	Stakeholder consultations</vt:lpstr>
      <vt:lpstr>    •	Collection and use of expertise</vt:lpstr>
      <vt:lpstr>    •	Impact assessment</vt:lpstr>
      <vt:lpstr>    •	Regulatory fitness and simplification</vt:lpstr>
      <vt:lpstr>    •	Fundamental rights</vt:lpstr>
      <vt:lpstr>4.	BUDGETARY IMPLICATIONS</vt:lpstr>
      <vt:lpstr>5.	OTHER ELEMENTS</vt:lpstr>
      <vt:lpstr>    •	Implementation plans and monitoring, evaluation and reporting arrangements</vt:lpstr>
      <vt:lpstr>    •	Explanatory documents (for directives)</vt:lpstr>
      <vt:lpstr>    •	Detailed explanation of the specific provisions of the proposal</vt:lpstr>
    </vt:vector>
  </TitlesOfParts>
  <Manager/>
  <Company/>
  <LinksUpToDate>false</LinksUpToDate>
  <CharactersWithSpaces>21645</CharactersWithSpaces>
  <SharedDoc>false</SharedDoc>
  <HLinks>
    <vt:vector size="24" baseType="variant">
      <vt:variant>
        <vt:i4>6094897</vt:i4>
      </vt:variant>
      <vt:variant>
        <vt:i4>0</vt:i4>
      </vt:variant>
      <vt:variant>
        <vt:i4>0</vt:i4>
      </vt:variant>
      <vt:variant>
        <vt:i4>5</vt:i4>
      </vt:variant>
      <vt:variant>
        <vt:lpwstr>https://ec.europa.eu/info/law/better-regulation/have-your-say/initiatives/15714-Regulatory-simplification-package-for-the-EUs-outermost-regions_en</vt:lpwstr>
      </vt:variant>
      <vt:variant>
        <vt:lpwstr/>
      </vt:variant>
      <vt:variant>
        <vt:i4>196732</vt:i4>
      </vt:variant>
      <vt:variant>
        <vt:i4>6</vt:i4>
      </vt:variant>
      <vt:variant>
        <vt:i4>0</vt:i4>
      </vt:variant>
      <vt:variant>
        <vt:i4>5</vt:i4>
      </vt:variant>
      <vt:variant>
        <vt:lpwstr>http://data.europa.eu/eli/agree_interinstit/2016/512/oj</vt:lpwstr>
      </vt:variant>
      <vt:variant>
        <vt:lpwstr/>
      </vt:variant>
      <vt:variant>
        <vt:i4>6357099</vt:i4>
      </vt:variant>
      <vt:variant>
        <vt:i4>3</vt:i4>
      </vt:variant>
      <vt:variant>
        <vt:i4>0</vt:i4>
      </vt:variant>
      <vt:variant>
        <vt:i4>5</vt:i4>
      </vt:variant>
      <vt:variant>
        <vt:lpwstr>http://data.europa.eu/eli/reg/1987/2658/oj</vt:lpwstr>
      </vt:variant>
      <vt:variant>
        <vt:lpwstr/>
      </vt:variant>
      <vt:variant>
        <vt:i4>4915207</vt:i4>
      </vt:variant>
      <vt:variant>
        <vt:i4>0</vt:i4>
      </vt:variant>
      <vt:variant>
        <vt:i4>0</vt:i4>
      </vt:variant>
      <vt:variant>
        <vt:i4>5</vt:i4>
      </vt:variant>
      <vt:variant>
        <vt:lpwstr>http://data.europa.eu/eli/dec/2021/991/oj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12</cp:revision>
  <dcterms:created xsi:type="dcterms:W3CDTF">2026-09-09T08:37:00Z</dcterms:created>
  <dcterms:modified xsi:type="dcterms:W3CDTF">2026-09-10T07:59:00Z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2026-09-03T14:47:15Z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77f80f89-9eb2-4518-8adf-06d7c168247c</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Version">
    <vt:lpwstr>8.0.25.0</vt:lpwstr>
  </property>
  <property fmtid="{D5CDD505-2E9C-101B-9397-08002B2CF9AE}" pid="12" name="Part">
    <vt:lpwstr>1</vt:lpwstr>
  </property>
  <property fmtid="{D5CDD505-2E9C-101B-9397-08002B2CF9AE}" pid="13" name="MediaServiceImageTags">
    <vt:lpwstr/>
  </property>
  <property fmtid="{D5CDD505-2E9C-101B-9397-08002B2CF9AE}" pid="14" name="ContentTypeId">
    <vt:lpwstr>0x010100F6429E421B7D0B4085855E79BFBD84D8</vt:lpwstr>
  </property>
  <property fmtid="{D5CDD505-2E9C-101B-9397-08002B2CF9AE}" pid="15" name="Created using">
    <vt:lpwstr>LW 9.2, Build 20250828</vt:lpwstr>
  </property>
  <property fmtid="{D5CDD505-2E9C-101B-9397-08002B2CF9AE}" pid="16" name="Total parts">
    <vt:lpwstr>1</vt:lpwstr>
  </property>
  <property fmtid="{D5CDD505-2E9C-101B-9397-08002B2CF9AE}" pid="17" name="Category">
    <vt:lpwstr>COM/PL/ORG</vt:lpwstr>
  </property>
  <property fmtid="{D5CDD505-2E9C-101B-9397-08002B2CF9AE}" pid="18" name="Level of sensitivity">
    <vt:lpwstr>Standard treatment</vt:lpwstr>
  </property>
  <property fmtid="{D5CDD505-2E9C-101B-9397-08002B2CF9AE}" pid="19" name="LWTemplateID">
    <vt:lpwstr>SJ-019</vt:lpwstr>
  </property>
  <property fmtid="{D5CDD505-2E9C-101B-9397-08002B2CF9AE}" pid="20" name="DQCStatus">
    <vt:lpwstr>Green (DQC version 03)</vt:lpwstr>
  </property>
</Properties>
</file>