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F21CFF-626B-4BEE-AEA2-79394FE1AF02" style="width:455.25pt;height:381.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II</w:t>
      </w:r>
    </w:p>
    <w:p>
      <w:pPr>
        <w:jc w:val="center"/>
        <w:rPr>
          <w:b/>
          <w:bCs/>
          <w:noProof/>
        </w:rPr>
      </w:pPr>
      <w:r>
        <w:rPr>
          <w:b/>
          <w:bCs/>
          <w:noProof/>
        </w:rPr>
        <w:t>‘ANNEX II</w:t>
      </w:r>
    </w:p>
    <w:p>
      <w:pPr>
        <w:jc w:val="center"/>
        <w:rPr>
          <w:b/>
          <w:bCs/>
          <w:noProof/>
        </w:rPr>
      </w:pPr>
      <w:r>
        <w:rPr>
          <w:b/>
          <w:bCs/>
          <w:noProof/>
        </w:rPr>
        <w:t>INFORMATION TO BE INCLUDED IN THE EVALUATION REPORT REFERRED TO IN ARTICLE 3</w:t>
      </w:r>
    </w:p>
    <w:p>
      <w:pPr>
        <w:pStyle w:val="NumPar1"/>
        <w:numPr>
          <w:ilvl w:val="0"/>
          <w:numId w:val="5"/>
        </w:numPr>
        <w:rPr>
          <w:noProof/>
        </w:rPr>
      </w:pPr>
      <w:r>
        <w:rPr>
          <w:noProof/>
        </w:rPr>
        <w:t>Estimated additional production costs</w:t>
      </w:r>
    </w:p>
    <w:p>
      <w:pPr>
        <w:rPr>
          <w:noProof/>
        </w:rPr>
      </w:pPr>
      <w:r>
        <w:rPr>
          <w:noProof/>
        </w:rPr>
        <w:t xml:space="preserve">The French authorities shall send the Commission a summary report with sufficient data to determine whether additional costs exist which increase the cost price of local production in comparison with products produced elsewhere. </w:t>
      </w:r>
    </w:p>
    <w:p>
      <w:pPr>
        <w:rPr>
          <w:noProof/>
        </w:rPr>
      </w:pPr>
      <w:r>
        <w:rPr>
          <w:noProof/>
        </w:rPr>
        <w:t>The information provided in the summary report shall include at least the following data, if available: (i) costs of inputs; (ii) costs related to storage (overstocking and longer rotation time); (iii) costs related to over-sizing of equipment; and (iv) additional costs related to human resources and finance. That data shall be provided for at least each product category under the Harmonised System headings, according to the first four digits of the Combined Nomenclature. The summary report shall also contain ‘product information sheets’ relating to the additional costs that France will continue to incur periodically.</w:t>
      </w:r>
    </w:p>
    <w:p>
      <w:pPr>
        <w:pStyle w:val="NumPar1"/>
        <w:rPr>
          <w:noProof/>
        </w:rPr>
      </w:pPr>
      <w:r>
        <w:rPr>
          <w:noProof/>
        </w:rPr>
        <w:t>Other subsidies</w:t>
      </w:r>
    </w:p>
    <w:p>
      <w:pPr>
        <w:rPr>
          <w:noProof/>
        </w:rPr>
      </w:pPr>
      <w:r>
        <w:rPr>
          <w:noProof/>
        </w:rPr>
        <w:t>The French authorities shall send the Commission a list of all the other aid and support measures addressing the additional production costs borne by economic operators that are linked to the remoteness of the regions of Guadeloupe, French Guiana, Martinique, Mayotte and Réunion.</w:t>
      </w:r>
    </w:p>
    <w:p>
      <w:pPr>
        <w:pStyle w:val="NumPar1"/>
        <w:rPr>
          <w:noProof/>
        </w:rPr>
      </w:pPr>
      <w:r>
        <w:rPr>
          <w:noProof/>
        </w:rPr>
        <w:t>Impact on the budget of public authorities</w:t>
      </w:r>
    </w:p>
    <w:p>
      <w:pPr>
        <w:rPr>
          <w:noProof/>
        </w:rPr>
      </w:pPr>
      <w:r>
        <w:rPr>
          <w:noProof/>
        </w:rPr>
        <w:t>The French authorities shall fill in Table 1, providing the estimated total amount (in EUR) of tax collected and not collected as a result of the application of a dock dues tax differential.</w:t>
      </w:r>
    </w:p>
    <w:p>
      <w:pPr>
        <w:pStyle w:val="TableTitle"/>
        <w:rPr>
          <w:noProof/>
        </w:rPr>
      </w:pPr>
      <w:r>
        <w:rPr>
          <w:noProof/>
        </w:rPr>
        <w:t>Table 1: Tax collection</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596"/>
        <w:gridCol w:w="916"/>
        <w:gridCol w:w="916"/>
        <w:gridCol w:w="916"/>
        <w:gridCol w:w="916"/>
        <w:gridCol w:w="916"/>
        <w:gridCol w:w="913"/>
      </w:tblGrid>
      <w:tr>
        <w:tc>
          <w:tcPr>
            <w:tcW w:w="1978" w:type="pct"/>
            <w:tcBorders>
              <w:top w:val="single" w:sz="6" w:space="0" w:color="000000"/>
              <w:left w:val="single" w:sz="6" w:space="0" w:color="000000"/>
              <w:bottom w:val="single" w:sz="6" w:space="0" w:color="000000"/>
              <w:right w:val="single" w:sz="6" w:space="0" w:color="000000"/>
            </w:tcBorders>
            <w:hideMark/>
          </w:tcPr>
          <w:p>
            <w:pPr>
              <w:rPr>
                <w:b/>
                <w:bCs/>
                <w:noProof/>
              </w:rPr>
            </w:pPr>
            <w:r>
              <w:rPr>
                <w:b/>
                <w:bCs/>
                <w:noProof/>
              </w:rPr>
              <w:t>Year</w:t>
            </w:r>
            <w:r>
              <w:rPr>
                <w:b/>
                <w:bCs/>
                <w:noProof/>
                <w:vertAlign w:val="superscript"/>
              </w:rPr>
              <w:t>(1)</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2023</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2024</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2025</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2026</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2027</w:t>
            </w:r>
          </w:p>
        </w:tc>
        <w:tc>
          <w:tcPr>
            <w:tcW w:w="502"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Notes</w:t>
            </w:r>
            <w:r>
              <w:rPr>
                <w:b/>
                <w:bCs/>
                <w:noProof/>
                <w:vertAlign w:val="superscript"/>
              </w:rPr>
              <w:t>(2)</w:t>
            </w:r>
          </w:p>
        </w:tc>
      </w:tr>
      <w:tr>
        <w:tc>
          <w:tcPr>
            <w:tcW w:w="1978" w:type="pct"/>
            <w:tcBorders>
              <w:top w:val="single" w:sz="6" w:space="0" w:color="000000"/>
              <w:left w:val="single" w:sz="6" w:space="0" w:color="000000"/>
              <w:bottom w:val="single" w:sz="6" w:space="0" w:color="000000"/>
              <w:right w:val="single" w:sz="6" w:space="0" w:color="000000"/>
            </w:tcBorders>
            <w:hideMark/>
          </w:tcPr>
          <w:p>
            <w:pPr>
              <w:rPr>
                <w:noProof/>
              </w:rPr>
            </w:pPr>
            <w:r>
              <w:rPr>
                <w:noProof/>
              </w:rPr>
              <w:t>Tax not collected</w:t>
            </w:r>
            <w:r>
              <w:rPr>
                <w:noProof/>
                <w:vertAlign w:val="superscript"/>
              </w:rPr>
              <w:t>(3)</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2" w:type="pct"/>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1978" w:type="pct"/>
            <w:tcBorders>
              <w:top w:val="single" w:sz="6" w:space="0" w:color="000000"/>
              <w:left w:val="single" w:sz="6" w:space="0" w:color="000000"/>
              <w:bottom w:val="single" w:sz="6" w:space="0" w:color="000000"/>
              <w:right w:val="single" w:sz="6" w:space="0" w:color="000000"/>
            </w:tcBorders>
            <w:hideMark/>
          </w:tcPr>
          <w:p>
            <w:pPr>
              <w:rPr>
                <w:noProof/>
              </w:rPr>
            </w:pPr>
            <w:r>
              <w:rPr>
                <w:noProof/>
              </w:rPr>
              <w:t>Tax receipts – imports</w:t>
            </w:r>
            <w:r>
              <w:rPr>
                <w:noProof/>
                <w:vertAlign w:val="superscript"/>
              </w:rPr>
              <w:t>(4)</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2" w:type="pct"/>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1978" w:type="pct"/>
            <w:tcBorders>
              <w:top w:val="single" w:sz="6" w:space="0" w:color="000000"/>
              <w:left w:val="single" w:sz="6" w:space="0" w:color="000000"/>
              <w:bottom w:val="single" w:sz="6" w:space="0" w:color="000000"/>
              <w:right w:val="single" w:sz="6" w:space="0" w:color="000000"/>
            </w:tcBorders>
            <w:hideMark/>
          </w:tcPr>
          <w:p>
            <w:pPr>
              <w:rPr>
                <w:noProof/>
              </w:rPr>
            </w:pPr>
            <w:r>
              <w:rPr>
                <w:noProof/>
              </w:rPr>
              <w:t>Tax receipts – local production</w:t>
            </w:r>
            <w:r>
              <w:rPr>
                <w:noProof/>
                <w:vertAlign w:val="superscript"/>
              </w:rPr>
              <w:t>(5)</w:t>
            </w: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4" w:type="pct"/>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502" w:type="pct"/>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5000" w:type="pct"/>
            <w:gridSpan w:val="7"/>
            <w:tcBorders>
              <w:top w:val="single" w:sz="6" w:space="0" w:color="000000"/>
              <w:left w:val="single" w:sz="6" w:space="0" w:color="000000"/>
              <w:bottom w:val="single" w:sz="6" w:space="0" w:color="000000"/>
              <w:right w:val="single" w:sz="6" w:space="0" w:color="000000"/>
            </w:tcBorders>
          </w:tcPr>
          <w:p>
            <w:pPr>
              <w:rPr>
                <w:noProof/>
              </w:rPr>
            </w:pPr>
            <w:r>
              <w:rPr>
                <w:i/>
                <w:noProof/>
              </w:rPr>
              <w:t>Notes to Table 1</w:t>
            </w:r>
            <w:r>
              <w:rPr>
                <w:noProof/>
              </w:rPr>
              <w:t>:</w:t>
            </w:r>
          </w:p>
          <w:p>
            <w:pPr>
              <w:rPr>
                <w:noProof/>
              </w:rPr>
            </w:pPr>
            <w:r>
              <w:rPr>
                <w:noProof/>
              </w:rPr>
              <w:t>(1) Information may not be available for all the years listed.</w:t>
            </w:r>
          </w:p>
          <w:p>
            <w:pPr>
              <w:rPr>
                <w:noProof/>
              </w:rPr>
            </w:pPr>
            <w:r>
              <w:rPr>
                <w:noProof/>
              </w:rPr>
              <w:t>(2) Provide comments and clarifications as deemed relevant.</w:t>
            </w:r>
          </w:p>
          <w:p>
            <w:pPr>
              <w:rPr>
                <w:noProof/>
              </w:rPr>
            </w:pPr>
            <w:r>
              <w:rPr>
                <w:noProof/>
              </w:rPr>
              <w:t>(3) ‘Tax not collected’: total amount (in EUR) of tax not collected because of the tax differentials applied to local production (reductions/exemptions). At product level, this is calculated by multiplying the amount of local production sold (excluding exports) by the tax differential applied. The indicator is then calculated by adding up the results obtained for each product.</w:t>
            </w:r>
          </w:p>
          <w:p>
            <w:pPr>
              <w:rPr>
                <w:noProof/>
              </w:rPr>
            </w:pPr>
            <w:r>
              <w:rPr>
                <w:noProof/>
              </w:rPr>
              <w:t>(4) ‘Tax receipts – imports’: total amount (in EUR) of dock dues collected in respect of imported products.</w:t>
            </w:r>
          </w:p>
          <w:p>
            <w:pPr>
              <w:rPr>
                <w:noProof/>
              </w:rPr>
            </w:pPr>
            <w:r>
              <w:rPr>
                <w:noProof/>
              </w:rPr>
              <w:t>(5) ‘Tax receipts – local production’: total amount (in EUR) of dock dues collected in respect of local production.</w:t>
            </w:r>
          </w:p>
        </w:tc>
      </w:tr>
    </w:tbl>
    <w:p>
      <w:pPr>
        <w:pStyle w:val="NumPar1"/>
        <w:rPr>
          <w:noProof/>
        </w:rPr>
      </w:pPr>
      <w:r>
        <w:rPr>
          <w:noProof/>
        </w:rPr>
        <w:lastRenderedPageBreak/>
        <w:t>Impact on overall economic performance</w:t>
      </w:r>
    </w:p>
    <w:p>
      <w:pPr>
        <w:rPr>
          <w:noProof/>
        </w:rPr>
      </w:pPr>
      <w:r>
        <w:rPr>
          <w:noProof/>
        </w:rPr>
        <w:t>The French authorities shall complete Table 2 for each region, providing any data demonstrating the impact of the tax differentials on the socioeconomic development of those regions. The indicators required in the Table shall refer to the performance of the sectors benefiting from a tax differential compared to the general performance of the economy of these outermost regions. If some of the indicators are unavailable, alternative data on the impact on the overall economic performance of these regions shall be provided.</w:t>
      </w:r>
    </w:p>
    <w:p>
      <w:pPr>
        <w:pStyle w:val="TableTitle"/>
        <w:rPr>
          <w:noProof/>
        </w:rPr>
      </w:pPr>
      <w:r>
        <w:rPr>
          <w:noProof/>
        </w:rPr>
        <w:t>Table 2: Socioeconomic development</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688"/>
        <w:gridCol w:w="720"/>
        <w:gridCol w:w="720"/>
        <w:gridCol w:w="720"/>
        <w:gridCol w:w="720"/>
        <w:gridCol w:w="720"/>
        <w:gridCol w:w="801"/>
      </w:tblGrid>
      <w:tr>
        <w:tc>
          <w:tcPr>
            <w:tcW w:w="4688" w:type="dxa"/>
            <w:tcBorders>
              <w:top w:val="single" w:sz="6" w:space="0" w:color="000000"/>
              <w:left w:val="single" w:sz="6" w:space="0" w:color="000000"/>
              <w:bottom w:val="single" w:sz="6" w:space="0" w:color="000000"/>
              <w:right w:val="single" w:sz="6" w:space="0" w:color="000000"/>
            </w:tcBorders>
            <w:hideMark/>
          </w:tcPr>
          <w:p>
            <w:pPr>
              <w:rPr>
                <w:b/>
                <w:bCs/>
                <w:noProof/>
              </w:rPr>
            </w:pPr>
            <w:r>
              <w:rPr>
                <w:b/>
                <w:bCs/>
                <w:noProof/>
              </w:rPr>
              <w:t>Year</w:t>
            </w:r>
            <w:r>
              <w:rPr>
                <w:b/>
                <w:bCs/>
                <w:noProof/>
                <w:vertAlign w:val="superscript"/>
              </w:rPr>
              <w:t>(1)</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2023</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2024</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2025</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2026</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2027</w:t>
            </w:r>
          </w:p>
        </w:tc>
        <w:tc>
          <w:tcPr>
            <w:tcW w:w="801" w:type="dxa"/>
            <w:tcBorders>
              <w:top w:val="single" w:sz="6" w:space="0" w:color="000000"/>
              <w:left w:val="single" w:sz="6" w:space="0" w:color="000000"/>
              <w:bottom w:val="single" w:sz="6" w:space="0" w:color="000000"/>
              <w:right w:val="single" w:sz="6" w:space="0" w:color="000000"/>
            </w:tcBorders>
            <w:hideMark/>
          </w:tcPr>
          <w:p>
            <w:pPr>
              <w:rPr>
                <w:b/>
                <w:bCs/>
                <w:noProof/>
              </w:rPr>
            </w:pPr>
            <w:r>
              <w:rPr>
                <w:b/>
                <w:bCs/>
                <w:noProof/>
              </w:rPr>
              <w:t>Notes</w:t>
            </w:r>
            <w:r>
              <w:rPr>
                <w:b/>
                <w:bCs/>
                <w:noProof/>
                <w:vertAlign w:val="superscript"/>
              </w:rPr>
              <w:t>(2)</w:t>
            </w:r>
          </w:p>
        </w:tc>
      </w:tr>
      <w:tr>
        <w:tc>
          <w:tcPr>
            <w:tcW w:w="4688" w:type="dxa"/>
            <w:tcBorders>
              <w:top w:val="single" w:sz="6" w:space="0" w:color="000000"/>
              <w:left w:val="single" w:sz="6" w:space="0" w:color="000000"/>
              <w:bottom w:val="single" w:sz="6" w:space="0" w:color="000000"/>
              <w:right w:val="single" w:sz="6" w:space="0" w:color="000000"/>
            </w:tcBorders>
            <w:hideMark/>
          </w:tcPr>
          <w:p>
            <w:pPr>
              <w:rPr>
                <w:noProof/>
              </w:rPr>
            </w:pPr>
            <w:r>
              <w:rPr>
                <w:noProof/>
              </w:rPr>
              <w:t>Gross value added at regional level</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tbl>
            <w:tblPr>
              <w:tblW w:w="5000" w:type="pct"/>
              <w:tblLayout w:type="fixed"/>
              <w:tblCellMar>
                <w:left w:w="0" w:type="dxa"/>
                <w:right w:w="0" w:type="dxa"/>
              </w:tblCellMar>
              <w:tblLook w:val="04A0" w:firstRow="1" w:lastRow="0" w:firstColumn="1" w:lastColumn="0" w:noHBand="0" w:noVBand="1"/>
            </w:tblPr>
            <w:tblGrid>
              <w:gridCol w:w="246"/>
              <w:gridCol w:w="4427"/>
            </w:tblGrid>
            <w:tr>
              <w:tc>
                <w:tcPr>
                  <w:tcW w:w="257" w:type="dxa"/>
                  <w:hideMark/>
                </w:tcPr>
                <w:p>
                  <w:pPr>
                    <w:rPr>
                      <w:noProof/>
                    </w:rPr>
                  </w:pPr>
                  <w:r>
                    <w:rPr>
                      <w:noProof/>
                    </w:rPr>
                    <w:t>–</w:t>
                  </w:r>
                </w:p>
              </w:tc>
              <w:tc>
                <w:tcPr>
                  <w:tcW w:w="4631" w:type="dxa"/>
                  <w:hideMark/>
                </w:tcPr>
                <w:p>
                  <w:pPr>
                    <w:rPr>
                      <w:noProof/>
                    </w:rPr>
                  </w:pPr>
                  <w:r>
                    <w:rPr>
                      <w:noProof/>
                    </w:rPr>
                    <w:t>In sectors benefiting from a tax differential</w:t>
                  </w:r>
                  <w:r>
                    <w:rPr>
                      <w:noProof/>
                      <w:vertAlign w:val="superscript"/>
                    </w:rPr>
                    <w:t>(3)</w:t>
                  </w:r>
                </w:p>
              </w:tc>
            </w:tr>
          </w:tbl>
          <w:p>
            <w:pP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p>
            <w:pPr>
              <w:rPr>
                <w:noProof/>
              </w:rPr>
            </w:pPr>
            <w:r>
              <w:rPr>
                <w:noProof/>
              </w:rPr>
              <w:t>Overall regional employment</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tbl>
            <w:tblPr>
              <w:tblW w:w="5000" w:type="pct"/>
              <w:tblLayout w:type="fixed"/>
              <w:tblCellMar>
                <w:left w:w="0" w:type="dxa"/>
                <w:right w:w="0" w:type="dxa"/>
              </w:tblCellMar>
              <w:tblLook w:val="04A0" w:firstRow="1" w:lastRow="0" w:firstColumn="1" w:lastColumn="0" w:noHBand="0" w:noVBand="1"/>
            </w:tblPr>
            <w:tblGrid>
              <w:gridCol w:w="246"/>
              <w:gridCol w:w="4427"/>
            </w:tblGrid>
            <w:tr>
              <w:tc>
                <w:tcPr>
                  <w:tcW w:w="257" w:type="dxa"/>
                  <w:hideMark/>
                </w:tcPr>
                <w:p>
                  <w:pPr>
                    <w:rPr>
                      <w:noProof/>
                    </w:rPr>
                  </w:pPr>
                  <w:r>
                    <w:rPr>
                      <w:noProof/>
                    </w:rPr>
                    <w:t>–</w:t>
                  </w:r>
                </w:p>
              </w:tc>
              <w:tc>
                <w:tcPr>
                  <w:tcW w:w="4631" w:type="dxa"/>
                  <w:hideMark/>
                </w:tcPr>
                <w:p>
                  <w:pPr>
                    <w:rPr>
                      <w:noProof/>
                    </w:rPr>
                  </w:pPr>
                  <w:r>
                    <w:rPr>
                      <w:noProof/>
                    </w:rPr>
                    <w:t>In sectors benefiting from a tax differential</w:t>
                  </w:r>
                  <w:r>
                    <w:rPr>
                      <w:noProof/>
                      <w:vertAlign w:val="superscript"/>
                    </w:rPr>
                    <w:t>(3)</w:t>
                  </w:r>
                </w:p>
              </w:tc>
            </w:tr>
          </w:tbl>
          <w:p>
            <w:pP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p>
            <w:pPr>
              <w:rPr>
                <w:noProof/>
              </w:rPr>
            </w:pPr>
            <w:r>
              <w:rPr>
                <w:noProof/>
              </w:rPr>
              <w:t>Number of active companies</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tbl>
            <w:tblPr>
              <w:tblW w:w="5000" w:type="pct"/>
              <w:tblLayout w:type="fixed"/>
              <w:tblCellMar>
                <w:left w:w="0" w:type="dxa"/>
                <w:right w:w="0" w:type="dxa"/>
              </w:tblCellMar>
              <w:tblLook w:val="04A0" w:firstRow="1" w:lastRow="0" w:firstColumn="1" w:lastColumn="0" w:noHBand="0" w:noVBand="1"/>
            </w:tblPr>
            <w:tblGrid>
              <w:gridCol w:w="246"/>
              <w:gridCol w:w="4427"/>
            </w:tblGrid>
            <w:tr>
              <w:tc>
                <w:tcPr>
                  <w:tcW w:w="257" w:type="dxa"/>
                  <w:hideMark/>
                </w:tcPr>
                <w:p>
                  <w:pPr>
                    <w:rPr>
                      <w:noProof/>
                    </w:rPr>
                  </w:pPr>
                  <w:r>
                    <w:rPr>
                      <w:noProof/>
                    </w:rPr>
                    <w:t>–</w:t>
                  </w:r>
                </w:p>
              </w:tc>
              <w:tc>
                <w:tcPr>
                  <w:tcW w:w="4631" w:type="dxa"/>
                  <w:hideMark/>
                </w:tcPr>
                <w:p>
                  <w:pPr>
                    <w:rPr>
                      <w:noProof/>
                    </w:rPr>
                  </w:pPr>
                  <w:r>
                    <w:rPr>
                      <w:noProof/>
                    </w:rPr>
                    <w:t>In sectors benefiting from a tax differential</w:t>
                  </w:r>
                  <w:r>
                    <w:rPr>
                      <w:noProof/>
                      <w:vertAlign w:val="superscript"/>
                    </w:rPr>
                    <w:t>(3)</w:t>
                  </w:r>
                </w:p>
              </w:tc>
            </w:tr>
          </w:tbl>
          <w:p>
            <w:pP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p>
            <w:pPr>
              <w:rPr>
                <w:noProof/>
              </w:rPr>
            </w:pPr>
            <w:r>
              <w:rPr>
                <w:noProof/>
              </w:rPr>
              <w:t>Price level index – mainland France</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4688" w:type="dxa"/>
            <w:tcBorders>
              <w:top w:val="single" w:sz="6" w:space="0" w:color="000000"/>
              <w:left w:val="single" w:sz="6" w:space="0" w:color="000000"/>
              <w:bottom w:val="single" w:sz="6" w:space="0" w:color="000000"/>
              <w:right w:val="single" w:sz="6" w:space="0" w:color="000000"/>
            </w:tcBorders>
            <w:hideMark/>
          </w:tcPr>
          <w:p>
            <w:pPr>
              <w:rPr>
                <w:noProof/>
              </w:rPr>
            </w:pPr>
            <w:r>
              <w:rPr>
                <w:noProof/>
              </w:rPr>
              <w:t>Price level index – outermost regions</w:t>
            </w: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720" w:type="dxa"/>
            <w:tcBorders>
              <w:top w:val="single" w:sz="6" w:space="0" w:color="000000"/>
              <w:left w:val="single" w:sz="6" w:space="0" w:color="000000"/>
              <w:bottom w:val="single" w:sz="6" w:space="0" w:color="000000"/>
              <w:right w:val="single" w:sz="6" w:space="0" w:color="000000"/>
            </w:tcBorders>
            <w:hideMark/>
          </w:tcPr>
          <w:p>
            <w:pPr>
              <w:jc w:val="center"/>
              <w:rPr>
                <w:noProof/>
              </w:rPr>
            </w:pPr>
          </w:p>
        </w:tc>
        <w:tc>
          <w:tcPr>
            <w:tcW w:w="801" w:type="dxa"/>
            <w:tcBorders>
              <w:top w:val="single" w:sz="6" w:space="0" w:color="000000"/>
              <w:left w:val="single" w:sz="6" w:space="0" w:color="000000"/>
              <w:bottom w:val="single" w:sz="6" w:space="0" w:color="000000"/>
              <w:right w:val="single" w:sz="6" w:space="0" w:color="000000"/>
            </w:tcBorders>
            <w:hideMark/>
          </w:tcPr>
          <w:p>
            <w:pPr>
              <w:jc w:val="center"/>
              <w:rPr>
                <w:noProof/>
              </w:rPr>
            </w:pPr>
          </w:p>
        </w:tc>
      </w:tr>
      <w:tr>
        <w:tc>
          <w:tcPr>
            <w:tcW w:w="9089" w:type="dxa"/>
            <w:gridSpan w:val="7"/>
            <w:tcBorders>
              <w:top w:val="single" w:sz="6" w:space="0" w:color="000000"/>
              <w:left w:val="single" w:sz="6" w:space="0" w:color="000000"/>
              <w:bottom w:val="single" w:sz="6" w:space="0" w:color="000000"/>
              <w:right w:val="single" w:sz="6" w:space="0" w:color="000000"/>
            </w:tcBorders>
          </w:tcPr>
          <w:p>
            <w:pPr>
              <w:rPr>
                <w:i/>
                <w:iCs/>
                <w:noProof/>
              </w:rPr>
            </w:pPr>
            <w:r>
              <w:rPr>
                <w:i/>
                <w:iCs/>
                <w:noProof/>
              </w:rPr>
              <w:t>Notes to Table 2:</w:t>
            </w:r>
          </w:p>
          <w:p>
            <w:pPr>
              <w:rPr>
                <w:noProof/>
              </w:rPr>
            </w:pPr>
            <w:r>
              <w:rPr>
                <w:noProof/>
              </w:rPr>
              <w:t>(1) Information may not be available for all the years listed.</w:t>
            </w:r>
          </w:p>
          <w:p>
            <w:pPr>
              <w:rPr>
                <w:noProof/>
              </w:rPr>
            </w:pPr>
            <w:r>
              <w:rPr>
                <w:noProof/>
              </w:rPr>
              <w:t>(2) Provide comments and clarifications as deemed relevant.</w:t>
            </w:r>
          </w:p>
          <w:p>
            <w:pPr>
              <w:rPr>
                <w:noProof/>
              </w:rPr>
            </w:pPr>
            <w:r>
              <w:rPr>
                <w:noProof/>
              </w:rPr>
              <w:t xml:space="preserve">(3) ‘Sectors benefiting from a tax differential’: economic sectors (NACE or similar definition) in which most production (by production volume) benefits from a tax differential. </w:t>
            </w:r>
          </w:p>
        </w:tc>
      </w:tr>
    </w:tbl>
    <w:p>
      <w:pPr>
        <w:pStyle w:val="NumPar1"/>
        <w:rPr>
          <w:noProof/>
        </w:rPr>
      </w:pPr>
      <w:r>
        <w:rPr>
          <w:noProof/>
        </w:rPr>
        <w:t>Specifications of the scheme</w:t>
      </w:r>
    </w:p>
    <w:p>
      <w:pPr>
        <w:rPr>
          <w:noProof/>
        </w:rPr>
      </w:pPr>
      <w:r>
        <w:rPr>
          <w:noProof/>
        </w:rPr>
        <w:t>The French authorities shall complete Tables 3 and 4 for each product (SH4, SH6, NC8 or TARIC10 as applicable) and by year (from 2019 to 2024) for each of the regions of Guadeloupe, French Guiana, Martinique, Mayotte and Réunion. The list only includes products benefiting from a tax differential.</w:t>
      </w:r>
    </w:p>
    <w:p>
      <w:pPr>
        <w:pStyle w:val="TableTitle"/>
        <w:rPr>
          <w:noProof/>
        </w:rPr>
      </w:pPr>
      <w:r>
        <w:rPr>
          <w:noProof/>
        </w:rPr>
        <w:t>Table 3: Identification of products and rates applied</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87"/>
        <w:gridCol w:w="840"/>
        <w:gridCol w:w="1320"/>
        <w:gridCol w:w="1202"/>
        <w:gridCol w:w="1465"/>
        <w:gridCol w:w="775"/>
      </w:tblGrid>
      <w:tr>
        <w:tc>
          <w:tcPr>
            <w:tcW w:w="0" w:type="auto"/>
            <w:tcBorders>
              <w:top w:val="single" w:sz="6" w:space="0" w:color="000000"/>
              <w:left w:val="single" w:sz="6" w:space="0" w:color="000000"/>
              <w:bottom w:val="single" w:sz="6" w:space="0" w:color="000000"/>
              <w:right w:val="single" w:sz="6" w:space="0" w:color="000000"/>
            </w:tcBorders>
            <w:hideMark/>
          </w:tcPr>
          <w:p>
            <w:pPr>
              <w:jc w:val="left"/>
              <w:rPr>
                <w:b/>
                <w:bCs/>
                <w:noProof/>
              </w:rPr>
            </w:pPr>
            <w:r>
              <w:rPr>
                <w:b/>
                <w:bCs/>
                <w:noProof/>
              </w:rPr>
              <w:t>Product benefiting from a tax differential – customs nomenclature (4, 6, 8 or 10 digits)</w:t>
            </w:r>
          </w:p>
        </w:tc>
        <w:tc>
          <w:tcPr>
            <w:tcW w:w="462"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Year</w:t>
            </w:r>
          </w:p>
        </w:tc>
        <w:tc>
          <w:tcPr>
            <w:tcW w:w="726"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External dock dues rate</w:t>
            </w:r>
            <w:r>
              <w:rPr>
                <w:b/>
                <w:bCs/>
                <w:noProof/>
                <w:vertAlign w:val="superscript"/>
              </w:rPr>
              <w:t>(1)</w:t>
            </w:r>
          </w:p>
        </w:tc>
        <w:tc>
          <w:tcPr>
            <w:tcW w:w="661"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Internal dock dues rate</w:t>
            </w:r>
            <w:r>
              <w:rPr>
                <w:b/>
                <w:bCs/>
                <w:noProof/>
                <w:vertAlign w:val="superscript"/>
              </w:rPr>
              <w:t>(2)</w:t>
            </w:r>
          </w:p>
        </w:tc>
        <w:tc>
          <w:tcPr>
            <w:tcW w:w="806" w:type="pct"/>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Tax differential applied</w:t>
            </w:r>
            <w:r>
              <w:rPr>
                <w:b/>
                <w:bCs/>
                <w:noProof/>
                <w:vertAlign w:val="superscript"/>
              </w:rPr>
              <w:t>(3)</w:t>
            </w:r>
          </w:p>
        </w:tc>
        <w:tc>
          <w:tcPr>
            <w:tcW w:w="0" w:type="auto"/>
            <w:tcBorders>
              <w:top w:val="single" w:sz="6" w:space="0" w:color="000000"/>
              <w:left w:val="single" w:sz="6" w:space="0" w:color="000000"/>
              <w:bottom w:val="single" w:sz="6" w:space="0" w:color="000000"/>
              <w:right w:val="single" w:sz="6" w:space="0" w:color="000000"/>
            </w:tcBorders>
            <w:hideMark/>
          </w:tcPr>
          <w:p>
            <w:pPr>
              <w:jc w:val="center"/>
              <w:rPr>
                <w:b/>
                <w:bCs/>
                <w:noProof/>
              </w:rPr>
            </w:pPr>
            <w:r>
              <w:rPr>
                <w:b/>
                <w:bCs/>
                <w:noProof/>
              </w:rPr>
              <w:t>Notes</w:t>
            </w:r>
            <w:r>
              <w:rPr>
                <w:b/>
                <w:bCs/>
                <w:noProof/>
                <w:vertAlign w:val="superscript"/>
              </w:rPr>
              <w:t>(4)</w:t>
            </w: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462" w:type="pct"/>
            <w:tcBorders>
              <w:top w:val="single" w:sz="6" w:space="0" w:color="000000"/>
              <w:left w:val="single" w:sz="6" w:space="0" w:color="000000"/>
              <w:bottom w:val="single" w:sz="6" w:space="0" w:color="000000"/>
              <w:right w:val="single" w:sz="6" w:space="0" w:color="000000"/>
            </w:tcBorders>
            <w:hideMark/>
          </w:tcPr>
          <w:p>
            <w:pPr>
              <w:jc w:val="center"/>
              <w:rPr>
                <w:noProof/>
              </w:rPr>
            </w:pPr>
            <w:r>
              <w:rPr>
                <w:noProof/>
              </w:rPr>
              <w:t>2023</w:t>
            </w:r>
          </w:p>
        </w:tc>
        <w:tc>
          <w:tcPr>
            <w:tcW w:w="726" w:type="pct"/>
            <w:tcBorders>
              <w:top w:val="single" w:sz="6" w:space="0" w:color="000000"/>
              <w:left w:val="single" w:sz="6" w:space="0" w:color="000000"/>
              <w:bottom w:val="single" w:sz="6" w:space="0" w:color="000000"/>
              <w:right w:val="single" w:sz="6" w:space="0" w:color="000000"/>
            </w:tcBorders>
            <w:hideMark/>
          </w:tcPr>
          <w:p>
            <w:pPr>
              <w:rPr>
                <w:noProof/>
              </w:rPr>
            </w:pPr>
          </w:p>
        </w:tc>
        <w:tc>
          <w:tcPr>
            <w:tcW w:w="6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806"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tcPr>
          <w:p>
            <w:pPr>
              <w:rPr>
                <w:noProof/>
              </w:rPr>
            </w:pPr>
          </w:p>
        </w:tc>
        <w:tc>
          <w:tcPr>
            <w:tcW w:w="462" w:type="pct"/>
            <w:tcBorders>
              <w:top w:val="single" w:sz="6" w:space="0" w:color="000000"/>
              <w:left w:val="single" w:sz="6" w:space="0" w:color="000000"/>
              <w:bottom w:val="single" w:sz="6" w:space="0" w:color="000000"/>
              <w:right w:val="single" w:sz="6" w:space="0" w:color="000000"/>
            </w:tcBorders>
          </w:tcPr>
          <w:p>
            <w:pPr>
              <w:jc w:val="center"/>
              <w:rPr>
                <w:noProof/>
              </w:rPr>
            </w:pPr>
            <w:r>
              <w:rPr>
                <w:noProof/>
              </w:rPr>
              <w:t>2024</w:t>
            </w:r>
          </w:p>
        </w:tc>
        <w:tc>
          <w:tcPr>
            <w:tcW w:w="726" w:type="pct"/>
            <w:tcBorders>
              <w:top w:val="single" w:sz="6" w:space="0" w:color="000000"/>
              <w:left w:val="single" w:sz="6" w:space="0" w:color="000000"/>
              <w:bottom w:val="single" w:sz="6" w:space="0" w:color="000000"/>
              <w:right w:val="single" w:sz="6" w:space="0" w:color="000000"/>
            </w:tcBorders>
          </w:tcPr>
          <w:p>
            <w:pPr>
              <w:rPr>
                <w:noProof/>
              </w:rPr>
            </w:pPr>
          </w:p>
        </w:tc>
        <w:tc>
          <w:tcPr>
            <w:tcW w:w="661" w:type="pct"/>
            <w:tcBorders>
              <w:top w:val="single" w:sz="6" w:space="0" w:color="000000"/>
              <w:left w:val="single" w:sz="6" w:space="0" w:color="000000"/>
              <w:bottom w:val="single" w:sz="6" w:space="0" w:color="000000"/>
              <w:right w:val="single" w:sz="6" w:space="0" w:color="000000"/>
            </w:tcBorders>
          </w:tcPr>
          <w:p>
            <w:pPr>
              <w:rPr>
                <w:noProof/>
              </w:rPr>
            </w:pPr>
          </w:p>
        </w:tc>
        <w:tc>
          <w:tcPr>
            <w:tcW w:w="806" w:type="pct"/>
            <w:tcBorders>
              <w:top w:val="single" w:sz="6" w:space="0" w:color="000000"/>
              <w:left w:val="single" w:sz="6" w:space="0" w:color="000000"/>
              <w:bottom w:val="single" w:sz="6" w:space="0" w:color="000000"/>
              <w:right w:val="single" w:sz="6" w:space="0" w:color="000000"/>
            </w:tcBorders>
          </w:tcPr>
          <w:p>
            <w:pPr>
              <w:rPr>
                <w:noProof/>
              </w:rPr>
            </w:pPr>
          </w:p>
        </w:tc>
        <w:tc>
          <w:tcPr>
            <w:tcW w:w="0" w:type="auto"/>
            <w:tcBorders>
              <w:top w:val="single" w:sz="6" w:space="0" w:color="000000"/>
              <w:left w:val="single" w:sz="6" w:space="0" w:color="000000"/>
              <w:bottom w:val="single" w:sz="6" w:space="0" w:color="000000"/>
              <w:right w:val="single" w:sz="6" w:space="0" w:color="000000"/>
            </w:tcBorders>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462" w:type="pct"/>
            <w:tcBorders>
              <w:top w:val="single" w:sz="6" w:space="0" w:color="000000"/>
              <w:left w:val="single" w:sz="6" w:space="0" w:color="000000"/>
              <w:bottom w:val="single" w:sz="6" w:space="0" w:color="000000"/>
              <w:right w:val="single" w:sz="6" w:space="0" w:color="000000"/>
            </w:tcBorders>
            <w:hideMark/>
          </w:tcPr>
          <w:p>
            <w:pPr>
              <w:jc w:val="center"/>
              <w:rPr>
                <w:noProof/>
              </w:rPr>
            </w:pPr>
            <w:r>
              <w:rPr>
                <w:noProof/>
              </w:rPr>
              <w:t>2025</w:t>
            </w:r>
          </w:p>
        </w:tc>
        <w:tc>
          <w:tcPr>
            <w:tcW w:w="726" w:type="pct"/>
            <w:tcBorders>
              <w:top w:val="single" w:sz="6" w:space="0" w:color="000000"/>
              <w:left w:val="single" w:sz="6" w:space="0" w:color="000000"/>
              <w:bottom w:val="single" w:sz="6" w:space="0" w:color="000000"/>
              <w:right w:val="single" w:sz="6" w:space="0" w:color="000000"/>
            </w:tcBorders>
            <w:hideMark/>
          </w:tcPr>
          <w:p>
            <w:pPr>
              <w:rPr>
                <w:noProof/>
              </w:rPr>
            </w:pPr>
          </w:p>
        </w:tc>
        <w:tc>
          <w:tcPr>
            <w:tcW w:w="6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806"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462" w:type="pct"/>
            <w:tcBorders>
              <w:top w:val="single" w:sz="6" w:space="0" w:color="000000"/>
              <w:left w:val="single" w:sz="6" w:space="0" w:color="000000"/>
              <w:bottom w:val="single" w:sz="6" w:space="0" w:color="000000"/>
              <w:right w:val="single" w:sz="6" w:space="0" w:color="000000"/>
            </w:tcBorders>
            <w:hideMark/>
          </w:tcPr>
          <w:p>
            <w:pPr>
              <w:jc w:val="center"/>
              <w:rPr>
                <w:noProof/>
              </w:rPr>
            </w:pPr>
            <w:r>
              <w:rPr>
                <w:noProof/>
              </w:rPr>
              <w:t>2026</w:t>
            </w:r>
          </w:p>
        </w:tc>
        <w:tc>
          <w:tcPr>
            <w:tcW w:w="726" w:type="pct"/>
            <w:tcBorders>
              <w:top w:val="single" w:sz="6" w:space="0" w:color="000000"/>
              <w:left w:val="single" w:sz="6" w:space="0" w:color="000000"/>
              <w:bottom w:val="single" w:sz="6" w:space="0" w:color="000000"/>
              <w:right w:val="single" w:sz="6" w:space="0" w:color="000000"/>
            </w:tcBorders>
            <w:hideMark/>
          </w:tcPr>
          <w:p>
            <w:pPr>
              <w:rPr>
                <w:noProof/>
              </w:rPr>
            </w:pPr>
          </w:p>
        </w:tc>
        <w:tc>
          <w:tcPr>
            <w:tcW w:w="6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806"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462" w:type="pct"/>
            <w:tcBorders>
              <w:top w:val="single" w:sz="6" w:space="0" w:color="000000"/>
              <w:left w:val="single" w:sz="6" w:space="0" w:color="000000"/>
              <w:bottom w:val="single" w:sz="6" w:space="0" w:color="000000"/>
              <w:right w:val="single" w:sz="6" w:space="0" w:color="000000"/>
            </w:tcBorders>
            <w:hideMark/>
          </w:tcPr>
          <w:p>
            <w:pPr>
              <w:jc w:val="center"/>
              <w:rPr>
                <w:noProof/>
              </w:rPr>
            </w:pPr>
            <w:r>
              <w:rPr>
                <w:noProof/>
              </w:rPr>
              <w:t>2027</w:t>
            </w:r>
          </w:p>
        </w:tc>
        <w:tc>
          <w:tcPr>
            <w:tcW w:w="726" w:type="pct"/>
            <w:tcBorders>
              <w:top w:val="single" w:sz="6" w:space="0" w:color="000000"/>
              <w:left w:val="single" w:sz="6" w:space="0" w:color="000000"/>
              <w:bottom w:val="single" w:sz="6" w:space="0" w:color="000000"/>
              <w:right w:val="single" w:sz="6" w:space="0" w:color="000000"/>
            </w:tcBorders>
            <w:hideMark/>
          </w:tcPr>
          <w:p>
            <w:pPr>
              <w:rPr>
                <w:noProof/>
              </w:rPr>
            </w:pPr>
          </w:p>
        </w:tc>
        <w:tc>
          <w:tcPr>
            <w:tcW w:w="6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806"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gridSpan w:val="6"/>
            <w:vAlign w:val="center"/>
            <w:hideMark/>
          </w:tcPr>
          <w:p>
            <w:pPr>
              <w:rPr>
                <w:i/>
                <w:iCs/>
                <w:noProof/>
              </w:rPr>
            </w:pPr>
            <w:r>
              <w:rPr>
                <w:i/>
                <w:iCs/>
                <w:noProof/>
              </w:rPr>
              <w:t>Notes to Table 3:</w:t>
            </w:r>
          </w:p>
          <w:tbl>
            <w:tblPr>
              <w:tblW w:w="5000" w:type="pct"/>
              <w:tblCellMar>
                <w:left w:w="0" w:type="dxa"/>
                <w:right w:w="0" w:type="dxa"/>
              </w:tblCellMar>
              <w:tblLook w:val="04A0" w:firstRow="1" w:lastRow="0" w:firstColumn="1" w:lastColumn="0" w:noHBand="0" w:noVBand="1"/>
            </w:tblPr>
            <w:tblGrid>
              <w:gridCol w:w="292"/>
              <w:gridCol w:w="8782"/>
            </w:tblGrid>
            <w:tr>
              <w:tc>
                <w:tcPr>
                  <w:tcW w:w="0" w:type="auto"/>
                  <w:hideMark/>
                </w:tcPr>
                <w:p>
                  <w:pPr>
                    <w:rPr>
                      <w:noProof/>
                    </w:rPr>
                  </w:pPr>
                  <w:r>
                    <w:rPr>
                      <w:noProof/>
                    </w:rPr>
                    <w:t>(1)</w:t>
                  </w:r>
                </w:p>
              </w:tc>
              <w:tc>
                <w:tcPr>
                  <w:tcW w:w="0" w:type="auto"/>
                  <w:hideMark/>
                </w:tcPr>
                <w:p>
                  <w:pPr>
                    <w:rPr>
                      <w:noProof/>
                    </w:rPr>
                  </w:pPr>
                  <w:r>
                    <w:rPr>
                      <w:noProof/>
                    </w:rPr>
                    <w:t xml:space="preserve"> ‘External dock dues rate’: dock dues rate applied to imports.</w:t>
                  </w:r>
                </w:p>
              </w:tc>
            </w:tr>
            <w:tr>
              <w:tc>
                <w:tcPr>
                  <w:tcW w:w="0" w:type="auto"/>
                  <w:hideMark/>
                </w:tcPr>
                <w:p>
                  <w:pPr>
                    <w:rPr>
                      <w:noProof/>
                    </w:rPr>
                  </w:pPr>
                  <w:r>
                    <w:rPr>
                      <w:noProof/>
                    </w:rPr>
                    <w:t>(2)</w:t>
                  </w:r>
                </w:p>
              </w:tc>
              <w:tc>
                <w:tcPr>
                  <w:tcW w:w="0" w:type="auto"/>
                  <w:hideMark/>
                </w:tcPr>
                <w:p>
                  <w:pPr>
                    <w:rPr>
                      <w:noProof/>
                    </w:rPr>
                  </w:pPr>
                  <w:r>
                    <w:rPr>
                      <w:noProof/>
                    </w:rPr>
                    <w:t xml:space="preserve"> ‘Internal dock dues rate’: dock dues rate applied to local production.</w:t>
                  </w:r>
                </w:p>
              </w:tc>
            </w:tr>
            <w:tr>
              <w:tc>
                <w:tcPr>
                  <w:tcW w:w="0" w:type="auto"/>
                  <w:hideMark/>
                </w:tcPr>
                <w:p>
                  <w:pPr>
                    <w:rPr>
                      <w:noProof/>
                    </w:rPr>
                  </w:pPr>
                  <w:r>
                    <w:rPr>
                      <w:noProof/>
                    </w:rPr>
                    <w:t>(3)</w:t>
                  </w:r>
                </w:p>
              </w:tc>
              <w:tc>
                <w:tcPr>
                  <w:tcW w:w="0" w:type="auto"/>
                  <w:hideMark/>
                </w:tcPr>
                <w:p>
                  <w:pPr>
                    <w:rPr>
                      <w:noProof/>
                    </w:rPr>
                  </w:pPr>
                  <w:r>
                    <w:rPr>
                      <w:noProof/>
                    </w:rPr>
                    <w:t xml:space="preserve"> ‘Tax differential applied’: difference between the internal and external dock dues rates.</w:t>
                  </w:r>
                </w:p>
              </w:tc>
            </w:tr>
            <w:tr>
              <w:tc>
                <w:tcPr>
                  <w:tcW w:w="0" w:type="auto"/>
                  <w:hideMark/>
                </w:tcPr>
                <w:p>
                  <w:pPr>
                    <w:rPr>
                      <w:noProof/>
                    </w:rPr>
                  </w:pPr>
                  <w:r>
                    <w:rPr>
                      <w:noProof/>
                    </w:rPr>
                    <w:t>(4)</w:t>
                  </w:r>
                </w:p>
              </w:tc>
              <w:tc>
                <w:tcPr>
                  <w:tcW w:w="0" w:type="auto"/>
                  <w:hideMark/>
                </w:tcPr>
                <w:p>
                  <w:pPr>
                    <w:rPr>
                      <w:noProof/>
                    </w:rPr>
                  </w:pPr>
                  <w:r>
                    <w:rPr>
                      <w:noProof/>
                    </w:rPr>
                    <w:t xml:space="preserve"> Provide comments and clarifications as deemed relevant.</w:t>
                  </w:r>
                </w:p>
              </w:tc>
            </w:tr>
          </w:tbl>
          <w:p>
            <w:pPr>
              <w:rPr>
                <w:noProof/>
              </w:rPr>
            </w:pPr>
          </w:p>
        </w:tc>
      </w:tr>
    </w:tbl>
    <w:p>
      <w:pPr>
        <w:rPr>
          <w:noProof/>
        </w:rPr>
      </w:pPr>
    </w:p>
    <w:p>
      <w:pPr>
        <w:spacing w:before="0" w:after="200" w:line="276" w:lineRule="auto"/>
        <w:jc w:val="left"/>
        <w:rPr>
          <w:noProof/>
        </w:rPr>
      </w:pPr>
      <w:r>
        <w:rPr>
          <w:noProof/>
        </w:rPr>
        <w:br w:type="page"/>
      </w:r>
    </w:p>
    <w:p>
      <w:pPr>
        <w:pStyle w:val="TableTitle"/>
        <w:rPr>
          <w:noProof/>
        </w:rPr>
      </w:pPr>
      <w:r>
        <w:rPr>
          <w:noProof/>
        </w:rPr>
        <w:lastRenderedPageBreak/>
        <w:t>Table 4: Market share of products benefiting from a tax differential</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79"/>
        <w:gridCol w:w="660"/>
        <w:gridCol w:w="1054"/>
        <w:gridCol w:w="474"/>
        <w:gridCol w:w="756"/>
        <w:gridCol w:w="1009"/>
        <w:gridCol w:w="1030"/>
        <w:gridCol w:w="682"/>
        <w:gridCol w:w="741"/>
        <w:gridCol w:w="704"/>
      </w:tblGrid>
      <w:tr>
        <w:tc>
          <w:tcPr>
            <w:tcW w:w="0" w:type="auto"/>
            <w:tcBorders>
              <w:top w:val="single" w:sz="6" w:space="0" w:color="000000"/>
              <w:left w:val="single" w:sz="6" w:space="0" w:color="000000"/>
              <w:bottom w:val="single" w:sz="6" w:space="0" w:color="000000"/>
              <w:right w:val="single" w:sz="6" w:space="0" w:color="000000"/>
            </w:tcBorders>
            <w:hideMark/>
          </w:tcPr>
          <w:p>
            <w:pPr>
              <w:jc w:val="left"/>
              <w:rPr>
                <w:b/>
                <w:bCs/>
                <w:noProof/>
                <w:sz w:val="22"/>
              </w:rPr>
            </w:pPr>
            <w:r>
              <w:rPr>
                <w:b/>
                <w:bCs/>
                <w:noProof/>
                <w:sz w:val="22"/>
              </w:rPr>
              <w:t>Product benefiting from a tax differential – CN code (4, 6, 8 or 10 digits)</w:t>
            </w:r>
            <w:r>
              <w:rPr>
                <w:b/>
                <w:bCs/>
                <w:noProof/>
                <w:sz w:val="22"/>
                <w:vertAlign w:val="superscript"/>
              </w:rPr>
              <w:t>(1)</w:t>
            </w: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b/>
                <w:bCs/>
                <w:noProof/>
                <w:sz w:val="22"/>
              </w:rPr>
            </w:pPr>
            <w:r>
              <w:rPr>
                <w:b/>
                <w:bCs/>
                <w:noProof/>
                <w:sz w:val="22"/>
              </w:rPr>
              <w:t>Year</w:t>
            </w:r>
          </w:p>
        </w:tc>
        <w:tc>
          <w:tcPr>
            <w:tcW w:w="1812" w:type="pct"/>
            <w:gridSpan w:val="4"/>
            <w:tcBorders>
              <w:top w:val="single" w:sz="6" w:space="0" w:color="000000"/>
              <w:left w:val="single" w:sz="6" w:space="0" w:color="000000"/>
              <w:bottom w:val="single" w:sz="6" w:space="0" w:color="000000"/>
              <w:right w:val="single" w:sz="6" w:space="0" w:color="000000"/>
            </w:tcBorders>
            <w:hideMark/>
          </w:tcPr>
          <w:p>
            <w:pPr>
              <w:jc w:val="center"/>
              <w:rPr>
                <w:b/>
                <w:bCs/>
                <w:noProof/>
                <w:sz w:val="22"/>
              </w:rPr>
            </w:pPr>
            <w:r>
              <w:rPr>
                <w:b/>
                <w:bCs/>
                <w:noProof/>
                <w:sz w:val="22"/>
              </w:rPr>
              <w:t>Volume</w:t>
            </w:r>
            <w:r>
              <w:rPr>
                <w:b/>
                <w:bCs/>
                <w:noProof/>
                <w:sz w:val="22"/>
                <w:vertAlign w:val="superscript"/>
              </w:rPr>
              <w:t>(2)</w:t>
            </w:r>
          </w:p>
        </w:tc>
        <w:tc>
          <w:tcPr>
            <w:tcW w:w="0" w:type="auto"/>
            <w:gridSpan w:val="3"/>
            <w:tcBorders>
              <w:top w:val="single" w:sz="6" w:space="0" w:color="000000"/>
              <w:left w:val="single" w:sz="6" w:space="0" w:color="000000"/>
              <w:bottom w:val="single" w:sz="6" w:space="0" w:color="000000"/>
              <w:right w:val="single" w:sz="6" w:space="0" w:color="000000"/>
            </w:tcBorders>
            <w:hideMark/>
          </w:tcPr>
          <w:p>
            <w:pPr>
              <w:jc w:val="center"/>
              <w:rPr>
                <w:b/>
                <w:bCs/>
                <w:noProof/>
                <w:sz w:val="22"/>
              </w:rPr>
            </w:pPr>
            <w:r>
              <w:rPr>
                <w:b/>
                <w:bCs/>
                <w:noProof/>
                <w:sz w:val="22"/>
              </w:rPr>
              <w:t>Amount (in EUR)</w:t>
            </w:r>
            <w:r>
              <w:rPr>
                <w:b/>
                <w:bCs/>
                <w:noProof/>
                <w:sz w:val="22"/>
                <w:vertAlign w:val="superscript"/>
              </w:rPr>
              <w:t>(3)</w:t>
            </w:r>
          </w:p>
        </w:tc>
        <w:tc>
          <w:tcPr>
            <w:tcW w:w="0" w:type="auto"/>
            <w:tcBorders>
              <w:top w:val="single" w:sz="6" w:space="0" w:color="000000"/>
              <w:left w:val="single" w:sz="6" w:space="0" w:color="000000"/>
              <w:bottom w:val="single" w:sz="6" w:space="0" w:color="000000"/>
              <w:right w:val="single" w:sz="6" w:space="0" w:color="000000"/>
            </w:tcBorders>
            <w:hideMark/>
          </w:tcPr>
          <w:p>
            <w:pPr>
              <w:jc w:val="center"/>
              <w:rPr>
                <w:b/>
                <w:bCs/>
                <w:noProof/>
                <w:sz w:val="22"/>
              </w:rPr>
            </w:pPr>
            <w:r>
              <w:rPr>
                <w:b/>
                <w:bCs/>
                <w:noProof/>
                <w:sz w:val="22"/>
              </w:rPr>
              <w:t>Notes</w:t>
            </w:r>
            <w:r>
              <w:rPr>
                <w:b/>
                <w:bCs/>
                <w:noProof/>
                <w:sz w:val="22"/>
                <w:vertAlign w:val="superscript"/>
              </w:rPr>
              <w:t>(4)</w:t>
            </w: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sz w:val="22"/>
              </w:rPr>
            </w:pPr>
          </w:p>
        </w:tc>
        <w:tc>
          <w:tcPr>
            <w:tcW w:w="363" w:type="pct"/>
            <w:tcBorders>
              <w:top w:val="single" w:sz="6" w:space="0" w:color="000000"/>
              <w:left w:val="single" w:sz="6" w:space="0" w:color="000000"/>
              <w:bottom w:val="single" w:sz="6" w:space="0" w:color="000000"/>
              <w:right w:val="single" w:sz="6" w:space="0" w:color="000000"/>
            </w:tcBorders>
            <w:hideMark/>
          </w:tcPr>
          <w:p>
            <w:pPr>
              <w:rPr>
                <w:noProof/>
                <w:sz w:val="22"/>
              </w:rPr>
            </w:pPr>
          </w:p>
        </w:tc>
        <w:tc>
          <w:tcPr>
            <w:tcW w:w="580" w:type="pct"/>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local production</w:t>
            </w:r>
          </w:p>
        </w:tc>
        <w:tc>
          <w:tcPr>
            <w:tcW w:w="261" w:type="pct"/>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unit</w:t>
            </w:r>
          </w:p>
        </w:tc>
        <w:tc>
          <w:tcPr>
            <w:tcW w:w="416" w:type="pct"/>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imports</w:t>
            </w:r>
          </w:p>
        </w:tc>
        <w:tc>
          <w:tcPr>
            <w:tcW w:w="554" w:type="pct"/>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market share</w:t>
            </w:r>
            <w:r>
              <w:rPr>
                <w:b/>
                <w:bCs/>
                <w:noProof/>
                <w:sz w:val="20"/>
                <w:szCs w:val="20"/>
                <w:vertAlign w:val="superscript"/>
              </w:rPr>
              <w:t>(5)</w:t>
            </w:r>
          </w:p>
        </w:tc>
        <w:tc>
          <w:tcPr>
            <w:tcW w:w="0" w:type="auto"/>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local production</w:t>
            </w:r>
          </w:p>
        </w:tc>
        <w:tc>
          <w:tcPr>
            <w:tcW w:w="0" w:type="auto"/>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imports</w:t>
            </w:r>
          </w:p>
        </w:tc>
        <w:tc>
          <w:tcPr>
            <w:tcW w:w="0" w:type="auto"/>
            <w:tcBorders>
              <w:top w:val="single" w:sz="6" w:space="0" w:color="000000"/>
              <w:left w:val="single" w:sz="6" w:space="0" w:color="000000"/>
              <w:bottom w:val="single" w:sz="6" w:space="0" w:color="000000"/>
              <w:right w:val="single" w:sz="6" w:space="0" w:color="000000"/>
            </w:tcBorders>
            <w:hideMark/>
          </w:tcPr>
          <w:p>
            <w:pPr>
              <w:jc w:val="center"/>
              <w:rPr>
                <w:b/>
                <w:bCs/>
                <w:noProof/>
                <w:sz w:val="20"/>
                <w:szCs w:val="20"/>
              </w:rPr>
            </w:pPr>
            <w:r>
              <w:rPr>
                <w:b/>
                <w:bCs/>
                <w:noProof/>
                <w:sz w:val="20"/>
                <w:szCs w:val="20"/>
              </w:rPr>
              <w:t>market share</w:t>
            </w:r>
            <w:r>
              <w:rPr>
                <w:b/>
                <w:bCs/>
                <w:noProof/>
                <w:sz w:val="20"/>
                <w:szCs w:val="20"/>
                <w:vertAlign w:val="superscript"/>
              </w:rPr>
              <w:t>(5)</w:t>
            </w: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noProof/>
                <w:sz w:val="22"/>
              </w:rPr>
            </w:pPr>
            <w:r>
              <w:rPr>
                <w:noProof/>
                <w:sz w:val="22"/>
              </w:rPr>
              <w:t>2023</w:t>
            </w:r>
          </w:p>
        </w:tc>
        <w:tc>
          <w:tcPr>
            <w:tcW w:w="580" w:type="pct"/>
            <w:tcBorders>
              <w:top w:val="single" w:sz="6" w:space="0" w:color="000000"/>
              <w:left w:val="single" w:sz="6" w:space="0" w:color="000000"/>
              <w:bottom w:val="single" w:sz="6" w:space="0" w:color="000000"/>
              <w:right w:val="single" w:sz="6" w:space="0" w:color="000000"/>
            </w:tcBorders>
            <w:hideMark/>
          </w:tcPr>
          <w:p>
            <w:pPr>
              <w:rPr>
                <w:noProof/>
              </w:rPr>
            </w:pPr>
          </w:p>
        </w:tc>
        <w:tc>
          <w:tcPr>
            <w:tcW w:w="2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416" w:type="pct"/>
            <w:tcBorders>
              <w:top w:val="single" w:sz="6" w:space="0" w:color="000000"/>
              <w:left w:val="single" w:sz="6" w:space="0" w:color="000000"/>
              <w:bottom w:val="single" w:sz="6" w:space="0" w:color="000000"/>
              <w:right w:val="single" w:sz="6" w:space="0" w:color="000000"/>
            </w:tcBorders>
            <w:hideMark/>
          </w:tcPr>
          <w:p>
            <w:pPr>
              <w:rPr>
                <w:noProof/>
              </w:rPr>
            </w:pPr>
          </w:p>
        </w:tc>
        <w:tc>
          <w:tcPr>
            <w:tcW w:w="554"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noProof/>
                <w:sz w:val="22"/>
              </w:rPr>
            </w:pPr>
            <w:r>
              <w:rPr>
                <w:noProof/>
                <w:sz w:val="22"/>
              </w:rPr>
              <w:t>2024</w:t>
            </w:r>
          </w:p>
        </w:tc>
        <w:tc>
          <w:tcPr>
            <w:tcW w:w="580" w:type="pct"/>
            <w:tcBorders>
              <w:top w:val="single" w:sz="6" w:space="0" w:color="000000"/>
              <w:left w:val="single" w:sz="6" w:space="0" w:color="000000"/>
              <w:bottom w:val="single" w:sz="6" w:space="0" w:color="000000"/>
              <w:right w:val="single" w:sz="6" w:space="0" w:color="000000"/>
            </w:tcBorders>
            <w:hideMark/>
          </w:tcPr>
          <w:p>
            <w:pPr>
              <w:rPr>
                <w:noProof/>
              </w:rPr>
            </w:pPr>
          </w:p>
        </w:tc>
        <w:tc>
          <w:tcPr>
            <w:tcW w:w="2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416" w:type="pct"/>
            <w:tcBorders>
              <w:top w:val="single" w:sz="6" w:space="0" w:color="000000"/>
              <w:left w:val="single" w:sz="6" w:space="0" w:color="000000"/>
              <w:bottom w:val="single" w:sz="6" w:space="0" w:color="000000"/>
              <w:right w:val="single" w:sz="6" w:space="0" w:color="000000"/>
            </w:tcBorders>
            <w:hideMark/>
          </w:tcPr>
          <w:p>
            <w:pPr>
              <w:rPr>
                <w:noProof/>
              </w:rPr>
            </w:pPr>
          </w:p>
        </w:tc>
        <w:tc>
          <w:tcPr>
            <w:tcW w:w="554"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noProof/>
                <w:sz w:val="22"/>
              </w:rPr>
            </w:pPr>
            <w:r>
              <w:rPr>
                <w:noProof/>
                <w:sz w:val="22"/>
              </w:rPr>
              <w:t>2025</w:t>
            </w:r>
          </w:p>
        </w:tc>
        <w:tc>
          <w:tcPr>
            <w:tcW w:w="580" w:type="pct"/>
            <w:tcBorders>
              <w:top w:val="single" w:sz="6" w:space="0" w:color="000000"/>
              <w:left w:val="single" w:sz="6" w:space="0" w:color="000000"/>
              <w:bottom w:val="single" w:sz="6" w:space="0" w:color="000000"/>
              <w:right w:val="single" w:sz="6" w:space="0" w:color="000000"/>
            </w:tcBorders>
            <w:hideMark/>
          </w:tcPr>
          <w:p>
            <w:pPr>
              <w:rPr>
                <w:noProof/>
              </w:rPr>
            </w:pPr>
          </w:p>
        </w:tc>
        <w:tc>
          <w:tcPr>
            <w:tcW w:w="2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416" w:type="pct"/>
            <w:tcBorders>
              <w:top w:val="single" w:sz="6" w:space="0" w:color="000000"/>
              <w:left w:val="single" w:sz="6" w:space="0" w:color="000000"/>
              <w:bottom w:val="single" w:sz="6" w:space="0" w:color="000000"/>
              <w:right w:val="single" w:sz="6" w:space="0" w:color="000000"/>
            </w:tcBorders>
            <w:hideMark/>
          </w:tcPr>
          <w:p>
            <w:pPr>
              <w:rPr>
                <w:noProof/>
              </w:rPr>
            </w:pPr>
          </w:p>
        </w:tc>
        <w:tc>
          <w:tcPr>
            <w:tcW w:w="554"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noProof/>
                <w:sz w:val="22"/>
              </w:rPr>
            </w:pPr>
            <w:r>
              <w:rPr>
                <w:noProof/>
                <w:sz w:val="22"/>
              </w:rPr>
              <w:t>2026</w:t>
            </w:r>
          </w:p>
        </w:tc>
        <w:tc>
          <w:tcPr>
            <w:tcW w:w="580" w:type="pct"/>
            <w:tcBorders>
              <w:top w:val="single" w:sz="6" w:space="0" w:color="000000"/>
              <w:left w:val="single" w:sz="6" w:space="0" w:color="000000"/>
              <w:bottom w:val="single" w:sz="6" w:space="0" w:color="000000"/>
              <w:right w:val="single" w:sz="6" w:space="0" w:color="000000"/>
            </w:tcBorders>
            <w:hideMark/>
          </w:tcPr>
          <w:p>
            <w:pPr>
              <w:rPr>
                <w:noProof/>
              </w:rPr>
            </w:pPr>
          </w:p>
        </w:tc>
        <w:tc>
          <w:tcPr>
            <w:tcW w:w="2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416" w:type="pct"/>
            <w:tcBorders>
              <w:top w:val="single" w:sz="6" w:space="0" w:color="000000"/>
              <w:left w:val="single" w:sz="6" w:space="0" w:color="000000"/>
              <w:bottom w:val="single" w:sz="6" w:space="0" w:color="000000"/>
              <w:right w:val="single" w:sz="6" w:space="0" w:color="000000"/>
            </w:tcBorders>
            <w:hideMark/>
          </w:tcPr>
          <w:p>
            <w:pPr>
              <w:rPr>
                <w:noProof/>
              </w:rPr>
            </w:pPr>
          </w:p>
        </w:tc>
        <w:tc>
          <w:tcPr>
            <w:tcW w:w="554"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363" w:type="pct"/>
            <w:tcBorders>
              <w:top w:val="single" w:sz="6" w:space="0" w:color="000000"/>
              <w:left w:val="single" w:sz="6" w:space="0" w:color="000000"/>
              <w:bottom w:val="single" w:sz="6" w:space="0" w:color="000000"/>
              <w:right w:val="single" w:sz="6" w:space="0" w:color="000000"/>
            </w:tcBorders>
            <w:hideMark/>
          </w:tcPr>
          <w:p>
            <w:pPr>
              <w:jc w:val="center"/>
              <w:rPr>
                <w:noProof/>
                <w:sz w:val="22"/>
              </w:rPr>
            </w:pPr>
            <w:r>
              <w:rPr>
                <w:noProof/>
                <w:sz w:val="22"/>
              </w:rPr>
              <w:t>2027</w:t>
            </w:r>
          </w:p>
        </w:tc>
        <w:tc>
          <w:tcPr>
            <w:tcW w:w="580" w:type="pct"/>
            <w:tcBorders>
              <w:top w:val="single" w:sz="6" w:space="0" w:color="000000"/>
              <w:left w:val="single" w:sz="6" w:space="0" w:color="000000"/>
              <w:bottom w:val="single" w:sz="6" w:space="0" w:color="000000"/>
              <w:right w:val="single" w:sz="6" w:space="0" w:color="000000"/>
            </w:tcBorders>
            <w:hideMark/>
          </w:tcPr>
          <w:p>
            <w:pPr>
              <w:rPr>
                <w:noProof/>
              </w:rPr>
            </w:pPr>
          </w:p>
        </w:tc>
        <w:tc>
          <w:tcPr>
            <w:tcW w:w="261" w:type="pct"/>
            <w:tcBorders>
              <w:top w:val="single" w:sz="6" w:space="0" w:color="000000"/>
              <w:left w:val="single" w:sz="6" w:space="0" w:color="000000"/>
              <w:bottom w:val="single" w:sz="6" w:space="0" w:color="000000"/>
              <w:right w:val="single" w:sz="6" w:space="0" w:color="000000"/>
            </w:tcBorders>
            <w:hideMark/>
          </w:tcPr>
          <w:p>
            <w:pPr>
              <w:rPr>
                <w:noProof/>
              </w:rPr>
            </w:pPr>
          </w:p>
        </w:tc>
        <w:tc>
          <w:tcPr>
            <w:tcW w:w="416" w:type="pct"/>
            <w:tcBorders>
              <w:top w:val="single" w:sz="6" w:space="0" w:color="000000"/>
              <w:left w:val="single" w:sz="6" w:space="0" w:color="000000"/>
              <w:bottom w:val="single" w:sz="6" w:space="0" w:color="000000"/>
              <w:right w:val="single" w:sz="6" w:space="0" w:color="000000"/>
            </w:tcBorders>
            <w:hideMark/>
          </w:tcPr>
          <w:p>
            <w:pPr>
              <w:rPr>
                <w:noProof/>
              </w:rPr>
            </w:pPr>
          </w:p>
        </w:tc>
        <w:tc>
          <w:tcPr>
            <w:tcW w:w="554" w:type="pct"/>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c>
          <w:tcPr>
            <w:tcW w:w="0" w:type="auto"/>
            <w:tcBorders>
              <w:top w:val="single" w:sz="6" w:space="0" w:color="000000"/>
              <w:left w:val="single" w:sz="6" w:space="0" w:color="000000"/>
              <w:bottom w:val="single" w:sz="6" w:space="0" w:color="000000"/>
              <w:right w:val="single" w:sz="6" w:space="0" w:color="000000"/>
            </w:tcBorders>
            <w:hideMark/>
          </w:tcPr>
          <w:p>
            <w:pPr>
              <w:rPr>
                <w:noProof/>
              </w:rPr>
            </w:pPr>
          </w:p>
        </w:tc>
      </w:tr>
      <w:tr>
        <w:tc>
          <w:tcPr>
            <w:tcW w:w="0" w:type="auto"/>
            <w:gridSpan w:val="10"/>
            <w:vAlign w:val="center"/>
            <w:hideMark/>
          </w:tcPr>
          <w:p>
            <w:pPr>
              <w:rPr>
                <w:i/>
                <w:iCs/>
                <w:noProof/>
              </w:rPr>
            </w:pPr>
            <w:r>
              <w:rPr>
                <w:i/>
                <w:iCs/>
                <w:noProof/>
              </w:rPr>
              <w:t>Notes to the table:</w:t>
            </w:r>
          </w:p>
          <w:tbl>
            <w:tblPr>
              <w:tblW w:w="5000" w:type="pct"/>
              <w:tblCellMar>
                <w:left w:w="0" w:type="dxa"/>
                <w:right w:w="0" w:type="dxa"/>
              </w:tblCellMar>
              <w:tblLook w:val="04A0" w:firstRow="1" w:lastRow="0" w:firstColumn="1" w:lastColumn="0" w:noHBand="0" w:noVBand="1"/>
            </w:tblPr>
            <w:tblGrid>
              <w:gridCol w:w="280"/>
              <w:gridCol w:w="8794"/>
            </w:tblGrid>
            <w:tr>
              <w:tc>
                <w:tcPr>
                  <w:tcW w:w="0" w:type="auto"/>
                  <w:hideMark/>
                </w:tcPr>
                <w:p>
                  <w:pPr>
                    <w:rPr>
                      <w:noProof/>
                    </w:rPr>
                  </w:pPr>
                  <w:r>
                    <w:rPr>
                      <w:noProof/>
                    </w:rPr>
                    <w:t>(1)</w:t>
                  </w:r>
                </w:p>
              </w:tc>
              <w:tc>
                <w:tcPr>
                  <w:tcW w:w="0" w:type="auto"/>
                  <w:hideMark/>
                </w:tcPr>
                <w:p>
                  <w:pPr>
                    <w:rPr>
                      <w:noProof/>
                    </w:rPr>
                  </w:pPr>
                  <w:r>
                    <w:rPr>
                      <w:noProof/>
                    </w:rPr>
                    <w:t xml:space="preserve"> The first column must be identical to the first column in the previous table to enable data matching.</w:t>
                  </w:r>
                </w:p>
              </w:tc>
            </w:tr>
            <w:tr>
              <w:tc>
                <w:tcPr>
                  <w:tcW w:w="0" w:type="auto"/>
                  <w:hideMark/>
                </w:tcPr>
                <w:p>
                  <w:pPr>
                    <w:rPr>
                      <w:noProof/>
                    </w:rPr>
                  </w:pPr>
                  <w:r>
                    <w:rPr>
                      <w:noProof/>
                    </w:rPr>
                    <w:t>(2)</w:t>
                  </w:r>
                </w:p>
              </w:tc>
              <w:tc>
                <w:tcPr>
                  <w:tcW w:w="0" w:type="auto"/>
                  <w:hideMark/>
                </w:tcPr>
                <w:p>
                  <w:pPr>
                    <w:rPr>
                      <w:noProof/>
                    </w:rPr>
                  </w:pPr>
                  <w:r>
                    <w:rPr>
                      <w:noProof/>
                    </w:rPr>
                    <w:t xml:space="preserve"> ‘Volume’: in the ‘unit’ column, specify the unit of measurement (tonnes, hl, pieces, etc.).</w:t>
                  </w:r>
                </w:p>
              </w:tc>
            </w:tr>
            <w:tr>
              <w:tc>
                <w:tcPr>
                  <w:tcW w:w="0" w:type="auto"/>
                  <w:hideMark/>
                </w:tcPr>
                <w:p>
                  <w:pPr>
                    <w:rPr>
                      <w:noProof/>
                    </w:rPr>
                  </w:pPr>
                  <w:r>
                    <w:rPr>
                      <w:noProof/>
                    </w:rPr>
                    <w:t>(3)</w:t>
                  </w:r>
                </w:p>
              </w:tc>
              <w:tc>
                <w:tcPr>
                  <w:tcW w:w="0" w:type="auto"/>
                  <w:hideMark/>
                </w:tcPr>
                <w:p>
                  <w:pPr>
                    <w:rPr>
                      <w:noProof/>
                    </w:rPr>
                  </w:pPr>
                  <w:r>
                    <w:rPr>
                      <w:noProof/>
                    </w:rPr>
                    <w:t xml:space="preserve"> ‘Amount’: for imports, this corresponds to the taxable amount.</w:t>
                  </w:r>
                </w:p>
              </w:tc>
            </w:tr>
            <w:tr>
              <w:tc>
                <w:tcPr>
                  <w:tcW w:w="0" w:type="auto"/>
                  <w:hideMark/>
                </w:tcPr>
                <w:p>
                  <w:pPr>
                    <w:rPr>
                      <w:noProof/>
                    </w:rPr>
                  </w:pPr>
                  <w:r>
                    <w:rPr>
                      <w:noProof/>
                    </w:rPr>
                    <w:t>(4)</w:t>
                  </w:r>
                </w:p>
              </w:tc>
              <w:tc>
                <w:tcPr>
                  <w:tcW w:w="0" w:type="auto"/>
                  <w:hideMark/>
                </w:tcPr>
                <w:p>
                  <w:pPr>
                    <w:rPr>
                      <w:noProof/>
                    </w:rPr>
                  </w:pPr>
                  <w:r>
                    <w:rPr>
                      <w:noProof/>
                    </w:rPr>
                    <w:t xml:space="preserve"> Provide comments and clarifications as deemed relevant.</w:t>
                  </w:r>
                </w:p>
              </w:tc>
            </w:tr>
            <w:tr>
              <w:tc>
                <w:tcPr>
                  <w:tcW w:w="0" w:type="auto"/>
                  <w:hideMark/>
                </w:tcPr>
                <w:p>
                  <w:pPr>
                    <w:rPr>
                      <w:noProof/>
                    </w:rPr>
                  </w:pPr>
                  <w:r>
                    <w:rPr>
                      <w:noProof/>
                    </w:rPr>
                    <w:t>(5)</w:t>
                  </w:r>
                </w:p>
              </w:tc>
              <w:tc>
                <w:tcPr>
                  <w:tcW w:w="0" w:type="auto"/>
                  <w:hideMark/>
                </w:tcPr>
                <w:p>
                  <w:pPr>
                    <w:rPr>
                      <w:noProof/>
                    </w:rPr>
                  </w:pPr>
                  <w:r>
                    <w:rPr>
                      <w:noProof/>
                    </w:rPr>
                    <w:t>‘Market share’: the market share is calculated by deducting the exports of local products.</w:t>
                  </w:r>
                </w:p>
              </w:tc>
            </w:tr>
          </w:tbl>
          <w:p>
            <w:pPr>
              <w:rPr>
                <w:noProof/>
              </w:rPr>
            </w:pPr>
          </w:p>
        </w:tc>
      </w:tr>
    </w:tbl>
    <w:p>
      <w:pPr>
        <w:pStyle w:val="NumPar1"/>
        <w:rPr>
          <w:noProof/>
        </w:rPr>
      </w:pPr>
      <w:r>
        <w:rPr>
          <w:noProof/>
        </w:rPr>
        <w:t>Irregularities</w:t>
      </w:r>
    </w:p>
    <w:p>
      <w:pPr>
        <w:rPr>
          <w:noProof/>
        </w:rPr>
      </w:pPr>
      <w:r>
        <w:rPr>
          <w:noProof/>
        </w:rPr>
        <w:t>The French authorities shall provide information on any investigation into administrative irregularities, in particular in the case of tax evasion or smuggling, as part of the application of the dock dues tax differential scheme. They shall also provide detailed information including, as a minimum, the nature of the case and the value and time period involved.</w:t>
      </w:r>
    </w:p>
    <w:p>
      <w:pPr>
        <w:pStyle w:val="NumPar1"/>
        <w:rPr>
          <w:noProof/>
        </w:rPr>
      </w:pPr>
      <w:r>
        <w:rPr>
          <w:noProof/>
        </w:rPr>
        <w:t>Complaints</w:t>
      </w:r>
    </w:p>
    <w:p>
      <w:pPr>
        <w:rPr>
          <w:noProof/>
        </w:rPr>
      </w:pPr>
      <w:r>
        <w:rPr>
          <w:noProof/>
        </w:rPr>
        <w:t>The French authorities shall report any complaints received by local, regional or national authorities concerning the application of the dock dues tax differential scheme (from beneficiaries as well as non-beneficiaries of the scheme).’</w:t>
      </w: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7C246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C46F3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AC67B9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50851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8 15:58: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2"/>
    <w:docVar w:name="LW_ANNEX_NBR_LAST" w:val="2"/>
    <w:docVar w:name="LW_ANNEX_UNIQUE" w:val="0"/>
    <w:docVar w:name="LW_CORRIGENDUM" w:val="&lt;UNUSED&gt;"/>
    <w:docVar w:name="LW_COVERPAGE_EXISTS" w:val="True"/>
    <w:docVar w:name="LW_COVERPAGE_GUID" w:val="59F21CFF-626B-4BEE-AEA2-79394FE1AF02"/>
    <w:docVar w:name="LW_COVERPAGE_TYPE" w:val="1"/>
    <w:docVar w:name="LW_CreatedUtc" w:val="2026-04-30T05:59:23.3840167Z"/>
    <w:docVar w:name="LW_CROSSREFERENCE" w:val="&lt;UNUSED&gt;"/>
    <w:docVar w:name="LW_DocType" w:val="ANNEX"/>
    <w:docVar w:name="LW_EMISSION" w:val="10.9.2026"/>
    <w:docVar w:name="LW_EMISSION_ISODATE" w:val="2026-09-1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Decision (EU) 2021/991 concerning the dock dues scheme in the French outermost regions_x000d__x000d__x000d__x000d__x000d__x000d__x000d__x000d__x000d__x000d__x000d__x000d__x000d__x000b_"/>
    <w:docVar w:name="LW_OBJETACTEPRINCIPAL.CP" w:val="amending Decision (EU) 2021/991 concerning the dock dues scheme in the French outermost regions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6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_x000b_"/>
    <w:docVar w:name="LW_TYPEACTEPRINCIPAL.CP" w:val="Proposal for a Council Decision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16FAAF5-D503-4923-BB63-D9516999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177392">
      <w:bodyDiv w:val="1"/>
      <w:marLeft w:val="0"/>
      <w:marRight w:val="0"/>
      <w:marTop w:val="0"/>
      <w:marBottom w:val="0"/>
      <w:divBdr>
        <w:top w:val="none" w:sz="0" w:space="0" w:color="auto"/>
        <w:left w:val="none" w:sz="0" w:space="0" w:color="auto"/>
        <w:bottom w:val="none" w:sz="0" w:space="0" w:color="auto"/>
        <w:right w:val="none" w:sz="0" w:space="0" w:color="auto"/>
      </w:divBdr>
    </w:div>
    <w:div w:id="654603917">
      <w:bodyDiv w:val="1"/>
      <w:marLeft w:val="0"/>
      <w:marRight w:val="0"/>
      <w:marTop w:val="0"/>
      <w:marBottom w:val="0"/>
      <w:divBdr>
        <w:top w:val="none" w:sz="0" w:space="0" w:color="auto"/>
        <w:left w:val="none" w:sz="0" w:space="0" w:color="auto"/>
        <w:bottom w:val="none" w:sz="0" w:space="0" w:color="auto"/>
        <w:right w:val="none" w:sz="0" w:space="0" w:color="auto"/>
      </w:divBdr>
    </w:div>
    <w:div w:id="1772236951">
      <w:bodyDiv w:val="1"/>
      <w:marLeft w:val="0"/>
      <w:marRight w:val="0"/>
      <w:marTop w:val="0"/>
      <w:marBottom w:val="0"/>
      <w:divBdr>
        <w:top w:val="none" w:sz="0" w:space="0" w:color="auto"/>
        <w:left w:val="none" w:sz="0" w:space="0" w:color="auto"/>
        <w:bottom w:val="none" w:sz="0" w:space="0" w:color="auto"/>
        <w:right w:val="none" w:sz="0" w:space="0" w:color="auto"/>
      </w:divBdr>
    </w:div>
    <w:div w:id="1816990284">
      <w:bodyDiv w:val="1"/>
      <w:marLeft w:val="0"/>
      <w:marRight w:val="0"/>
      <w:marTop w:val="0"/>
      <w:marBottom w:val="0"/>
      <w:divBdr>
        <w:top w:val="none" w:sz="0" w:space="0" w:color="auto"/>
        <w:left w:val="none" w:sz="0" w:space="0" w:color="auto"/>
        <w:bottom w:val="none" w:sz="0" w:space="0" w:color="auto"/>
        <w:right w:val="none" w:sz="0" w:space="0" w:color="auto"/>
      </w:divBdr>
    </w:div>
    <w:div w:id="1926525517">
      <w:bodyDiv w:val="1"/>
      <w:marLeft w:val="0"/>
      <w:marRight w:val="0"/>
      <w:marTop w:val="0"/>
      <w:marBottom w:val="0"/>
      <w:divBdr>
        <w:top w:val="none" w:sz="0" w:space="0" w:color="auto"/>
        <w:left w:val="none" w:sz="0" w:space="0" w:color="auto"/>
        <w:bottom w:val="none" w:sz="0" w:space="0" w:color="auto"/>
        <w:right w:val="none" w:sz="0" w:space="0" w:color="auto"/>
      </w:divBdr>
    </w:div>
    <w:div w:id="206648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6ed46a-4164-40b6-a09a-3a2f9edb41ee" xsi:nil="true"/>
    <lcf76f155ced4ddcb4097134ff3c332f xmlns="1124f467-e8a7-4788-95b6-921cce7bcf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BE2A5-E0B0-49CC-B60A-BF2F9575C1A5}">
  <ds:schemaRefs>
    <ds:schemaRef ds:uri="http://schemas.microsoft.com/office/2006/metadata/properties"/>
    <ds:schemaRef ds:uri="http://schemas.microsoft.com/office/infopath/2007/PartnerControls"/>
    <ds:schemaRef ds:uri="d56ed46a-4164-40b6-a09a-3a2f9edb41ee"/>
    <ds:schemaRef ds:uri="1124f467-e8a7-4788-95b6-921cce7bcfae"/>
  </ds:schemaRefs>
</ds:datastoreItem>
</file>

<file path=customXml/itemProps2.xml><?xml version="1.0" encoding="utf-8"?>
<ds:datastoreItem xmlns:ds="http://schemas.openxmlformats.org/officeDocument/2006/customXml" ds:itemID="{CF1FD027-CF16-482E-A7FD-7DE0B478B272}">
  <ds:schemaRefs>
    <ds:schemaRef ds:uri="http://schemas.microsoft.com/sharepoint/v3/contenttype/forms"/>
  </ds:schemaRefs>
</ds:datastoreItem>
</file>

<file path=customXml/itemProps3.xml><?xml version="1.0" encoding="utf-8"?>
<ds:datastoreItem xmlns:ds="http://schemas.openxmlformats.org/officeDocument/2006/customXml" ds:itemID="{60FA5EEF-BE7A-428C-A17B-1399DEA69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3</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2026-08-31T15:10:00Z</dcterms:created>
  <dcterms:modified xsi:type="dcterms:W3CDTF">2026-09-10T07:58:00Z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2026-04-30T06:00:43Z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9ea178a8-c9ff-46f6-9697-8d5d5ac93f50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0x010100F6429E421B7D0B4085855E79BFBD84D8</vt:lpwstr>
  </property>
  <property fmtid="{D5CDD505-2E9C-101B-9397-08002B2CF9AE}" pid="22" name="MediaServiceImageTags">
    <vt:lpwstr/>
  </property>
  <property fmtid="{D5CDD505-2E9C-101B-9397-08002B2CF9AE}" pid="23" name="DQCStatus">
    <vt:lpwstr>Yellow (DQC version 03)</vt:lpwstr>
  </property>
</Properties>
</file>