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603" w:rsidRDefault="00EA7CA4" w:rsidP="00EA7CA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59AEFE-CB43-4140-9896-C6DF2DD5F736" style="width:455.25pt;height:357.75pt">
            <v:imagedata r:id="rId11" o:title=""/>
          </v:shape>
        </w:pict>
      </w:r>
    </w:p>
    <w:p w:rsidR="00F32148" w:rsidRDefault="00F32148" w:rsidP="00F32148">
      <w:pPr>
        <w:rPr>
          <w:noProof/>
        </w:rPr>
        <w:sectPr w:rsidR="00F32148" w:rsidSect="00EA7CA4">
          <w:footerReference w:type="even" r:id="rId12"/>
          <w:footerReference w:type="default" r:id="rId13"/>
          <w:pgSz w:w="11907" w:h="16839"/>
          <w:pgMar w:top="1134" w:right="1417" w:bottom="1134" w:left="1417" w:header="709" w:footer="709" w:gutter="0"/>
          <w:pgNumType w:start="0"/>
          <w:cols w:space="720"/>
          <w:docGrid w:linePitch="360"/>
        </w:sectPr>
      </w:pPr>
    </w:p>
    <w:p w:rsidR="005C3603" w:rsidRDefault="002F2273">
      <w:pPr>
        <w:pStyle w:val="Exposdesmotifstitre"/>
        <w:rPr>
          <w:noProof/>
        </w:rPr>
      </w:pPr>
      <w:bookmarkStart w:id="0" w:name="_GoBack"/>
      <w:bookmarkEnd w:id="0"/>
      <w:r>
        <w:rPr>
          <w:noProof/>
        </w:rPr>
        <w:lastRenderedPageBreak/>
        <w:t>EXPLANATORY MEMORANDUM</w:t>
      </w:r>
    </w:p>
    <w:p w:rsidR="005C3603" w:rsidRDefault="002F2273">
      <w:pPr>
        <w:pStyle w:val="ManualHeading1"/>
        <w:rPr>
          <w:noProof/>
        </w:rPr>
      </w:pPr>
      <w:r>
        <w:rPr>
          <w:noProof/>
        </w:rPr>
        <w:t>1.</w:t>
      </w:r>
      <w:r>
        <w:rPr>
          <w:noProof/>
        </w:rPr>
        <w:tab/>
      </w:r>
      <w:r w:rsidRPr="6D89A322">
        <w:rPr>
          <w:noProof/>
        </w:rPr>
        <w:t>Subject matter of the proposal</w:t>
      </w:r>
    </w:p>
    <w:p w:rsidR="005C3603" w:rsidRDefault="39005C4F">
      <w:pPr>
        <w:rPr>
          <w:noProof/>
        </w:rPr>
      </w:pPr>
      <w:r w:rsidRPr="29BE6E28">
        <w:rPr>
          <w:noProof/>
        </w:rPr>
        <w:t xml:space="preserve">This proposal concerns </w:t>
      </w:r>
      <w:r w:rsidR="63BDF8F1" w:rsidRPr="29BE6E28">
        <w:rPr>
          <w:rFonts w:eastAsia="Times New Roman"/>
          <w:noProof/>
        </w:rPr>
        <w:t xml:space="preserve">the decision establishing the position to be taken on the Union's behalf </w:t>
      </w:r>
      <w:r w:rsidR="67D1A920" w:rsidRPr="29BE6E28">
        <w:rPr>
          <w:rFonts w:eastAsia="Times New Roman"/>
          <w:noProof/>
        </w:rPr>
        <w:t>in the</w:t>
      </w:r>
      <w:r w:rsidR="63BDF8F1" w:rsidRPr="29BE6E28">
        <w:rPr>
          <w:rFonts w:eastAsia="Times New Roman"/>
          <w:noProof/>
        </w:rPr>
        <w:t xml:space="preserve"> written procedure </w:t>
      </w:r>
      <w:r w:rsidR="15C076D9" w:rsidRPr="29BE6E28">
        <w:rPr>
          <w:rFonts w:eastAsia="Times New Roman"/>
          <w:noProof/>
        </w:rPr>
        <w:t>of</w:t>
      </w:r>
      <w:r w:rsidR="63BDF8F1" w:rsidRPr="29BE6E28">
        <w:rPr>
          <w:rFonts w:eastAsia="Times New Roman"/>
          <w:noProof/>
        </w:rPr>
        <w:t xml:space="preserve"> the Participants to the Sector Understanding on Export Credits for Civil Aircraft (‘Aircraft Sector Understanding’ or ‘ASU’) regarding the</w:t>
      </w:r>
      <w:r w:rsidRPr="29BE6E28">
        <w:rPr>
          <w:noProof/>
        </w:rPr>
        <w:t xml:space="preserve"> envisaged </w:t>
      </w:r>
      <w:r w:rsidR="003B67AF">
        <w:rPr>
          <w:noProof/>
        </w:rPr>
        <w:t>am</w:t>
      </w:r>
      <w:r w:rsidR="007B6093">
        <w:rPr>
          <w:noProof/>
        </w:rPr>
        <w:t>e</w:t>
      </w:r>
      <w:r w:rsidR="003B67AF">
        <w:rPr>
          <w:noProof/>
        </w:rPr>
        <w:t>ndment to the ASU</w:t>
      </w:r>
      <w:r w:rsidR="7CF07B8D" w:rsidRPr="29BE6E28">
        <w:rPr>
          <w:noProof/>
        </w:rPr>
        <w:t xml:space="preserve"> to </w:t>
      </w:r>
      <w:r w:rsidR="00AA7C5A">
        <w:rPr>
          <w:noProof/>
        </w:rPr>
        <w:t>make the</w:t>
      </w:r>
      <w:r w:rsidR="003A610B">
        <w:rPr>
          <w:noProof/>
        </w:rPr>
        <w:t xml:space="preserve"> temporary</w:t>
      </w:r>
      <w:r w:rsidR="00AA7C5A">
        <w:rPr>
          <w:noProof/>
        </w:rPr>
        <w:t xml:space="preserve"> </w:t>
      </w:r>
      <w:r w:rsidR="00AA7C5A" w:rsidRPr="00AA7C5A">
        <w:rPr>
          <w:noProof/>
        </w:rPr>
        <w:t>Credit Adjustment Spread (CAS) of -29bps</w:t>
      </w:r>
      <w:r w:rsidR="00AA7C5A">
        <w:rPr>
          <w:noProof/>
        </w:rPr>
        <w:t xml:space="preserve"> permanent</w:t>
      </w:r>
      <w:r w:rsidR="00E46BF0">
        <w:rPr>
          <w:noProof/>
        </w:rPr>
        <w:t xml:space="preserve"> in the calculation of the Market Reflective Surcharge</w:t>
      </w:r>
      <w:r w:rsidR="00AA7C5A">
        <w:rPr>
          <w:noProof/>
        </w:rPr>
        <w:t>.</w:t>
      </w:r>
      <w:r w:rsidRPr="29BE6E28">
        <w:rPr>
          <w:noProof/>
        </w:rPr>
        <w:t xml:space="preserve"> </w:t>
      </w:r>
    </w:p>
    <w:p w:rsidR="00A7334C" w:rsidRPr="007F2B5E" w:rsidRDefault="002F2273" w:rsidP="00C423B4">
      <w:pPr>
        <w:pStyle w:val="ManualHeading1"/>
        <w:spacing w:after="0"/>
        <w:ind w:left="851" w:hanging="851"/>
        <w:rPr>
          <w:noProof/>
        </w:rPr>
      </w:pPr>
      <w:r w:rsidRPr="007F2B5E">
        <w:rPr>
          <w:noProof/>
        </w:rPr>
        <w:t>2.</w:t>
      </w:r>
      <w:r w:rsidRPr="007F2B5E">
        <w:rPr>
          <w:noProof/>
        </w:rPr>
        <w:tab/>
        <w:t>Context of the proposal</w:t>
      </w:r>
    </w:p>
    <w:p w:rsidR="005C3603" w:rsidRPr="007F2B5E" w:rsidRDefault="002F2273">
      <w:pPr>
        <w:pStyle w:val="ManualHeading2"/>
        <w:rPr>
          <w:noProof/>
        </w:rPr>
      </w:pPr>
      <w:r w:rsidRPr="007F2B5E">
        <w:rPr>
          <w:noProof/>
        </w:rPr>
        <w:t>2.1.</w:t>
      </w:r>
      <w:r w:rsidRPr="007F2B5E">
        <w:rPr>
          <w:noProof/>
        </w:rPr>
        <w:tab/>
        <w:t>The Arrangement on Officially Supported Export Credits</w:t>
      </w:r>
    </w:p>
    <w:p w:rsidR="005C3603" w:rsidRPr="007F2B5E" w:rsidRDefault="002F2273" w:rsidP="6D89A322">
      <w:pPr>
        <w:rPr>
          <w:noProof/>
        </w:rPr>
      </w:pPr>
      <w:r w:rsidRPr="007F2B5E">
        <w:rPr>
          <w:noProof/>
        </w:rPr>
        <w:t>The Arrangement is a gentlemen's agreement between the U</w:t>
      </w:r>
      <w:r w:rsidR="00A92589">
        <w:rPr>
          <w:noProof/>
        </w:rPr>
        <w:t>nion</w:t>
      </w:r>
      <w:r w:rsidRPr="007F2B5E">
        <w:rPr>
          <w:noProof/>
        </w:rPr>
        <w:t>, the US, Canada, Japan, Korea, Norway, Switzerland, Australia, New Zealand</w:t>
      </w:r>
      <w:r w:rsidR="00361751">
        <w:rPr>
          <w:noProof/>
        </w:rPr>
        <w:t xml:space="preserve">, </w:t>
      </w:r>
      <w:r w:rsidRPr="007F2B5E">
        <w:rPr>
          <w:noProof/>
        </w:rPr>
        <w:t>T</w:t>
      </w:r>
      <w:r w:rsidR="00EC7942" w:rsidRPr="00EC7942">
        <w:rPr>
          <w:noProof/>
        </w:rPr>
        <w:t>ürkiye and the United Kingdom</w:t>
      </w:r>
      <w:r w:rsidRPr="007F2B5E">
        <w:rPr>
          <w:noProof/>
        </w:rPr>
        <w:t>, which aims to provide a framework for the orderly use of officially supported export credits. In practice, this means establishing a level playing field (whereby competition is based on the price and quality of the exported goods and services and not on the financial terms provided), while working to eliminate subsidies and trade distortions related to officially supported export credits. The Arrangement entered into force in April 1978</w:t>
      </w:r>
      <w:r w:rsidR="00AA7C5A" w:rsidRPr="007F2B5E">
        <w:rPr>
          <w:noProof/>
        </w:rPr>
        <w:t xml:space="preserve"> and</w:t>
      </w:r>
      <w:r w:rsidRPr="007F2B5E">
        <w:rPr>
          <w:noProof/>
        </w:rPr>
        <w:t xml:space="preserve"> is of indefinite duration</w:t>
      </w:r>
      <w:r w:rsidR="7650E40F" w:rsidRPr="007F2B5E">
        <w:rPr>
          <w:noProof/>
        </w:rPr>
        <w:t>.</w:t>
      </w:r>
    </w:p>
    <w:p w:rsidR="005C3603" w:rsidRPr="007F2B5E" w:rsidRDefault="047BE55B" w:rsidP="29BE6E28">
      <w:pPr>
        <w:rPr>
          <w:rFonts w:eastAsia="Times New Roman"/>
          <w:noProof/>
        </w:rPr>
      </w:pPr>
      <w:r w:rsidRPr="007F2B5E">
        <w:rPr>
          <w:rFonts w:eastAsia="Times New Roman"/>
          <w:noProof/>
        </w:rPr>
        <w:t xml:space="preserve">The Aircraft Sector Understanding </w:t>
      </w:r>
      <w:r w:rsidR="00724C2A">
        <w:rPr>
          <w:rFonts w:eastAsia="Times New Roman"/>
          <w:noProof/>
        </w:rPr>
        <w:t>is</w:t>
      </w:r>
      <w:r w:rsidRPr="007F2B5E">
        <w:rPr>
          <w:rFonts w:eastAsia="Times New Roman"/>
          <w:noProof/>
        </w:rPr>
        <w:t xml:space="preserve"> Annex III to the Arrangement and aims to provide a framework for the predictable, consistent and transparent use of officially supported export credits for the sale or lease of aircraft and related goods and services specified in Article 4</w:t>
      </w:r>
      <w:r w:rsidR="003B67AF">
        <w:rPr>
          <w:rFonts w:eastAsia="Times New Roman"/>
          <w:noProof/>
        </w:rPr>
        <w:t>(</w:t>
      </w:r>
      <w:r w:rsidRPr="007F2B5E">
        <w:rPr>
          <w:rFonts w:eastAsia="Times New Roman"/>
          <w:noProof/>
        </w:rPr>
        <w:t xml:space="preserve">a) of the ASU. The ASU seeks to foster a level playing field for the exports in </w:t>
      </w:r>
      <w:r w:rsidR="5CF44C4B" w:rsidRPr="007F2B5E">
        <w:rPr>
          <w:rFonts w:eastAsia="Times New Roman"/>
          <w:noProof/>
        </w:rPr>
        <w:t xml:space="preserve">the </w:t>
      </w:r>
      <w:r w:rsidRPr="007F2B5E">
        <w:rPr>
          <w:rFonts w:eastAsia="Times New Roman"/>
          <w:noProof/>
        </w:rPr>
        <w:t>aircraft sector and eliminat</w:t>
      </w:r>
      <w:r w:rsidR="27EE2C70" w:rsidRPr="007F2B5E">
        <w:rPr>
          <w:rFonts w:eastAsia="Times New Roman"/>
          <w:noProof/>
        </w:rPr>
        <w:t>e</w:t>
      </w:r>
      <w:r w:rsidRPr="007F2B5E">
        <w:rPr>
          <w:rFonts w:eastAsia="Times New Roman"/>
          <w:noProof/>
        </w:rPr>
        <w:t xml:space="preserve"> subsidies and trade distortions related to the official support. The </w:t>
      </w:r>
      <w:r w:rsidR="00AA7C5A" w:rsidRPr="007F2B5E">
        <w:rPr>
          <w:rFonts w:eastAsia="Times New Roman"/>
          <w:noProof/>
        </w:rPr>
        <w:t xml:space="preserve">latest text of the </w:t>
      </w:r>
      <w:r w:rsidR="00A92589">
        <w:rPr>
          <w:rFonts w:eastAsia="Times New Roman"/>
          <w:noProof/>
        </w:rPr>
        <w:t>ASU</w:t>
      </w:r>
      <w:r w:rsidRPr="007F2B5E">
        <w:rPr>
          <w:rFonts w:eastAsia="Times New Roman"/>
          <w:noProof/>
        </w:rPr>
        <w:t xml:space="preserve"> became effective on 1 February 2011. </w:t>
      </w:r>
    </w:p>
    <w:p w:rsidR="005C3603" w:rsidRPr="007F2B5E" w:rsidRDefault="7650E40F">
      <w:pPr>
        <w:rPr>
          <w:noProof/>
        </w:rPr>
      </w:pPr>
      <w:r w:rsidRPr="007F2B5E">
        <w:rPr>
          <w:rFonts w:eastAsia="Times New Roman"/>
          <w:noProof/>
          <w:szCs w:val="24"/>
        </w:rPr>
        <w:t xml:space="preserve">The Arrangement, including the </w:t>
      </w:r>
      <w:r w:rsidR="00A92589">
        <w:rPr>
          <w:rFonts w:eastAsia="Times New Roman"/>
          <w:noProof/>
          <w:szCs w:val="24"/>
        </w:rPr>
        <w:t>ASU</w:t>
      </w:r>
      <w:r w:rsidRPr="007F2B5E">
        <w:rPr>
          <w:rFonts w:eastAsia="Times New Roman"/>
          <w:noProof/>
          <w:szCs w:val="24"/>
        </w:rPr>
        <w:t>, is administratively embedded in the OECD, and receives support from the OECD Credit Secretariat. Nevertheless, neither the Arrangement nor the Aircraft Sector Understanding are OECD Acts</w:t>
      </w:r>
      <w:r w:rsidR="002F2273" w:rsidRPr="007F2B5E">
        <w:rPr>
          <w:rStyle w:val="FootnoteReference"/>
          <w:noProof/>
        </w:rPr>
        <w:footnoteReference w:id="1"/>
      </w:r>
      <w:r w:rsidRPr="007F2B5E">
        <w:rPr>
          <w:rFonts w:eastAsia="Times New Roman"/>
          <w:noProof/>
          <w:szCs w:val="24"/>
        </w:rPr>
        <w:t xml:space="preserve">. </w:t>
      </w:r>
    </w:p>
    <w:p w:rsidR="00A7334C" w:rsidRDefault="047BE55B" w:rsidP="6D89A322">
      <w:pPr>
        <w:rPr>
          <w:rFonts w:eastAsia="Times New Roman"/>
          <w:noProof/>
        </w:rPr>
      </w:pPr>
      <w:r w:rsidRPr="007F2B5E">
        <w:rPr>
          <w:rFonts w:eastAsia="Times New Roman"/>
          <w:noProof/>
        </w:rPr>
        <w:t xml:space="preserve">The Union – and not the Member States – is a Participant to the Arrangement and the </w:t>
      </w:r>
      <w:r w:rsidR="003B67AF">
        <w:rPr>
          <w:rFonts w:eastAsia="Times New Roman"/>
          <w:noProof/>
        </w:rPr>
        <w:t>ASU</w:t>
      </w:r>
      <w:r w:rsidRPr="007F2B5E">
        <w:rPr>
          <w:rFonts w:eastAsia="Times New Roman"/>
          <w:noProof/>
        </w:rPr>
        <w:t xml:space="preserve"> and both have been transposed into the acquis communautaire by virtue of the Regulation (EU) No 1233/2011 of the European Parliament</w:t>
      </w:r>
      <w:r w:rsidR="5F855BAF" w:rsidRPr="007F2B5E">
        <w:rPr>
          <w:rFonts w:eastAsia="Times New Roman"/>
          <w:noProof/>
        </w:rPr>
        <w:t xml:space="preserve"> </w:t>
      </w:r>
      <w:r w:rsidRPr="007F2B5E">
        <w:rPr>
          <w:rFonts w:eastAsia="Times New Roman"/>
          <w:noProof/>
        </w:rPr>
        <w:t>and of the Council of 16 November 2011.</w:t>
      </w:r>
      <w:r w:rsidR="002F2273" w:rsidRPr="007F2B5E">
        <w:rPr>
          <w:rStyle w:val="FootnoteReference"/>
          <w:noProof/>
        </w:rPr>
        <w:footnoteReference w:id="2"/>
      </w:r>
      <w:r w:rsidRPr="007F2B5E">
        <w:rPr>
          <w:rFonts w:eastAsia="Times New Roman"/>
          <w:noProof/>
        </w:rPr>
        <w:t xml:space="preserve"> Hence the </w:t>
      </w:r>
      <w:r w:rsidR="005845C6">
        <w:rPr>
          <w:rFonts w:eastAsia="Times New Roman"/>
          <w:noProof/>
        </w:rPr>
        <w:t xml:space="preserve">provisions of the </w:t>
      </w:r>
      <w:r w:rsidRPr="007F2B5E">
        <w:rPr>
          <w:rFonts w:eastAsia="Times New Roman"/>
          <w:noProof/>
        </w:rPr>
        <w:t>Arrangement and the Aircraft Sector Understanding are legally binding as a matter of Union law.</w:t>
      </w:r>
    </w:p>
    <w:p w:rsidR="005C3603" w:rsidRPr="007F2B5E" w:rsidRDefault="002F2273">
      <w:pPr>
        <w:pStyle w:val="ManualHeading2"/>
        <w:rPr>
          <w:noProof/>
        </w:rPr>
      </w:pPr>
      <w:r w:rsidRPr="007F2B5E">
        <w:rPr>
          <w:noProof/>
        </w:rPr>
        <w:t>2.2.</w:t>
      </w:r>
      <w:r w:rsidRPr="007F2B5E">
        <w:rPr>
          <w:noProof/>
        </w:rPr>
        <w:tab/>
        <w:t>The Participants to the</w:t>
      </w:r>
      <w:r w:rsidR="00FA3829">
        <w:rPr>
          <w:noProof/>
        </w:rPr>
        <w:t xml:space="preserve"> </w:t>
      </w:r>
      <w:bookmarkStart w:id="1" w:name="_Hlk216698182"/>
      <w:r w:rsidR="00C430A8" w:rsidRPr="007F2B5E">
        <w:rPr>
          <w:rFonts w:eastAsia="Times New Roman"/>
          <w:noProof/>
        </w:rPr>
        <w:t>Sector Understanding on Export Credits for Civil Aircraft</w:t>
      </w:r>
      <w:bookmarkEnd w:id="1"/>
    </w:p>
    <w:p w:rsidR="003B67AF" w:rsidRPr="00A55D4B" w:rsidRDefault="4323FBA6" w:rsidP="003B67AF">
      <w:pPr>
        <w:rPr>
          <w:rFonts w:eastAsia="Times New Roman"/>
          <w:noProof/>
          <w:szCs w:val="24"/>
        </w:rPr>
      </w:pPr>
      <w:r w:rsidRPr="007F2B5E">
        <w:rPr>
          <w:rFonts w:eastAsia="Times New Roman"/>
          <w:noProof/>
          <w:szCs w:val="24"/>
        </w:rPr>
        <w:t xml:space="preserve">The Aircraft Sector Understanding has </w:t>
      </w:r>
      <w:r w:rsidR="4996CB4D" w:rsidRPr="007F2B5E">
        <w:rPr>
          <w:rFonts w:eastAsia="Times New Roman"/>
          <w:noProof/>
          <w:szCs w:val="24"/>
        </w:rPr>
        <w:t>eleven</w:t>
      </w:r>
      <w:r w:rsidRPr="007F2B5E">
        <w:rPr>
          <w:rFonts w:eastAsia="Times New Roman"/>
          <w:noProof/>
          <w:szCs w:val="24"/>
        </w:rPr>
        <w:t xml:space="preserve"> Participants (‘ASU Participants’)</w:t>
      </w:r>
      <w:r w:rsidR="003B67AF">
        <w:rPr>
          <w:rFonts w:eastAsia="Times New Roman"/>
          <w:noProof/>
          <w:szCs w:val="24"/>
        </w:rPr>
        <w:t xml:space="preserve">, </w:t>
      </w:r>
      <w:r w:rsidR="003B67AF" w:rsidRPr="001B2942">
        <w:rPr>
          <w:rFonts w:eastAsia="Times New Roman"/>
          <w:noProof/>
          <w:szCs w:val="24"/>
        </w:rPr>
        <w:t>which are Australia, Brazil, Canada, the Union, Japan, Korea, New Zealand, Norway, Switzerland, United Kingdom and the United States.</w:t>
      </w:r>
      <w:r w:rsidR="003B67AF">
        <w:rPr>
          <w:rStyle w:val="FootnoteReference"/>
          <w:rFonts w:eastAsia="Times New Roman"/>
          <w:noProof/>
          <w:szCs w:val="24"/>
        </w:rPr>
        <w:footnoteReference w:id="3"/>
      </w:r>
      <w:r w:rsidR="003B67AF">
        <w:rPr>
          <w:rFonts w:eastAsia="Times New Roman"/>
          <w:noProof/>
          <w:szCs w:val="24"/>
        </w:rPr>
        <w:t xml:space="preserve"> </w:t>
      </w:r>
    </w:p>
    <w:p w:rsidR="6D89A322" w:rsidRDefault="4323FBA6" w:rsidP="6D89A322">
      <w:pPr>
        <w:rPr>
          <w:rFonts w:eastAsia="Times New Roman"/>
          <w:noProof/>
          <w:szCs w:val="24"/>
        </w:rPr>
      </w:pPr>
      <w:r w:rsidRPr="007F2B5E">
        <w:rPr>
          <w:rFonts w:eastAsia="Times New Roman"/>
          <w:noProof/>
          <w:szCs w:val="24"/>
        </w:rPr>
        <w:lastRenderedPageBreak/>
        <w:t>The European Commission represents the Union in the meetings of the ASU</w:t>
      </w:r>
      <w:r w:rsidR="003B67AF">
        <w:rPr>
          <w:rFonts w:eastAsia="Times New Roman"/>
          <w:noProof/>
          <w:szCs w:val="24"/>
        </w:rPr>
        <w:t xml:space="preserve"> Participants</w:t>
      </w:r>
      <w:r w:rsidRPr="007F2B5E">
        <w:rPr>
          <w:rFonts w:eastAsia="Times New Roman"/>
          <w:noProof/>
          <w:szCs w:val="24"/>
        </w:rPr>
        <w:t>, as well as in the written procedures for decision-making by the ASU</w:t>
      </w:r>
      <w:r w:rsidR="003B67AF">
        <w:rPr>
          <w:rFonts w:eastAsia="Times New Roman"/>
          <w:noProof/>
          <w:szCs w:val="24"/>
        </w:rPr>
        <w:t xml:space="preserve"> Participants</w:t>
      </w:r>
      <w:r w:rsidRPr="007F2B5E">
        <w:rPr>
          <w:rFonts w:eastAsia="Times New Roman"/>
          <w:noProof/>
          <w:szCs w:val="24"/>
        </w:rPr>
        <w:t>.</w:t>
      </w:r>
      <w:r w:rsidR="003B67AF" w:rsidRPr="003B67AF">
        <w:rPr>
          <w:noProof/>
        </w:rPr>
        <w:t xml:space="preserve"> </w:t>
      </w:r>
      <w:r w:rsidR="003B67AF" w:rsidRPr="003B67AF">
        <w:rPr>
          <w:rFonts w:eastAsia="Times New Roman"/>
          <w:noProof/>
          <w:szCs w:val="24"/>
        </w:rPr>
        <w:t xml:space="preserve">Decisions on all amendments of the </w:t>
      </w:r>
      <w:r w:rsidR="003B67AF">
        <w:rPr>
          <w:rFonts w:eastAsia="Times New Roman"/>
          <w:noProof/>
          <w:szCs w:val="24"/>
        </w:rPr>
        <w:t xml:space="preserve">ASU </w:t>
      </w:r>
      <w:r w:rsidR="003B67AF" w:rsidRPr="003B67AF">
        <w:rPr>
          <w:rFonts w:eastAsia="Times New Roman"/>
          <w:noProof/>
          <w:szCs w:val="24"/>
        </w:rPr>
        <w:t>are taken by consensus.</w:t>
      </w:r>
    </w:p>
    <w:p w:rsidR="002F2273" w:rsidRPr="00792B2A" w:rsidRDefault="002F2273" w:rsidP="00D128AC">
      <w:pPr>
        <w:pStyle w:val="ManualHeading2"/>
        <w:rPr>
          <w:rFonts w:eastAsia="Times New Roman"/>
          <w:noProof/>
        </w:rPr>
      </w:pPr>
      <w:r w:rsidRPr="00792B2A">
        <w:rPr>
          <w:noProof/>
        </w:rPr>
        <w:t>2.3.</w:t>
      </w:r>
      <w:r w:rsidRPr="003A610B">
        <w:rPr>
          <w:noProof/>
        </w:rPr>
        <w:tab/>
      </w:r>
      <w:r w:rsidRPr="00792B2A">
        <w:rPr>
          <w:noProof/>
        </w:rPr>
        <w:t xml:space="preserve">The envisaged act of the </w:t>
      </w:r>
      <w:r w:rsidR="003B67AF">
        <w:rPr>
          <w:noProof/>
        </w:rPr>
        <w:t xml:space="preserve">ASU </w:t>
      </w:r>
      <w:r w:rsidRPr="00792B2A">
        <w:rPr>
          <w:noProof/>
        </w:rPr>
        <w:t xml:space="preserve">Participants </w:t>
      </w:r>
    </w:p>
    <w:p w:rsidR="1080E579" w:rsidRDefault="65FFD4AF" w:rsidP="6D89A322">
      <w:pPr>
        <w:rPr>
          <w:noProof/>
        </w:rPr>
      </w:pPr>
      <w:r w:rsidRPr="00DE7822">
        <w:rPr>
          <w:noProof/>
        </w:rPr>
        <w:t>The e</w:t>
      </w:r>
      <w:r w:rsidR="2F7D3480" w:rsidRPr="00DE7822">
        <w:rPr>
          <w:noProof/>
        </w:rPr>
        <w:t>n</w:t>
      </w:r>
      <w:r w:rsidRPr="00DE7822">
        <w:rPr>
          <w:noProof/>
        </w:rPr>
        <w:t xml:space="preserve">visaged act </w:t>
      </w:r>
      <w:r w:rsidR="3212D6C6" w:rsidRPr="00DE7822">
        <w:rPr>
          <w:noProof/>
        </w:rPr>
        <w:t>aim</w:t>
      </w:r>
      <w:r w:rsidR="00183A23" w:rsidRPr="00DE7822">
        <w:rPr>
          <w:noProof/>
        </w:rPr>
        <w:t>s</w:t>
      </w:r>
      <w:r w:rsidR="3212D6C6" w:rsidRPr="00DE7822">
        <w:rPr>
          <w:noProof/>
        </w:rPr>
        <w:t xml:space="preserve"> to </w:t>
      </w:r>
      <w:r w:rsidR="003B67AF">
        <w:rPr>
          <w:noProof/>
        </w:rPr>
        <w:t xml:space="preserve">amend </w:t>
      </w:r>
      <w:r w:rsidR="00D01BE4" w:rsidRPr="00D01BE4">
        <w:rPr>
          <w:noProof/>
        </w:rPr>
        <w:t xml:space="preserve">Section 2 of Appendix II of </w:t>
      </w:r>
      <w:r w:rsidR="00D01BE4">
        <w:rPr>
          <w:noProof/>
        </w:rPr>
        <w:t>the ASU</w:t>
      </w:r>
      <w:r w:rsidR="003B67AF">
        <w:rPr>
          <w:noProof/>
        </w:rPr>
        <w:t xml:space="preserve"> by </w:t>
      </w:r>
      <w:r w:rsidR="00667721">
        <w:rPr>
          <w:noProof/>
        </w:rPr>
        <w:t>establish</w:t>
      </w:r>
      <w:r w:rsidR="003B67AF">
        <w:rPr>
          <w:noProof/>
        </w:rPr>
        <w:t>ing</w:t>
      </w:r>
      <w:r w:rsidR="00066C27" w:rsidRPr="00DE7822">
        <w:rPr>
          <w:noProof/>
        </w:rPr>
        <w:t xml:space="preserve"> a </w:t>
      </w:r>
      <w:r w:rsidR="00DE7822" w:rsidRPr="00DE7822">
        <w:rPr>
          <w:noProof/>
        </w:rPr>
        <w:t xml:space="preserve">fixed </w:t>
      </w:r>
      <w:r w:rsidR="00667721" w:rsidRPr="00DE7822">
        <w:rPr>
          <w:noProof/>
        </w:rPr>
        <w:t>Credit Adjustment Spread (CAS)</w:t>
      </w:r>
      <w:r w:rsidR="00667721">
        <w:rPr>
          <w:noProof/>
        </w:rPr>
        <w:t xml:space="preserve"> </w:t>
      </w:r>
      <w:r w:rsidR="00066C27" w:rsidRPr="00DE7822">
        <w:rPr>
          <w:noProof/>
        </w:rPr>
        <w:t xml:space="preserve">value of -29bps </w:t>
      </w:r>
      <w:r w:rsidR="00667721">
        <w:rPr>
          <w:noProof/>
        </w:rPr>
        <w:t>for</w:t>
      </w:r>
      <w:r w:rsidR="00066C27" w:rsidRPr="00DE7822">
        <w:rPr>
          <w:noProof/>
        </w:rPr>
        <w:t xml:space="preserve"> the calculation of the Market Reflective Surcharged (MRS)</w:t>
      </w:r>
      <w:r w:rsidR="6ABE0BCE" w:rsidRPr="00FA3829">
        <w:rPr>
          <w:noProof/>
        </w:rPr>
        <w:t xml:space="preserve">. </w:t>
      </w:r>
      <w:r w:rsidR="00DE7822" w:rsidRPr="00FA3829">
        <w:rPr>
          <w:noProof/>
        </w:rPr>
        <w:t>A</w:t>
      </w:r>
      <w:r w:rsidR="6ABE0BCE" w:rsidRPr="00FA3829">
        <w:rPr>
          <w:noProof/>
        </w:rPr>
        <w:t>ppendix</w:t>
      </w:r>
      <w:r w:rsidR="00D01BE4">
        <w:rPr>
          <w:noProof/>
        </w:rPr>
        <w:t xml:space="preserve"> II of the ASU</w:t>
      </w:r>
      <w:r w:rsidR="6ABE0BCE" w:rsidRPr="00FA3829">
        <w:rPr>
          <w:noProof/>
        </w:rPr>
        <w:t xml:space="preserve"> sets out the procedures to </w:t>
      </w:r>
      <w:r w:rsidR="7E446E32" w:rsidRPr="00FA3829">
        <w:rPr>
          <w:noProof/>
        </w:rPr>
        <w:t>be used when determining</w:t>
      </w:r>
      <w:r w:rsidR="38835750" w:rsidRPr="00FA3829">
        <w:rPr>
          <w:noProof/>
        </w:rPr>
        <w:t xml:space="preserve"> </w:t>
      </w:r>
      <w:r w:rsidR="7E446E32" w:rsidRPr="00FA3829">
        <w:rPr>
          <w:noProof/>
        </w:rPr>
        <w:t>the pricing of official support for a transaction subject to th</w:t>
      </w:r>
      <w:r w:rsidR="00EC7942">
        <w:rPr>
          <w:noProof/>
        </w:rPr>
        <w:t>e</w:t>
      </w:r>
      <w:r w:rsidR="7E446E32" w:rsidRPr="00FA3829">
        <w:rPr>
          <w:noProof/>
        </w:rPr>
        <w:t xml:space="preserve"> </w:t>
      </w:r>
      <w:r w:rsidR="3F2D9AE1" w:rsidRPr="00FA3829">
        <w:rPr>
          <w:noProof/>
        </w:rPr>
        <w:t>Se</w:t>
      </w:r>
      <w:r w:rsidR="7E446E32" w:rsidRPr="00FA3829">
        <w:rPr>
          <w:noProof/>
        </w:rPr>
        <w:t>ctor Understanding</w:t>
      </w:r>
      <w:r w:rsidR="00EC7942">
        <w:rPr>
          <w:noProof/>
        </w:rPr>
        <w:t xml:space="preserve"> on Export Credits for Civil Aircraft</w:t>
      </w:r>
      <w:r w:rsidR="099A0B8B" w:rsidRPr="00FA3829">
        <w:rPr>
          <w:noProof/>
        </w:rPr>
        <w:t xml:space="preserve">, and </w:t>
      </w:r>
      <w:r w:rsidR="009064ED" w:rsidRPr="00FA3829">
        <w:rPr>
          <w:noProof/>
        </w:rPr>
        <w:t>S</w:t>
      </w:r>
      <w:r w:rsidR="099A0B8B" w:rsidRPr="00FA3829">
        <w:rPr>
          <w:noProof/>
        </w:rPr>
        <w:t xml:space="preserve">ection </w:t>
      </w:r>
      <w:r w:rsidR="00DE7822" w:rsidRPr="00FA3829">
        <w:rPr>
          <w:noProof/>
        </w:rPr>
        <w:t>2</w:t>
      </w:r>
      <w:r w:rsidR="099A0B8B" w:rsidRPr="00FA3829">
        <w:rPr>
          <w:noProof/>
        </w:rPr>
        <w:t xml:space="preserve"> sets out the </w:t>
      </w:r>
      <w:r w:rsidR="00DE7822" w:rsidRPr="00FA3829">
        <w:rPr>
          <w:noProof/>
        </w:rPr>
        <w:t>rules to determine the Minimum Premium Rates</w:t>
      </w:r>
      <w:r w:rsidR="00D01BE4">
        <w:rPr>
          <w:noProof/>
        </w:rPr>
        <w:t xml:space="preserve"> (MPR)</w:t>
      </w:r>
      <w:r w:rsidR="7E446E32" w:rsidRPr="00FA3829">
        <w:rPr>
          <w:noProof/>
        </w:rPr>
        <w:t>.</w:t>
      </w:r>
    </w:p>
    <w:p w:rsidR="00D3073D" w:rsidRDefault="00D3073D" w:rsidP="0023281F">
      <w:pPr>
        <w:rPr>
          <w:noProof/>
        </w:rPr>
      </w:pPr>
      <w:r>
        <w:rPr>
          <w:noProof/>
        </w:rPr>
        <w:t xml:space="preserve">The text of the ASU stipulates that </w:t>
      </w:r>
      <w:r w:rsidR="00EC7942" w:rsidRPr="00D01BE4">
        <w:rPr>
          <w:noProof/>
        </w:rPr>
        <w:t xml:space="preserve">the calculation of the </w:t>
      </w:r>
      <w:r w:rsidR="00EC7942">
        <w:rPr>
          <w:noProof/>
        </w:rPr>
        <w:t xml:space="preserve">MPRs is the result of adding </w:t>
      </w:r>
      <w:r>
        <w:rPr>
          <w:noProof/>
        </w:rPr>
        <w:t>a Market Reflective Surcharge</w:t>
      </w:r>
      <w:r w:rsidR="009206A8">
        <w:rPr>
          <w:noProof/>
        </w:rPr>
        <w:t xml:space="preserve"> (MRS) to the risk-based rates (RBR)</w:t>
      </w:r>
      <w:r w:rsidR="00D01BE4" w:rsidRPr="00D01BE4">
        <w:rPr>
          <w:noProof/>
        </w:rPr>
        <w:t xml:space="preserve"> </w:t>
      </w:r>
      <w:r w:rsidR="009206A8">
        <w:rPr>
          <w:noProof/>
        </w:rPr>
        <w:t xml:space="preserve">. </w:t>
      </w:r>
      <w:r w:rsidR="0023281F">
        <w:rPr>
          <w:noProof/>
        </w:rPr>
        <w:t xml:space="preserve">One input in the calculation of the MRS is the Median Credit Spreads (MCS), based on data provided by Moody’s to the OECD Secretariat. </w:t>
      </w:r>
      <w:r w:rsidR="00945BF7">
        <w:rPr>
          <w:noProof/>
        </w:rPr>
        <w:t>Given the discont</w:t>
      </w:r>
      <w:r w:rsidR="005845C6">
        <w:rPr>
          <w:noProof/>
        </w:rPr>
        <w:t>i</w:t>
      </w:r>
      <w:r w:rsidR="00945BF7">
        <w:rPr>
          <w:noProof/>
        </w:rPr>
        <w:t xml:space="preserve">nuation of </w:t>
      </w:r>
      <w:r w:rsidR="00EC7942">
        <w:rPr>
          <w:noProof/>
        </w:rPr>
        <w:t xml:space="preserve">the </w:t>
      </w:r>
      <w:r w:rsidR="00EC7942" w:rsidRPr="00EC7942">
        <w:rPr>
          <w:noProof/>
        </w:rPr>
        <w:t xml:space="preserve">London Interbank Offered Rate </w:t>
      </w:r>
      <w:r w:rsidR="00EC7942">
        <w:rPr>
          <w:noProof/>
        </w:rPr>
        <w:t>(</w:t>
      </w:r>
      <w:r w:rsidR="00945BF7">
        <w:rPr>
          <w:noProof/>
        </w:rPr>
        <w:t>LIBOR</w:t>
      </w:r>
      <w:r w:rsidR="00EC7942">
        <w:rPr>
          <w:noProof/>
        </w:rPr>
        <w:t>)</w:t>
      </w:r>
      <w:r w:rsidR="00945BF7">
        <w:rPr>
          <w:noProof/>
        </w:rPr>
        <w:t>, since</w:t>
      </w:r>
      <w:r w:rsidR="0023281F">
        <w:rPr>
          <w:noProof/>
        </w:rPr>
        <w:t xml:space="preserve"> August 2022 Moody’s provide</w:t>
      </w:r>
      <w:r w:rsidR="00945BF7">
        <w:rPr>
          <w:noProof/>
        </w:rPr>
        <w:t>d</w:t>
      </w:r>
      <w:r w:rsidR="0023281F">
        <w:rPr>
          <w:noProof/>
        </w:rPr>
        <w:t xml:space="preserve"> MCS data over </w:t>
      </w:r>
      <w:r w:rsidR="00EC7942">
        <w:rPr>
          <w:noProof/>
        </w:rPr>
        <w:t xml:space="preserve">the </w:t>
      </w:r>
      <w:r w:rsidR="00EC7942" w:rsidRPr="00EC7942">
        <w:rPr>
          <w:noProof/>
        </w:rPr>
        <w:t xml:space="preserve">Secured Overnight Financing Rate </w:t>
      </w:r>
      <w:r w:rsidR="00EC7942">
        <w:rPr>
          <w:noProof/>
        </w:rPr>
        <w:t>(</w:t>
      </w:r>
      <w:r w:rsidR="0023281F">
        <w:rPr>
          <w:noProof/>
        </w:rPr>
        <w:t>SOFR</w:t>
      </w:r>
      <w:r w:rsidR="00EC7942">
        <w:rPr>
          <w:noProof/>
        </w:rPr>
        <w:t>)</w:t>
      </w:r>
      <w:r w:rsidR="0023281F">
        <w:rPr>
          <w:noProof/>
        </w:rPr>
        <w:t>, rather than over LIBOR.</w:t>
      </w:r>
      <w:r w:rsidR="00945BF7">
        <w:rPr>
          <w:noProof/>
        </w:rPr>
        <w:t xml:space="preserve"> This has a direct impact on the MCS value, on which </w:t>
      </w:r>
      <w:r w:rsidR="00D01BE4">
        <w:rPr>
          <w:noProof/>
        </w:rPr>
        <w:t xml:space="preserve">ASU </w:t>
      </w:r>
      <w:r w:rsidR="00945BF7">
        <w:rPr>
          <w:noProof/>
        </w:rPr>
        <w:t>Participants</w:t>
      </w:r>
      <w:r w:rsidR="0023281F">
        <w:rPr>
          <w:noProof/>
        </w:rPr>
        <w:t xml:space="preserve"> were invited </w:t>
      </w:r>
      <w:r w:rsidR="00945BF7">
        <w:rPr>
          <w:noProof/>
        </w:rPr>
        <w:t xml:space="preserve">to reflect </w:t>
      </w:r>
      <w:r w:rsidR="0023281F">
        <w:rPr>
          <w:noProof/>
        </w:rPr>
        <w:t xml:space="preserve">in </w:t>
      </w:r>
      <w:r w:rsidR="003A610B">
        <w:rPr>
          <w:noProof/>
        </w:rPr>
        <w:t>N</w:t>
      </w:r>
      <w:r w:rsidR="0023281F">
        <w:rPr>
          <w:noProof/>
        </w:rPr>
        <w:t xml:space="preserve">ovember 2022 </w:t>
      </w:r>
      <w:r w:rsidR="00945BF7">
        <w:rPr>
          <w:noProof/>
        </w:rPr>
        <w:t>during the 73</w:t>
      </w:r>
      <w:r w:rsidR="00945BF7" w:rsidRPr="00D128AC">
        <w:rPr>
          <w:noProof/>
          <w:vertAlign w:val="superscript"/>
        </w:rPr>
        <w:t>rd</w:t>
      </w:r>
      <w:r w:rsidR="00945BF7">
        <w:rPr>
          <w:noProof/>
        </w:rPr>
        <w:t xml:space="preserve"> ASU Participants’ meeting.</w:t>
      </w:r>
    </w:p>
    <w:p w:rsidR="21AE2776" w:rsidRPr="00AA7C5A" w:rsidRDefault="000A2811" w:rsidP="003A610B">
      <w:pPr>
        <w:rPr>
          <w:rFonts w:eastAsia="Times New Roman"/>
          <w:noProof/>
          <w:color w:val="FF0000"/>
        </w:rPr>
      </w:pPr>
      <w:r>
        <w:rPr>
          <w:noProof/>
        </w:rPr>
        <w:t>ASU Paticipants agreed during their 74</w:t>
      </w:r>
      <w:r w:rsidRPr="00D128AC">
        <w:rPr>
          <w:noProof/>
          <w:vertAlign w:val="superscript"/>
        </w:rPr>
        <w:t>th</w:t>
      </w:r>
      <w:r>
        <w:rPr>
          <w:noProof/>
        </w:rPr>
        <w:t xml:space="preserve"> Meeting </w:t>
      </w:r>
      <w:r w:rsidR="00945BF7">
        <w:rPr>
          <w:noProof/>
        </w:rPr>
        <w:t>(</w:t>
      </w:r>
      <w:r>
        <w:rPr>
          <w:noProof/>
        </w:rPr>
        <w:t>November 2023</w:t>
      </w:r>
      <w:r w:rsidR="00945BF7">
        <w:rPr>
          <w:noProof/>
        </w:rPr>
        <w:t>)</w:t>
      </w:r>
      <w:r>
        <w:rPr>
          <w:noProof/>
        </w:rPr>
        <w:t xml:space="preserve"> to apply </w:t>
      </w:r>
      <w:r w:rsidR="00945BF7">
        <w:rPr>
          <w:noProof/>
        </w:rPr>
        <w:t>an</w:t>
      </w:r>
      <w:r>
        <w:rPr>
          <w:noProof/>
        </w:rPr>
        <w:t xml:space="preserve"> adjustment (</w:t>
      </w:r>
      <w:r w:rsidR="00945BF7">
        <w:rPr>
          <w:noProof/>
        </w:rPr>
        <w:t xml:space="preserve">Credit Spread Adjustment, “CAS”) of </w:t>
      </w:r>
      <w:r>
        <w:rPr>
          <w:noProof/>
        </w:rPr>
        <w:t>-29bps to Moody’s MCS data</w:t>
      </w:r>
      <w:r w:rsidR="00945BF7">
        <w:rPr>
          <w:noProof/>
        </w:rPr>
        <w:t xml:space="preserve"> </w:t>
      </w:r>
      <w:r>
        <w:rPr>
          <w:noProof/>
        </w:rPr>
        <w:t>for one year (i.e., end of 2024)</w:t>
      </w:r>
      <w:r w:rsidR="00FC04C7">
        <w:rPr>
          <w:noProof/>
        </w:rPr>
        <w:t>. During the 76</w:t>
      </w:r>
      <w:r w:rsidR="00FC04C7" w:rsidRPr="00D128AC">
        <w:rPr>
          <w:noProof/>
          <w:vertAlign w:val="superscript"/>
        </w:rPr>
        <w:t>th</w:t>
      </w:r>
      <w:r w:rsidR="00FC04C7">
        <w:rPr>
          <w:noProof/>
        </w:rPr>
        <w:t xml:space="preserve"> ASU Participants Meeting in June 2025, Participants showed broad support to make this solution permanent</w:t>
      </w:r>
      <w:r w:rsidR="00677BBE">
        <w:rPr>
          <w:noProof/>
        </w:rPr>
        <w:t>.</w:t>
      </w:r>
      <w:r w:rsidR="001E63C7">
        <w:rPr>
          <w:noProof/>
        </w:rPr>
        <w:t xml:space="preserve"> </w:t>
      </w:r>
      <w:r w:rsidR="003A610B" w:rsidRPr="003A610B">
        <w:rPr>
          <w:noProof/>
        </w:rPr>
        <w:t xml:space="preserve">The </w:t>
      </w:r>
      <w:r w:rsidR="003A610B">
        <w:rPr>
          <w:noProof/>
        </w:rPr>
        <w:t>envisaged</w:t>
      </w:r>
      <w:r w:rsidR="003A610B" w:rsidRPr="003A610B">
        <w:rPr>
          <w:noProof/>
        </w:rPr>
        <w:t xml:space="preserve"> act aims to amend the ASU text to transform th</w:t>
      </w:r>
      <w:r w:rsidR="00D01BE4">
        <w:rPr>
          <w:noProof/>
        </w:rPr>
        <w:t>at</w:t>
      </w:r>
      <w:r w:rsidR="003A610B" w:rsidRPr="003A610B">
        <w:rPr>
          <w:noProof/>
        </w:rPr>
        <w:t xml:space="preserve"> temporary adjustment into a permanent solution</w:t>
      </w:r>
      <w:r w:rsidR="00642422" w:rsidRPr="00FA3829">
        <w:rPr>
          <w:rFonts w:eastAsia="Times New Roman"/>
          <w:noProof/>
        </w:rPr>
        <w:t>.</w:t>
      </w:r>
    </w:p>
    <w:p w:rsidR="005C3603" w:rsidRPr="00D128AC" w:rsidRDefault="39005C4F" w:rsidP="00886A7B">
      <w:pPr>
        <w:pStyle w:val="ManualHeading1"/>
        <w:ind w:left="0" w:firstLine="0"/>
        <w:rPr>
          <w:noProof/>
        </w:rPr>
      </w:pPr>
      <w:r w:rsidRPr="00D128AC">
        <w:rPr>
          <w:noProof/>
        </w:rPr>
        <w:t>3.</w:t>
      </w:r>
      <w:r w:rsidR="002F2273" w:rsidRPr="00D128AC">
        <w:rPr>
          <w:noProof/>
        </w:rPr>
        <w:tab/>
      </w:r>
      <w:r w:rsidRPr="00D128AC">
        <w:rPr>
          <w:noProof/>
        </w:rPr>
        <w:t>Position to be taken on the Union's behalf</w:t>
      </w:r>
    </w:p>
    <w:p w:rsidR="00642422" w:rsidRPr="00D128AC" w:rsidRDefault="00642422" w:rsidP="29BE6E28">
      <w:pPr>
        <w:rPr>
          <w:noProof/>
        </w:rPr>
      </w:pPr>
      <w:r w:rsidRPr="00D128AC">
        <w:rPr>
          <w:noProof/>
        </w:rPr>
        <w:t xml:space="preserve">The discontinuation of the </w:t>
      </w:r>
      <w:r w:rsidR="001E63C7">
        <w:rPr>
          <w:noProof/>
        </w:rPr>
        <w:t>LIBOR</w:t>
      </w:r>
      <w:r w:rsidRPr="00D128AC">
        <w:rPr>
          <w:noProof/>
        </w:rPr>
        <w:t xml:space="preserve"> in 2023 required Moody’s to adjust its methodology to calculate the Median Credit Spreads (MCS), an important input to obtain the Market Reflective Surcharge (MRS) </w:t>
      </w:r>
      <w:r w:rsidR="00F3349E">
        <w:rPr>
          <w:noProof/>
        </w:rPr>
        <w:t>to be</w:t>
      </w:r>
      <w:r w:rsidRPr="00D128AC">
        <w:rPr>
          <w:noProof/>
        </w:rPr>
        <w:t xml:space="preserve"> applied to the calcul</w:t>
      </w:r>
      <w:r w:rsidR="00D01BE4">
        <w:rPr>
          <w:noProof/>
        </w:rPr>
        <w:t>a</w:t>
      </w:r>
      <w:r w:rsidRPr="00D128AC">
        <w:rPr>
          <w:noProof/>
        </w:rPr>
        <w:t>tion of Minimum Premium Rates (MPRs) for ASU transactions as set out in Section 2 of Appendix II.</w:t>
      </w:r>
    </w:p>
    <w:p w:rsidR="00BB3850" w:rsidRPr="00D128AC" w:rsidRDefault="00642422" w:rsidP="29BE6E28">
      <w:pPr>
        <w:rPr>
          <w:noProof/>
        </w:rPr>
      </w:pPr>
      <w:r w:rsidRPr="00D128AC">
        <w:rPr>
          <w:noProof/>
        </w:rPr>
        <w:t xml:space="preserve">The MCS is a 90 day moving average of Moody’s Median Credit Spreads with an average life of 7 years. </w:t>
      </w:r>
      <w:r w:rsidR="00BB3850" w:rsidRPr="00D128AC">
        <w:rPr>
          <w:noProof/>
        </w:rPr>
        <w:t>Th</w:t>
      </w:r>
      <w:r w:rsidR="0080676F">
        <w:rPr>
          <w:noProof/>
        </w:rPr>
        <w:t>ey</w:t>
      </w:r>
      <w:r w:rsidR="00BB3850" w:rsidRPr="00D128AC">
        <w:rPr>
          <w:noProof/>
        </w:rPr>
        <w:t xml:space="preserve"> are provided by Moody’s to the OECD Secretariat based on triannual contract arrangements that have been renovated since the first one signed in 2011. </w:t>
      </w:r>
    </w:p>
    <w:p w:rsidR="00CE4FAC" w:rsidRDefault="00BB3850" w:rsidP="29BE6E28">
      <w:pPr>
        <w:rPr>
          <w:noProof/>
        </w:rPr>
      </w:pPr>
      <w:r w:rsidRPr="00D128AC">
        <w:rPr>
          <w:noProof/>
        </w:rPr>
        <w:t xml:space="preserve">Due to the transition from LIBOR to SOFR in 2023, Moody’s began to provide MCS data over SOFR only, rather than over LIBOR. This base rate switch </w:t>
      </w:r>
      <w:r w:rsidR="00685301">
        <w:rPr>
          <w:noProof/>
        </w:rPr>
        <w:t>results in an increased value for MCS, thus penalizing the risk premium</w:t>
      </w:r>
      <w:r w:rsidRPr="00D128AC">
        <w:rPr>
          <w:noProof/>
        </w:rPr>
        <w:t xml:space="preserve">. The introduction of a Credit Adjustment Spread (CAS) </w:t>
      </w:r>
      <w:r w:rsidR="00D128AC">
        <w:rPr>
          <w:noProof/>
        </w:rPr>
        <w:t xml:space="preserve">aims to compensate for this increase. </w:t>
      </w:r>
      <w:r w:rsidR="00685301">
        <w:rPr>
          <w:noProof/>
        </w:rPr>
        <w:t>The</w:t>
      </w:r>
      <w:r w:rsidR="00D128AC">
        <w:rPr>
          <w:noProof/>
        </w:rPr>
        <w:t xml:space="preserve"> CAS was temporarily establi</w:t>
      </w:r>
      <w:r w:rsidR="00685301">
        <w:rPr>
          <w:noProof/>
        </w:rPr>
        <w:t>s</w:t>
      </w:r>
      <w:r w:rsidR="00D128AC">
        <w:rPr>
          <w:noProof/>
        </w:rPr>
        <w:t>hed at -29 bps</w:t>
      </w:r>
      <w:r w:rsidR="00685301">
        <w:rPr>
          <w:noProof/>
        </w:rPr>
        <w:t>, reflecting the</w:t>
      </w:r>
      <w:r w:rsidR="00685301" w:rsidRPr="00685301">
        <w:rPr>
          <w:noProof/>
        </w:rPr>
        <w:t xml:space="preserve"> </w:t>
      </w:r>
      <w:r w:rsidR="00685301">
        <w:rPr>
          <w:noProof/>
        </w:rPr>
        <w:t>average difference of the MCS since Moody’s changed its base rate from the LIBOR to</w:t>
      </w:r>
      <w:r w:rsidR="00A55D4B">
        <w:rPr>
          <w:noProof/>
        </w:rPr>
        <w:t xml:space="preserve"> </w:t>
      </w:r>
      <w:r w:rsidR="00685301">
        <w:rPr>
          <w:noProof/>
        </w:rPr>
        <w:t xml:space="preserve">the SOFR. </w:t>
      </w:r>
    </w:p>
    <w:p w:rsidR="005C3603" w:rsidRPr="00D128AC" w:rsidRDefault="5F2AA6A8" w:rsidP="29BE6E28">
      <w:pPr>
        <w:rPr>
          <w:noProof/>
        </w:rPr>
      </w:pPr>
      <w:r w:rsidRPr="00D128AC">
        <w:rPr>
          <w:noProof/>
        </w:rPr>
        <w:t xml:space="preserve">Given this, the EU supports </w:t>
      </w:r>
      <w:r w:rsidR="384C02DA" w:rsidRPr="00D128AC">
        <w:rPr>
          <w:noProof/>
        </w:rPr>
        <w:t xml:space="preserve">the efforts being undertaken to </w:t>
      </w:r>
      <w:r w:rsidR="0080676F">
        <w:rPr>
          <w:noProof/>
        </w:rPr>
        <w:t xml:space="preserve">adjust the calculation of MRS so as to compensate for the additional surcharge resulting from a switch in the base rate following the discontinuation of the LIBOR. </w:t>
      </w:r>
      <w:r w:rsidR="661E4E22" w:rsidRPr="00D128AC">
        <w:rPr>
          <w:noProof/>
        </w:rPr>
        <w:t>Th</w:t>
      </w:r>
      <w:r w:rsidR="4A20A1A7" w:rsidRPr="00D128AC">
        <w:rPr>
          <w:noProof/>
        </w:rPr>
        <w:t xml:space="preserve">e envisaged </w:t>
      </w:r>
      <w:r w:rsidR="00D41413">
        <w:rPr>
          <w:noProof/>
        </w:rPr>
        <w:t>amendment</w:t>
      </w:r>
      <w:r w:rsidR="4A20A1A7" w:rsidRPr="00D128AC">
        <w:rPr>
          <w:noProof/>
        </w:rPr>
        <w:t xml:space="preserve">, </w:t>
      </w:r>
      <w:r w:rsidR="4A20A1A7" w:rsidRPr="00D128AC">
        <w:rPr>
          <w:rFonts w:eastAsia="Times New Roman"/>
          <w:noProof/>
        </w:rPr>
        <w:t>by</w:t>
      </w:r>
      <w:r w:rsidR="0080676F">
        <w:rPr>
          <w:rFonts w:eastAsia="Times New Roman"/>
          <w:noProof/>
        </w:rPr>
        <w:t xml:space="preserve"> providing for a fixed CAS of -29 bps allows to compensate the increase in MCS and provides predictibility for aircraft manufacturers</w:t>
      </w:r>
      <w:r w:rsidR="00E46BF0">
        <w:rPr>
          <w:rFonts w:eastAsia="Times New Roman"/>
          <w:noProof/>
        </w:rPr>
        <w:t xml:space="preserve"> and other ASU users.</w:t>
      </w:r>
      <w:r w:rsidR="003A610B">
        <w:rPr>
          <w:rFonts w:eastAsia="Times New Roman"/>
          <w:noProof/>
        </w:rPr>
        <w:t xml:space="preserve"> </w:t>
      </w:r>
      <w:r w:rsidR="39005C4F" w:rsidRPr="00D128AC">
        <w:rPr>
          <w:noProof/>
        </w:rPr>
        <w:t>Therefore, it is recommended that the position of the Union</w:t>
      </w:r>
      <w:r w:rsidR="4B555A50" w:rsidRPr="00D128AC">
        <w:rPr>
          <w:noProof/>
        </w:rPr>
        <w:t xml:space="preserve"> in the written procedure by the Participants to the ASU</w:t>
      </w:r>
      <w:r w:rsidR="255C0211" w:rsidRPr="00D128AC">
        <w:rPr>
          <w:noProof/>
        </w:rPr>
        <w:t xml:space="preserve"> </w:t>
      </w:r>
      <w:r w:rsidR="39005C4F" w:rsidRPr="00D128AC">
        <w:rPr>
          <w:noProof/>
        </w:rPr>
        <w:t>is to approve the envisaged decision</w:t>
      </w:r>
      <w:r w:rsidR="1F468B40" w:rsidRPr="00D128AC">
        <w:rPr>
          <w:noProof/>
        </w:rPr>
        <w:t xml:space="preserve"> to</w:t>
      </w:r>
      <w:r w:rsidR="00E46BF0">
        <w:rPr>
          <w:noProof/>
        </w:rPr>
        <w:t xml:space="preserve"> introduce a fixed CAS </w:t>
      </w:r>
      <w:r w:rsidR="003A610B">
        <w:rPr>
          <w:noProof/>
        </w:rPr>
        <w:t>of</w:t>
      </w:r>
      <w:r w:rsidR="00E46BF0">
        <w:rPr>
          <w:noProof/>
        </w:rPr>
        <w:t xml:space="preserve"> -29 bps to the MCS for the calculation of MRS as set out in </w:t>
      </w:r>
      <w:r w:rsidR="00E46BF0" w:rsidRPr="00D128AC">
        <w:rPr>
          <w:noProof/>
        </w:rPr>
        <w:t>in Section 2 of Appendix II</w:t>
      </w:r>
      <w:r w:rsidR="00E46BF0">
        <w:rPr>
          <w:noProof/>
        </w:rPr>
        <w:t>.</w:t>
      </w:r>
      <w:r w:rsidR="1F468B40" w:rsidRPr="00D128AC">
        <w:rPr>
          <w:noProof/>
        </w:rPr>
        <w:t xml:space="preserve"> </w:t>
      </w:r>
    </w:p>
    <w:p w:rsidR="005C3603" w:rsidRPr="00DE7822" w:rsidRDefault="002F2273">
      <w:pPr>
        <w:pStyle w:val="ManualHeading1"/>
        <w:rPr>
          <w:noProof/>
        </w:rPr>
      </w:pPr>
      <w:r w:rsidRPr="00DE7822">
        <w:rPr>
          <w:noProof/>
        </w:rPr>
        <w:lastRenderedPageBreak/>
        <w:t>4.</w:t>
      </w:r>
      <w:r w:rsidRPr="00DE7822">
        <w:rPr>
          <w:noProof/>
        </w:rPr>
        <w:tab/>
        <w:t>Legal basis</w:t>
      </w:r>
    </w:p>
    <w:p w:rsidR="005C3603" w:rsidRPr="00DE7822" w:rsidRDefault="002F2273">
      <w:pPr>
        <w:pStyle w:val="ManualHeading2"/>
        <w:rPr>
          <w:noProof/>
        </w:rPr>
      </w:pPr>
      <w:r w:rsidRPr="00DE7822">
        <w:rPr>
          <w:noProof/>
        </w:rPr>
        <w:t>4.1.</w:t>
      </w:r>
      <w:r w:rsidRPr="00DE7822">
        <w:rPr>
          <w:noProof/>
        </w:rPr>
        <w:tab/>
        <w:t>Procedural legal basis</w:t>
      </w:r>
    </w:p>
    <w:p w:rsidR="005C3603" w:rsidRPr="00DE7822" w:rsidRDefault="002F2273">
      <w:pPr>
        <w:pStyle w:val="ManualHeading3"/>
        <w:rPr>
          <w:noProof/>
        </w:rPr>
      </w:pPr>
      <w:r w:rsidRPr="00DE7822">
        <w:rPr>
          <w:noProof/>
        </w:rPr>
        <w:t>4.1.1.</w:t>
      </w:r>
      <w:r w:rsidRPr="00DE7822">
        <w:rPr>
          <w:noProof/>
        </w:rPr>
        <w:tab/>
        <w:t>Principles</w:t>
      </w:r>
    </w:p>
    <w:p w:rsidR="005C3603" w:rsidRPr="00DE7822" w:rsidRDefault="002F2273">
      <w:pPr>
        <w:rPr>
          <w:noProof/>
        </w:rPr>
      </w:pPr>
      <w:r w:rsidRPr="00DE7822">
        <w:rPr>
          <w:noProof/>
        </w:rPr>
        <w:t>Article 218(9) of the Treaty on the Functioning of the European Union (TFEU) provides for decisions establishing ‘</w:t>
      </w:r>
      <w:r w:rsidRPr="006E4E73">
        <w:rPr>
          <w:i/>
          <w:iCs/>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DE7822">
        <w:rPr>
          <w:noProof/>
        </w:rPr>
        <w:t>.’</w:t>
      </w:r>
    </w:p>
    <w:p w:rsidR="005C3603" w:rsidRPr="00DE7822" w:rsidRDefault="39005C4F">
      <w:pPr>
        <w:rPr>
          <w:noProof/>
        </w:rPr>
      </w:pPr>
      <w:r w:rsidRPr="00DE7822">
        <w:rPr>
          <w:noProof/>
        </w:rPr>
        <w:t>The concept of ‘</w:t>
      </w:r>
      <w:r w:rsidRPr="006E4E73">
        <w:rPr>
          <w:i/>
          <w:iCs/>
          <w:noProof/>
        </w:rPr>
        <w:t>acts having legal effects’</w:t>
      </w:r>
      <w:r w:rsidRPr="00DE7822">
        <w:rPr>
          <w:noProof/>
        </w:rPr>
        <w:t xml:space="preserve"> includes acts that have legal effects by virtue of the rules of international law governing the body in question. It also includes instruments that do not have a binding effect under international law, but that are ‘</w:t>
      </w:r>
      <w:r w:rsidRPr="006E4E73">
        <w:rPr>
          <w:i/>
          <w:iCs/>
          <w:noProof/>
        </w:rPr>
        <w:t>capable of decisively influencing the content of the legislation adopted by the EU legislature</w:t>
      </w:r>
      <w:r w:rsidRPr="00DE7822">
        <w:rPr>
          <w:noProof/>
        </w:rPr>
        <w:t>’</w:t>
      </w:r>
      <w:r w:rsidR="002F2273" w:rsidRPr="00DE7822">
        <w:rPr>
          <w:rStyle w:val="FootnoteReference"/>
          <w:noProof/>
        </w:rPr>
        <w:footnoteReference w:id="4"/>
      </w:r>
      <w:r w:rsidRPr="00DE7822">
        <w:rPr>
          <w:noProof/>
        </w:rPr>
        <w:t>.</w:t>
      </w:r>
    </w:p>
    <w:p w:rsidR="005C3603" w:rsidRPr="00DE7822" w:rsidRDefault="002F2273">
      <w:pPr>
        <w:pStyle w:val="ManualHeading3"/>
        <w:rPr>
          <w:noProof/>
        </w:rPr>
      </w:pPr>
      <w:r w:rsidRPr="00DE7822">
        <w:rPr>
          <w:noProof/>
        </w:rPr>
        <w:t>4.1.2.</w:t>
      </w:r>
      <w:r w:rsidRPr="00DE7822">
        <w:rPr>
          <w:noProof/>
        </w:rPr>
        <w:tab/>
        <w:t>Application to the present case</w:t>
      </w:r>
    </w:p>
    <w:p w:rsidR="005C3603" w:rsidRDefault="002F2273">
      <w:pPr>
        <w:rPr>
          <w:noProof/>
        </w:rPr>
      </w:pPr>
      <w:r w:rsidRPr="00E46BF0">
        <w:rPr>
          <w:noProof/>
        </w:rPr>
        <w:t>The envisaged act is capable of decisively influencing the content of EU legislation, namely Regulation (EU) No 1233/2011 of the European Parliament and of the Council of 16 November 2011 on the application of certain guidelines in the field of officially supported export credits and repealing Council Decisions 2001/76/EC and 2001/77/EC. This is because by virtue of Article 2 of this Regulation, which states that "[t]he Commission shall adopt delegated acts in accordance with Article 3 to amend Annex II as a result of amendments to the guidelines agreed by the Participants to the Arrangement".</w:t>
      </w:r>
    </w:p>
    <w:p w:rsidR="00EE6925" w:rsidRPr="00E46BF0" w:rsidRDefault="00EE6925">
      <w:pPr>
        <w:rPr>
          <w:noProof/>
        </w:rPr>
      </w:pPr>
      <w:r>
        <w:rPr>
          <w:noProof/>
        </w:rPr>
        <w:t xml:space="preserve">The envisaged amendment of the ASU will be adopted </w:t>
      </w:r>
      <w:r w:rsidR="00E05CF3" w:rsidRPr="006E2ABF">
        <w:rPr>
          <w:noProof/>
        </w:rPr>
        <w:t xml:space="preserve">in the written procedure of the </w:t>
      </w:r>
      <w:r w:rsidR="00E05CF3">
        <w:rPr>
          <w:noProof/>
        </w:rPr>
        <w:t xml:space="preserve">ASU </w:t>
      </w:r>
      <w:r w:rsidR="00E05CF3" w:rsidRPr="006E2ABF">
        <w:rPr>
          <w:noProof/>
        </w:rPr>
        <w:t>Participants</w:t>
      </w:r>
      <w:r w:rsidR="00E05CF3" w:rsidRPr="00E05CF3">
        <w:rPr>
          <w:noProof/>
        </w:rPr>
        <w:t xml:space="preserve"> </w:t>
      </w:r>
      <w:r w:rsidR="00E05CF3">
        <w:rPr>
          <w:noProof/>
        </w:rPr>
        <w:t>under the auspices of the OECD.</w:t>
      </w:r>
    </w:p>
    <w:p w:rsidR="005C3603" w:rsidRPr="00E46BF0" w:rsidRDefault="002F2273">
      <w:pPr>
        <w:rPr>
          <w:noProof/>
        </w:rPr>
      </w:pPr>
      <w:r w:rsidRPr="00E46BF0">
        <w:rPr>
          <w:noProof/>
        </w:rPr>
        <w:t>Therefore, the procedural legal basis for the proposed decision is Article 218(9) TFEU.</w:t>
      </w:r>
    </w:p>
    <w:p w:rsidR="005C3603" w:rsidRPr="00DE7822" w:rsidRDefault="002F2273">
      <w:pPr>
        <w:pStyle w:val="ManualHeading2"/>
        <w:rPr>
          <w:noProof/>
        </w:rPr>
      </w:pPr>
      <w:r w:rsidRPr="00DE7822">
        <w:rPr>
          <w:noProof/>
        </w:rPr>
        <w:t>4.2.</w:t>
      </w:r>
      <w:r w:rsidRPr="00DE7822">
        <w:rPr>
          <w:noProof/>
        </w:rPr>
        <w:tab/>
        <w:t>Substantive legal basis</w:t>
      </w:r>
    </w:p>
    <w:p w:rsidR="005C3603" w:rsidRPr="00DE7822" w:rsidRDefault="002F2273">
      <w:pPr>
        <w:pStyle w:val="ManualHeading3"/>
        <w:rPr>
          <w:noProof/>
        </w:rPr>
      </w:pPr>
      <w:r w:rsidRPr="00DE7822">
        <w:rPr>
          <w:noProof/>
        </w:rPr>
        <w:t>4.2.1.</w:t>
      </w:r>
      <w:r w:rsidRPr="00DE7822">
        <w:rPr>
          <w:noProof/>
        </w:rPr>
        <w:tab/>
        <w:t>Principles</w:t>
      </w:r>
    </w:p>
    <w:p w:rsidR="005C3603" w:rsidRPr="00DE7822" w:rsidRDefault="002F2273">
      <w:pPr>
        <w:rPr>
          <w:noProof/>
        </w:rPr>
      </w:pPr>
      <w:r w:rsidRPr="00DE7822">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5C3603" w:rsidRPr="00DE7822" w:rsidRDefault="002F2273">
      <w:pPr>
        <w:pStyle w:val="ManualHeading3"/>
        <w:rPr>
          <w:noProof/>
        </w:rPr>
      </w:pPr>
      <w:r w:rsidRPr="00DE7822">
        <w:rPr>
          <w:noProof/>
        </w:rPr>
        <w:t>4.2.2.</w:t>
      </w:r>
      <w:r w:rsidRPr="00DE7822">
        <w:rPr>
          <w:noProof/>
        </w:rPr>
        <w:tab/>
        <w:t>Application to the present case</w:t>
      </w:r>
    </w:p>
    <w:p w:rsidR="005C3603" w:rsidRPr="00DE7822" w:rsidRDefault="002F2273">
      <w:pPr>
        <w:rPr>
          <w:noProof/>
        </w:rPr>
      </w:pPr>
      <w:r w:rsidRPr="00DE7822">
        <w:rPr>
          <w:noProof/>
        </w:rPr>
        <w:t>The main objective and content of the envisaged act relate to export credits, which is within the scope of the common commercial policy. Therefore, the substantive legal basis of the proposed decision is Article 207 TFEU.</w:t>
      </w:r>
    </w:p>
    <w:p w:rsidR="005C3603" w:rsidRPr="00DE7822" w:rsidRDefault="002F2273">
      <w:pPr>
        <w:pStyle w:val="ManualHeading2"/>
        <w:rPr>
          <w:noProof/>
        </w:rPr>
      </w:pPr>
      <w:r w:rsidRPr="00DE7822">
        <w:rPr>
          <w:noProof/>
        </w:rPr>
        <w:t>4.3.</w:t>
      </w:r>
      <w:r w:rsidRPr="00DE7822">
        <w:rPr>
          <w:noProof/>
        </w:rPr>
        <w:tab/>
        <w:t>Conclusion</w:t>
      </w:r>
    </w:p>
    <w:p w:rsidR="005C3603" w:rsidRPr="00DE7822" w:rsidRDefault="002F2273">
      <w:pPr>
        <w:rPr>
          <w:noProof/>
        </w:rPr>
      </w:pPr>
      <w:r w:rsidRPr="00DE7822">
        <w:rPr>
          <w:noProof/>
        </w:rPr>
        <w:t>The legal basis of the proposed decision should be Article 207(4), first subparagraph, TFEU in conjunction with Article 218(9) TFEU.</w:t>
      </w:r>
    </w:p>
    <w:p w:rsidR="00CC04D4" w:rsidRPr="007726D3" w:rsidRDefault="007726D3" w:rsidP="007726D3">
      <w:pPr>
        <w:pStyle w:val="ManualHeading1"/>
        <w:rPr>
          <w:noProof/>
        </w:rPr>
      </w:pPr>
      <w:r>
        <w:rPr>
          <w:noProof/>
        </w:rPr>
        <w:t>5.</w:t>
      </w:r>
      <w:r>
        <w:rPr>
          <w:noProof/>
        </w:rPr>
        <w:tab/>
      </w:r>
      <w:r w:rsidR="00CC04D4" w:rsidRPr="007726D3">
        <w:rPr>
          <w:noProof/>
        </w:rPr>
        <w:t>Publication of the envisaged act</w:t>
      </w:r>
    </w:p>
    <w:p w:rsidR="00FB5C63" w:rsidRDefault="00CC04D4" w:rsidP="00CC04D4">
      <w:pPr>
        <w:rPr>
          <w:noProof/>
        </w:rPr>
      </w:pPr>
      <w:r w:rsidRPr="001C27C0">
        <w:rPr>
          <w:noProof/>
        </w:rPr>
        <w:t xml:space="preserve">As the proposed </w:t>
      </w:r>
      <w:r>
        <w:rPr>
          <w:noProof/>
        </w:rPr>
        <w:t xml:space="preserve">changes will amend </w:t>
      </w:r>
      <w:r w:rsidRPr="001C27C0">
        <w:rPr>
          <w:noProof/>
        </w:rPr>
        <w:t>the Arrangement on Officially Supported Export Credits which</w:t>
      </w:r>
      <w:r w:rsidR="00054EF4">
        <w:rPr>
          <w:noProof/>
        </w:rPr>
        <w:t xml:space="preserve">, in turn, will </w:t>
      </w:r>
      <w:r w:rsidR="00464C18">
        <w:rPr>
          <w:noProof/>
        </w:rPr>
        <w:t xml:space="preserve">require an amendment of </w:t>
      </w:r>
      <w:r w:rsidRPr="001C27C0">
        <w:rPr>
          <w:noProof/>
        </w:rPr>
        <w:t>Annex II to the Regulation (EU) No 1233/2011</w:t>
      </w:r>
      <w:r w:rsidR="00464C18">
        <w:rPr>
          <w:noProof/>
        </w:rPr>
        <w:t xml:space="preserve"> </w:t>
      </w:r>
      <w:r w:rsidR="00464C18" w:rsidRPr="00E46BF0">
        <w:rPr>
          <w:noProof/>
        </w:rPr>
        <w:lastRenderedPageBreak/>
        <w:t>by virtue of Article 2 of th</w:t>
      </w:r>
      <w:r w:rsidR="00EE6925">
        <w:rPr>
          <w:noProof/>
        </w:rPr>
        <w:t>at</w:t>
      </w:r>
      <w:r w:rsidR="00464C18" w:rsidRPr="00E46BF0">
        <w:rPr>
          <w:noProof/>
        </w:rPr>
        <w:t xml:space="preserve"> Regulation</w:t>
      </w:r>
      <w:r w:rsidRPr="001C27C0">
        <w:rPr>
          <w:noProof/>
        </w:rPr>
        <w:t>, it is appropriate to publish it in the Official Journal of the European Union after its acceptance.</w:t>
      </w:r>
    </w:p>
    <w:p w:rsidR="00FB5C63" w:rsidRDefault="00FB5C63" w:rsidP="00CC04D4">
      <w:pPr>
        <w:rPr>
          <w:noProof/>
        </w:rPr>
        <w:sectPr w:rsidR="00FB5C63" w:rsidSect="00EA7CA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1C4345" w:rsidRDefault="00B773B3">
      <w:pPr>
        <w:pStyle w:val="Rfrenceinterinstitutionnelle"/>
        <w:rPr>
          <w:noProof/>
        </w:rPr>
      </w:pPr>
      <w:r>
        <w:rPr>
          <w:noProof/>
        </w:rPr>
        <w:lastRenderedPageBreak/>
        <w:t>2026/0043 (NLE)</w:t>
      </w:r>
    </w:p>
    <w:p w:rsidR="005C3603" w:rsidRPr="006E2ABF" w:rsidRDefault="004376DE" w:rsidP="004376DE">
      <w:pPr>
        <w:pStyle w:val="Statut"/>
        <w:rPr>
          <w:noProof/>
        </w:rPr>
      </w:pPr>
      <w:r w:rsidRPr="004376DE">
        <w:rPr>
          <w:noProof/>
        </w:rPr>
        <w:t>Proposal for a</w:t>
      </w:r>
    </w:p>
    <w:p w:rsidR="005C3603" w:rsidRPr="006E2ABF" w:rsidRDefault="004376DE" w:rsidP="004376DE">
      <w:pPr>
        <w:pStyle w:val="Typedudocument"/>
        <w:rPr>
          <w:noProof/>
        </w:rPr>
      </w:pPr>
      <w:r w:rsidRPr="004376DE">
        <w:rPr>
          <w:noProof/>
        </w:rPr>
        <w:t>COUNCIL DECISION</w:t>
      </w:r>
    </w:p>
    <w:p w:rsidR="005C3603" w:rsidRPr="006E2ABF" w:rsidRDefault="004376DE" w:rsidP="004376DE">
      <w:pPr>
        <w:pStyle w:val="Titreobjet"/>
        <w:rPr>
          <w:noProof/>
        </w:rPr>
      </w:pPr>
      <w:r w:rsidRPr="004376DE">
        <w:rPr>
          <w:noProof/>
        </w:rPr>
        <w:t xml:space="preserve">on the position to be taken on behalf of the Union in the written procedure by the Participants to the Sector Understanding on Export Credits for Civil Aircraft (“ASU”) regarding the calculation of the Market Reflective Surcharge  </w:t>
      </w:r>
    </w:p>
    <w:p w:rsidR="005C3603" w:rsidRPr="006E2ABF" w:rsidRDefault="002F2273">
      <w:pPr>
        <w:pStyle w:val="Institutionquiagit"/>
        <w:rPr>
          <w:noProof/>
        </w:rPr>
      </w:pPr>
      <w:r w:rsidRPr="006E2ABF">
        <w:rPr>
          <w:noProof/>
        </w:rPr>
        <w:t>THE COUNCIL OF THE EUROPEAN UNION,</w:t>
      </w:r>
    </w:p>
    <w:p w:rsidR="005C3603" w:rsidRPr="006E2ABF" w:rsidRDefault="002F2273">
      <w:pPr>
        <w:rPr>
          <w:noProof/>
        </w:rPr>
      </w:pPr>
      <w:r w:rsidRPr="006E2ABF">
        <w:rPr>
          <w:noProof/>
        </w:rPr>
        <w:t>Having regard to the Treaty on the Functioning of the European Union, and in particular Article 207(4), first subparagraph, in conjunction with Article 218(9) thereof,</w:t>
      </w:r>
    </w:p>
    <w:p w:rsidR="005C3603" w:rsidRPr="006E2ABF" w:rsidRDefault="002F2273">
      <w:pPr>
        <w:rPr>
          <w:noProof/>
        </w:rPr>
      </w:pPr>
      <w:r w:rsidRPr="006E2ABF">
        <w:rPr>
          <w:noProof/>
        </w:rPr>
        <w:t>Having regard to the proposal from the European Commission,</w:t>
      </w:r>
    </w:p>
    <w:p w:rsidR="005C3603" w:rsidRPr="006E2ABF" w:rsidRDefault="002F2273">
      <w:pPr>
        <w:rPr>
          <w:noProof/>
        </w:rPr>
      </w:pPr>
      <w:r w:rsidRPr="006E2ABF">
        <w:rPr>
          <w:noProof/>
        </w:rPr>
        <w:t>Whereas:</w:t>
      </w:r>
    </w:p>
    <w:p w:rsidR="005C3603" w:rsidRPr="006E2ABF" w:rsidRDefault="002F2273" w:rsidP="000D6691">
      <w:pPr>
        <w:pStyle w:val="ManualConsidrant"/>
        <w:rPr>
          <w:noProof/>
        </w:rPr>
      </w:pPr>
      <w:r>
        <w:rPr>
          <w:noProof/>
        </w:rPr>
        <w:t>(1)</w:t>
      </w:r>
      <w:r>
        <w:rPr>
          <w:noProof/>
        </w:rPr>
        <w:tab/>
      </w:r>
      <w:r w:rsidRPr="006E2ABF">
        <w:rPr>
          <w:noProof/>
        </w:rPr>
        <w:t>The guidelines contained in the Arrangement on Officially Exported Export Credits (the ‘Arrangement’)</w:t>
      </w:r>
      <w:r w:rsidR="00D41413" w:rsidRPr="00D41413">
        <w:rPr>
          <w:noProof/>
        </w:rPr>
        <w:t xml:space="preserve"> including those in the Sector Understanding on Export Credits for Civil Aircraft (‘Aircraft Sector Understanding, ASU’) in Annex III to the Arrangement</w:t>
      </w:r>
      <w:r w:rsidR="00D41413">
        <w:rPr>
          <w:noProof/>
        </w:rPr>
        <w:t>,</w:t>
      </w:r>
      <w:r w:rsidRPr="006E2ABF">
        <w:rPr>
          <w:noProof/>
        </w:rPr>
        <w:t xml:space="preserve"> have been transposed, and hence been made legally binding in the EU by virtue of Regulation (EU) No 1233/2011 of the European Parliament and of the Council</w:t>
      </w:r>
      <w:r w:rsidRPr="006E2ABF">
        <w:rPr>
          <w:rStyle w:val="FootnoteReference"/>
          <w:noProof/>
        </w:rPr>
        <w:footnoteReference w:id="5"/>
      </w:r>
      <w:r w:rsidRPr="006E2ABF">
        <w:rPr>
          <w:noProof/>
        </w:rPr>
        <w:t xml:space="preserve">.  </w:t>
      </w:r>
    </w:p>
    <w:p w:rsidR="00D41413" w:rsidRDefault="39005C4F" w:rsidP="00F32148">
      <w:pPr>
        <w:pStyle w:val="ManualConsidrant"/>
        <w:rPr>
          <w:rFonts w:eastAsiaTheme="minorEastAsia"/>
          <w:noProof/>
          <w:szCs w:val="24"/>
        </w:rPr>
      </w:pPr>
      <w:r>
        <w:rPr>
          <w:noProof/>
        </w:rPr>
        <w:t>(2)</w:t>
      </w:r>
      <w:r>
        <w:rPr>
          <w:noProof/>
        </w:rPr>
        <w:tab/>
      </w:r>
      <w:r w:rsidRPr="000E7B22">
        <w:rPr>
          <w:rFonts w:eastAsiaTheme="minorEastAsia"/>
          <w:noProof/>
          <w:szCs w:val="24"/>
        </w:rPr>
        <w:t xml:space="preserve">The </w:t>
      </w:r>
      <w:r w:rsidR="00D41413">
        <w:rPr>
          <w:rFonts w:eastAsiaTheme="minorEastAsia"/>
          <w:noProof/>
          <w:szCs w:val="24"/>
        </w:rPr>
        <w:t xml:space="preserve">envisaged amendment to </w:t>
      </w:r>
      <w:r w:rsidR="00AE06A4">
        <w:rPr>
          <w:rFonts w:eastAsiaTheme="minorEastAsia"/>
          <w:noProof/>
          <w:szCs w:val="24"/>
        </w:rPr>
        <w:t>A</w:t>
      </w:r>
      <w:r w:rsidR="00AE06A4" w:rsidRPr="00AE06A4">
        <w:rPr>
          <w:rFonts w:eastAsiaTheme="minorEastAsia"/>
          <w:noProof/>
          <w:szCs w:val="24"/>
        </w:rPr>
        <w:t>rticle 28 of Appendix II (Minimum Premium Rates) of the ASU</w:t>
      </w:r>
      <w:r w:rsidR="00D41413">
        <w:rPr>
          <w:rFonts w:eastAsiaTheme="minorEastAsia"/>
          <w:noProof/>
          <w:szCs w:val="24"/>
        </w:rPr>
        <w:t xml:space="preserve"> aims to </w:t>
      </w:r>
      <w:r w:rsidR="00D41413" w:rsidRPr="006E2ABF">
        <w:rPr>
          <w:rFonts w:eastAsiaTheme="minorEastAsia"/>
          <w:noProof/>
          <w:szCs w:val="24"/>
        </w:rPr>
        <w:t>to introduce a permanent Credit Adjustment Spread of -29 bps to the calculation of the Market Reflective Surcharge</w:t>
      </w:r>
      <w:r w:rsidR="003415AC">
        <w:rPr>
          <w:rFonts w:eastAsiaTheme="minorEastAsia"/>
          <w:noProof/>
          <w:szCs w:val="24"/>
        </w:rPr>
        <w:t xml:space="preserve"> and</w:t>
      </w:r>
      <w:r w:rsidR="00D41413" w:rsidRPr="006E2ABF">
        <w:rPr>
          <w:rFonts w:eastAsiaTheme="minorEastAsia"/>
          <w:noProof/>
          <w:szCs w:val="24"/>
        </w:rPr>
        <w:t xml:space="preserve"> should compensate for the </w:t>
      </w:r>
      <w:r w:rsidR="00D41413">
        <w:rPr>
          <w:rFonts w:eastAsiaTheme="minorEastAsia"/>
          <w:noProof/>
          <w:szCs w:val="24"/>
        </w:rPr>
        <w:t xml:space="preserve">effects of the </w:t>
      </w:r>
      <w:r w:rsidR="00D41413" w:rsidRPr="006E2ABF">
        <w:rPr>
          <w:rFonts w:eastAsiaTheme="minorEastAsia"/>
          <w:noProof/>
          <w:szCs w:val="24"/>
        </w:rPr>
        <w:t xml:space="preserve">base rate </w:t>
      </w:r>
      <w:r w:rsidR="00D41413">
        <w:rPr>
          <w:rFonts w:eastAsiaTheme="minorEastAsia"/>
          <w:noProof/>
          <w:szCs w:val="24"/>
        </w:rPr>
        <w:t>change</w:t>
      </w:r>
      <w:r w:rsidR="00D41413" w:rsidRPr="006E2ABF">
        <w:rPr>
          <w:rFonts w:eastAsiaTheme="minorEastAsia"/>
          <w:noProof/>
          <w:szCs w:val="24"/>
        </w:rPr>
        <w:t xml:space="preserve"> from LIBOR to SOFR after the discontinuation of the LIBOR</w:t>
      </w:r>
      <w:r w:rsidR="00D41413">
        <w:rPr>
          <w:rFonts w:eastAsiaTheme="minorEastAsia"/>
          <w:noProof/>
          <w:szCs w:val="24"/>
        </w:rPr>
        <w:t>.</w:t>
      </w:r>
      <w:r w:rsidR="00AE06A4">
        <w:rPr>
          <w:rFonts w:eastAsiaTheme="minorEastAsia"/>
          <w:noProof/>
          <w:szCs w:val="24"/>
        </w:rPr>
        <w:t xml:space="preserve"> </w:t>
      </w:r>
    </w:p>
    <w:p w:rsidR="005C3603" w:rsidRPr="006E2ABF" w:rsidRDefault="002F2273" w:rsidP="00F32148">
      <w:pPr>
        <w:pStyle w:val="ManualConsidrant"/>
        <w:rPr>
          <w:noProof/>
        </w:rPr>
      </w:pPr>
      <w:r>
        <w:rPr>
          <w:noProof/>
        </w:rPr>
        <w:t>(3)</w:t>
      </w:r>
      <w:r>
        <w:rPr>
          <w:noProof/>
        </w:rPr>
        <w:tab/>
      </w:r>
      <w:r w:rsidRPr="006E2ABF">
        <w:rPr>
          <w:noProof/>
        </w:rPr>
        <w:t xml:space="preserve">It is appropriate to establish the position to be taken on the Union's behalf in the written procedure of the </w:t>
      </w:r>
      <w:r w:rsidR="00AE06A4">
        <w:rPr>
          <w:noProof/>
        </w:rPr>
        <w:t xml:space="preserve">ASU </w:t>
      </w:r>
      <w:r w:rsidRPr="006E2ABF">
        <w:rPr>
          <w:noProof/>
        </w:rPr>
        <w:t xml:space="preserve">Participants as the envisaged decision will be </w:t>
      </w:r>
      <w:r w:rsidR="00AE06A4" w:rsidRPr="00AE06A4">
        <w:rPr>
          <w:noProof/>
        </w:rPr>
        <w:t xml:space="preserve"> binding on the Union </w:t>
      </w:r>
      <w:r w:rsidR="00AE06A4">
        <w:rPr>
          <w:noProof/>
        </w:rPr>
        <w:t xml:space="preserve">and </w:t>
      </w:r>
      <w:r w:rsidRPr="006E2ABF">
        <w:rPr>
          <w:noProof/>
        </w:rPr>
        <w:t>capable of decisively influencing the content of Union law, by virtue of Article 2 of Regulation (EU) No 1233/2011</w:t>
      </w:r>
      <w:r w:rsidR="00F32148">
        <w:rPr>
          <w:noProof/>
        </w:rPr>
        <w:t>,</w:t>
      </w:r>
    </w:p>
    <w:p w:rsidR="005C3603" w:rsidRPr="00677BBE" w:rsidRDefault="002F2273">
      <w:pPr>
        <w:pStyle w:val="Formuledadoption"/>
        <w:rPr>
          <w:noProof/>
        </w:rPr>
      </w:pPr>
      <w:r w:rsidRPr="00677BBE">
        <w:rPr>
          <w:noProof/>
        </w:rPr>
        <w:t>HAS ADOPTED THIS DECISION:</w:t>
      </w:r>
    </w:p>
    <w:p w:rsidR="005C3603" w:rsidRPr="00677BBE" w:rsidRDefault="002F2273">
      <w:pPr>
        <w:pStyle w:val="Titrearticle"/>
        <w:rPr>
          <w:noProof/>
        </w:rPr>
      </w:pPr>
      <w:r w:rsidRPr="00677BBE">
        <w:rPr>
          <w:noProof/>
        </w:rPr>
        <w:t>Article 1</w:t>
      </w:r>
    </w:p>
    <w:p w:rsidR="00574D05" w:rsidRPr="00677BBE" w:rsidRDefault="1C2B1290" w:rsidP="00CC662E">
      <w:pPr>
        <w:rPr>
          <w:noProof/>
        </w:rPr>
      </w:pPr>
      <w:r w:rsidRPr="00677BBE">
        <w:rPr>
          <w:noProof/>
        </w:rPr>
        <w:t>The position to be adopted on the Union’s behalf in the context of the Arrangement on Officially Supported Export Credits regarding the</w:t>
      </w:r>
      <w:r w:rsidR="00677BBE" w:rsidRPr="006E2ABF">
        <w:rPr>
          <w:bCs/>
          <w:noProof/>
        </w:rPr>
        <w:t xml:space="preserve"> calculation of the Market Reflective Surcharge</w:t>
      </w:r>
      <w:r w:rsidR="00AC2137">
        <w:rPr>
          <w:bCs/>
          <w:noProof/>
        </w:rPr>
        <w:t xml:space="preserve"> for the </w:t>
      </w:r>
      <w:r w:rsidR="00AE06A4" w:rsidRPr="00AE06A4">
        <w:rPr>
          <w:bCs/>
          <w:noProof/>
        </w:rPr>
        <w:t>Aircraft Sector Understanding</w:t>
      </w:r>
      <w:r w:rsidRPr="00677BBE">
        <w:rPr>
          <w:noProof/>
        </w:rPr>
        <w:t xml:space="preserve">, </w:t>
      </w:r>
      <w:r w:rsidR="00AE06A4" w:rsidRPr="00AE06A4">
        <w:rPr>
          <w:noProof/>
        </w:rPr>
        <w:t xml:space="preserve">shall be to support the amendment to the Aircraft Sector Understanding </w:t>
      </w:r>
      <w:r w:rsidRPr="00677BBE">
        <w:rPr>
          <w:noProof/>
        </w:rPr>
        <w:t>in line with the annex to this Decision.</w:t>
      </w:r>
    </w:p>
    <w:p w:rsidR="005C3603" w:rsidRPr="00677BBE" w:rsidRDefault="002F2273" w:rsidP="00B44E47">
      <w:pPr>
        <w:pStyle w:val="Titrearticle"/>
        <w:rPr>
          <w:noProof/>
        </w:rPr>
      </w:pPr>
      <w:r w:rsidRPr="00677BBE">
        <w:rPr>
          <w:noProof/>
        </w:rPr>
        <w:lastRenderedPageBreak/>
        <w:t>Article 2</w:t>
      </w:r>
    </w:p>
    <w:p w:rsidR="005C3603" w:rsidRPr="00677BBE" w:rsidRDefault="002F2273" w:rsidP="00B44E47">
      <w:pPr>
        <w:keepNext/>
        <w:keepLines/>
        <w:rPr>
          <w:noProof/>
        </w:rPr>
      </w:pPr>
      <w:r w:rsidRPr="00677BBE">
        <w:rPr>
          <w:noProof/>
        </w:rPr>
        <w:t xml:space="preserve">This Decision </w:t>
      </w:r>
      <w:r w:rsidR="004D1DA7">
        <w:rPr>
          <w:noProof/>
        </w:rPr>
        <w:t xml:space="preserve">shall enter into force </w:t>
      </w:r>
      <w:r w:rsidR="00E05CF3">
        <w:rPr>
          <w:noProof/>
        </w:rPr>
        <w:t xml:space="preserve">on the </w:t>
      </w:r>
      <w:r w:rsidR="004D1DA7">
        <w:rPr>
          <w:noProof/>
        </w:rPr>
        <w:t xml:space="preserve">the </w:t>
      </w:r>
      <w:r w:rsidR="00E05CF3">
        <w:rPr>
          <w:noProof/>
        </w:rPr>
        <w:t xml:space="preserve">day </w:t>
      </w:r>
      <w:r w:rsidR="004D1DA7">
        <w:rPr>
          <w:noProof/>
        </w:rPr>
        <w:t>of its adoption</w:t>
      </w:r>
      <w:r w:rsidRPr="00677BBE">
        <w:rPr>
          <w:noProof/>
        </w:rPr>
        <w:t>.</w:t>
      </w:r>
    </w:p>
    <w:p w:rsidR="005C3603" w:rsidRPr="00677BBE" w:rsidRDefault="004376DE" w:rsidP="00B44E47">
      <w:pPr>
        <w:pStyle w:val="Fait"/>
        <w:rPr>
          <w:noProof/>
        </w:rPr>
      </w:pPr>
      <w:r>
        <w:rPr>
          <w:noProof/>
        </w:rPr>
        <w:t>Done at Brussels,</w:t>
      </w:r>
    </w:p>
    <w:p w:rsidR="005C3603" w:rsidRPr="00677BBE" w:rsidRDefault="002F2273" w:rsidP="00B44E47">
      <w:pPr>
        <w:pStyle w:val="Institutionquisigne"/>
        <w:rPr>
          <w:noProof/>
        </w:rPr>
      </w:pPr>
      <w:r w:rsidRPr="00677BBE">
        <w:rPr>
          <w:noProof/>
        </w:rPr>
        <w:tab/>
        <w:t>For the Council</w:t>
      </w:r>
    </w:p>
    <w:p w:rsidR="00574D05" w:rsidRPr="00677BBE" w:rsidRDefault="002F2273">
      <w:pPr>
        <w:pStyle w:val="Personnequisigne"/>
        <w:rPr>
          <w:noProof/>
        </w:rPr>
      </w:pPr>
      <w:r w:rsidRPr="00677BBE">
        <w:rPr>
          <w:noProof/>
        </w:rPr>
        <w:tab/>
        <w:t>The President</w:t>
      </w:r>
    </w:p>
    <w:sectPr w:rsidR="00574D05" w:rsidRPr="00677BBE" w:rsidSect="00EA7CA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2C0" w:rsidRDefault="00D932C0">
      <w:pPr>
        <w:spacing w:before="0" w:after="0"/>
      </w:pPr>
      <w:r>
        <w:separator/>
      </w:r>
    </w:p>
  </w:endnote>
  <w:endnote w:type="continuationSeparator" w:id="0">
    <w:p w:rsidR="00D932C0" w:rsidRDefault="00D932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Pr="00EA7CA4" w:rsidRDefault="00EA7CA4" w:rsidP="00EA7CA4">
    <w:pPr>
      <w:pStyle w:val="Footer"/>
      <w:rPr>
        <w:rFonts w:ascii="Arial" w:hAnsi="Arial" w:cs="Arial"/>
        <w:b/>
        <w:sz w:val="48"/>
      </w:rPr>
    </w:pPr>
    <w:r w:rsidRPr="00EA7CA4">
      <w:rPr>
        <w:rFonts w:ascii="Arial" w:hAnsi="Arial" w:cs="Arial"/>
        <w:b/>
        <w:sz w:val="48"/>
      </w:rPr>
      <w:t>EN</w:t>
    </w:r>
    <w:r w:rsidRPr="00EA7CA4">
      <w:rPr>
        <w:rFonts w:ascii="Arial" w:hAnsi="Arial" w:cs="Arial"/>
        <w:b/>
        <w:sz w:val="48"/>
      </w:rPr>
      <w:tab/>
    </w:r>
    <w:r w:rsidRPr="00EA7CA4">
      <w:rPr>
        <w:rFonts w:ascii="Arial" w:hAnsi="Arial" w:cs="Arial"/>
        <w:b/>
        <w:sz w:val="48"/>
      </w:rPr>
      <w:tab/>
    </w:r>
    <w:r w:rsidRPr="00EA7CA4">
      <w:tab/>
    </w:r>
    <w:r w:rsidRPr="00EA7CA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Pr="00EA7CA4" w:rsidRDefault="00EA7CA4" w:rsidP="00EA7CA4">
    <w:pPr>
      <w:pStyle w:val="Footer"/>
      <w:rPr>
        <w:rFonts w:ascii="Arial" w:hAnsi="Arial" w:cs="Arial"/>
        <w:b/>
        <w:sz w:val="48"/>
      </w:rPr>
    </w:pPr>
    <w:r w:rsidRPr="00EA7CA4">
      <w:rPr>
        <w:rFonts w:ascii="Arial" w:hAnsi="Arial" w:cs="Arial"/>
        <w:b/>
        <w:sz w:val="48"/>
      </w:rPr>
      <w:t>EN</w:t>
    </w:r>
    <w:r w:rsidRPr="00EA7CA4">
      <w:rPr>
        <w:rFonts w:ascii="Arial" w:hAnsi="Arial" w:cs="Arial"/>
        <w:b/>
        <w:sz w:val="48"/>
      </w:rPr>
      <w:tab/>
    </w:r>
    <w:r w:rsidRPr="00EA7CA4">
      <w:rPr>
        <w:rFonts w:ascii="Arial" w:hAnsi="Arial" w:cs="Arial"/>
        <w:b/>
        <w:sz w:val="48"/>
      </w:rPr>
      <w:tab/>
    </w:r>
    <w:r w:rsidRPr="00EA7CA4">
      <w:tab/>
    </w:r>
    <w:r w:rsidRPr="00EA7C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Default="00EA7C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Pr="00EA7CA4" w:rsidRDefault="00EA7CA4" w:rsidP="00EA7CA4">
    <w:pPr>
      <w:pStyle w:val="Footer"/>
      <w:rPr>
        <w:rFonts w:ascii="Arial" w:hAnsi="Arial" w:cs="Arial"/>
        <w:b/>
        <w:sz w:val="48"/>
      </w:rPr>
    </w:pPr>
    <w:r w:rsidRPr="00EA7CA4">
      <w:rPr>
        <w:rFonts w:ascii="Arial" w:hAnsi="Arial" w:cs="Arial"/>
        <w:b/>
        <w:sz w:val="48"/>
      </w:rPr>
      <w:t>EN</w:t>
    </w:r>
    <w:r w:rsidRPr="00EA7CA4">
      <w:rPr>
        <w:rFonts w:ascii="Arial" w:hAnsi="Arial" w:cs="Arial"/>
        <w:b/>
        <w:sz w:val="48"/>
      </w:rPr>
      <w:tab/>
    </w:r>
    <w:r>
      <w:fldChar w:fldCharType="begin"/>
    </w:r>
    <w:r>
      <w:instrText xml:space="preserve"> PAGE  \* MERGEFORMAT </w:instrText>
    </w:r>
    <w:r>
      <w:fldChar w:fldCharType="separate"/>
    </w:r>
    <w:r w:rsidR="00B44E47">
      <w:rPr>
        <w:noProof/>
      </w:rPr>
      <w:t>6</w:t>
    </w:r>
    <w:r>
      <w:fldChar w:fldCharType="end"/>
    </w:r>
    <w:r>
      <w:tab/>
    </w:r>
    <w:r w:rsidRPr="00EA7CA4">
      <w:tab/>
    </w:r>
    <w:r w:rsidRPr="00EA7CA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Default="00EA7CA4" w:rsidP="00EA7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2C0" w:rsidRDefault="00D932C0">
      <w:pPr>
        <w:spacing w:before="0" w:after="0"/>
      </w:pPr>
      <w:r>
        <w:separator/>
      </w:r>
    </w:p>
  </w:footnote>
  <w:footnote w:type="continuationSeparator" w:id="0">
    <w:p w:rsidR="00D932C0" w:rsidRDefault="00D932C0">
      <w:pPr>
        <w:spacing w:before="0" w:after="0"/>
      </w:pPr>
      <w:r>
        <w:continuationSeparator/>
      </w:r>
    </w:p>
  </w:footnote>
  <w:footnote w:id="1">
    <w:p w:rsidR="6D89A322" w:rsidRDefault="6D89A322" w:rsidP="6D89A322">
      <w:pPr>
        <w:pStyle w:val="FootnoteText"/>
      </w:pPr>
      <w:r w:rsidRPr="00B878F3">
        <w:rPr>
          <w:rStyle w:val="FootnoteReference"/>
        </w:rPr>
        <w:footnoteRef/>
      </w:r>
      <w:r w:rsidR="00B878F3">
        <w:tab/>
      </w:r>
      <w:r>
        <w:t xml:space="preserve">As defined in Article 5 of the OECD Convention. </w:t>
      </w:r>
    </w:p>
  </w:footnote>
  <w:footnote w:id="2">
    <w:p w:rsidR="6D89A322" w:rsidRDefault="6D89A322" w:rsidP="6D89A322">
      <w:pPr>
        <w:pStyle w:val="FootnoteText"/>
      </w:pPr>
      <w:r w:rsidRPr="00B878F3">
        <w:rPr>
          <w:rStyle w:val="FootnoteReference"/>
        </w:rPr>
        <w:footnoteRef/>
      </w:r>
      <w:r w:rsidR="00B878F3">
        <w:tab/>
      </w:r>
      <w:r>
        <w:t>Regulation (EU) No 1233/2011 of the European Parliament and of the Council of 16 November 2011 on the application of certain guidelines in the field of officially supported export credits and repealing Council Decisions 2001/76/EC and 2001/77/EC (OJ L 326, 8.12.2011, p. 45).</w:t>
      </w:r>
    </w:p>
  </w:footnote>
  <w:footnote w:id="3">
    <w:p w:rsidR="003B67AF" w:rsidRPr="00FC59B8" w:rsidRDefault="003B67AF" w:rsidP="003B67AF">
      <w:pPr>
        <w:pStyle w:val="FootnoteText"/>
        <w:rPr>
          <w:lang w:val="en-IE"/>
        </w:rPr>
      </w:pPr>
      <w:r w:rsidRPr="00B878F3">
        <w:rPr>
          <w:rStyle w:val="FootnoteReference"/>
        </w:rPr>
        <w:footnoteRef/>
      </w:r>
      <w:r w:rsidR="00B878F3">
        <w:tab/>
      </w:r>
      <w:r w:rsidRPr="004E1771">
        <w:t>The participation is largely the same as in the Arrangement, with a difference that Brazil is an ASU Participant but not an Arrangement Participant, while Türkiye does not participate in the ASU though it is an Arrangement Participant.</w:t>
      </w:r>
    </w:p>
  </w:footnote>
  <w:footnote w:id="4">
    <w:p w:rsidR="005C3603" w:rsidRDefault="002F2273">
      <w:pPr>
        <w:pStyle w:val="FootnoteText"/>
      </w:pPr>
      <w:r>
        <w:rPr>
          <w:rStyle w:val="FootnoteReference"/>
        </w:rPr>
        <w:footnoteRef/>
      </w:r>
      <w:r>
        <w:tab/>
      </w:r>
      <w:r w:rsidR="29BE6E28">
        <w:t xml:space="preserve">Judgment of the Court of Justice of 7 October 2014, Germany v Council, C-399/12, ECLI:EU:C:2014:2258, paragraphs 61 to 64. </w:t>
      </w:r>
    </w:p>
  </w:footnote>
  <w:footnote w:id="5">
    <w:p w:rsidR="005C3603" w:rsidRDefault="002F2273">
      <w:pPr>
        <w:pStyle w:val="FootnoteText"/>
      </w:pPr>
      <w:r>
        <w:rPr>
          <w:rStyle w:val="FootnoteReference"/>
        </w:rPr>
        <w:footnoteRef/>
      </w:r>
      <w:r>
        <w:tab/>
        <w:t>Regulation (EU) No 1233/2011 of the European Parliament and of the Council of 16 November 2011 on the application of certain guidelines in the field of officially supported export credits and repealing Council Decisions 2001/76/EC and 2001/77/EC (OJ L 326, 8.12.2011, p. 45) (‘Regulation (EU) No 1233/2011’).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Default="00EA7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CA4" w:rsidRDefault="00EA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DA92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3D89D8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034BE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52A9E6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29A69C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05A9D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C5624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02EFDE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02 19:57: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B59AEFE-CB43-4140-9896-C6DF2DD5F736"/>
    <w:docVar w:name="LW_COVERPAGE_TYPE" w:val="1"/>
    <w:docVar w:name="LW_CROSSREFERENCE" w:val="&lt;UNUSED&gt;"/>
    <w:docVar w:name="LW_DocType" w:val="COM"/>
    <w:docVar w:name="LW_EMISSION" w:val="3.2.2026"/>
    <w:docVar w:name="LW_EMISSION_ISODATE" w:val="2026-02-0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43"/>
    <w:docVar w:name="LW_REF.II.NEW.CP_YEAR" w:val="2026"/>
    <w:docVar w:name="LW_REF.INST.NEW" w:val="COM"/>
    <w:docVar w:name="LW_REF.INST.NEW_ADOPTED" w:val="final"/>
    <w:docVar w:name="LW_REF.INST.NEW_TEXT" w:val="(2026) 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Union in the written procedure by the Participants to the Sector Understanding on Export Credits for Civil Aircraft (\u8220?ASU\u8221?) regarding the calculation of the Market Reflective Surcharge  "/>
    <w:docVar w:name="LW_TYPE.DOC.CP" w:val="COUNCIL DECISION"/>
    <w:docVar w:name="LwApiVersions" w:val="LW4CoDe 1.24.5.0; LW 9.2, Build 20251112"/>
  </w:docVars>
  <w:rsids>
    <w:rsidRoot w:val="005C3603"/>
    <w:rsid w:val="000160E1"/>
    <w:rsid w:val="000251A0"/>
    <w:rsid w:val="0004066B"/>
    <w:rsid w:val="00053EF4"/>
    <w:rsid w:val="00054EF4"/>
    <w:rsid w:val="00060ED2"/>
    <w:rsid w:val="00066C27"/>
    <w:rsid w:val="00085204"/>
    <w:rsid w:val="000A2811"/>
    <w:rsid w:val="000D6691"/>
    <w:rsid w:val="000E7B22"/>
    <w:rsid w:val="00114EB3"/>
    <w:rsid w:val="00127C8C"/>
    <w:rsid w:val="001433FC"/>
    <w:rsid w:val="00152D2D"/>
    <w:rsid w:val="001557FB"/>
    <w:rsid w:val="0016440E"/>
    <w:rsid w:val="00183A23"/>
    <w:rsid w:val="00187050"/>
    <w:rsid w:val="00192167"/>
    <w:rsid w:val="0019646E"/>
    <w:rsid w:val="001B6FA3"/>
    <w:rsid w:val="001C4345"/>
    <w:rsid w:val="001D6622"/>
    <w:rsid w:val="001E63C7"/>
    <w:rsid w:val="001F724E"/>
    <w:rsid w:val="0023281F"/>
    <w:rsid w:val="00236475"/>
    <w:rsid w:val="00243EA2"/>
    <w:rsid w:val="00261512"/>
    <w:rsid w:val="00263FC5"/>
    <w:rsid w:val="00265393"/>
    <w:rsid w:val="00293644"/>
    <w:rsid w:val="002D11F2"/>
    <w:rsid w:val="002F2273"/>
    <w:rsid w:val="00322093"/>
    <w:rsid w:val="00327795"/>
    <w:rsid w:val="0033764E"/>
    <w:rsid w:val="003415AC"/>
    <w:rsid w:val="00361751"/>
    <w:rsid w:val="003641A0"/>
    <w:rsid w:val="003674A0"/>
    <w:rsid w:val="003674EB"/>
    <w:rsid w:val="003A610B"/>
    <w:rsid w:val="003B3209"/>
    <w:rsid w:val="003B67AF"/>
    <w:rsid w:val="003C5B00"/>
    <w:rsid w:val="003E5F71"/>
    <w:rsid w:val="003E7E9D"/>
    <w:rsid w:val="003F2604"/>
    <w:rsid w:val="00411E5B"/>
    <w:rsid w:val="00416849"/>
    <w:rsid w:val="0042CD9E"/>
    <w:rsid w:val="004376DE"/>
    <w:rsid w:val="00464C18"/>
    <w:rsid w:val="004763C0"/>
    <w:rsid w:val="00495B6E"/>
    <w:rsid w:val="004D1DA7"/>
    <w:rsid w:val="00504DBF"/>
    <w:rsid w:val="00516467"/>
    <w:rsid w:val="0053166A"/>
    <w:rsid w:val="0054024F"/>
    <w:rsid w:val="00543989"/>
    <w:rsid w:val="00544154"/>
    <w:rsid w:val="00560653"/>
    <w:rsid w:val="005715C9"/>
    <w:rsid w:val="00574D05"/>
    <w:rsid w:val="005845C6"/>
    <w:rsid w:val="005B1497"/>
    <w:rsid w:val="005B60C2"/>
    <w:rsid w:val="005C3603"/>
    <w:rsid w:val="005E4D8D"/>
    <w:rsid w:val="00602093"/>
    <w:rsid w:val="0062708B"/>
    <w:rsid w:val="006370E1"/>
    <w:rsid w:val="00642422"/>
    <w:rsid w:val="00642D1D"/>
    <w:rsid w:val="00643B0F"/>
    <w:rsid w:val="00646AE6"/>
    <w:rsid w:val="00667721"/>
    <w:rsid w:val="00670D5F"/>
    <w:rsid w:val="00677BBE"/>
    <w:rsid w:val="00685301"/>
    <w:rsid w:val="00685D82"/>
    <w:rsid w:val="00694618"/>
    <w:rsid w:val="006A2D08"/>
    <w:rsid w:val="006E2ABF"/>
    <w:rsid w:val="006E4E73"/>
    <w:rsid w:val="00724C2A"/>
    <w:rsid w:val="00725680"/>
    <w:rsid w:val="00735362"/>
    <w:rsid w:val="0075774E"/>
    <w:rsid w:val="007726D3"/>
    <w:rsid w:val="007731E9"/>
    <w:rsid w:val="00775F4A"/>
    <w:rsid w:val="00792B2A"/>
    <w:rsid w:val="007A5396"/>
    <w:rsid w:val="007B6093"/>
    <w:rsid w:val="007E4911"/>
    <w:rsid w:val="007F2B5E"/>
    <w:rsid w:val="00806425"/>
    <w:rsid w:val="0080676F"/>
    <w:rsid w:val="00845AEB"/>
    <w:rsid w:val="008655B1"/>
    <w:rsid w:val="0087543B"/>
    <w:rsid w:val="00886A7B"/>
    <w:rsid w:val="008970D5"/>
    <w:rsid w:val="008B6BAA"/>
    <w:rsid w:val="008B7E68"/>
    <w:rsid w:val="008F2446"/>
    <w:rsid w:val="008F2995"/>
    <w:rsid w:val="008F6C2A"/>
    <w:rsid w:val="009064ED"/>
    <w:rsid w:val="0091734B"/>
    <w:rsid w:val="009206A8"/>
    <w:rsid w:val="00924776"/>
    <w:rsid w:val="009367F3"/>
    <w:rsid w:val="009378EE"/>
    <w:rsid w:val="00945BF7"/>
    <w:rsid w:val="009542B3"/>
    <w:rsid w:val="00986A2D"/>
    <w:rsid w:val="00A26F07"/>
    <w:rsid w:val="00A55D4B"/>
    <w:rsid w:val="00A7334C"/>
    <w:rsid w:val="00A74175"/>
    <w:rsid w:val="00A90397"/>
    <w:rsid w:val="00A92589"/>
    <w:rsid w:val="00AA5192"/>
    <w:rsid w:val="00AA7C5A"/>
    <w:rsid w:val="00AB058E"/>
    <w:rsid w:val="00AC2137"/>
    <w:rsid w:val="00AC2359"/>
    <w:rsid w:val="00AD195B"/>
    <w:rsid w:val="00AD2986"/>
    <w:rsid w:val="00AE06A4"/>
    <w:rsid w:val="00AE79DF"/>
    <w:rsid w:val="00B44E47"/>
    <w:rsid w:val="00B50298"/>
    <w:rsid w:val="00B57768"/>
    <w:rsid w:val="00B60388"/>
    <w:rsid w:val="00B878F3"/>
    <w:rsid w:val="00B90C36"/>
    <w:rsid w:val="00BB3850"/>
    <w:rsid w:val="00BB5908"/>
    <w:rsid w:val="00BF7091"/>
    <w:rsid w:val="00C039FC"/>
    <w:rsid w:val="00C147B7"/>
    <w:rsid w:val="00C23933"/>
    <w:rsid w:val="00C25498"/>
    <w:rsid w:val="00C423B4"/>
    <w:rsid w:val="00C430A8"/>
    <w:rsid w:val="00C51AEE"/>
    <w:rsid w:val="00C60A66"/>
    <w:rsid w:val="00C855B7"/>
    <w:rsid w:val="00C905C3"/>
    <w:rsid w:val="00CA0A99"/>
    <w:rsid w:val="00CB31B6"/>
    <w:rsid w:val="00CC04D4"/>
    <w:rsid w:val="00CC3C63"/>
    <w:rsid w:val="00CC662E"/>
    <w:rsid w:val="00CE4FAC"/>
    <w:rsid w:val="00CF63E9"/>
    <w:rsid w:val="00CF6B2B"/>
    <w:rsid w:val="00D01BE4"/>
    <w:rsid w:val="00D0544F"/>
    <w:rsid w:val="00D128AC"/>
    <w:rsid w:val="00D3073D"/>
    <w:rsid w:val="00D315E6"/>
    <w:rsid w:val="00D34CA9"/>
    <w:rsid w:val="00D41413"/>
    <w:rsid w:val="00D62798"/>
    <w:rsid w:val="00D91EE1"/>
    <w:rsid w:val="00D932C0"/>
    <w:rsid w:val="00DA30B7"/>
    <w:rsid w:val="00DD11C2"/>
    <w:rsid w:val="00DD53BB"/>
    <w:rsid w:val="00DE7822"/>
    <w:rsid w:val="00DF5B9F"/>
    <w:rsid w:val="00E05CF3"/>
    <w:rsid w:val="00E2F784"/>
    <w:rsid w:val="00E30BF2"/>
    <w:rsid w:val="00E33ED6"/>
    <w:rsid w:val="00E3529B"/>
    <w:rsid w:val="00E4065A"/>
    <w:rsid w:val="00E46BF0"/>
    <w:rsid w:val="00E731EA"/>
    <w:rsid w:val="00E74FED"/>
    <w:rsid w:val="00EA7CA4"/>
    <w:rsid w:val="00EB15A6"/>
    <w:rsid w:val="00EB3EF5"/>
    <w:rsid w:val="00EC7942"/>
    <w:rsid w:val="00EE0540"/>
    <w:rsid w:val="00EE6925"/>
    <w:rsid w:val="00EE6D6F"/>
    <w:rsid w:val="00F07E62"/>
    <w:rsid w:val="00F32148"/>
    <w:rsid w:val="00F3349E"/>
    <w:rsid w:val="00F60077"/>
    <w:rsid w:val="00F75572"/>
    <w:rsid w:val="00FA3829"/>
    <w:rsid w:val="00FB5C63"/>
    <w:rsid w:val="00FC04C7"/>
    <w:rsid w:val="00FD0612"/>
    <w:rsid w:val="00FE2704"/>
    <w:rsid w:val="0205DEA7"/>
    <w:rsid w:val="028A41F8"/>
    <w:rsid w:val="02AF6EDB"/>
    <w:rsid w:val="02D9DC46"/>
    <w:rsid w:val="02E64B66"/>
    <w:rsid w:val="03020173"/>
    <w:rsid w:val="038DCFDD"/>
    <w:rsid w:val="043915D8"/>
    <w:rsid w:val="044627A6"/>
    <w:rsid w:val="0446F87D"/>
    <w:rsid w:val="046AD5FB"/>
    <w:rsid w:val="047BE55B"/>
    <w:rsid w:val="04946E4B"/>
    <w:rsid w:val="052E025B"/>
    <w:rsid w:val="05D9CFEE"/>
    <w:rsid w:val="0771E4BE"/>
    <w:rsid w:val="08CDFE77"/>
    <w:rsid w:val="08D9FA54"/>
    <w:rsid w:val="0936328E"/>
    <w:rsid w:val="0941E849"/>
    <w:rsid w:val="099A0B8B"/>
    <w:rsid w:val="0B443E2D"/>
    <w:rsid w:val="0B815BDD"/>
    <w:rsid w:val="0C2281F4"/>
    <w:rsid w:val="0D3B5610"/>
    <w:rsid w:val="0DDFEB1A"/>
    <w:rsid w:val="0E929A8D"/>
    <w:rsid w:val="0EFCF9F3"/>
    <w:rsid w:val="0F45AB69"/>
    <w:rsid w:val="1080E579"/>
    <w:rsid w:val="10F1EF69"/>
    <w:rsid w:val="12A558FD"/>
    <w:rsid w:val="12DEAC97"/>
    <w:rsid w:val="144167CE"/>
    <w:rsid w:val="144D6825"/>
    <w:rsid w:val="15C076D9"/>
    <w:rsid w:val="15C616BA"/>
    <w:rsid w:val="171E28E1"/>
    <w:rsid w:val="17DC9417"/>
    <w:rsid w:val="189E8A98"/>
    <w:rsid w:val="18F8D750"/>
    <w:rsid w:val="199FBDBA"/>
    <w:rsid w:val="1AFE4431"/>
    <w:rsid w:val="1B52FC6B"/>
    <w:rsid w:val="1C2B1290"/>
    <w:rsid w:val="1C664770"/>
    <w:rsid w:val="1D27900D"/>
    <w:rsid w:val="1D7C1764"/>
    <w:rsid w:val="1EDE4E23"/>
    <w:rsid w:val="1F468B40"/>
    <w:rsid w:val="20A4A848"/>
    <w:rsid w:val="215AAF8A"/>
    <w:rsid w:val="217BCEE9"/>
    <w:rsid w:val="21AE2776"/>
    <w:rsid w:val="22348940"/>
    <w:rsid w:val="22B20B27"/>
    <w:rsid w:val="23A9E64E"/>
    <w:rsid w:val="2507375E"/>
    <w:rsid w:val="251EE22A"/>
    <w:rsid w:val="253FDB41"/>
    <w:rsid w:val="25412EEC"/>
    <w:rsid w:val="255C0211"/>
    <w:rsid w:val="26D7C0CD"/>
    <w:rsid w:val="27D8AAA3"/>
    <w:rsid w:val="27E0692E"/>
    <w:rsid w:val="27EB38D9"/>
    <w:rsid w:val="27EE2C70"/>
    <w:rsid w:val="27FDF8D8"/>
    <w:rsid w:val="282F5F44"/>
    <w:rsid w:val="2933EBC4"/>
    <w:rsid w:val="29B9C6D3"/>
    <w:rsid w:val="29BE6E28"/>
    <w:rsid w:val="2A909D09"/>
    <w:rsid w:val="2CF87A41"/>
    <w:rsid w:val="2F7D3480"/>
    <w:rsid w:val="2FF61407"/>
    <w:rsid w:val="31A7C96B"/>
    <w:rsid w:val="31E97B3E"/>
    <w:rsid w:val="320B759F"/>
    <w:rsid w:val="3212D6C6"/>
    <w:rsid w:val="32C299D6"/>
    <w:rsid w:val="32D1D672"/>
    <w:rsid w:val="33B5083D"/>
    <w:rsid w:val="33DC4FC2"/>
    <w:rsid w:val="34159BE1"/>
    <w:rsid w:val="356B61E9"/>
    <w:rsid w:val="3784269C"/>
    <w:rsid w:val="384C02DA"/>
    <w:rsid w:val="38835750"/>
    <w:rsid w:val="38FB64EB"/>
    <w:rsid w:val="39005C4F"/>
    <w:rsid w:val="3952ED24"/>
    <w:rsid w:val="3A00AE5E"/>
    <w:rsid w:val="3B118316"/>
    <w:rsid w:val="3B330276"/>
    <w:rsid w:val="3C7D5C93"/>
    <w:rsid w:val="3C8B68BA"/>
    <w:rsid w:val="3DFCFC18"/>
    <w:rsid w:val="3E0A3B02"/>
    <w:rsid w:val="3E8C5AE8"/>
    <w:rsid w:val="3F2D9AE1"/>
    <w:rsid w:val="3FD641B2"/>
    <w:rsid w:val="3FFE25A9"/>
    <w:rsid w:val="409D8C99"/>
    <w:rsid w:val="40DBA4DD"/>
    <w:rsid w:val="40DE818A"/>
    <w:rsid w:val="41DB9262"/>
    <w:rsid w:val="42685217"/>
    <w:rsid w:val="42E2E6D0"/>
    <w:rsid w:val="4323FBA6"/>
    <w:rsid w:val="43FB1818"/>
    <w:rsid w:val="44522D44"/>
    <w:rsid w:val="45BB7150"/>
    <w:rsid w:val="46F4C523"/>
    <w:rsid w:val="4996CB4D"/>
    <w:rsid w:val="49A59D91"/>
    <w:rsid w:val="4A20A1A7"/>
    <w:rsid w:val="4A4F3C2E"/>
    <w:rsid w:val="4A61A8E4"/>
    <w:rsid w:val="4B555A50"/>
    <w:rsid w:val="4BA403D8"/>
    <w:rsid w:val="4C6A3A5D"/>
    <w:rsid w:val="4E252EC3"/>
    <w:rsid w:val="4EF20DB2"/>
    <w:rsid w:val="4EF3D3C8"/>
    <w:rsid w:val="4F1657D0"/>
    <w:rsid w:val="4F711FCF"/>
    <w:rsid w:val="50A7AC46"/>
    <w:rsid w:val="5161A83F"/>
    <w:rsid w:val="52B56BF7"/>
    <w:rsid w:val="541016B6"/>
    <w:rsid w:val="546ADAF3"/>
    <w:rsid w:val="55C97E4A"/>
    <w:rsid w:val="58EB6028"/>
    <w:rsid w:val="591C8084"/>
    <w:rsid w:val="59F1BBEF"/>
    <w:rsid w:val="5BF4C67F"/>
    <w:rsid w:val="5CF44C4B"/>
    <w:rsid w:val="5CFDC60A"/>
    <w:rsid w:val="5DA33ABD"/>
    <w:rsid w:val="5E6E080E"/>
    <w:rsid w:val="5E82C97F"/>
    <w:rsid w:val="5F2AA6A8"/>
    <w:rsid w:val="5F855BAF"/>
    <w:rsid w:val="60921AEF"/>
    <w:rsid w:val="60D5D459"/>
    <w:rsid w:val="610AB557"/>
    <w:rsid w:val="613C2AD3"/>
    <w:rsid w:val="63BDF8F1"/>
    <w:rsid w:val="643DEC3C"/>
    <w:rsid w:val="64C9EDFD"/>
    <w:rsid w:val="654341D4"/>
    <w:rsid w:val="65FFD4AF"/>
    <w:rsid w:val="661E4E22"/>
    <w:rsid w:val="662D1C00"/>
    <w:rsid w:val="663A6649"/>
    <w:rsid w:val="6776EB24"/>
    <w:rsid w:val="67D1A920"/>
    <w:rsid w:val="686ACDBC"/>
    <w:rsid w:val="68E37847"/>
    <w:rsid w:val="690D1C5A"/>
    <w:rsid w:val="699F76B9"/>
    <w:rsid w:val="6A0EC43F"/>
    <w:rsid w:val="6A0ED3FC"/>
    <w:rsid w:val="6ABAFEBC"/>
    <w:rsid w:val="6ABE0BCE"/>
    <w:rsid w:val="6B469758"/>
    <w:rsid w:val="6D21F78C"/>
    <w:rsid w:val="6D89A322"/>
    <w:rsid w:val="6E2E792D"/>
    <w:rsid w:val="6FB2C0CA"/>
    <w:rsid w:val="71F8D134"/>
    <w:rsid w:val="726EDF9D"/>
    <w:rsid w:val="73198674"/>
    <w:rsid w:val="73EB8EEF"/>
    <w:rsid w:val="7413F2CD"/>
    <w:rsid w:val="74BC19CE"/>
    <w:rsid w:val="7548DF6C"/>
    <w:rsid w:val="7650E40F"/>
    <w:rsid w:val="7777594A"/>
    <w:rsid w:val="78B83316"/>
    <w:rsid w:val="78CC84EE"/>
    <w:rsid w:val="797109EE"/>
    <w:rsid w:val="79805571"/>
    <w:rsid w:val="799D2705"/>
    <w:rsid w:val="7C6AE528"/>
    <w:rsid w:val="7C95BD25"/>
    <w:rsid w:val="7CF07B8D"/>
    <w:rsid w:val="7DB8A6C9"/>
    <w:rsid w:val="7E446E32"/>
    <w:rsid w:val="7F3C3A09"/>
    <w:rsid w:val="7FFC4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92D7D0-928D-437D-AD73-94F1C7EB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pPr>
      <w:numPr>
        <w:numId w:val="1"/>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B878F3"/>
    <w:rPr>
      <w:color w:val="605E5C"/>
      <w:shd w:val="clear" w:color="auto" w:fill="E1DFDD"/>
    </w:rPr>
  </w:style>
  <w:style w:type="character" w:customStyle="1" w:styleId="HeaderChar">
    <w:name w:val="Header Char"/>
    <w:basedOn w:val="DefaultParagraphFont"/>
    <w:link w:val="Header"/>
    <w:uiPriority w:val="99"/>
    <w:rsid w:val="00EA7CA4"/>
    <w:rPr>
      <w:rFonts w:ascii="Times New Roman" w:hAnsi="Times New Roman" w:cs="Times New Roman"/>
      <w:sz w:val="24"/>
      <w:lang w:val="en-GB"/>
    </w:rPr>
  </w:style>
  <w:style w:type="character" w:customStyle="1" w:styleId="FooterChar">
    <w:name w:val="Footer Char"/>
    <w:basedOn w:val="DefaultParagraphFont"/>
    <w:link w:val="Footer"/>
    <w:uiPriority w:val="99"/>
    <w:rsid w:val="00EA7CA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A7CA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A7CA4"/>
    <w:pPr>
      <w:spacing w:before="0"/>
      <w:jc w:val="right"/>
    </w:pPr>
    <w:rPr>
      <w:sz w:val="28"/>
    </w:rPr>
  </w:style>
  <w:style w:type="paragraph" w:customStyle="1" w:styleId="FooterSensitivity">
    <w:name w:val="Footer Sensitivity"/>
    <w:basedOn w:val="Normal"/>
    <w:rsid w:val="00EA7CA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A7CA4"/>
    <w:pPr>
      <w:tabs>
        <w:tab w:val="center" w:pos="4535"/>
        <w:tab w:val="right" w:pos="9071"/>
      </w:tabs>
      <w:spacing w:before="0"/>
    </w:pPr>
  </w:style>
  <w:style w:type="paragraph" w:customStyle="1" w:styleId="HeaderLandscape">
    <w:name w:val="HeaderLandscape"/>
    <w:basedOn w:val="Normal"/>
    <w:rsid w:val="00EA7CA4"/>
    <w:pPr>
      <w:tabs>
        <w:tab w:val="center" w:pos="7285"/>
        <w:tab w:val="right" w:pos="14003"/>
      </w:tabs>
      <w:spacing w:before="0"/>
    </w:pPr>
  </w:style>
  <w:style w:type="paragraph" w:styleId="Footer">
    <w:name w:val="footer"/>
    <w:basedOn w:val="Normal"/>
    <w:link w:val="FooterChar"/>
    <w:uiPriority w:val="99"/>
    <w:unhideWhenUsed/>
    <w:rsid w:val="00EA7CA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A7CA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0d4a45ceb65fa1e8958e924e519f32">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9555c819a23e6db1989b9ee9c68893d6"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5A7329A-CE3F-4158-B2FA-81452AF81966}">
  <ds:schemaRefs>
    <ds:schemaRef ds:uri="http://schemas.microsoft.com/sharepoint/v3/contenttype/forms"/>
  </ds:schemaRefs>
</ds:datastoreItem>
</file>

<file path=customXml/itemProps2.xml><?xml version="1.0" encoding="utf-8"?>
<ds:datastoreItem xmlns:ds="http://schemas.openxmlformats.org/officeDocument/2006/customXml" ds:itemID="{7A7B0299-E106-4C54-A077-FF816CFF7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F3BE34-3F32-45EF-9205-8801550CC2AE}">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4.xml><?xml version="1.0" encoding="utf-8"?>
<ds:datastoreItem xmlns:ds="http://schemas.openxmlformats.org/officeDocument/2006/customXml" ds:itemID="{CE987103-5B68-457E-9198-FEAACB1F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7</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2026-01-27T15:52:00Z</dcterms:created>
  <dcterms:modified xsi:type="dcterms:W3CDTF">2026-02-02T18:57:00Z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2025-04-02T16:12:45Z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e79548cc-c521-4afa-840a-87af69bbe5bf</vt:lpwstr>
  </property>
  <property fmtid="{D5CDD505-2E9C-101B-9397-08002B2CF9AE}" pid="16" name="MSIP_Label_6bd9ddd1-4d20-43f6-abfa-fc3c07406f94_ContentBits">
    <vt:lpwstr>0</vt:lpwstr>
  </property>
  <property fmtid="{D5CDD505-2E9C-101B-9397-08002B2CF9AE}" pid="17" name="ContentTypeId">
    <vt:lpwstr>0x010100159C0AD6FB6ACE4A830182AC83E20278</vt:lpwstr>
  </property>
  <property fmtid="{D5CDD505-2E9C-101B-9397-08002B2CF9AE}" pid="18" name="MediaServiceImageTags">
    <vt:lpwstr/>
  </property>
  <property fmtid="{D5CDD505-2E9C-101B-9397-08002B2CF9AE}" pid="19" name="DQCStatus">
    <vt:lpwstr>Green (DQC version 03)</vt:lpwstr>
  </property>
</Properties>
</file>