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979A2" w14:textId="261433E3" w:rsidR="00D10A27" w:rsidRDefault="00F11787" w:rsidP="00F11787">
      <w:pPr>
        <w:pStyle w:val="Pagedecouverture"/>
        <w:rPr>
          <w:noProof/>
        </w:rPr>
      </w:pPr>
      <w:r>
        <w:rPr>
          <w:noProof/>
        </w:rPr>
        <w:pict w14:anchorId="4529E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FECE1A-F0AD-4FA9-9902-0124F5138BBA" style="width:455.25pt;height:368.25pt">
            <v:imagedata r:id="rId7" o:title=""/>
          </v:shape>
        </w:pict>
      </w:r>
    </w:p>
    <w:p w14:paraId="090C3816" w14:textId="77777777" w:rsidR="00D10A27" w:rsidRDefault="00D10A27" w:rsidP="00D10A27">
      <w:pPr>
        <w:rPr>
          <w:noProof/>
        </w:rPr>
        <w:sectPr w:rsidR="00D10A27" w:rsidSect="00F11787">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4D05D9D" w14:textId="77777777" w:rsidR="00D10A27" w:rsidRDefault="00D10A27" w:rsidP="00D10A27">
      <w:pPr>
        <w:pStyle w:val="Annexetitre"/>
        <w:rPr>
          <w:noProof/>
        </w:rPr>
      </w:pPr>
      <w:bookmarkStart w:id="0" w:name="_GoBack"/>
      <w:bookmarkEnd w:id="0"/>
      <w:r w:rsidRPr="00D10A27">
        <w:rPr>
          <w:noProof/>
        </w:rPr>
        <w:lastRenderedPageBreak/>
        <w:t xml:space="preserve">ANNEX </w:t>
      </w:r>
    </w:p>
    <w:p w14:paraId="7656DBFE" w14:textId="77777777" w:rsidR="00D10A27" w:rsidRPr="00E63E2C" w:rsidRDefault="00D10A27" w:rsidP="00D10A27">
      <w:pPr>
        <w:rPr>
          <w:noProof/>
        </w:rPr>
      </w:pPr>
      <w:r w:rsidRPr="00E63E2C">
        <w:rPr>
          <w:noProof/>
        </w:rPr>
        <w:t xml:space="preserve">The position to be taken on behalf of the Union in the written procedure by the Participants to the Sector Understanding on </w:t>
      </w:r>
      <w:r>
        <w:rPr>
          <w:noProof/>
        </w:rPr>
        <w:t xml:space="preserve">Export Credits for </w:t>
      </w:r>
      <w:r w:rsidRPr="00E63E2C">
        <w:rPr>
          <w:noProof/>
        </w:rPr>
        <w:t xml:space="preserve">Civil Aircraft (“ASU”) is to accept the changes to </w:t>
      </w:r>
      <w:r>
        <w:rPr>
          <w:noProof/>
        </w:rPr>
        <w:t>A</w:t>
      </w:r>
      <w:r w:rsidRPr="00E63E2C">
        <w:rPr>
          <w:noProof/>
        </w:rPr>
        <w:t xml:space="preserve">rticle 28 of Appendix II (Minimum Premium Rates) </w:t>
      </w:r>
      <w:r>
        <w:rPr>
          <w:noProof/>
        </w:rPr>
        <w:t>as</w:t>
      </w:r>
      <w:r w:rsidRPr="00E63E2C">
        <w:rPr>
          <w:noProof/>
        </w:rPr>
        <w:t xml:space="preserve"> set out in this Annex. Additions are in </w:t>
      </w:r>
      <w:r w:rsidRPr="00E63E2C">
        <w:rPr>
          <w:b/>
          <w:bCs/>
          <w:noProof/>
          <w:u w:val="single"/>
        </w:rPr>
        <w:t>bold underline:</w:t>
      </w:r>
    </w:p>
    <w:p w14:paraId="7F4EC41A" w14:textId="6949E58B" w:rsidR="00D10A27" w:rsidRPr="00BD0421" w:rsidRDefault="00BD0421" w:rsidP="00D10A27">
      <w:pPr>
        <w:rPr>
          <w:b/>
          <w:bCs/>
          <w:noProof/>
          <w:lang w:val="en-US"/>
        </w:rPr>
      </w:pPr>
      <w:r w:rsidRPr="00BD0421">
        <w:rPr>
          <w:b/>
          <w:bCs/>
          <w:noProof/>
        </w:rPr>
        <w:t>‘</w:t>
      </w:r>
      <w:r w:rsidR="00D10A27" w:rsidRPr="00BD0421">
        <w:rPr>
          <w:b/>
          <w:bCs/>
          <w:noProof/>
          <w:lang w:val="en-US"/>
        </w:rPr>
        <w:t> </w:t>
      </w:r>
    </w:p>
    <w:p w14:paraId="0BC615C1" w14:textId="77777777" w:rsidR="00D10A27" w:rsidRPr="002C15A5" w:rsidRDefault="00D10A27" w:rsidP="00D10A27">
      <w:pPr>
        <w:rPr>
          <w:b/>
          <w:bCs/>
          <w:noProof/>
          <w:lang w:val="en-US"/>
        </w:rPr>
      </w:pPr>
      <w:r w:rsidRPr="002C15A5">
        <w:rPr>
          <w:b/>
          <w:bCs/>
          <w:noProof/>
          <w:lang w:val="en-US"/>
        </w:rPr>
        <w:t>APPENDIX II</w:t>
      </w:r>
      <w:r>
        <w:rPr>
          <w:b/>
          <w:bCs/>
          <w:noProof/>
          <w:lang w:val="en-US"/>
        </w:rPr>
        <w:t xml:space="preserve">- </w:t>
      </w:r>
      <w:r w:rsidRPr="002C15A5">
        <w:rPr>
          <w:b/>
          <w:bCs/>
          <w:noProof/>
          <w:lang w:val="en-US"/>
        </w:rPr>
        <w:t>MINIMUM PREMIUM RATES</w:t>
      </w:r>
    </w:p>
    <w:p w14:paraId="493D4DC7" w14:textId="77777777" w:rsidR="00D10A27" w:rsidRPr="002C15A5" w:rsidRDefault="00D10A27" w:rsidP="00D10A27">
      <w:pPr>
        <w:rPr>
          <w:i/>
          <w:iCs/>
          <w:noProof/>
          <w:lang w:val="en-US"/>
        </w:rPr>
      </w:pPr>
      <w:r w:rsidRPr="002C15A5">
        <w:rPr>
          <w:i/>
          <w:iCs/>
          <w:noProof/>
          <w:vertAlign w:val="superscript"/>
          <w:lang w:val="en-US"/>
        </w:rPr>
        <w:t xml:space="preserve"> </w:t>
      </w:r>
      <w:r w:rsidRPr="002C15A5">
        <w:rPr>
          <w:i/>
          <w:iCs/>
          <w:noProof/>
          <w:lang w:val="en-US"/>
        </w:rPr>
        <w:t>28.  For each risk category, a Market Reflective Surcharge shall be calculated as follows:</w:t>
      </w:r>
    </w:p>
    <w:p w14:paraId="4FDD9BC4" w14:textId="77777777" w:rsidR="00D10A27" w:rsidRPr="002C15A5" w:rsidRDefault="00D10A27" w:rsidP="00D10A27">
      <w:pPr>
        <w:rPr>
          <w:i/>
          <w:iCs/>
          <w:noProof/>
          <w:lang w:val="en-US"/>
        </w:rPr>
      </w:pPr>
      <w:r w:rsidRPr="002C15A5">
        <w:rPr>
          <w:i/>
          <w:iCs/>
          <w:noProof/>
          <w:lang w:val="en-US"/>
        </w:rPr>
        <w:t xml:space="preserve">                                                   MRS = B*</w:t>
      </w:r>
      <w:r w:rsidRPr="002C15A5">
        <w:rPr>
          <w:b/>
          <w:bCs/>
          <w:i/>
          <w:iCs/>
          <w:noProof/>
          <w:u w:val="single"/>
          <w:lang w:val="en-US"/>
        </w:rPr>
        <w:t>{[</w:t>
      </w:r>
      <w:r w:rsidRPr="002C15A5">
        <w:rPr>
          <w:i/>
          <w:iCs/>
          <w:noProof/>
          <w:lang w:val="en-US"/>
        </w:rPr>
        <w:t>0.5*</w:t>
      </w:r>
      <w:r w:rsidRPr="002C15A5">
        <w:rPr>
          <w:b/>
          <w:bCs/>
          <w:i/>
          <w:iCs/>
          <w:noProof/>
          <w:u w:val="single"/>
          <w:lang w:val="en-US"/>
        </w:rPr>
        <w:t>(</w:t>
      </w:r>
      <w:r w:rsidRPr="002C15A5">
        <w:rPr>
          <w:i/>
          <w:iCs/>
          <w:noProof/>
          <w:lang w:val="en-US"/>
        </w:rPr>
        <w:t>MCS</w:t>
      </w:r>
      <w:r w:rsidRPr="002C15A5">
        <w:rPr>
          <w:b/>
          <w:bCs/>
          <w:i/>
          <w:iCs/>
          <w:noProof/>
          <w:u w:val="single"/>
          <w:lang w:val="en-US"/>
        </w:rPr>
        <w:t>-CAS</w:t>
      </w:r>
      <w:r w:rsidRPr="002C15A5">
        <w:rPr>
          <w:i/>
          <w:iCs/>
          <w:noProof/>
          <w:lang w:val="en-US"/>
        </w:rPr>
        <w:t>)</w:t>
      </w:r>
      <w:r w:rsidRPr="002C15A5">
        <w:rPr>
          <w:b/>
          <w:bCs/>
          <w:i/>
          <w:iCs/>
          <w:noProof/>
          <w:u w:val="single"/>
          <w:lang w:val="en-US"/>
        </w:rPr>
        <w:t>]</w:t>
      </w:r>
      <w:r w:rsidRPr="002C15A5">
        <w:rPr>
          <w:i/>
          <w:iCs/>
          <w:noProof/>
          <w:lang w:val="en-US"/>
        </w:rPr>
        <w:t>-RBR]</w:t>
      </w:r>
      <w:r w:rsidRPr="002C15A5">
        <w:rPr>
          <w:b/>
          <w:bCs/>
          <w:i/>
          <w:iCs/>
          <w:noProof/>
          <w:u w:val="single"/>
          <w:lang w:val="en-US"/>
        </w:rPr>
        <w:t>}</w:t>
      </w:r>
    </w:p>
    <w:p w14:paraId="03AD8B31" w14:textId="77777777" w:rsidR="00D10A27" w:rsidRPr="002C15A5" w:rsidRDefault="00D10A27" w:rsidP="00D10A27">
      <w:pPr>
        <w:rPr>
          <w:i/>
          <w:iCs/>
          <w:noProof/>
          <w:lang w:val="en-US"/>
        </w:rPr>
      </w:pPr>
      <w:r w:rsidRPr="002C15A5">
        <w:rPr>
          <w:i/>
          <w:iCs/>
          <w:noProof/>
          <w:lang w:val="en-US"/>
        </w:rPr>
        <w:t xml:space="preserve">where: </w:t>
      </w:r>
    </w:p>
    <w:p w14:paraId="33C19A3D" w14:textId="77777777" w:rsidR="00D10A27" w:rsidRPr="002C15A5" w:rsidRDefault="00D10A27" w:rsidP="00D10A27">
      <w:pPr>
        <w:rPr>
          <w:i/>
          <w:iCs/>
          <w:noProof/>
          <w:lang w:val="en-US"/>
        </w:rPr>
      </w:pPr>
      <w:r w:rsidRPr="002C15A5">
        <w:rPr>
          <w:i/>
          <w:iCs/>
          <w:noProof/>
          <w:lang w:val="en-US"/>
        </w:rPr>
        <w:t>-B is a blend coefficient varying from 0.7 to 0.35 according to each risk category as per Table 4 below.</w:t>
      </w:r>
    </w:p>
    <w:p w14:paraId="2546DBEC" w14:textId="77777777" w:rsidR="00D10A27" w:rsidRPr="002C15A5" w:rsidRDefault="00D10A27" w:rsidP="00D10A27">
      <w:pPr>
        <w:rPr>
          <w:i/>
          <w:iCs/>
          <w:noProof/>
          <w:lang w:val="en-US"/>
        </w:rPr>
      </w:pPr>
      <w:r w:rsidRPr="002C15A5">
        <w:rPr>
          <w:i/>
          <w:iCs/>
          <w:noProof/>
          <w:lang w:val="en-US"/>
        </w:rPr>
        <w:t xml:space="preserve">-MCS is a 90-day moving average of Moody’s Median Credit Spreads (MCS) with an average life of 7 years. </w:t>
      </w:r>
    </w:p>
    <w:p w14:paraId="2A6FA455" w14:textId="438AC253" w:rsidR="00D10A27" w:rsidRPr="002C15A5" w:rsidRDefault="00D10A27" w:rsidP="00D10A27">
      <w:pPr>
        <w:rPr>
          <w:i/>
          <w:iCs/>
          <w:noProof/>
          <w:lang w:val="en-US"/>
        </w:rPr>
      </w:pPr>
      <w:r w:rsidRPr="002C15A5">
        <w:rPr>
          <w:i/>
          <w:iCs/>
          <w:noProof/>
          <w:lang w:val="en-US"/>
        </w:rPr>
        <w:t>-</w:t>
      </w:r>
      <w:r w:rsidR="005345A8" w:rsidRPr="005345A8">
        <w:rPr>
          <w:b/>
          <w:bCs/>
          <w:i/>
          <w:iCs/>
          <w:noProof/>
          <w:u w:val="single"/>
          <w:lang w:val="en-US"/>
        </w:rPr>
        <w:t>CAS (Credit Adjustment Spread) is applied to align the historical MCS base rate with the new MCS risk-free base rate, following the discontinuation of LIBOR; a CAS of 29bps shall apply</w:t>
      </w:r>
      <w:r w:rsidRPr="002C15A5">
        <w:rPr>
          <w:b/>
          <w:bCs/>
          <w:i/>
          <w:iCs/>
          <w:noProof/>
          <w:u w:val="single"/>
          <w:lang w:val="en-US"/>
        </w:rPr>
        <w:t>.</w:t>
      </w:r>
    </w:p>
    <w:p w14:paraId="38A41DA9" w14:textId="15901D44" w:rsidR="00905D22" w:rsidRPr="00BD0421" w:rsidRDefault="00D10A27" w:rsidP="00D10A27">
      <w:pPr>
        <w:rPr>
          <w:b/>
          <w:bCs/>
          <w:noProof/>
        </w:rPr>
      </w:pPr>
      <w:r w:rsidRPr="00BD0421">
        <w:rPr>
          <w:b/>
          <w:bCs/>
          <w:noProof/>
          <w:lang w:val="en-US"/>
        </w:rPr>
        <w:t> </w:t>
      </w:r>
      <w:r w:rsidR="00BD0421" w:rsidRPr="00BD0421">
        <w:rPr>
          <w:b/>
          <w:bCs/>
          <w:noProof/>
        </w:rPr>
        <w:t>’</w:t>
      </w:r>
    </w:p>
    <w:sectPr w:rsidR="00905D22" w:rsidRPr="00BD0421" w:rsidSect="00F1178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05571" w14:textId="77777777" w:rsidR="00D10A27" w:rsidRDefault="00D10A27" w:rsidP="00D10A27">
      <w:pPr>
        <w:spacing w:before="0" w:after="0"/>
      </w:pPr>
      <w:r>
        <w:separator/>
      </w:r>
    </w:p>
  </w:endnote>
  <w:endnote w:type="continuationSeparator" w:id="0">
    <w:p w14:paraId="14972ABE" w14:textId="77777777" w:rsidR="00D10A27" w:rsidRDefault="00D10A27" w:rsidP="00D10A2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A5E75" w14:textId="4E10BBCF" w:rsidR="00F11787" w:rsidRPr="00F11787" w:rsidRDefault="00F11787" w:rsidP="00F11787">
    <w:pPr>
      <w:pStyle w:val="Footer"/>
      <w:rPr>
        <w:rFonts w:ascii="Arial" w:hAnsi="Arial" w:cs="Arial"/>
        <w:b/>
        <w:sz w:val="48"/>
      </w:rPr>
    </w:pPr>
    <w:r w:rsidRPr="00F11787">
      <w:rPr>
        <w:rFonts w:ascii="Arial" w:hAnsi="Arial" w:cs="Arial"/>
        <w:b/>
        <w:sz w:val="48"/>
      </w:rPr>
      <w:t>EN</w:t>
    </w:r>
    <w:r w:rsidRPr="00F11787">
      <w:rPr>
        <w:rFonts w:ascii="Arial" w:hAnsi="Arial" w:cs="Arial"/>
        <w:b/>
        <w:sz w:val="48"/>
      </w:rPr>
      <w:tab/>
    </w:r>
    <w:r w:rsidRPr="00F11787">
      <w:rPr>
        <w:rFonts w:ascii="Arial" w:hAnsi="Arial" w:cs="Arial"/>
        <w:b/>
        <w:sz w:val="48"/>
      </w:rPr>
      <w:tab/>
    </w:r>
    <w:r w:rsidRPr="00F11787">
      <w:tab/>
    </w:r>
    <w:r w:rsidRPr="00F1178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55507" w14:textId="29F6404B" w:rsidR="00F11787" w:rsidRPr="00F11787" w:rsidRDefault="00F11787" w:rsidP="00F11787">
    <w:pPr>
      <w:pStyle w:val="Footer"/>
      <w:rPr>
        <w:rFonts w:ascii="Arial" w:hAnsi="Arial" w:cs="Arial"/>
        <w:b/>
        <w:sz w:val="48"/>
      </w:rPr>
    </w:pPr>
    <w:r w:rsidRPr="00F11787">
      <w:rPr>
        <w:rFonts w:ascii="Arial" w:hAnsi="Arial" w:cs="Arial"/>
        <w:b/>
        <w:sz w:val="48"/>
      </w:rPr>
      <w:t>EN</w:t>
    </w:r>
    <w:r w:rsidRPr="00F11787">
      <w:rPr>
        <w:rFonts w:ascii="Arial" w:hAnsi="Arial" w:cs="Arial"/>
        <w:b/>
        <w:sz w:val="48"/>
      </w:rPr>
      <w:tab/>
    </w:r>
    <w:r w:rsidRPr="00F11787">
      <w:rPr>
        <w:rFonts w:ascii="Arial" w:hAnsi="Arial" w:cs="Arial"/>
        <w:b/>
        <w:sz w:val="48"/>
      </w:rPr>
      <w:tab/>
    </w:r>
    <w:r w:rsidRPr="00F11787">
      <w:tab/>
    </w:r>
    <w:r w:rsidRPr="00F1178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586D1" w14:textId="77777777" w:rsidR="00F11787" w:rsidRPr="00F11787" w:rsidRDefault="00F11787" w:rsidP="00F117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24124" w14:textId="77777777" w:rsidR="00F11787" w:rsidRDefault="00F117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53A93" w14:textId="1D10E7A5" w:rsidR="00F11787" w:rsidRPr="00F11787" w:rsidRDefault="00F11787" w:rsidP="00F11787">
    <w:pPr>
      <w:pStyle w:val="Footer"/>
      <w:rPr>
        <w:rFonts w:ascii="Arial" w:hAnsi="Arial" w:cs="Arial"/>
        <w:b/>
        <w:sz w:val="48"/>
      </w:rPr>
    </w:pPr>
    <w:r w:rsidRPr="00F11787">
      <w:rPr>
        <w:rFonts w:ascii="Arial" w:hAnsi="Arial" w:cs="Arial"/>
        <w:b/>
        <w:sz w:val="48"/>
      </w:rPr>
      <w:t>EN</w:t>
    </w:r>
    <w:r w:rsidRPr="00F11787">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11787">
      <w:tab/>
    </w:r>
    <w:r w:rsidRPr="00F1178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308DB" w14:textId="77777777" w:rsidR="00F11787" w:rsidRDefault="00F11787" w:rsidP="00F11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A4CFA" w14:textId="77777777" w:rsidR="00D10A27" w:rsidRDefault="00D10A27" w:rsidP="00D10A27">
      <w:pPr>
        <w:spacing w:before="0" w:after="0"/>
      </w:pPr>
      <w:r>
        <w:separator/>
      </w:r>
    </w:p>
  </w:footnote>
  <w:footnote w:type="continuationSeparator" w:id="0">
    <w:p w14:paraId="259A6AF4" w14:textId="77777777" w:rsidR="00D10A27" w:rsidRDefault="00D10A27" w:rsidP="00D10A2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A2257" w14:textId="77777777" w:rsidR="00F11787" w:rsidRPr="00F11787" w:rsidRDefault="00F11787" w:rsidP="00F11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67BE9" w14:textId="77777777" w:rsidR="00F11787" w:rsidRPr="00F11787" w:rsidRDefault="00F11787" w:rsidP="00F117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60F86" w14:textId="77777777" w:rsidR="00F11787" w:rsidRPr="00F11787" w:rsidRDefault="00F11787" w:rsidP="00F117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4C7F2" w14:textId="77777777" w:rsidR="00F11787" w:rsidRDefault="00F117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A76C4" w14:textId="77777777" w:rsidR="00F11787" w:rsidRDefault="00F11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78CB78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9E24EA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5B0054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07086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94042E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7AE841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9000EF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FE27E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9:57: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10FECE1A-F0AD-4FA9-9902-0124F5138BBA"/>
    <w:docVar w:name="LW_COVERPAGE_TYPE" w:val="1"/>
    <w:docVar w:name="LW_CreatedUtc" w:val="2025-12-19T11:05:32.6895117Z"/>
    <w:docVar w:name="LW_CROSSREFERENCE" w:val="&lt;UNUSED&gt;"/>
    <w:docVar w:name="LW_DocType" w:val="ANNEX"/>
    <w:docVar w:name="LW_EMISSION" w:val="3.2.2026"/>
    <w:docVar w:name="LW_EMISSION_ISODATE" w:val="2026-02-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Union in the written procedure by the Participants to the Sector Understanding on Export Credits for Civil Aircraft (\u8220?ASU\u8221?) regarding the calculation of the Market Reflective Surcharge"/>
    <w:docVar w:name="LW_OBJETACTEPRINCIPAL.CP" w:val="on the position to be taken on behalf of the Union in the written procedure by the Participants to the Sector Understanding on Export Credits for Civil Aircraft (\u8220?ASU\u8221?) regarding the calculation of the Market Reflective Surcharge"/>
    <w:docVar w:name="LW_PART_NBR" w:val="1"/>
    <w:docVar w:name="LW_PART_NBR_TOTAL" w:val="1"/>
    <w:docVar w:name="LW_REF.INST.NEW" w:val="COM"/>
    <w:docVar w:name="LW_REF.INST.NEW_ADOPTED" w:val="final"/>
    <w:docVar w:name="LW_REF.INST.NEW_TEXT" w:val="(2026) 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D10A27"/>
    <w:rsid w:val="00165C4F"/>
    <w:rsid w:val="001F343E"/>
    <w:rsid w:val="0035528F"/>
    <w:rsid w:val="003C0CBB"/>
    <w:rsid w:val="00492EB7"/>
    <w:rsid w:val="004C1E2B"/>
    <w:rsid w:val="005345A8"/>
    <w:rsid w:val="00614F55"/>
    <w:rsid w:val="00626E37"/>
    <w:rsid w:val="006A6BCB"/>
    <w:rsid w:val="00766031"/>
    <w:rsid w:val="007A50A7"/>
    <w:rsid w:val="007E4911"/>
    <w:rsid w:val="00856B59"/>
    <w:rsid w:val="008655B1"/>
    <w:rsid w:val="008D6398"/>
    <w:rsid w:val="00905D22"/>
    <w:rsid w:val="00A562E8"/>
    <w:rsid w:val="00A6243B"/>
    <w:rsid w:val="00A71F6D"/>
    <w:rsid w:val="00B66517"/>
    <w:rsid w:val="00B726DA"/>
    <w:rsid w:val="00BA4F3C"/>
    <w:rsid w:val="00BB30BC"/>
    <w:rsid w:val="00BD0421"/>
    <w:rsid w:val="00C902D2"/>
    <w:rsid w:val="00C953CA"/>
    <w:rsid w:val="00CB31B6"/>
    <w:rsid w:val="00D10A27"/>
    <w:rsid w:val="00D328C4"/>
    <w:rsid w:val="00D33986"/>
    <w:rsid w:val="00E411F8"/>
    <w:rsid w:val="00F11787"/>
    <w:rsid w:val="00F23A82"/>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5EC36E"/>
  <w15:docId w15:val="{887B059F-D59A-42FA-B6FE-17C44BC9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C1E2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C1E2B"/>
    <w:pPr>
      <w:spacing w:after="0"/>
    </w:pPr>
  </w:style>
  <w:style w:type="paragraph" w:styleId="ListBullet">
    <w:name w:val="List Bullet"/>
    <w:basedOn w:val="Normal"/>
    <w:uiPriority w:val="99"/>
    <w:semiHidden/>
    <w:unhideWhenUsed/>
    <w:rsid w:val="004C1E2B"/>
    <w:pPr>
      <w:numPr>
        <w:numId w:val="1"/>
      </w:numPr>
      <w:contextualSpacing/>
    </w:pPr>
  </w:style>
  <w:style w:type="paragraph" w:styleId="ListBullet2">
    <w:name w:val="List Bullet 2"/>
    <w:basedOn w:val="Normal"/>
    <w:uiPriority w:val="99"/>
    <w:semiHidden/>
    <w:unhideWhenUsed/>
    <w:rsid w:val="004C1E2B"/>
    <w:pPr>
      <w:numPr>
        <w:numId w:val="2"/>
      </w:numPr>
      <w:contextualSpacing/>
    </w:pPr>
  </w:style>
  <w:style w:type="paragraph" w:styleId="ListBullet3">
    <w:name w:val="List Bullet 3"/>
    <w:basedOn w:val="Normal"/>
    <w:uiPriority w:val="99"/>
    <w:semiHidden/>
    <w:unhideWhenUsed/>
    <w:rsid w:val="004C1E2B"/>
    <w:pPr>
      <w:numPr>
        <w:numId w:val="3"/>
      </w:numPr>
      <w:contextualSpacing/>
    </w:pPr>
  </w:style>
  <w:style w:type="paragraph" w:styleId="ListBullet4">
    <w:name w:val="List Bullet 4"/>
    <w:basedOn w:val="Normal"/>
    <w:uiPriority w:val="99"/>
    <w:semiHidden/>
    <w:unhideWhenUsed/>
    <w:rsid w:val="004C1E2B"/>
    <w:pPr>
      <w:numPr>
        <w:numId w:val="4"/>
      </w:numPr>
      <w:contextualSpacing/>
    </w:pPr>
  </w:style>
  <w:style w:type="paragraph" w:styleId="ListNumber">
    <w:name w:val="List Number"/>
    <w:basedOn w:val="Normal"/>
    <w:uiPriority w:val="99"/>
    <w:semiHidden/>
    <w:unhideWhenUsed/>
    <w:rsid w:val="004C1E2B"/>
    <w:pPr>
      <w:numPr>
        <w:numId w:val="5"/>
      </w:numPr>
      <w:contextualSpacing/>
    </w:pPr>
  </w:style>
  <w:style w:type="paragraph" w:styleId="ListNumber2">
    <w:name w:val="List Number 2"/>
    <w:basedOn w:val="Normal"/>
    <w:uiPriority w:val="99"/>
    <w:semiHidden/>
    <w:unhideWhenUsed/>
    <w:rsid w:val="004C1E2B"/>
    <w:pPr>
      <w:numPr>
        <w:numId w:val="6"/>
      </w:numPr>
      <w:contextualSpacing/>
    </w:pPr>
  </w:style>
  <w:style w:type="paragraph" w:styleId="ListNumber3">
    <w:name w:val="List Number 3"/>
    <w:basedOn w:val="Normal"/>
    <w:uiPriority w:val="99"/>
    <w:semiHidden/>
    <w:unhideWhenUsed/>
    <w:rsid w:val="004C1E2B"/>
    <w:pPr>
      <w:numPr>
        <w:numId w:val="7"/>
      </w:numPr>
      <w:contextualSpacing/>
    </w:pPr>
  </w:style>
  <w:style w:type="paragraph" w:styleId="ListNumber4">
    <w:name w:val="List Number 4"/>
    <w:basedOn w:val="Normal"/>
    <w:uiPriority w:val="99"/>
    <w:semiHidden/>
    <w:unhideWhenUsed/>
    <w:rsid w:val="004C1E2B"/>
    <w:pPr>
      <w:numPr>
        <w:numId w:val="8"/>
      </w:numPr>
      <w:contextualSpacing/>
    </w:pPr>
  </w:style>
  <w:style w:type="character" w:customStyle="1" w:styleId="HeaderChar">
    <w:name w:val="Header Char"/>
    <w:basedOn w:val="DefaultParagraphFont"/>
    <w:link w:val="Header"/>
    <w:uiPriority w:val="99"/>
    <w:rsid w:val="00F11787"/>
    <w:rPr>
      <w:rFonts w:ascii="Times New Roman" w:hAnsi="Times New Roman" w:cs="Times New Roman"/>
      <w:sz w:val="24"/>
      <w:lang w:val="en-GB"/>
    </w:rPr>
  </w:style>
  <w:style w:type="character" w:customStyle="1" w:styleId="FooterChar">
    <w:name w:val="Footer Char"/>
    <w:basedOn w:val="DefaultParagraphFont"/>
    <w:link w:val="Footer"/>
    <w:uiPriority w:val="99"/>
    <w:rsid w:val="00F1178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178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1787"/>
    <w:pPr>
      <w:spacing w:before="0"/>
      <w:jc w:val="right"/>
    </w:pPr>
    <w:rPr>
      <w:sz w:val="28"/>
    </w:rPr>
  </w:style>
  <w:style w:type="paragraph" w:customStyle="1" w:styleId="FooterSensitivity">
    <w:name w:val="Footer Sensitivity"/>
    <w:basedOn w:val="Normal"/>
    <w:rsid w:val="00F117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11787"/>
    <w:pPr>
      <w:tabs>
        <w:tab w:val="center" w:pos="4535"/>
        <w:tab w:val="right" w:pos="9071"/>
      </w:tabs>
      <w:spacing w:before="0"/>
    </w:pPr>
  </w:style>
  <w:style w:type="paragraph" w:customStyle="1" w:styleId="HeaderLandscape">
    <w:name w:val="HeaderLandscape"/>
    <w:basedOn w:val="Normal"/>
    <w:rsid w:val="00F11787"/>
    <w:pPr>
      <w:tabs>
        <w:tab w:val="center" w:pos="7285"/>
        <w:tab w:val="right" w:pos="14003"/>
      </w:tabs>
      <w:spacing w:before="0"/>
    </w:pPr>
  </w:style>
  <w:style w:type="paragraph" w:styleId="Footer">
    <w:name w:val="footer"/>
    <w:basedOn w:val="Normal"/>
    <w:link w:val="FooterChar"/>
    <w:uiPriority w:val="99"/>
    <w:unhideWhenUsed/>
    <w:rsid w:val="00F1178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178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5</TotalTime>
  <Pages>2</Pages>
  <Words>139</Words>
  <Characters>794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2025-12-19T11:05:00Z</dcterms:created>
  <dcterms:modified xsi:type="dcterms:W3CDTF">2026-02-02T18:57:00Z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2025-12-19T11:07:13Z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477e2a1f-93c5-4126-8d67-f98f06cac17f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