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8979A2" w14:textId="08F1DFBF" w:rsidR="00D10A27" w:rsidRPr="0081169A" w:rsidRDefault="000A6433" w:rsidP="000A6433">
      <w:pPr>
        <w:pStyle w:val="Pagedecouverture"/>
        <w:rPr>
          <w:noProof/>
        </w:rPr>
      </w:pPr>
      <w:r>
        <w:rPr>
          <w:noProof/>
        </w:rPr>
        <w:pict w14:anchorId="6F20BE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193321F-65BA-4EEB-A3B0-8C97AC1E1813" style="width:455.25pt;height:368.25pt">
            <v:imagedata r:id="rId7" o:title=""/>
          </v:shape>
        </w:pict>
      </w:r>
    </w:p>
    <w:p w14:paraId="090C3816" w14:textId="77777777" w:rsidR="00D10A27" w:rsidRPr="0081169A" w:rsidRDefault="00D10A27" w:rsidP="00D10A27">
      <w:pPr>
        <w:rPr>
          <w:noProof/>
        </w:rPr>
        <w:sectPr w:rsidR="00D10A27" w:rsidRPr="0081169A" w:rsidSect="000A6433">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34D05D9D" w14:textId="77777777" w:rsidR="00D10A27" w:rsidRPr="0081169A" w:rsidRDefault="00D10A27" w:rsidP="00D10A27">
      <w:pPr>
        <w:pStyle w:val="Annexetitre"/>
        <w:rPr>
          <w:noProof/>
        </w:rPr>
      </w:pPr>
      <w:bookmarkStart w:id="0" w:name="_GoBack"/>
      <w:bookmarkEnd w:id="0"/>
      <w:r w:rsidRPr="0081169A">
        <w:rPr>
          <w:noProof/>
        </w:rPr>
        <w:lastRenderedPageBreak/>
        <w:t xml:space="preserve">ANNEXE </w:t>
      </w:r>
    </w:p>
    <w:p w14:paraId="7656DBFE" w14:textId="77777777" w:rsidR="00D10A27" w:rsidRPr="0081169A" w:rsidRDefault="00D10A27" w:rsidP="00D10A27">
      <w:pPr>
        <w:rPr>
          <w:noProof/>
        </w:rPr>
      </w:pPr>
      <w:r w:rsidRPr="0081169A">
        <w:rPr>
          <w:noProof/>
        </w:rPr>
        <w:t>La position à prendre, au nom de l’Union, dans le cadre de la procédure écrite des participants à l’accord sectoriel relatif aux crédits à l’exportation d’aéronefs civils (ci-après l’«ASU») consiste à soutenir les modifications apportées à l’article 28 de l’appendice II (Taux de prime minimums) dudit accord, telles qu’elles figurent dans la présente annexe. Les ajouts sont indiqués en</w:t>
      </w:r>
      <w:r w:rsidRPr="0081169A">
        <w:rPr>
          <w:b/>
          <w:bCs/>
          <w:noProof/>
          <w:u w:val="single"/>
        </w:rPr>
        <w:t xml:space="preserve"> caractères gras soulignés</w:t>
      </w:r>
      <w:r w:rsidRPr="0081169A">
        <w:rPr>
          <w:noProof/>
        </w:rPr>
        <w:t>:</w:t>
      </w:r>
    </w:p>
    <w:p w14:paraId="7F4EC41A" w14:textId="6949E58B" w:rsidR="00D10A27" w:rsidRPr="0081169A" w:rsidRDefault="00BD0421" w:rsidP="00D10A27">
      <w:pPr>
        <w:rPr>
          <w:b/>
          <w:bCs/>
          <w:noProof/>
        </w:rPr>
      </w:pPr>
      <w:r w:rsidRPr="0081169A">
        <w:rPr>
          <w:b/>
          <w:noProof/>
        </w:rPr>
        <w:t xml:space="preserve">« </w:t>
      </w:r>
    </w:p>
    <w:p w14:paraId="0BC615C1" w14:textId="77777777" w:rsidR="00D10A27" w:rsidRPr="0081169A" w:rsidRDefault="00D10A27" w:rsidP="00D10A27">
      <w:pPr>
        <w:rPr>
          <w:b/>
          <w:bCs/>
          <w:noProof/>
        </w:rPr>
      </w:pPr>
      <w:r w:rsidRPr="0081169A">
        <w:rPr>
          <w:b/>
          <w:noProof/>
        </w:rPr>
        <w:t>APPENDICE II – TAUX DE PRIME MINIMUMS</w:t>
      </w:r>
    </w:p>
    <w:p w14:paraId="493D4DC7" w14:textId="77777777" w:rsidR="00D10A27" w:rsidRPr="0081169A" w:rsidRDefault="00D10A27" w:rsidP="00D10A27">
      <w:pPr>
        <w:rPr>
          <w:i/>
          <w:iCs/>
          <w:noProof/>
        </w:rPr>
      </w:pPr>
      <w:r w:rsidRPr="0081169A">
        <w:rPr>
          <w:i/>
          <w:noProof/>
          <w:vertAlign w:val="superscript"/>
        </w:rPr>
        <w:t xml:space="preserve"> </w:t>
      </w:r>
      <w:r w:rsidRPr="0081169A">
        <w:rPr>
          <w:i/>
          <w:noProof/>
        </w:rPr>
        <w:t>28.  Pour chacune des catégories de risques, une majoration liée au marché (MLM) est calculée comme suit:</w:t>
      </w:r>
    </w:p>
    <w:p w14:paraId="4FDD9BC4" w14:textId="77777777" w:rsidR="00D10A27" w:rsidRPr="0081169A" w:rsidRDefault="00D10A27" w:rsidP="00D10A27">
      <w:pPr>
        <w:rPr>
          <w:i/>
          <w:iCs/>
          <w:noProof/>
        </w:rPr>
      </w:pPr>
      <w:r w:rsidRPr="0081169A">
        <w:rPr>
          <w:i/>
          <w:noProof/>
        </w:rPr>
        <w:t xml:space="preserve">                                                   MLM = B*</w:t>
      </w:r>
      <w:r w:rsidRPr="0081169A">
        <w:rPr>
          <w:b/>
          <w:i/>
          <w:noProof/>
          <w:u w:val="single"/>
        </w:rPr>
        <w:t>{[</w:t>
      </w:r>
      <w:r w:rsidRPr="0081169A">
        <w:rPr>
          <w:i/>
          <w:noProof/>
        </w:rPr>
        <w:t>0,5*</w:t>
      </w:r>
      <w:r w:rsidRPr="0081169A">
        <w:rPr>
          <w:b/>
          <w:i/>
          <w:noProof/>
          <w:u w:val="single"/>
        </w:rPr>
        <w:t>(</w:t>
      </w:r>
      <w:r w:rsidRPr="0081169A">
        <w:rPr>
          <w:i/>
          <w:noProof/>
        </w:rPr>
        <w:t>MCS</w:t>
      </w:r>
      <w:r w:rsidRPr="0081169A">
        <w:rPr>
          <w:b/>
          <w:i/>
          <w:noProof/>
          <w:u w:val="single"/>
        </w:rPr>
        <w:t>-CAS</w:t>
      </w:r>
      <w:r w:rsidRPr="0081169A">
        <w:rPr>
          <w:i/>
          <w:noProof/>
        </w:rPr>
        <w:t>)</w:t>
      </w:r>
      <w:r w:rsidRPr="0081169A">
        <w:rPr>
          <w:b/>
          <w:i/>
          <w:noProof/>
          <w:u w:val="single"/>
        </w:rPr>
        <w:t>]</w:t>
      </w:r>
      <w:r w:rsidRPr="0081169A">
        <w:rPr>
          <w:i/>
          <w:noProof/>
        </w:rPr>
        <w:t>-TLS]</w:t>
      </w:r>
      <w:r w:rsidRPr="0081169A">
        <w:rPr>
          <w:b/>
          <w:i/>
          <w:noProof/>
          <w:u w:val="single"/>
        </w:rPr>
        <w:t>}</w:t>
      </w:r>
    </w:p>
    <w:p w14:paraId="03AD8B31" w14:textId="77777777" w:rsidR="00D10A27" w:rsidRPr="0081169A" w:rsidRDefault="00D10A27" w:rsidP="00D10A27">
      <w:pPr>
        <w:rPr>
          <w:i/>
          <w:iCs/>
          <w:noProof/>
        </w:rPr>
      </w:pPr>
      <w:r w:rsidRPr="0081169A">
        <w:rPr>
          <w:i/>
          <w:noProof/>
        </w:rPr>
        <w:t xml:space="preserve">Formule dans laquelle: </w:t>
      </w:r>
    </w:p>
    <w:p w14:paraId="33C19A3D" w14:textId="77777777" w:rsidR="00D10A27" w:rsidRPr="0081169A" w:rsidRDefault="00D10A27" w:rsidP="00D10A27">
      <w:pPr>
        <w:rPr>
          <w:i/>
          <w:iCs/>
          <w:noProof/>
        </w:rPr>
      </w:pPr>
      <w:r w:rsidRPr="0081169A">
        <w:rPr>
          <w:i/>
          <w:noProof/>
        </w:rPr>
        <w:t>— B est un coefficient de pondération qui varie de 0,7 à 0,35 en fonction de chaque catégorie de risques, comme indiqué dans le Tableau 4 ci-dessous.</w:t>
      </w:r>
    </w:p>
    <w:p w14:paraId="2546DBEC" w14:textId="77777777" w:rsidR="00D10A27" w:rsidRPr="0081169A" w:rsidRDefault="00D10A27" w:rsidP="00D10A27">
      <w:pPr>
        <w:rPr>
          <w:i/>
          <w:iCs/>
          <w:noProof/>
        </w:rPr>
      </w:pPr>
      <w:r w:rsidRPr="0081169A">
        <w:rPr>
          <w:i/>
          <w:noProof/>
        </w:rPr>
        <w:t xml:space="preserve">— MCS est la moyenne mobile à 90 jours des marges de crédit médianes («Median Credit Spreads») d’une durée de vie moyenne de 7 ans et publié[e]s par Moody’s. </w:t>
      </w:r>
    </w:p>
    <w:p w14:paraId="2A6FA455" w14:textId="438AC253" w:rsidR="00D10A27" w:rsidRPr="0081169A" w:rsidRDefault="00D10A27" w:rsidP="00D10A27">
      <w:pPr>
        <w:rPr>
          <w:i/>
          <w:iCs/>
          <w:noProof/>
        </w:rPr>
      </w:pPr>
      <w:r w:rsidRPr="0081169A">
        <w:rPr>
          <w:i/>
          <w:noProof/>
        </w:rPr>
        <w:t xml:space="preserve">— </w:t>
      </w:r>
      <w:r w:rsidRPr="0081169A">
        <w:rPr>
          <w:b/>
          <w:i/>
          <w:noProof/>
          <w:u w:val="single"/>
        </w:rPr>
        <w:t>La CAS (pour «Credit Adjustment Spread» ou marge d’ajustement du crédit) est appliquée pour aligner le taux de base historique de la marge de crédit médiane (MCS) sur le nouveau taux de base sans risque de la MCS à la suite de l’abandon du LIBOR. Une CAS de 29 points de base est applicable.</w:t>
      </w:r>
    </w:p>
    <w:p w14:paraId="38A41DA9" w14:textId="15901D44" w:rsidR="00905D22" w:rsidRPr="0081169A" w:rsidRDefault="00D10A27" w:rsidP="00D10A27">
      <w:pPr>
        <w:rPr>
          <w:b/>
          <w:bCs/>
          <w:noProof/>
        </w:rPr>
      </w:pPr>
      <w:r w:rsidRPr="0081169A">
        <w:rPr>
          <w:b/>
          <w:noProof/>
        </w:rPr>
        <w:t xml:space="preserve"> »</w:t>
      </w:r>
    </w:p>
    <w:sectPr w:rsidR="00905D22" w:rsidRPr="0081169A" w:rsidSect="000A643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05571" w14:textId="77777777" w:rsidR="00D10A27" w:rsidRDefault="00D10A27" w:rsidP="00D10A27">
      <w:pPr>
        <w:spacing w:before="0" w:after="0"/>
      </w:pPr>
      <w:r>
        <w:separator/>
      </w:r>
    </w:p>
  </w:endnote>
  <w:endnote w:type="continuationSeparator" w:id="0">
    <w:p w14:paraId="14972ABE" w14:textId="77777777" w:rsidR="00D10A27" w:rsidRDefault="00D10A27" w:rsidP="00D10A2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3045B" w14:textId="41803F03" w:rsidR="000A6433" w:rsidRPr="000A6433" w:rsidRDefault="000A6433" w:rsidP="000A6433">
    <w:pPr>
      <w:pStyle w:val="Footer"/>
      <w:rPr>
        <w:rFonts w:ascii="Arial" w:hAnsi="Arial" w:cs="Arial"/>
        <w:b/>
        <w:sz w:val="48"/>
      </w:rPr>
    </w:pPr>
    <w:r w:rsidRPr="000A6433">
      <w:rPr>
        <w:rFonts w:ascii="Arial" w:hAnsi="Arial" w:cs="Arial"/>
        <w:b/>
        <w:sz w:val="48"/>
      </w:rPr>
      <w:t>FR</w:t>
    </w:r>
    <w:r w:rsidRPr="000A6433">
      <w:rPr>
        <w:rFonts w:ascii="Arial" w:hAnsi="Arial" w:cs="Arial"/>
        <w:b/>
        <w:sz w:val="48"/>
      </w:rPr>
      <w:tab/>
    </w:r>
    <w:r w:rsidRPr="000A6433">
      <w:rPr>
        <w:rFonts w:ascii="Arial" w:hAnsi="Arial" w:cs="Arial"/>
        <w:b/>
        <w:sz w:val="48"/>
      </w:rPr>
      <w:tab/>
    </w:r>
    <w:r w:rsidRPr="000A6433">
      <w:tab/>
    </w:r>
    <w:r w:rsidRPr="000A643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3A1B0" w14:textId="5D7FDDD7" w:rsidR="000A6433" w:rsidRPr="000A6433" w:rsidRDefault="000A6433" w:rsidP="000A6433">
    <w:pPr>
      <w:pStyle w:val="Footer"/>
      <w:rPr>
        <w:rFonts w:ascii="Arial" w:hAnsi="Arial" w:cs="Arial"/>
        <w:b/>
        <w:sz w:val="48"/>
      </w:rPr>
    </w:pPr>
    <w:r w:rsidRPr="000A6433">
      <w:rPr>
        <w:rFonts w:ascii="Arial" w:hAnsi="Arial" w:cs="Arial"/>
        <w:b/>
        <w:sz w:val="48"/>
      </w:rPr>
      <w:t>FR</w:t>
    </w:r>
    <w:r w:rsidRPr="000A6433">
      <w:rPr>
        <w:rFonts w:ascii="Arial" w:hAnsi="Arial" w:cs="Arial"/>
        <w:b/>
        <w:sz w:val="48"/>
      </w:rPr>
      <w:tab/>
    </w:r>
    <w:r w:rsidRPr="000A6433">
      <w:rPr>
        <w:rFonts w:ascii="Arial" w:hAnsi="Arial" w:cs="Arial"/>
        <w:b/>
        <w:sz w:val="48"/>
      </w:rPr>
      <w:tab/>
    </w:r>
    <w:r w:rsidRPr="000A6433">
      <w:tab/>
    </w:r>
    <w:r w:rsidRPr="000A643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3DCF2" w14:textId="77777777" w:rsidR="000A6433" w:rsidRPr="000A6433" w:rsidRDefault="000A6433" w:rsidP="000A64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0A2E5" w14:textId="77777777" w:rsidR="000A6433" w:rsidRDefault="000A643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AB662" w14:textId="53D55127" w:rsidR="000A6433" w:rsidRPr="000A6433" w:rsidRDefault="000A6433" w:rsidP="000A6433">
    <w:pPr>
      <w:pStyle w:val="Footer"/>
      <w:rPr>
        <w:rFonts w:ascii="Arial" w:hAnsi="Arial" w:cs="Arial"/>
        <w:b/>
        <w:sz w:val="48"/>
      </w:rPr>
    </w:pPr>
    <w:r w:rsidRPr="000A6433">
      <w:rPr>
        <w:rFonts w:ascii="Arial" w:hAnsi="Arial" w:cs="Arial"/>
        <w:b/>
        <w:sz w:val="48"/>
      </w:rPr>
      <w:t>FR</w:t>
    </w:r>
    <w:r w:rsidRPr="000A643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A6433">
      <w:tab/>
    </w:r>
    <w:r w:rsidRPr="000A6433">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018EC" w14:textId="77777777" w:rsidR="000A6433" w:rsidRDefault="000A6433" w:rsidP="000A64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BA4CFA" w14:textId="77777777" w:rsidR="00D10A27" w:rsidRDefault="00D10A27" w:rsidP="00D10A27">
      <w:pPr>
        <w:spacing w:before="0" w:after="0"/>
      </w:pPr>
      <w:r>
        <w:separator/>
      </w:r>
    </w:p>
  </w:footnote>
  <w:footnote w:type="continuationSeparator" w:id="0">
    <w:p w14:paraId="259A6AF4" w14:textId="77777777" w:rsidR="00D10A27" w:rsidRDefault="00D10A27" w:rsidP="00D10A2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CCDDB" w14:textId="77777777" w:rsidR="000A6433" w:rsidRPr="000A6433" w:rsidRDefault="000A6433" w:rsidP="000A64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715C9" w14:textId="77777777" w:rsidR="000A6433" w:rsidRPr="000A6433" w:rsidRDefault="000A6433" w:rsidP="000A64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AA512" w14:textId="77777777" w:rsidR="000A6433" w:rsidRPr="000A6433" w:rsidRDefault="000A6433" w:rsidP="000A64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9DEC9" w14:textId="77777777" w:rsidR="000A6433" w:rsidRDefault="000A64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FD449" w14:textId="77777777" w:rsidR="000A6433" w:rsidRDefault="000A64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78CB78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9E24EA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5B0054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907086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94042E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7AE841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9000EF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FE27EA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9 16:14: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E193321F-65BA-4EEB-A3B0-8C97AC1E1813"/>
    <w:docVar w:name="LW_COVERPAGE_TYPE" w:val="1"/>
    <w:docVar w:name="LW_CreatedUtc" w:val="2025-12-19T11:05:32.6895117Z"/>
    <w:docVar w:name="LW_CROSSREFERENCE" w:val="&lt;UNUSED&gt;"/>
    <w:docVar w:name="LW_DocType" w:val="ANNEX"/>
    <w:docVar w:name="LW_EMISSION" w:val="3.2.2026"/>
    <w:docVar w:name="LW_EMISSION_ISODATE" w:val="2026-02-0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sur la position à prendre, au nom de l\u8217?Union, dans le cadre de la procédure écrite des participants à l\u8217?accord sectoriel relatif aux crédits à l\u8217?exportation d\u8217?aéronefs civils («ASU») en ce qui concerne le calcul de la majoration liée au marché"/>
    <w:docVar w:name="LW_OBJETACTEPRINCIPAL.CP" w:val="sur la position à prendre, au nom de l\u8217?Union, dans le cadre de la procédure écrite des participants à l\u8217?accord sectoriel relatif aux crédits à l\u8217?exportation d\u8217?aéronefs civils («ASU») en ce qui concerne le calcul de la majoration liée au marché"/>
    <w:docVar w:name="LW_PART_NBR" w:val="1"/>
    <w:docVar w:name="LW_PART_NBR_TOTAL" w:val="1"/>
    <w:docVar w:name="LW_REF.INST.NEW" w:val="COM"/>
    <w:docVar w:name="LW_REF.INST.NEW_ADOPTED" w:val="final"/>
    <w:docVar w:name="LW_REF.INST.NEW_TEXT" w:val="(2026) 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D10A27"/>
    <w:rsid w:val="000A6433"/>
    <w:rsid w:val="000F01B3"/>
    <w:rsid w:val="00165C4F"/>
    <w:rsid w:val="001D7476"/>
    <w:rsid w:val="001F343E"/>
    <w:rsid w:val="002E0F5A"/>
    <w:rsid w:val="0035528F"/>
    <w:rsid w:val="003C0CBB"/>
    <w:rsid w:val="00467B56"/>
    <w:rsid w:val="00492EB7"/>
    <w:rsid w:val="004C1E2B"/>
    <w:rsid w:val="005345A8"/>
    <w:rsid w:val="00614F55"/>
    <w:rsid w:val="00626E37"/>
    <w:rsid w:val="006A6BCB"/>
    <w:rsid w:val="006D78C8"/>
    <w:rsid w:val="006E4C38"/>
    <w:rsid w:val="007400FF"/>
    <w:rsid w:val="00766031"/>
    <w:rsid w:val="007B27DD"/>
    <w:rsid w:val="007E4911"/>
    <w:rsid w:val="0081169A"/>
    <w:rsid w:val="00856B59"/>
    <w:rsid w:val="008655B1"/>
    <w:rsid w:val="008A12DF"/>
    <w:rsid w:val="008D6398"/>
    <w:rsid w:val="008E07C7"/>
    <w:rsid w:val="00905D22"/>
    <w:rsid w:val="00A562E8"/>
    <w:rsid w:val="00A6243B"/>
    <w:rsid w:val="00A71F6D"/>
    <w:rsid w:val="00AC65B4"/>
    <w:rsid w:val="00B66517"/>
    <w:rsid w:val="00B726DA"/>
    <w:rsid w:val="00B86017"/>
    <w:rsid w:val="00BA4F3C"/>
    <w:rsid w:val="00BB30BC"/>
    <w:rsid w:val="00BD0421"/>
    <w:rsid w:val="00BD3011"/>
    <w:rsid w:val="00C0423A"/>
    <w:rsid w:val="00C902D2"/>
    <w:rsid w:val="00C953CA"/>
    <w:rsid w:val="00CB31B6"/>
    <w:rsid w:val="00D10A27"/>
    <w:rsid w:val="00D328C4"/>
    <w:rsid w:val="00D33986"/>
    <w:rsid w:val="00E411F8"/>
    <w:rsid w:val="00EB14E2"/>
    <w:rsid w:val="00F7024E"/>
    <w:rsid w:val="00F8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35EC36E"/>
  <w15:docId w15:val="{887B059F-D59A-42FA-B6FE-17C44BC99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4C1E2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C1E2B"/>
    <w:pPr>
      <w:spacing w:after="0"/>
    </w:pPr>
  </w:style>
  <w:style w:type="paragraph" w:styleId="ListBullet">
    <w:name w:val="List Bullet"/>
    <w:basedOn w:val="Normal"/>
    <w:uiPriority w:val="99"/>
    <w:semiHidden/>
    <w:unhideWhenUsed/>
    <w:rsid w:val="004C1E2B"/>
    <w:pPr>
      <w:numPr>
        <w:numId w:val="1"/>
      </w:numPr>
      <w:contextualSpacing/>
    </w:pPr>
  </w:style>
  <w:style w:type="paragraph" w:styleId="ListBullet2">
    <w:name w:val="List Bullet 2"/>
    <w:basedOn w:val="Normal"/>
    <w:uiPriority w:val="99"/>
    <w:semiHidden/>
    <w:unhideWhenUsed/>
    <w:rsid w:val="004C1E2B"/>
    <w:pPr>
      <w:numPr>
        <w:numId w:val="2"/>
      </w:numPr>
      <w:contextualSpacing/>
    </w:pPr>
  </w:style>
  <w:style w:type="paragraph" w:styleId="ListBullet3">
    <w:name w:val="List Bullet 3"/>
    <w:basedOn w:val="Normal"/>
    <w:uiPriority w:val="99"/>
    <w:semiHidden/>
    <w:unhideWhenUsed/>
    <w:rsid w:val="004C1E2B"/>
    <w:pPr>
      <w:numPr>
        <w:numId w:val="3"/>
      </w:numPr>
      <w:contextualSpacing/>
    </w:pPr>
  </w:style>
  <w:style w:type="paragraph" w:styleId="ListBullet4">
    <w:name w:val="List Bullet 4"/>
    <w:basedOn w:val="Normal"/>
    <w:uiPriority w:val="99"/>
    <w:semiHidden/>
    <w:unhideWhenUsed/>
    <w:rsid w:val="004C1E2B"/>
    <w:pPr>
      <w:numPr>
        <w:numId w:val="4"/>
      </w:numPr>
      <w:contextualSpacing/>
    </w:pPr>
  </w:style>
  <w:style w:type="paragraph" w:styleId="ListNumber">
    <w:name w:val="List Number"/>
    <w:basedOn w:val="Normal"/>
    <w:uiPriority w:val="99"/>
    <w:semiHidden/>
    <w:unhideWhenUsed/>
    <w:rsid w:val="004C1E2B"/>
    <w:pPr>
      <w:numPr>
        <w:numId w:val="5"/>
      </w:numPr>
      <w:contextualSpacing/>
    </w:pPr>
  </w:style>
  <w:style w:type="paragraph" w:styleId="ListNumber2">
    <w:name w:val="List Number 2"/>
    <w:basedOn w:val="Normal"/>
    <w:uiPriority w:val="99"/>
    <w:semiHidden/>
    <w:unhideWhenUsed/>
    <w:rsid w:val="004C1E2B"/>
    <w:pPr>
      <w:numPr>
        <w:numId w:val="6"/>
      </w:numPr>
      <w:contextualSpacing/>
    </w:pPr>
  </w:style>
  <w:style w:type="paragraph" w:styleId="ListNumber3">
    <w:name w:val="List Number 3"/>
    <w:basedOn w:val="Normal"/>
    <w:uiPriority w:val="99"/>
    <w:semiHidden/>
    <w:unhideWhenUsed/>
    <w:rsid w:val="004C1E2B"/>
    <w:pPr>
      <w:numPr>
        <w:numId w:val="7"/>
      </w:numPr>
      <w:contextualSpacing/>
    </w:pPr>
  </w:style>
  <w:style w:type="paragraph" w:styleId="ListNumber4">
    <w:name w:val="List Number 4"/>
    <w:basedOn w:val="Normal"/>
    <w:uiPriority w:val="99"/>
    <w:semiHidden/>
    <w:unhideWhenUsed/>
    <w:rsid w:val="004C1E2B"/>
    <w:pPr>
      <w:numPr>
        <w:numId w:val="8"/>
      </w:numPr>
      <w:contextualSpacing/>
    </w:pPr>
  </w:style>
  <w:style w:type="character" w:customStyle="1" w:styleId="HeaderChar">
    <w:name w:val="Header Char"/>
    <w:basedOn w:val="DefaultParagraphFont"/>
    <w:link w:val="Header"/>
    <w:uiPriority w:val="99"/>
    <w:rsid w:val="000A6433"/>
    <w:rPr>
      <w:rFonts w:ascii="Times New Roman" w:hAnsi="Times New Roman" w:cs="Times New Roman"/>
      <w:sz w:val="24"/>
      <w:lang w:val="fr-FR"/>
    </w:rPr>
  </w:style>
  <w:style w:type="character" w:customStyle="1" w:styleId="FooterChar">
    <w:name w:val="Footer Char"/>
    <w:basedOn w:val="DefaultParagraphFont"/>
    <w:link w:val="Footer"/>
    <w:uiPriority w:val="99"/>
    <w:rsid w:val="000A643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A643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A6433"/>
    <w:pPr>
      <w:spacing w:before="0"/>
      <w:jc w:val="right"/>
    </w:pPr>
    <w:rPr>
      <w:sz w:val="28"/>
    </w:rPr>
  </w:style>
  <w:style w:type="paragraph" w:customStyle="1" w:styleId="FooterSensitivity">
    <w:name w:val="Footer Sensitivity"/>
    <w:basedOn w:val="Normal"/>
    <w:rsid w:val="000A643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0A6433"/>
    <w:pPr>
      <w:tabs>
        <w:tab w:val="center" w:pos="4535"/>
        <w:tab w:val="right" w:pos="9071"/>
      </w:tabs>
      <w:spacing w:before="0"/>
    </w:pPr>
  </w:style>
  <w:style w:type="paragraph" w:customStyle="1" w:styleId="HeaderLandscape">
    <w:name w:val="HeaderLandscape"/>
    <w:basedOn w:val="Normal"/>
    <w:rsid w:val="000A6433"/>
    <w:pPr>
      <w:tabs>
        <w:tab w:val="center" w:pos="7285"/>
        <w:tab w:val="right" w:pos="14003"/>
      </w:tabs>
      <w:spacing w:before="0"/>
    </w:pPr>
  </w:style>
  <w:style w:type="paragraph" w:styleId="Footer">
    <w:name w:val="footer"/>
    <w:basedOn w:val="Normal"/>
    <w:link w:val="FooterChar"/>
    <w:uiPriority w:val="99"/>
    <w:unhideWhenUsed/>
    <w:rsid w:val="000A643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A643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13</TotalTime>
  <Pages>2</Pages>
  <Words>191</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2025-12-19T11:05:00Z</dcterms:created>
  <dcterms:modified xsi:type="dcterms:W3CDTF">2026-02-09T15:14:00Z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2025-12-19T11:07:13Z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477e2a1f-93c5-4126-8d67-f98f06cac17f</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