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603" w:rsidRPr="002B5FB0" w:rsidRDefault="00A02509" w:rsidP="00A0250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873A1B-0D8E-4F2E-89E9-7C760EE5DCE7" style="width:455.25pt;height:371.25pt">
            <v:imagedata r:id="rId11" o:title=""/>
          </v:shape>
        </w:pict>
      </w:r>
    </w:p>
    <w:p w:rsidR="00F32148" w:rsidRPr="002B5FB0" w:rsidRDefault="00F32148" w:rsidP="00F32148">
      <w:pPr>
        <w:rPr>
          <w:noProof/>
        </w:rPr>
        <w:sectPr w:rsidR="00F32148" w:rsidRPr="002B5FB0" w:rsidSect="00A02509">
          <w:footerReference w:type="even" r:id="rId12"/>
          <w:footerReference w:type="default" r:id="rId13"/>
          <w:pgSz w:w="11907" w:h="16839"/>
          <w:pgMar w:top="1134" w:right="1417" w:bottom="1134" w:left="1417" w:header="709" w:footer="709" w:gutter="0"/>
          <w:pgNumType w:start="0"/>
          <w:cols w:space="720"/>
          <w:docGrid w:linePitch="360"/>
        </w:sectPr>
      </w:pPr>
    </w:p>
    <w:p w:rsidR="005C3603" w:rsidRPr="002B5FB0" w:rsidRDefault="002F2273">
      <w:pPr>
        <w:pStyle w:val="Exposdesmotifstitre"/>
        <w:rPr>
          <w:noProof/>
        </w:rPr>
      </w:pPr>
      <w:bookmarkStart w:id="0" w:name="_GoBack"/>
      <w:bookmarkEnd w:id="0"/>
      <w:r w:rsidRPr="002B5FB0">
        <w:rPr>
          <w:noProof/>
        </w:rPr>
        <w:lastRenderedPageBreak/>
        <w:t>EXPUNERE DE MOTIVE</w:t>
      </w:r>
    </w:p>
    <w:p w:rsidR="005C3603" w:rsidRPr="002B5FB0" w:rsidRDefault="002F2273">
      <w:pPr>
        <w:pStyle w:val="ManualHeading1"/>
        <w:rPr>
          <w:noProof/>
        </w:rPr>
      </w:pPr>
      <w:r w:rsidRPr="002B5FB0">
        <w:rPr>
          <w:noProof/>
        </w:rPr>
        <w:t>1.</w:t>
      </w:r>
      <w:r w:rsidRPr="002B5FB0">
        <w:rPr>
          <w:noProof/>
        </w:rPr>
        <w:tab/>
        <w:t>Obiectul propunerii</w:t>
      </w:r>
    </w:p>
    <w:p w:rsidR="005C3603" w:rsidRPr="002B5FB0" w:rsidRDefault="39005C4F">
      <w:pPr>
        <w:rPr>
          <w:noProof/>
        </w:rPr>
      </w:pPr>
      <w:r w:rsidRPr="002B5FB0">
        <w:rPr>
          <w:noProof/>
        </w:rPr>
        <w:t>Prezenta propunere se referă la decizia de stabilire a poziției care urmează să fie adoptată în numele Uniunii în cadrul procedurii scrise a participanților la Înțelegerea sectorială privind creditele la export pentru aeronave civile („Înțelegerea sectorială privind aeronavele” sau „ISA”) în ceea ce privește modificarea preconizată a ISA pentru a permanentiza marja temporară de ajustare a creditului (</w:t>
      </w:r>
      <w:r w:rsidRPr="002B5FB0">
        <w:rPr>
          <w:i/>
          <w:iCs/>
          <w:noProof/>
        </w:rPr>
        <w:t>Credit Adjustment Spread</w:t>
      </w:r>
      <w:r w:rsidRPr="002B5FB0">
        <w:rPr>
          <w:noProof/>
        </w:rPr>
        <w:t xml:space="preserve">, CAS) de -29 de puncte de bază la calcularea suprataxei reflective pe piață. </w:t>
      </w:r>
    </w:p>
    <w:p w:rsidR="00A7334C" w:rsidRPr="002B5FB0" w:rsidRDefault="002F2273" w:rsidP="00C423B4">
      <w:pPr>
        <w:pStyle w:val="ManualHeading1"/>
        <w:spacing w:after="0"/>
        <w:ind w:left="851" w:hanging="851"/>
        <w:rPr>
          <w:noProof/>
        </w:rPr>
      </w:pPr>
      <w:r w:rsidRPr="002B5FB0">
        <w:rPr>
          <w:noProof/>
        </w:rPr>
        <w:t>2.</w:t>
      </w:r>
      <w:r w:rsidRPr="002B5FB0">
        <w:rPr>
          <w:noProof/>
        </w:rPr>
        <w:tab/>
        <w:t>Contextul propunerii</w:t>
      </w:r>
    </w:p>
    <w:p w:rsidR="005C3603" w:rsidRPr="002B5FB0" w:rsidRDefault="002F2273">
      <w:pPr>
        <w:pStyle w:val="ManualHeading2"/>
        <w:rPr>
          <w:noProof/>
        </w:rPr>
      </w:pPr>
      <w:r w:rsidRPr="002B5FB0">
        <w:rPr>
          <w:noProof/>
        </w:rPr>
        <w:t>2.1.</w:t>
      </w:r>
      <w:r w:rsidRPr="002B5FB0">
        <w:rPr>
          <w:noProof/>
        </w:rPr>
        <w:tab/>
        <w:t>Acordul privind creditele la export care beneficiază de susținere oficială</w:t>
      </w:r>
    </w:p>
    <w:p w:rsidR="005C3603" w:rsidRPr="002B5FB0" w:rsidRDefault="002F2273" w:rsidP="6D89A322">
      <w:pPr>
        <w:rPr>
          <w:noProof/>
        </w:rPr>
      </w:pPr>
      <w:r w:rsidRPr="002B5FB0">
        <w:rPr>
          <w:noProof/>
        </w:rPr>
        <w:t>Acordul este un „acord tacit” (</w:t>
      </w:r>
      <w:r w:rsidRPr="002B5FB0">
        <w:rPr>
          <w:i/>
          <w:iCs/>
          <w:noProof/>
        </w:rPr>
        <w:t>gentlemen's agreement</w:t>
      </w:r>
      <w:r w:rsidRPr="002B5FB0">
        <w:rPr>
          <w:noProof/>
        </w:rPr>
        <w:t>) între Uniune, SUA, Canada, Japonia, Coreea, Norvegia, Elveția, Australia, Noua Zeelandă, Turcia și Regatul Unit, având ca scop punerea la dispoziție a unui cadru pentru utilizarea ordonată a creditelor la export care beneficiază de susținere oficială. În practică, aceasta înseamnă stabilirea unor condiții echitabile (în baza cărora concurența să fie bazată pe prețul și pe calitatea produselor și serviciilor exportate și nu pe condițiile financiare oferite), precum și acționarea în sensul eliminării subvențiilor și a denaturărilor comerțului asociate creditelor la export care beneficiază de susținere oficială. Acordul a intrat în vigoare în aprilie 1978 și are o durată nedeterminată.</w:t>
      </w:r>
    </w:p>
    <w:p w:rsidR="005C3603" w:rsidRPr="002B5FB0" w:rsidRDefault="047BE55B" w:rsidP="29BE6E28">
      <w:pPr>
        <w:rPr>
          <w:rFonts w:eastAsia="Times New Roman"/>
          <w:noProof/>
        </w:rPr>
      </w:pPr>
      <w:r w:rsidRPr="002B5FB0">
        <w:rPr>
          <w:noProof/>
        </w:rPr>
        <w:t xml:space="preserve">Înțelegerea sectorială privind aeronavele constituie anexa III la acord și are scopul de a oferi un cadru pentru utilizarea previzibilă, coerentă și transparentă a creditelor la export care beneficiază de susținere oficială pentru vânzarea sau pentru leasingul aeronavelor și al bunurilor și serviciilor menționate la articolul 4 litera (a) din ISA. ISA urmărește să promoveze condiții de concurență echitabile pentru exporturile din sectorul aeronautic și să elimine subvențiile și denaturările comerțului legate de susținerea oficială. Cel mai recent text al ISA a intrat în vigoare la 1 februarie 2011. </w:t>
      </w:r>
    </w:p>
    <w:p w:rsidR="005C3603" w:rsidRPr="002B5FB0" w:rsidRDefault="7650E40F">
      <w:pPr>
        <w:rPr>
          <w:noProof/>
        </w:rPr>
      </w:pPr>
      <w:r w:rsidRPr="002B5FB0">
        <w:rPr>
          <w:noProof/>
        </w:rPr>
        <w:t>Acordul, inclusiv ISA, este integrat din punct de vedere administrativ în OCDE și primește sprijin din partea Secretariatului OCDE pentru credite. Cu toate acestea, nici acordul, nici înțelegerea sectorială privind aeronavele nu sunt acte ale OCDE</w:t>
      </w:r>
      <w:r w:rsidRPr="002B5FB0">
        <w:rPr>
          <w:rStyle w:val="FootnoteReference"/>
          <w:noProof/>
        </w:rPr>
        <w:footnoteReference w:id="1"/>
      </w:r>
      <w:r w:rsidRPr="002B5FB0">
        <w:rPr>
          <w:noProof/>
        </w:rPr>
        <w:t xml:space="preserve">. </w:t>
      </w:r>
    </w:p>
    <w:p w:rsidR="00A7334C" w:rsidRPr="002B5FB0" w:rsidRDefault="047BE55B" w:rsidP="6D89A322">
      <w:pPr>
        <w:rPr>
          <w:rFonts w:eastAsia="Times New Roman"/>
          <w:noProof/>
        </w:rPr>
      </w:pPr>
      <w:r w:rsidRPr="002B5FB0">
        <w:rPr>
          <w:noProof/>
        </w:rPr>
        <w:t>Uniunea - și nu statele membre - este participant la acord și la Înțelegerea sectorială privind aeronavele, acestea două fiind transpuse în acquis-ul comunitar prin Regulamentul (UE) nr. 1233/2011 al Parlamentului European și al Consiliului din 16 noiembrie 2011</w:t>
      </w:r>
      <w:r w:rsidRPr="002B5FB0">
        <w:rPr>
          <w:rStyle w:val="FootnoteReference"/>
          <w:noProof/>
        </w:rPr>
        <w:footnoteReference w:id="2"/>
      </w:r>
      <w:r w:rsidRPr="002B5FB0">
        <w:rPr>
          <w:noProof/>
        </w:rPr>
        <w:t>. Prin urmare, dispozițiile acordului și ale Înțelegerii sectoriale privind aeronavele sunt obligatorii din punct de vedere juridic în temeiul dreptului Uniunii.</w:t>
      </w:r>
    </w:p>
    <w:p w:rsidR="005C3603" w:rsidRPr="002B5FB0" w:rsidRDefault="002F2273">
      <w:pPr>
        <w:pStyle w:val="ManualHeading2"/>
        <w:rPr>
          <w:noProof/>
        </w:rPr>
      </w:pPr>
      <w:r w:rsidRPr="002B5FB0">
        <w:rPr>
          <w:noProof/>
        </w:rPr>
        <w:lastRenderedPageBreak/>
        <w:t>2.2.</w:t>
      </w:r>
      <w:r w:rsidRPr="002B5FB0">
        <w:rPr>
          <w:noProof/>
        </w:rPr>
        <w:tab/>
        <w:t xml:space="preserve">Participanții la </w:t>
      </w:r>
      <w:bookmarkStart w:id="1" w:name="_Hlk216698182"/>
      <w:r w:rsidRPr="002B5FB0">
        <w:rPr>
          <w:noProof/>
        </w:rPr>
        <w:t>Înțelegerea sectorială privind creditele la export pentru aeronavele civile</w:t>
      </w:r>
      <w:bookmarkEnd w:id="1"/>
    </w:p>
    <w:p w:rsidR="003B67AF" w:rsidRPr="002B5FB0" w:rsidRDefault="4323FBA6" w:rsidP="003B67AF">
      <w:pPr>
        <w:rPr>
          <w:rFonts w:eastAsia="Times New Roman"/>
          <w:noProof/>
          <w:szCs w:val="24"/>
        </w:rPr>
      </w:pPr>
      <w:r w:rsidRPr="002B5FB0">
        <w:rPr>
          <w:noProof/>
        </w:rPr>
        <w:t>Înțelegerea sectorială privind aeronavele numără unsprezece participanți (denumiți în continuare „participanții la ISA”), și anume, Australia, Brazilia, Canada, Uniunea, Coreea, Elveția, Japonia, Norvegia, Noua Zeelandă, Regatul Unit și Statele Unite ale Americii</w:t>
      </w:r>
      <w:r w:rsidRPr="002B5FB0">
        <w:rPr>
          <w:rStyle w:val="FootnoteReference"/>
          <w:rFonts w:eastAsia="Times New Roman"/>
          <w:noProof/>
          <w:szCs w:val="24"/>
        </w:rPr>
        <w:footnoteReference w:id="3"/>
      </w:r>
      <w:r w:rsidRPr="002B5FB0">
        <w:rPr>
          <w:noProof/>
        </w:rPr>
        <w:t xml:space="preserve">. </w:t>
      </w:r>
    </w:p>
    <w:p w:rsidR="6D89A322" w:rsidRPr="002B5FB0" w:rsidRDefault="4323FBA6" w:rsidP="6D89A322">
      <w:pPr>
        <w:rPr>
          <w:rFonts w:eastAsia="Times New Roman"/>
          <w:noProof/>
          <w:szCs w:val="24"/>
        </w:rPr>
      </w:pPr>
      <w:r w:rsidRPr="002B5FB0">
        <w:rPr>
          <w:noProof/>
        </w:rPr>
        <w:t>Comisia Europeană reprezintă Uniunea în cadrul reuniunilor participanților la ISA, precum și în cadrul procedurilor scrise de luare a deciziilor de către participanții la ISA. Deciziile privind toate modificările aduse ISA se iau prin consens.</w:t>
      </w:r>
    </w:p>
    <w:p w:rsidR="002F2273" w:rsidRPr="002B5FB0" w:rsidRDefault="002F2273" w:rsidP="00D128AC">
      <w:pPr>
        <w:pStyle w:val="ManualHeading2"/>
        <w:rPr>
          <w:rFonts w:eastAsia="Times New Roman"/>
          <w:noProof/>
        </w:rPr>
      </w:pPr>
      <w:r w:rsidRPr="002B5FB0">
        <w:rPr>
          <w:noProof/>
        </w:rPr>
        <w:t>2.3.</w:t>
      </w:r>
      <w:r w:rsidRPr="002B5FB0">
        <w:rPr>
          <w:noProof/>
        </w:rPr>
        <w:tab/>
        <w:t xml:space="preserve">Actul avut în vedere al participanților la ISA </w:t>
      </w:r>
    </w:p>
    <w:p w:rsidR="1080E579" w:rsidRPr="002B5FB0" w:rsidRDefault="65FFD4AF" w:rsidP="6D89A322">
      <w:pPr>
        <w:rPr>
          <w:noProof/>
        </w:rPr>
      </w:pPr>
      <w:r w:rsidRPr="002B5FB0">
        <w:rPr>
          <w:noProof/>
        </w:rPr>
        <w:t>Actul avut în vedere urmărește să modifice secțiunea 2 din apendicele II la ISA prin stabilirea unei valori fixe a marjei de ajustare a creditului (CAS) de -29 de puncte de bază pentru calcularea suprataxei care reflectă condițiile pieței (</w:t>
      </w:r>
      <w:r w:rsidRPr="002B5FB0">
        <w:rPr>
          <w:i/>
          <w:iCs/>
          <w:noProof/>
        </w:rPr>
        <w:t>Market Reflective Surcharge</w:t>
      </w:r>
      <w:r w:rsidRPr="002B5FB0">
        <w:rPr>
          <w:noProof/>
        </w:rPr>
        <w:t>, MRS). Apendicele II la ISA stabilește procedurile care trebuie utilizate pentru stabilirea prețurilor susținerii oficiale pentru o tranzacție care face obiectul Înțelegerii sectoriale privind creditele la export pentru aeronave civile, iar secțiunea 2 stabilește normele de stabilire a ratelor minime ale primelor (</w:t>
      </w:r>
      <w:r w:rsidRPr="002B5FB0">
        <w:rPr>
          <w:i/>
          <w:iCs/>
          <w:noProof/>
        </w:rPr>
        <w:t>Minimum Premium Rates</w:t>
      </w:r>
      <w:r w:rsidRPr="002B5FB0">
        <w:rPr>
          <w:noProof/>
        </w:rPr>
        <w:t>, MPR).</w:t>
      </w:r>
    </w:p>
    <w:p w:rsidR="00D3073D" w:rsidRPr="002B5FB0" w:rsidRDefault="00D3073D" w:rsidP="0023281F">
      <w:pPr>
        <w:rPr>
          <w:noProof/>
        </w:rPr>
      </w:pPr>
      <w:r w:rsidRPr="002B5FB0">
        <w:rPr>
          <w:noProof/>
        </w:rPr>
        <w:t>Textul ISA prevede că calcularea MPR-urilor este rezultatul adăugării unei suprataxe care reflectă condițiile pieței (MRS) la ratele bazate pe risc (</w:t>
      </w:r>
      <w:r w:rsidRPr="002B5FB0">
        <w:rPr>
          <w:i/>
          <w:iCs/>
          <w:noProof/>
        </w:rPr>
        <w:t>risk-based rates</w:t>
      </w:r>
      <w:r w:rsidRPr="002B5FB0">
        <w:rPr>
          <w:noProof/>
        </w:rPr>
        <w:t>, RBR). Un element în calcularea MRS este marja mediană a creditului (</w:t>
      </w:r>
      <w:r w:rsidRPr="002B5FB0">
        <w:rPr>
          <w:i/>
          <w:iCs/>
          <w:noProof/>
        </w:rPr>
        <w:t>Median Credit Spreads</w:t>
      </w:r>
      <w:r w:rsidRPr="002B5FB0">
        <w:rPr>
          <w:noProof/>
        </w:rPr>
        <w:t>, MCS), pe baza datelor furnizate Secretariatului OCDE de agenția Moody’s. Având în vedere întreruperea ratei dobânzii interbancare oferite pe piața londoneză (LIBOR), începând din august 2022, agenția Moody’s a furnizat date privind MCS pe baza ratei de finanțare overnight garantată (</w:t>
      </w:r>
      <w:r w:rsidRPr="002B5FB0">
        <w:rPr>
          <w:i/>
          <w:iCs/>
          <w:noProof/>
        </w:rPr>
        <w:t>Secured Overnight Financing Rate</w:t>
      </w:r>
      <w:r w:rsidRPr="002B5FB0">
        <w:rPr>
          <w:noProof/>
        </w:rPr>
        <w:t>, SOFR), mai degrabă decât pe baza LIBOR. Acest lucru are un impact direct asupra valorii MCS, asupra căreia participanții la ISA au fost invitați să reflecteze în noiembrie 2022 în cadrul celei de a 73-a reuniuni a participanților la ISA.</w:t>
      </w:r>
    </w:p>
    <w:p w:rsidR="21AE2776" w:rsidRPr="002B5FB0" w:rsidRDefault="000A2811" w:rsidP="003A610B">
      <w:pPr>
        <w:rPr>
          <w:rFonts w:eastAsia="Times New Roman"/>
          <w:noProof/>
          <w:color w:val="FF0000"/>
        </w:rPr>
      </w:pPr>
      <w:r w:rsidRPr="002B5FB0">
        <w:rPr>
          <w:noProof/>
        </w:rPr>
        <w:t>În cadrul celei de a 74-a reuniuni (noiembrie 2023), participanții la ISA au convenit să aplice o ajustare (</w:t>
      </w:r>
      <w:r w:rsidRPr="002B5FB0">
        <w:rPr>
          <w:i/>
          <w:iCs/>
          <w:noProof/>
        </w:rPr>
        <w:t>Credit Spread Adjustment</w:t>
      </w:r>
      <w:r w:rsidRPr="002B5FB0">
        <w:rPr>
          <w:noProof/>
        </w:rPr>
        <w:t>, „CAS”) de -29 de puncte de bază la datele MCS ale agenției Moody’s pentru o perioadă de un an (și anume, sfârșitul anului 2024). Cu ocazia celei de a 76-a reuniuni a participanților la ISA din iunie 2025, participanții și-au arătat sprijinul larg pentru permanentizarea acestei soluții. Actul avut în vedere vizează modificarea textului ISA pentru a transforma ajustarea temporară respectivă într-o soluție permanentă.</w:t>
      </w:r>
    </w:p>
    <w:p w:rsidR="005C3603" w:rsidRPr="002B5FB0" w:rsidRDefault="39005C4F" w:rsidP="00886A7B">
      <w:pPr>
        <w:pStyle w:val="ManualHeading1"/>
        <w:ind w:left="0" w:firstLine="0"/>
        <w:rPr>
          <w:noProof/>
        </w:rPr>
      </w:pPr>
      <w:r w:rsidRPr="002B5FB0">
        <w:rPr>
          <w:noProof/>
        </w:rPr>
        <w:t>3.</w:t>
      </w:r>
      <w:r w:rsidRPr="002B5FB0">
        <w:rPr>
          <w:noProof/>
        </w:rPr>
        <w:tab/>
        <w:t>Poziția care urmează să fie luată în numele Uniunii Europene</w:t>
      </w:r>
    </w:p>
    <w:p w:rsidR="00642422" w:rsidRPr="002B5FB0" w:rsidRDefault="00642422" w:rsidP="29BE6E28">
      <w:pPr>
        <w:rPr>
          <w:noProof/>
        </w:rPr>
      </w:pPr>
      <w:r w:rsidRPr="002B5FB0">
        <w:rPr>
          <w:noProof/>
        </w:rPr>
        <w:t>Întreruperea LIBOR în 2023 a impus agenției Moody’s să își ajusteze metodologia de calculare a marjelor mediane ale creditului (MCS), un element important pentru a obține suprataxa care reflectă condițiile pieței (</w:t>
      </w:r>
      <w:r w:rsidRPr="002B5FB0">
        <w:rPr>
          <w:i/>
          <w:iCs/>
          <w:noProof/>
        </w:rPr>
        <w:t>Market Reflective Surcharge</w:t>
      </w:r>
      <w:r w:rsidRPr="002B5FB0">
        <w:rPr>
          <w:noProof/>
        </w:rPr>
        <w:t>, MRS) care urma să fie aplicată la calcularea ratelor minime ale primelor (</w:t>
      </w:r>
      <w:r w:rsidRPr="002B5FB0">
        <w:rPr>
          <w:i/>
          <w:iCs/>
          <w:noProof/>
        </w:rPr>
        <w:t>Minimum Premium Rates</w:t>
      </w:r>
      <w:r w:rsidRPr="002B5FB0">
        <w:rPr>
          <w:noProof/>
        </w:rPr>
        <w:t>, MPR) pentru tranzacțiile în temeiul ISA, astfel cum se prevede în secțiunea 2 din apendicele II.</w:t>
      </w:r>
    </w:p>
    <w:p w:rsidR="00BB3850" w:rsidRPr="002B5FB0" w:rsidRDefault="00642422" w:rsidP="29BE6E28">
      <w:pPr>
        <w:rPr>
          <w:noProof/>
        </w:rPr>
      </w:pPr>
      <w:r w:rsidRPr="002B5FB0">
        <w:rPr>
          <w:noProof/>
        </w:rPr>
        <w:t xml:space="preserve">MCS este o medie mobilă de 90 de zile a marjelor mediane ale creditelor publicate de agenția Moody’s, cu o durată medie de 7 ani. Acestea sunt furnizate de agenția Moody’s Secretariatului OCDE pe baza unor acorduri contractuale trianuale care au fost renovate de la primul acord semnat în 2011. </w:t>
      </w:r>
    </w:p>
    <w:p w:rsidR="00CE4FAC" w:rsidRPr="002B5FB0" w:rsidRDefault="00BB3850" w:rsidP="29BE6E28">
      <w:pPr>
        <w:rPr>
          <w:noProof/>
        </w:rPr>
      </w:pPr>
      <w:r w:rsidRPr="002B5FB0">
        <w:rPr>
          <w:noProof/>
        </w:rPr>
        <w:t xml:space="preserve">Ca urmare a tranziției de la LIBOR la SOFR în 2023, agenția Moody’s a început să furnizeze date MCS numai pe baza SOFR, mai degrabă decât LIBOR. Această schimbare a ratei de </w:t>
      </w:r>
      <w:r w:rsidRPr="002B5FB0">
        <w:rPr>
          <w:noProof/>
        </w:rPr>
        <w:lastRenderedPageBreak/>
        <w:t xml:space="preserve">bază are ca rezultat o valoare mai mare pentru MCS, penalizând astfel prima de risc. Introducerea unei marje de ajustare a creditului (CAS) urmărește să compenseze această creștere. CAS a fost stabilită temporar la -29 de puncte de bază, reflectând diferența medie a MCS, de când agenția Moody’s și-a modificat rata de bază de la LIBOR la SOFR. </w:t>
      </w:r>
    </w:p>
    <w:p w:rsidR="005C3603" w:rsidRPr="002B5FB0" w:rsidRDefault="5F2AA6A8" w:rsidP="29BE6E28">
      <w:pPr>
        <w:rPr>
          <w:noProof/>
        </w:rPr>
      </w:pPr>
      <w:r w:rsidRPr="002B5FB0">
        <w:rPr>
          <w:noProof/>
        </w:rPr>
        <w:t xml:space="preserve">Având în vedere acest lucru, UE sprijină eforturile depuse pentru a ajusta calcularea MRS astfel încât să compenseze suprataxa suplimentară care rezultă dintr-o schimbare a ratei de bază în urma întreruperii LIBOR. Modificarea avută în vedere, prin stabilirea unei CAS fixe de -29 de puncte de bază, permite compensarea creșterii MCS și oferă predictibilitate producătorilor de aeronave și altor utilizatori ai ISA. Prin urmare, se recomandă ca poziția Uniunii în cadrul procedurii scrise a participanților la ISA să fie aceea de a aproba decizia avută în vedere de a introduce o CAS fixă de -29 de puncte de bază în MCS pentru calcularea MRS, astfel cum se prevede în secțiunea 2 din apendicele II. </w:t>
      </w:r>
    </w:p>
    <w:p w:rsidR="005C3603" w:rsidRPr="002B5FB0" w:rsidRDefault="002F2273">
      <w:pPr>
        <w:pStyle w:val="ManualHeading1"/>
        <w:rPr>
          <w:noProof/>
        </w:rPr>
      </w:pPr>
      <w:r w:rsidRPr="002B5FB0">
        <w:rPr>
          <w:noProof/>
        </w:rPr>
        <w:t>4.</w:t>
      </w:r>
      <w:r w:rsidRPr="002B5FB0">
        <w:rPr>
          <w:noProof/>
        </w:rPr>
        <w:tab/>
        <w:t>Temeiul juridic</w:t>
      </w:r>
    </w:p>
    <w:p w:rsidR="005C3603" w:rsidRPr="002B5FB0" w:rsidRDefault="002F2273">
      <w:pPr>
        <w:pStyle w:val="ManualHeading2"/>
        <w:rPr>
          <w:noProof/>
        </w:rPr>
      </w:pPr>
      <w:r w:rsidRPr="002B5FB0">
        <w:rPr>
          <w:noProof/>
        </w:rPr>
        <w:t>4.1.</w:t>
      </w:r>
      <w:r w:rsidRPr="002B5FB0">
        <w:rPr>
          <w:noProof/>
        </w:rPr>
        <w:tab/>
        <w:t>Temeiul juridic procedural</w:t>
      </w:r>
    </w:p>
    <w:p w:rsidR="005C3603" w:rsidRPr="002B5FB0" w:rsidRDefault="002F2273">
      <w:pPr>
        <w:pStyle w:val="ManualHeading3"/>
        <w:rPr>
          <w:noProof/>
        </w:rPr>
      </w:pPr>
      <w:r w:rsidRPr="002B5FB0">
        <w:rPr>
          <w:noProof/>
        </w:rPr>
        <w:t>4.1.1.</w:t>
      </w:r>
      <w:r w:rsidRPr="002B5FB0">
        <w:rPr>
          <w:noProof/>
        </w:rPr>
        <w:tab/>
        <w:t>Principii</w:t>
      </w:r>
    </w:p>
    <w:p w:rsidR="005C3603" w:rsidRPr="002B5FB0" w:rsidRDefault="002F2273">
      <w:pPr>
        <w:rPr>
          <w:noProof/>
        </w:rPr>
      </w:pPr>
      <w:r w:rsidRPr="002B5FB0">
        <w:rPr>
          <w:noProof/>
        </w:rPr>
        <w:t>Articolul 218 alineatul (9)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5C3603" w:rsidRPr="002B5FB0" w:rsidRDefault="39005C4F">
      <w:pPr>
        <w:rPr>
          <w:noProof/>
        </w:rPr>
      </w:pPr>
      <w:r w:rsidRPr="002B5FB0">
        <w:rPr>
          <w:noProof/>
        </w:rPr>
        <w:t>Conceptul de „acte cu efecte juridice” include actele care au efecte juridice în temeiul normelor de drept internațional aplicabile organismului în cauză. Sunt, de asemenea, incluse instrumente care nu au efect obligatoriu în temeiul dreptului internațional, dar care „au vocația de a influența în mod decisiv conținutul reglementării adoptate de legiuitorul Uniunii”</w:t>
      </w:r>
      <w:r w:rsidRPr="002B5FB0">
        <w:rPr>
          <w:rStyle w:val="FootnoteReference"/>
          <w:noProof/>
        </w:rPr>
        <w:footnoteReference w:id="4"/>
      </w:r>
      <w:r w:rsidRPr="002B5FB0">
        <w:rPr>
          <w:noProof/>
        </w:rPr>
        <w:t>.</w:t>
      </w:r>
    </w:p>
    <w:p w:rsidR="005C3603" w:rsidRPr="002B5FB0" w:rsidRDefault="002F2273">
      <w:pPr>
        <w:pStyle w:val="ManualHeading3"/>
        <w:rPr>
          <w:noProof/>
        </w:rPr>
      </w:pPr>
      <w:r w:rsidRPr="002B5FB0">
        <w:rPr>
          <w:noProof/>
        </w:rPr>
        <w:t>4.1.2.</w:t>
      </w:r>
      <w:r w:rsidRPr="002B5FB0">
        <w:rPr>
          <w:noProof/>
        </w:rPr>
        <w:tab/>
        <w:t>Aplicarea la cazul în discuție</w:t>
      </w:r>
    </w:p>
    <w:p w:rsidR="005C3603" w:rsidRPr="002B5FB0" w:rsidRDefault="002F2273">
      <w:pPr>
        <w:rPr>
          <w:noProof/>
        </w:rPr>
      </w:pPr>
      <w:r w:rsidRPr="002B5FB0">
        <w:rPr>
          <w:noProof/>
        </w:rPr>
        <w:t>Actul avut în vedere are vocația de a influența în mod decisiv conținutul legislației UE, și anume Regulamentul (UE) nr. 1233/2011 al Parlamentului European și al Consiliului din 16 noiembrie 2011 privind aplicarea anumitor orientări în domeniul creditelor la export care beneficiază de susținere oficială și de abrogare a Deciziilor 2001/76/CE și 2001/77/CE ale Consiliului. Acest lucru se întâmplă deoarece articolul 2 din regulamentul menționat prevede că „Comisia este împuternicită să adopte acte delegate, în conformitate cu articolul 3, pentru a modifica anexa II ca urmare a modificării orientărilor convenite între participanții la acord”.</w:t>
      </w:r>
    </w:p>
    <w:p w:rsidR="00EE6925" w:rsidRPr="002B5FB0" w:rsidRDefault="00EE6925">
      <w:pPr>
        <w:rPr>
          <w:noProof/>
        </w:rPr>
      </w:pPr>
      <w:r w:rsidRPr="002B5FB0">
        <w:rPr>
          <w:noProof/>
        </w:rPr>
        <w:t>Modificarea preconizată a ISA va fi adoptată prin procedura scrisă a participanților la ISA sub auspiciile OCDE.</w:t>
      </w:r>
    </w:p>
    <w:p w:rsidR="005C3603" w:rsidRPr="002B5FB0" w:rsidRDefault="002F2273">
      <w:pPr>
        <w:rPr>
          <w:noProof/>
        </w:rPr>
      </w:pPr>
      <w:r w:rsidRPr="002B5FB0">
        <w:rPr>
          <w:noProof/>
        </w:rPr>
        <w:t>În consecință, temeiul juridic procedural al propunerii de decizie este articolul 218 alineatul (9) din TFUE.</w:t>
      </w:r>
    </w:p>
    <w:p w:rsidR="005C3603" w:rsidRPr="002B5FB0" w:rsidRDefault="002F2273">
      <w:pPr>
        <w:pStyle w:val="ManualHeading2"/>
        <w:rPr>
          <w:noProof/>
        </w:rPr>
      </w:pPr>
      <w:r w:rsidRPr="002B5FB0">
        <w:rPr>
          <w:noProof/>
        </w:rPr>
        <w:t>4.2.</w:t>
      </w:r>
      <w:r w:rsidRPr="002B5FB0">
        <w:rPr>
          <w:noProof/>
        </w:rPr>
        <w:tab/>
        <w:t>Temeiul juridic material</w:t>
      </w:r>
    </w:p>
    <w:p w:rsidR="005C3603" w:rsidRPr="002B5FB0" w:rsidRDefault="002F2273">
      <w:pPr>
        <w:pStyle w:val="ManualHeading3"/>
        <w:rPr>
          <w:noProof/>
        </w:rPr>
      </w:pPr>
      <w:r w:rsidRPr="002B5FB0">
        <w:rPr>
          <w:noProof/>
        </w:rPr>
        <w:t>4.2.1.</w:t>
      </w:r>
      <w:r w:rsidRPr="002B5FB0">
        <w:rPr>
          <w:noProof/>
        </w:rPr>
        <w:tab/>
        <w:t>Principii</w:t>
      </w:r>
    </w:p>
    <w:p w:rsidR="005C3603" w:rsidRPr="002B5FB0" w:rsidRDefault="002F2273">
      <w:pPr>
        <w:rPr>
          <w:noProof/>
        </w:rPr>
      </w:pPr>
      <w:r w:rsidRPr="002B5FB0">
        <w:rPr>
          <w:noProof/>
        </w:rPr>
        <w:t xml:space="preserve">Temeiul juridic material al unei decizii adoptate în temeiul articolului 218 alineatul (9) din TFUE depinde în primul rând de obiectivul și de conținutul actului avut în vedere cu privire la </w:t>
      </w:r>
      <w:r w:rsidRPr="002B5FB0">
        <w:rPr>
          <w:noProof/>
        </w:rPr>
        <w:lastRenderedPageBreak/>
        <w:t>care o poziție este luată în numele Uniunii. În cazul în care actul avut în vedere urmărește două obiective sau cuprinde două elemente, iar unul dintre aceste obiective sau elemente poate fi identificat ca fiind obiectivul sau elementul principal, pe când celălalt obiectiv sau element are mai degrabă caracter accesoriu, decizia adoptată în temeiul articolului 218 alineatul (9) din TFUE trebuie să se întemeieze pe un singur temei juridic material, și anume cel impus de obiectivul sau elementul principal sau predominant.</w:t>
      </w:r>
    </w:p>
    <w:p w:rsidR="005C3603" w:rsidRPr="002B5FB0" w:rsidRDefault="002F2273">
      <w:pPr>
        <w:pStyle w:val="ManualHeading3"/>
        <w:rPr>
          <w:noProof/>
        </w:rPr>
      </w:pPr>
      <w:r w:rsidRPr="002B5FB0">
        <w:rPr>
          <w:noProof/>
        </w:rPr>
        <w:t>4.2.2.</w:t>
      </w:r>
      <w:r w:rsidRPr="002B5FB0">
        <w:rPr>
          <w:noProof/>
        </w:rPr>
        <w:tab/>
        <w:t>Aplicarea la cazul în discuție</w:t>
      </w:r>
    </w:p>
    <w:p w:rsidR="005C3603" w:rsidRPr="002B5FB0" w:rsidRDefault="002F2273">
      <w:pPr>
        <w:rPr>
          <w:noProof/>
        </w:rPr>
      </w:pPr>
      <w:r w:rsidRPr="002B5FB0">
        <w:rPr>
          <w:noProof/>
        </w:rPr>
        <w:t>Obiectivul principal și conținutul actului avut în vedere se referă la creditele la export, care se încadrează în domeniul de aplicare al politicii comerciale comune. Prin urmare, temeiul juridic material al deciziei propuse este articolul 207 din TFUE.</w:t>
      </w:r>
    </w:p>
    <w:p w:rsidR="005C3603" w:rsidRPr="002B5FB0" w:rsidRDefault="002F2273">
      <w:pPr>
        <w:pStyle w:val="ManualHeading2"/>
        <w:rPr>
          <w:noProof/>
        </w:rPr>
      </w:pPr>
      <w:r w:rsidRPr="002B5FB0">
        <w:rPr>
          <w:noProof/>
        </w:rPr>
        <w:t>4.3.</w:t>
      </w:r>
      <w:r w:rsidRPr="002B5FB0">
        <w:rPr>
          <w:noProof/>
        </w:rPr>
        <w:tab/>
        <w:t>Concluzii</w:t>
      </w:r>
    </w:p>
    <w:p w:rsidR="005C3603" w:rsidRPr="002B5FB0" w:rsidRDefault="002F2273">
      <w:pPr>
        <w:rPr>
          <w:noProof/>
        </w:rPr>
      </w:pPr>
      <w:r w:rsidRPr="002B5FB0">
        <w:rPr>
          <w:noProof/>
        </w:rPr>
        <w:t>Este necesar ca temeiul juridic al deciziei propuse să fie articolul 207 alineatul (4) primul paragraf din TFUE coroborat cu articolul 218 alineatul (9) din TFUE.</w:t>
      </w:r>
    </w:p>
    <w:p w:rsidR="00CC04D4" w:rsidRPr="002B5FB0" w:rsidRDefault="007726D3" w:rsidP="007726D3">
      <w:pPr>
        <w:pStyle w:val="ManualHeading1"/>
        <w:rPr>
          <w:noProof/>
        </w:rPr>
      </w:pPr>
      <w:r w:rsidRPr="002B5FB0">
        <w:rPr>
          <w:noProof/>
        </w:rPr>
        <w:t>5.</w:t>
      </w:r>
      <w:r w:rsidRPr="002B5FB0">
        <w:rPr>
          <w:noProof/>
        </w:rPr>
        <w:tab/>
        <w:t>Publicarea actului avut în vedere</w:t>
      </w:r>
    </w:p>
    <w:p w:rsidR="00FB5C63" w:rsidRPr="002B5FB0" w:rsidRDefault="00CC04D4" w:rsidP="00CC04D4">
      <w:pPr>
        <w:rPr>
          <w:noProof/>
        </w:rPr>
      </w:pPr>
      <w:r w:rsidRPr="002B5FB0">
        <w:rPr>
          <w:noProof/>
        </w:rPr>
        <w:t>Întrucât modificările propuse vor modifica Acordul privind creditele la export care beneficiază de susținere oficială care, la rândul său, va necesita o modificare a anexei II la Regulamentul (UE) nr. 1233/2011 în temeiul articolului 2 din regulamentul respectiv, este oportun ca acesta să fie publicat în Jurnalul Oficial al Uniunii Europene după acceptarea lui.</w:t>
      </w:r>
    </w:p>
    <w:p w:rsidR="00FB5C63" w:rsidRPr="002B5FB0" w:rsidRDefault="00FB5C63" w:rsidP="00CC04D4">
      <w:pPr>
        <w:rPr>
          <w:noProof/>
        </w:rPr>
        <w:sectPr w:rsidR="00FB5C63" w:rsidRPr="002B5FB0" w:rsidSect="00A0250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F50035" w:rsidRDefault="007E10FA">
      <w:pPr>
        <w:pStyle w:val="Rfrenceinterinstitutionnelle"/>
        <w:rPr>
          <w:noProof/>
        </w:rPr>
      </w:pPr>
      <w:r>
        <w:rPr>
          <w:noProof/>
        </w:rPr>
        <w:lastRenderedPageBreak/>
        <w:t>2026/0043 (NLE)</w:t>
      </w:r>
    </w:p>
    <w:p w:rsidR="005C3603" w:rsidRPr="002B5FB0" w:rsidRDefault="00E35A92" w:rsidP="00E35A92">
      <w:pPr>
        <w:pStyle w:val="Statut"/>
        <w:rPr>
          <w:noProof/>
        </w:rPr>
      </w:pPr>
      <w:r w:rsidRPr="002B5FB0">
        <w:rPr>
          <w:noProof/>
        </w:rPr>
        <w:t>Propunere de</w:t>
      </w:r>
    </w:p>
    <w:p w:rsidR="005C3603" w:rsidRPr="002B5FB0" w:rsidRDefault="00E35A92" w:rsidP="00E35A92">
      <w:pPr>
        <w:pStyle w:val="Typedudocument"/>
        <w:rPr>
          <w:noProof/>
        </w:rPr>
      </w:pPr>
      <w:r w:rsidRPr="002B5FB0">
        <w:rPr>
          <w:noProof/>
        </w:rPr>
        <w:t>DECIZIE A CONSILIULUI</w:t>
      </w:r>
    </w:p>
    <w:p w:rsidR="005C3603" w:rsidRPr="002B5FB0" w:rsidRDefault="00E35A92" w:rsidP="00E35A92">
      <w:pPr>
        <w:pStyle w:val="Titreobjet"/>
        <w:rPr>
          <w:noProof/>
        </w:rPr>
      </w:pPr>
      <w:r w:rsidRPr="002B5FB0">
        <w:rPr>
          <w:noProof/>
        </w:rPr>
        <w:t xml:space="preserve">privind poziția care urmează să fie adoptată în numele Uniunii în cadrul procedurii scrise a participanților la Înțelegerea sectorială privind creditele la export pentru aeronave civile („ISA”) în ceea ce privește calcularea suprataxei care reflectă condițiile pieței  </w:t>
      </w:r>
    </w:p>
    <w:p w:rsidR="005C3603" w:rsidRPr="002B5FB0" w:rsidRDefault="002F2273">
      <w:pPr>
        <w:pStyle w:val="Institutionquiagit"/>
        <w:rPr>
          <w:noProof/>
        </w:rPr>
      </w:pPr>
      <w:r w:rsidRPr="002B5FB0">
        <w:rPr>
          <w:noProof/>
        </w:rPr>
        <w:t>CONSILIUL UNIUNII EUROPENE,</w:t>
      </w:r>
    </w:p>
    <w:p w:rsidR="005C3603" w:rsidRPr="002B5FB0" w:rsidRDefault="002F2273">
      <w:pPr>
        <w:rPr>
          <w:noProof/>
        </w:rPr>
      </w:pPr>
      <w:r w:rsidRPr="002B5FB0">
        <w:rPr>
          <w:noProof/>
        </w:rPr>
        <w:t>având în vedere Tratatul privind funcționarea Uniunii Europene, în special articolul 207 alineatul (4) primul paragraf, coroborat cu articolul 218 alineatul (9),</w:t>
      </w:r>
    </w:p>
    <w:p w:rsidR="005C3603" w:rsidRPr="002B5FB0" w:rsidRDefault="002F2273">
      <w:pPr>
        <w:rPr>
          <w:noProof/>
        </w:rPr>
      </w:pPr>
      <w:r w:rsidRPr="002B5FB0">
        <w:rPr>
          <w:noProof/>
        </w:rPr>
        <w:t>având în vedere propunerea Comisiei Europene,</w:t>
      </w:r>
    </w:p>
    <w:p w:rsidR="005C3603" w:rsidRPr="002B5FB0" w:rsidRDefault="002F2273">
      <w:pPr>
        <w:rPr>
          <w:noProof/>
        </w:rPr>
      </w:pPr>
      <w:r w:rsidRPr="002B5FB0">
        <w:rPr>
          <w:noProof/>
        </w:rPr>
        <w:t>întrucât:</w:t>
      </w:r>
    </w:p>
    <w:p w:rsidR="005C3603" w:rsidRPr="002B5FB0" w:rsidRDefault="002F2273" w:rsidP="000D6691">
      <w:pPr>
        <w:pStyle w:val="ManualConsidrant"/>
        <w:rPr>
          <w:noProof/>
        </w:rPr>
      </w:pPr>
      <w:r>
        <w:rPr>
          <w:noProof/>
        </w:rPr>
        <w:t>(1)</w:t>
      </w:r>
      <w:r>
        <w:rPr>
          <w:noProof/>
        </w:rPr>
        <w:tab/>
      </w:r>
      <w:r w:rsidRPr="002B5FB0">
        <w:rPr>
          <w:noProof/>
        </w:rPr>
        <w:t>Orientările cuprinse în Acordul privind creditele la export care beneficiază de susținere oficială (denumit în continuare „acordul”), inclusiv orientările cuprinse în Înțelegerea sectorială privind creditele la export pentru aeronave civile (denumită în continuare „Înțelegerea sectorială privind aeronavele sau „ISA”) prevăzută în anexa III la acord, au fost transpuse și au devenit astfel obligatorii din punct de vedere juridic în UE în temeiul Regulamentului (UE) nr. 1233/2011 al Parlamentului European și al Consiliului</w:t>
      </w:r>
      <w:r w:rsidRPr="002B5FB0">
        <w:rPr>
          <w:rStyle w:val="FootnoteReference"/>
          <w:noProof/>
        </w:rPr>
        <w:footnoteReference w:id="5"/>
      </w:r>
      <w:r w:rsidRPr="002B5FB0">
        <w:rPr>
          <w:noProof/>
        </w:rPr>
        <w:t>.</w:t>
      </w:r>
    </w:p>
    <w:p w:rsidR="00D41413" w:rsidRPr="002B5FB0" w:rsidRDefault="39005C4F" w:rsidP="00F32148">
      <w:pPr>
        <w:pStyle w:val="ManualConsidrant"/>
        <w:rPr>
          <w:rFonts w:eastAsiaTheme="minorEastAsia"/>
          <w:noProof/>
          <w:szCs w:val="24"/>
        </w:rPr>
      </w:pPr>
      <w:r>
        <w:rPr>
          <w:noProof/>
        </w:rPr>
        <w:t>(2)</w:t>
      </w:r>
      <w:r>
        <w:rPr>
          <w:noProof/>
        </w:rPr>
        <w:tab/>
      </w:r>
      <w:r w:rsidRPr="002B5FB0">
        <w:rPr>
          <w:noProof/>
        </w:rPr>
        <w:t xml:space="preserve">Modificarea avută în vedere a articolului 28 din apendicele II (Ratele minime ale primelor) la ISA urmărește să introducă o marjă permanentă de ajustare a creditului de -29 de puncte de bază pentru calcularea suprataxei care reflectă condițiile pieței și trebuie să compenseze efectele modificării ratei de bază de la LIBOR la SOFR după întreruperea LIBOR. </w:t>
      </w:r>
    </w:p>
    <w:p w:rsidR="005C3603" w:rsidRPr="002B5FB0" w:rsidRDefault="002F2273" w:rsidP="00F32148">
      <w:pPr>
        <w:pStyle w:val="ManualConsidrant"/>
        <w:rPr>
          <w:noProof/>
        </w:rPr>
      </w:pPr>
      <w:r>
        <w:rPr>
          <w:noProof/>
        </w:rPr>
        <w:t>(3)</w:t>
      </w:r>
      <w:r>
        <w:rPr>
          <w:noProof/>
        </w:rPr>
        <w:tab/>
      </w:r>
      <w:r w:rsidRPr="002B5FB0">
        <w:rPr>
          <w:noProof/>
        </w:rPr>
        <w:t>Este oportun să se stabilească poziția care trebuie adoptată, în numele Uniunii, în cadrul procedurii scrise a participanților la ISA, având în vedere că decizia avută în vedere va fi obligatorie pentru Uniune și de natură să influențeze în mod decisiv conținutul dreptului Uniunii, în temeiul articolului 2 din Regulamentul (UE) nr. 1233/2011,</w:t>
      </w:r>
    </w:p>
    <w:p w:rsidR="005C3603" w:rsidRPr="002B5FB0" w:rsidRDefault="002F2273">
      <w:pPr>
        <w:pStyle w:val="Formuledadoption"/>
        <w:rPr>
          <w:noProof/>
        </w:rPr>
      </w:pPr>
      <w:r w:rsidRPr="002B5FB0">
        <w:rPr>
          <w:noProof/>
        </w:rPr>
        <w:t>ADOPTĂ PREZENTA DECIZIE:</w:t>
      </w:r>
    </w:p>
    <w:p w:rsidR="005C3603" w:rsidRPr="002B5FB0" w:rsidRDefault="002F2273">
      <w:pPr>
        <w:pStyle w:val="Titrearticle"/>
        <w:rPr>
          <w:noProof/>
        </w:rPr>
      </w:pPr>
      <w:r w:rsidRPr="002B5FB0">
        <w:rPr>
          <w:noProof/>
        </w:rPr>
        <w:t>Articolul 1</w:t>
      </w:r>
    </w:p>
    <w:p w:rsidR="00574D05" w:rsidRPr="002B5FB0" w:rsidRDefault="1C2B1290" w:rsidP="00CC662E">
      <w:pPr>
        <w:rPr>
          <w:noProof/>
        </w:rPr>
      </w:pPr>
      <w:r w:rsidRPr="002B5FB0">
        <w:rPr>
          <w:noProof/>
        </w:rPr>
        <w:t xml:space="preserve">Poziția care urmează să fie adoptată în numele Uniunii în contextul Acordului privind creditele la export care beneficiază de susținere oficială în ceea ce privește calcularea suprataxei care reflectă condițiile pieței pentru înțelegerea sectorială privind aeronavele este </w:t>
      </w:r>
      <w:r w:rsidRPr="002B5FB0">
        <w:rPr>
          <w:noProof/>
        </w:rPr>
        <w:lastRenderedPageBreak/>
        <w:t>de a sprijini modificarea înțelegerii sectoriale privind aeronavele în conformitate cu anexa la prezenta decizie.</w:t>
      </w:r>
    </w:p>
    <w:p w:rsidR="005C3603" w:rsidRPr="002B5FB0" w:rsidRDefault="002F2273" w:rsidP="00E24BE8">
      <w:pPr>
        <w:pStyle w:val="Titrearticle"/>
        <w:rPr>
          <w:noProof/>
        </w:rPr>
      </w:pPr>
      <w:r w:rsidRPr="002B5FB0">
        <w:rPr>
          <w:noProof/>
        </w:rPr>
        <w:t>Articolul 2</w:t>
      </w:r>
    </w:p>
    <w:p w:rsidR="005C3603" w:rsidRPr="002B5FB0" w:rsidRDefault="002F2273">
      <w:pPr>
        <w:rPr>
          <w:noProof/>
        </w:rPr>
      </w:pPr>
      <w:r w:rsidRPr="002B5FB0">
        <w:rPr>
          <w:noProof/>
        </w:rPr>
        <w:t>Prezenta decizie intră în vigoare la data adoptării.</w:t>
      </w:r>
    </w:p>
    <w:p w:rsidR="005C3603" w:rsidRPr="002B5FB0" w:rsidRDefault="00E35A92" w:rsidP="00E24BE8">
      <w:pPr>
        <w:pStyle w:val="Fait"/>
        <w:rPr>
          <w:noProof/>
        </w:rPr>
      </w:pPr>
      <w:r>
        <w:rPr>
          <w:noProof/>
        </w:rPr>
        <w:t>Adoptată la Bruxelles,</w:t>
      </w:r>
    </w:p>
    <w:p w:rsidR="005C3603" w:rsidRPr="002B5FB0" w:rsidRDefault="002F2273" w:rsidP="00E24BE8">
      <w:pPr>
        <w:pStyle w:val="Institutionquisigne"/>
        <w:rPr>
          <w:noProof/>
        </w:rPr>
      </w:pPr>
      <w:r w:rsidRPr="002B5FB0">
        <w:rPr>
          <w:noProof/>
        </w:rPr>
        <w:tab/>
        <w:t>Pentru Consiliu</w:t>
      </w:r>
    </w:p>
    <w:p w:rsidR="00574D05" w:rsidRPr="002B5FB0" w:rsidRDefault="002F2273">
      <w:pPr>
        <w:pStyle w:val="Personnequisigne"/>
        <w:rPr>
          <w:noProof/>
        </w:rPr>
      </w:pPr>
      <w:r w:rsidRPr="002B5FB0">
        <w:rPr>
          <w:noProof/>
        </w:rPr>
        <w:tab/>
        <w:t>Președintele</w:t>
      </w:r>
    </w:p>
    <w:sectPr w:rsidR="00574D05" w:rsidRPr="002B5FB0" w:rsidSect="00A0250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2C0" w:rsidRPr="002B5FB0" w:rsidRDefault="00D932C0">
      <w:pPr>
        <w:spacing w:before="0" w:after="0"/>
      </w:pPr>
      <w:r w:rsidRPr="002B5FB0">
        <w:separator/>
      </w:r>
    </w:p>
  </w:endnote>
  <w:endnote w:type="continuationSeparator" w:id="0">
    <w:p w:rsidR="00D932C0" w:rsidRPr="002B5FB0" w:rsidRDefault="00D932C0">
      <w:pPr>
        <w:spacing w:before="0" w:after="0"/>
      </w:pPr>
      <w:r w:rsidRPr="002B5F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9" w:rsidRPr="00A02509" w:rsidRDefault="00A02509" w:rsidP="00A02509">
    <w:pPr>
      <w:pStyle w:val="Footer"/>
      <w:rPr>
        <w:rFonts w:ascii="Arial" w:hAnsi="Arial" w:cs="Arial"/>
        <w:b/>
        <w:sz w:val="48"/>
      </w:rPr>
    </w:pPr>
    <w:r w:rsidRPr="00A02509">
      <w:rPr>
        <w:rFonts w:ascii="Arial" w:hAnsi="Arial" w:cs="Arial"/>
        <w:b/>
        <w:sz w:val="48"/>
      </w:rPr>
      <w:t>RO</w:t>
    </w:r>
    <w:r w:rsidRPr="00A02509">
      <w:rPr>
        <w:rFonts w:ascii="Arial" w:hAnsi="Arial" w:cs="Arial"/>
        <w:b/>
        <w:sz w:val="48"/>
      </w:rPr>
      <w:tab/>
    </w:r>
    <w:r w:rsidRPr="00A02509">
      <w:rPr>
        <w:rFonts w:ascii="Arial" w:hAnsi="Arial" w:cs="Arial"/>
        <w:b/>
        <w:sz w:val="48"/>
      </w:rPr>
      <w:tab/>
    </w:r>
    <w:r w:rsidRPr="00A02509">
      <w:tab/>
    </w:r>
    <w:r w:rsidRPr="00A0250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9" w:rsidRPr="00A02509" w:rsidRDefault="00A02509" w:rsidP="00A02509">
    <w:pPr>
      <w:pStyle w:val="Footer"/>
      <w:rPr>
        <w:rFonts w:ascii="Arial" w:hAnsi="Arial" w:cs="Arial"/>
        <w:b/>
        <w:sz w:val="48"/>
      </w:rPr>
    </w:pPr>
    <w:r w:rsidRPr="00A02509">
      <w:rPr>
        <w:rFonts w:ascii="Arial" w:hAnsi="Arial" w:cs="Arial"/>
        <w:b/>
        <w:sz w:val="48"/>
      </w:rPr>
      <w:t>RO</w:t>
    </w:r>
    <w:r w:rsidRPr="00A02509">
      <w:rPr>
        <w:rFonts w:ascii="Arial" w:hAnsi="Arial" w:cs="Arial"/>
        <w:b/>
        <w:sz w:val="48"/>
      </w:rPr>
      <w:tab/>
    </w:r>
    <w:r w:rsidRPr="00A02509">
      <w:rPr>
        <w:rFonts w:ascii="Arial" w:hAnsi="Arial" w:cs="Arial"/>
        <w:b/>
        <w:sz w:val="48"/>
      </w:rPr>
      <w:tab/>
    </w:r>
    <w:r w:rsidRPr="00A02509">
      <w:tab/>
    </w:r>
    <w:r w:rsidRPr="00A0250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9" w:rsidRDefault="00A025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9" w:rsidRPr="00A02509" w:rsidRDefault="00A02509" w:rsidP="00A02509">
    <w:pPr>
      <w:pStyle w:val="Footer"/>
      <w:rPr>
        <w:rFonts w:ascii="Arial" w:hAnsi="Arial" w:cs="Arial"/>
        <w:b/>
        <w:sz w:val="48"/>
      </w:rPr>
    </w:pPr>
    <w:r w:rsidRPr="00A02509">
      <w:rPr>
        <w:rFonts w:ascii="Arial" w:hAnsi="Arial" w:cs="Arial"/>
        <w:b/>
        <w:sz w:val="48"/>
      </w:rPr>
      <w:t>RO</w:t>
    </w:r>
    <w:r w:rsidRPr="00A02509">
      <w:rPr>
        <w:rFonts w:ascii="Arial" w:hAnsi="Arial" w:cs="Arial"/>
        <w:b/>
        <w:sz w:val="48"/>
      </w:rPr>
      <w:tab/>
    </w:r>
    <w:r>
      <w:fldChar w:fldCharType="begin"/>
    </w:r>
    <w:r>
      <w:instrText xml:space="preserve"> PAGE  \* MERGEFORMAT </w:instrText>
    </w:r>
    <w:r>
      <w:fldChar w:fldCharType="separate"/>
    </w:r>
    <w:r w:rsidR="00E24BE8">
      <w:rPr>
        <w:noProof/>
      </w:rPr>
      <w:t>6</w:t>
    </w:r>
    <w:r>
      <w:fldChar w:fldCharType="end"/>
    </w:r>
    <w:r>
      <w:tab/>
    </w:r>
    <w:r w:rsidRPr="00A02509">
      <w:tab/>
    </w:r>
    <w:r w:rsidRPr="00A0250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9" w:rsidRDefault="00A02509" w:rsidP="00A025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2C0" w:rsidRPr="002B5FB0" w:rsidRDefault="00D932C0">
      <w:pPr>
        <w:spacing w:before="0" w:after="0"/>
      </w:pPr>
      <w:r w:rsidRPr="002B5FB0">
        <w:separator/>
      </w:r>
    </w:p>
  </w:footnote>
  <w:footnote w:type="continuationSeparator" w:id="0">
    <w:p w:rsidR="00D932C0" w:rsidRPr="002B5FB0" w:rsidRDefault="00D932C0">
      <w:pPr>
        <w:spacing w:before="0" w:after="0"/>
      </w:pPr>
      <w:r w:rsidRPr="002B5FB0">
        <w:continuationSeparator/>
      </w:r>
    </w:p>
  </w:footnote>
  <w:footnote w:id="1">
    <w:p w:rsidR="6D89A322" w:rsidRPr="002B5FB0" w:rsidRDefault="6D89A322" w:rsidP="6D89A322">
      <w:pPr>
        <w:pStyle w:val="FootnoteText"/>
      </w:pPr>
      <w:r w:rsidRPr="002B5FB0">
        <w:rPr>
          <w:rStyle w:val="FootnoteReference"/>
        </w:rPr>
        <w:footnoteRef/>
      </w:r>
      <w:r w:rsidRPr="002B5FB0">
        <w:tab/>
        <w:t xml:space="preserve">Conform definiției de la articolul 5 din Convenția OCDE. </w:t>
      </w:r>
    </w:p>
  </w:footnote>
  <w:footnote w:id="2">
    <w:p w:rsidR="6D89A322" w:rsidRPr="002B5FB0" w:rsidRDefault="6D89A322" w:rsidP="6D89A322">
      <w:pPr>
        <w:pStyle w:val="FootnoteText"/>
      </w:pPr>
      <w:r w:rsidRPr="002B5FB0">
        <w:rPr>
          <w:rStyle w:val="FootnoteReference"/>
        </w:rPr>
        <w:footnoteRef/>
      </w:r>
      <w:r w:rsidRPr="002B5FB0">
        <w:tab/>
        <w:t>Regulamentul (UE) nr. 1233/2011 al Parlamentului European și al Consiliului din 16 noiembrie 2011 privind aplicarea anumitor orientări în domeniul creditelor la export care beneficiază de susținere oficială și de abrogare a Deciziilor 2001/76/CE și 2001/77/CE (JO L 326, 8.12.2011, p. 45).</w:t>
      </w:r>
    </w:p>
  </w:footnote>
  <w:footnote w:id="3">
    <w:p w:rsidR="003B67AF" w:rsidRPr="002B5FB0" w:rsidRDefault="003B67AF" w:rsidP="003B67AF">
      <w:pPr>
        <w:pStyle w:val="FootnoteText"/>
      </w:pPr>
      <w:r w:rsidRPr="002B5FB0">
        <w:rPr>
          <w:rStyle w:val="FootnoteReference"/>
        </w:rPr>
        <w:footnoteRef/>
      </w:r>
      <w:r w:rsidRPr="002B5FB0">
        <w:tab/>
        <w:t>Participanții sunt în mare măsură aceiași ca în cadrul acordului, cu diferența că Brazilia este participant la ISA, dar nu și la acord, în timp ce Turcia nu participă la ISA, dar participă la acord.</w:t>
      </w:r>
    </w:p>
  </w:footnote>
  <w:footnote w:id="4">
    <w:p w:rsidR="005C3603" w:rsidRPr="002B5FB0" w:rsidRDefault="002F2273">
      <w:pPr>
        <w:pStyle w:val="FootnoteText"/>
      </w:pPr>
      <w:r w:rsidRPr="002B5FB0">
        <w:rPr>
          <w:rStyle w:val="FootnoteReference"/>
        </w:rPr>
        <w:footnoteRef/>
      </w:r>
      <w:r w:rsidRPr="002B5FB0">
        <w:tab/>
        <w:t xml:space="preserve">Hotărârea Curții de Justiție din 7 octombrie 2014, Germania/Consiliul, C-399/12, ECLI:EU:C:2014:2258, punctele 61-64. </w:t>
      </w:r>
    </w:p>
  </w:footnote>
  <w:footnote w:id="5">
    <w:p w:rsidR="005C3603" w:rsidRPr="00E35A92" w:rsidRDefault="002F2273">
      <w:pPr>
        <w:pStyle w:val="FootnoteText"/>
        <w:rPr>
          <w:lang w:val="fr-FR"/>
        </w:rPr>
      </w:pPr>
      <w:r w:rsidRPr="002B5FB0">
        <w:rPr>
          <w:rStyle w:val="FootnoteReference"/>
        </w:rPr>
        <w:footnoteRef/>
      </w:r>
      <w:r w:rsidRPr="002B5FB0">
        <w:tab/>
        <w:t>Regulamentul (UE) nr. 1233/2011 al Parlamentului European și al Consiliului din 16 noiembrie 2011 privind aplicarea anumitor orientări în domeniul creditelor la export care beneficiază de susținere oficială și de abrogare a Deciziilor 2001/76/CE și 2001/77/CE (JO L 326, 8.12.2011, p. 45) [denumit în continuare „Regulamentul (UE) nr. 1233/2011”].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9" w:rsidRDefault="00A025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9" w:rsidRDefault="00A025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DA92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3D89D8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034BE8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52A9E6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29A69C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05A9D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C5624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02EFDE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7"/>
  </w:num>
  <w:num w:numId="3">
    <w:abstractNumId w:val="5"/>
  </w:num>
  <w:num w:numId="4">
    <w:abstractNumId w:val="4"/>
  </w:num>
  <w:num w:numId="5">
    <w:abstractNumId w:val="3"/>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2-09 16:09: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1873A1B-0D8E-4F2E-89E9-7C760EE5DCE7"/>
    <w:docVar w:name="LW_COVERPAGE_TYPE" w:val="1"/>
    <w:docVar w:name="LW_CROSSREFERENCE" w:val="&lt;UNUSED&gt;"/>
    <w:docVar w:name="LW_DocType" w:val="COM"/>
    <w:docVar w:name="LW_EMISSION" w:val="3.2.2026"/>
    <w:docVar w:name="LW_EMISSION_ISODATE" w:val="2026-02-0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43"/>
    <w:docVar w:name="LW_REF.II.NEW.CP_YEAR" w:val="2026"/>
    <w:docVar w:name="LW_REF.INST.NEW" w:val="COM"/>
    <w:docVar w:name="LW_REF.INST.NEW_ADOPTED" w:val="final"/>
    <w:docVar w:name="LW_REF.INST.NEW_TEXT" w:val="(2026) 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în cadrul procedurii scrise a participan\u539?ilor la În\u539?elegerea sectorial\u259? privind creditele la export pentru aeronave civile (\u8222?ISA\u8221?) în ceea ce prive\u537?te calcularea suprataxei care reflect\u259? condi\u539?iile pie\u539?ei  "/>
    <w:docVar w:name="LW_TYPE.DOC.CP" w:val="DECIZIE A CONSILIULUI"/>
    <w:docVar w:name="LwApiVersions" w:val="LW4CoDe 1.24.5.0; LW 9.2, Build 20251112"/>
  </w:docVars>
  <w:rsids>
    <w:rsidRoot w:val="005C3603"/>
    <w:rsid w:val="000160E1"/>
    <w:rsid w:val="000251A0"/>
    <w:rsid w:val="0004066B"/>
    <w:rsid w:val="00054EF4"/>
    <w:rsid w:val="00060ED2"/>
    <w:rsid w:val="00066C27"/>
    <w:rsid w:val="00085204"/>
    <w:rsid w:val="000A2811"/>
    <w:rsid w:val="000D6691"/>
    <w:rsid w:val="000E7B22"/>
    <w:rsid w:val="00114EB3"/>
    <w:rsid w:val="00127C8C"/>
    <w:rsid w:val="001433FC"/>
    <w:rsid w:val="00152D2D"/>
    <w:rsid w:val="001557FB"/>
    <w:rsid w:val="0016440E"/>
    <w:rsid w:val="00183A23"/>
    <w:rsid w:val="00187050"/>
    <w:rsid w:val="00192167"/>
    <w:rsid w:val="0019646E"/>
    <w:rsid w:val="001B6FA3"/>
    <w:rsid w:val="001D6622"/>
    <w:rsid w:val="001E28F8"/>
    <w:rsid w:val="001E63C7"/>
    <w:rsid w:val="001F724E"/>
    <w:rsid w:val="0023281F"/>
    <w:rsid w:val="00236475"/>
    <w:rsid w:val="00243EA2"/>
    <w:rsid w:val="00263FC5"/>
    <w:rsid w:val="00265393"/>
    <w:rsid w:val="00293644"/>
    <w:rsid w:val="002B5FB0"/>
    <w:rsid w:val="002D11F2"/>
    <w:rsid w:val="002F2273"/>
    <w:rsid w:val="00322093"/>
    <w:rsid w:val="00327795"/>
    <w:rsid w:val="00333B67"/>
    <w:rsid w:val="0033764E"/>
    <w:rsid w:val="003415AC"/>
    <w:rsid w:val="00361751"/>
    <w:rsid w:val="003641A0"/>
    <w:rsid w:val="003674A0"/>
    <w:rsid w:val="003674EB"/>
    <w:rsid w:val="003A610B"/>
    <w:rsid w:val="003B3209"/>
    <w:rsid w:val="003B67AF"/>
    <w:rsid w:val="003C5B00"/>
    <w:rsid w:val="003E5F71"/>
    <w:rsid w:val="003E7E9D"/>
    <w:rsid w:val="003F2604"/>
    <w:rsid w:val="00411E5B"/>
    <w:rsid w:val="00416849"/>
    <w:rsid w:val="0042CD9E"/>
    <w:rsid w:val="004376DE"/>
    <w:rsid w:val="00464C18"/>
    <w:rsid w:val="004763C0"/>
    <w:rsid w:val="00495B6E"/>
    <w:rsid w:val="004D1DA7"/>
    <w:rsid w:val="004F3BB2"/>
    <w:rsid w:val="00504DBF"/>
    <w:rsid w:val="00516467"/>
    <w:rsid w:val="0053166A"/>
    <w:rsid w:val="0054024F"/>
    <w:rsid w:val="00543989"/>
    <w:rsid w:val="00544154"/>
    <w:rsid w:val="00560653"/>
    <w:rsid w:val="005715C9"/>
    <w:rsid w:val="00574D05"/>
    <w:rsid w:val="005845C6"/>
    <w:rsid w:val="005B1497"/>
    <w:rsid w:val="005B60C2"/>
    <w:rsid w:val="005C3603"/>
    <w:rsid w:val="005E4D8D"/>
    <w:rsid w:val="00602093"/>
    <w:rsid w:val="0062708B"/>
    <w:rsid w:val="006370E1"/>
    <w:rsid w:val="00642422"/>
    <w:rsid w:val="00642D1D"/>
    <w:rsid w:val="00643B0F"/>
    <w:rsid w:val="00646AE6"/>
    <w:rsid w:val="00667721"/>
    <w:rsid w:val="00670D5F"/>
    <w:rsid w:val="00677BBE"/>
    <w:rsid w:val="00685301"/>
    <w:rsid w:val="00685D82"/>
    <w:rsid w:val="00694618"/>
    <w:rsid w:val="00697287"/>
    <w:rsid w:val="006A2D08"/>
    <w:rsid w:val="006E2ABF"/>
    <w:rsid w:val="006E4E73"/>
    <w:rsid w:val="0072017F"/>
    <w:rsid w:val="00723E83"/>
    <w:rsid w:val="00724C2A"/>
    <w:rsid w:val="00725680"/>
    <w:rsid w:val="00735362"/>
    <w:rsid w:val="0075774E"/>
    <w:rsid w:val="007726D3"/>
    <w:rsid w:val="007731E9"/>
    <w:rsid w:val="00775F4A"/>
    <w:rsid w:val="00792B2A"/>
    <w:rsid w:val="007A5396"/>
    <w:rsid w:val="007B6093"/>
    <w:rsid w:val="007E4911"/>
    <w:rsid w:val="007F2B5E"/>
    <w:rsid w:val="00806425"/>
    <w:rsid w:val="0080676F"/>
    <w:rsid w:val="00840E16"/>
    <w:rsid w:val="00845AEB"/>
    <w:rsid w:val="008655B1"/>
    <w:rsid w:val="0087543B"/>
    <w:rsid w:val="00886A7B"/>
    <w:rsid w:val="008970D5"/>
    <w:rsid w:val="008B6BAA"/>
    <w:rsid w:val="008B7E68"/>
    <w:rsid w:val="008D441F"/>
    <w:rsid w:val="008F2446"/>
    <w:rsid w:val="008F2995"/>
    <w:rsid w:val="008F6C2A"/>
    <w:rsid w:val="009064ED"/>
    <w:rsid w:val="0091734B"/>
    <w:rsid w:val="009206A8"/>
    <w:rsid w:val="00924776"/>
    <w:rsid w:val="009367F3"/>
    <w:rsid w:val="009378EE"/>
    <w:rsid w:val="00945BF7"/>
    <w:rsid w:val="009542B3"/>
    <w:rsid w:val="00986A2D"/>
    <w:rsid w:val="00A02509"/>
    <w:rsid w:val="00A26F07"/>
    <w:rsid w:val="00A3348B"/>
    <w:rsid w:val="00A55AB4"/>
    <w:rsid w:val="00A55D4B"/>
    <w:rsid w:val="00A7334C"/>
    <w:rsid w:val="00A74175"/>
    <w:rsid w:val="00A90397"/>
    <w:rsid w:val="00A92589"/>
    <w:rsid w:val="00AA5192"/>
    <w:rsid w:val="00AA7C5A"/>
    <w:rsid w:val="00AB058E"/>
    <w:rsid w:val="00AC2137"/>
    <w:rsid w:val="00AC2359"/>
    <w:rsid w:val="00AD195B"/>
    <w:rsid w:val="00AD2986"/>
    <w:rsid w:val="00AE06A4"/>
    <w:rsid w:val="00AE79DF"/>
    <w:rsid w:val="00B50298"/>
    <w:rsid w:val="00B57768"/>
    <w:rsid w:val="00B878F3"/>
    <w:rsid w:val="00B90C36"/>
    <w:rsid w:val="00BB3850"/>
    <w:rsid w:val="00BB5908"/>
    <w:rsid w:val="00BB6440"/>
    <w:rsid w:val="00BF7091"/>
    <w:rsid w:val="00C039FC"/>
    <w:rsid w:val="00C147B7"/>
    <w:rsid w:val="00C23933"/>
    <w:rsid w:val="00C25498"/>
    <w:rsid w:val="00C423B4"/>
    <w:rsid w:val="00C430A8"/>
    <w:rsid w:val="00C51AEE"/>
    <w:rsid w:val="00C60A66"/>
    <w:rsid w:val="00C855B7"/>
    <w:rsid w:val="00C905C3"/>
    <w:rsid w:val="00CA0A99"/>
    <w:rsid w:val="00CB31B6"/>
    <w:rsid w:val="00CC04D4"/>
    <w:rsid w:val="00CC3C63"/>
    <w:rsid w:val="00CC662E"/>
    <w:rsid w:val="00CE4FAC"/>
    <w:rsid w:val="00CF63E9"/>
    <w:rsid w:val="00CF6B2B"/>
    <w:rsid w:val="00D01BE4"/>
    <w:rsid w:val="00D0544F"/>
    <w:rsid w:val="00D128AC"/>
    <w:rsid w:val="00D3073D"/>
    <w:rsid w:val="00D315E6"/>
    <w:rsid w:val="00D34CA9"/>
    <w:rsid w:val="00D41413"/>
    <w:rsid w:val="00D62798"/>
    <w:rsid w:val="00D91EE1"/>
    <w:rsid w:val="00D932C0"/>
    <w:rsid w:val="00DA30B7"/>
    <w:rsid w:val="00DD11C2"/>
    <w:rsid w:val="00DD53BB"/>
    <w:rsid w:val="00DE7822"/>
    <w:rsid w:val="00DF5B9F"/>
    <w:rsid w:val="00E05CF3"/>
    <w:rsid w:val="00E24BE8"/>
    <w:rsid w:val="00E2F784"/>
    <w:rsid w:val="00E30BF2"/>
    <w:rsid w:val="00E33ED6"/>
    <w:rsid w:val="00E3529B"/>
    <w:rsid w:val="00E35A92"/>
    <w:rsid w:val="00E4065A"/>
    <w:rsid w:val="00E46BF0"/>
    <w:rsid w:val="00E60573"/>
    <w:rsid w:val="00E731EA"/>
    <w:rsid w:val="00E74FED"/>
    <w:rsid w:val="00EB15A6"/>
    <w:rsid w:val="00EB3EF5"/>
    <w:rsid w:val="00EC7942"/>
    <w:rsid w:val="00EE0540"/>
    <w:rsid w:val="00EE6925"/>
    <w:rsid w:val="00EE6D6F"/>
    <w:rsid w:val="00F07E62"/>
    <w:rsid w:val="00F32148"/>
    <w:rsid w:val="00F3349E"/>
    <w:rsid w:val="00F50035"/>
    <w:rsid w:val="00F60077"/>
    <w:rsid w:val="00F75572"/>
    <w:rsid w:val="00FA3829"/>
    <w:rsid w:val="00FB5C63"/>
    <w:rsid w:val="00FC04C7"/>
    <w:rsid w:val="00FC6A70"/>
    <w:rsid w:val="00FD0612"/>
    <w:rsid w:val="00FE2704"/>
    <w:rsid w:val="0205DEA7"/>
    <w:rsid w:val="028A41F8"/>
    <w:rsid w:val="02AF6EDB"/>
    <w:rsid w:val="02D9DC46"/>
    <w:rsid w:val="02E64B66"/>
    <w:rsid w:val="03020173"/>
    <w:rsid w:val="038DCFDD"/>
    <w:rsid w:val="043915D8"/>
    <w:rsid w:val="044627A6"/>
    <w:rsid w:val="0446F87D"/>
    <w:rsid w:val="046AD5FB"/>
    <w:rsid w:val="047BE55B"/>
    <w:rsid w:val="04946E4B"/>
    <w:rsid w:val="052E025B"/>
    <w:rsid w:val="05D9CFEE"/>
    <w:rsid w:val="0771E4BE"/>
    <w:rsid w:val="08CDFE77"/>
    <w:rsid w:val="08D9FA54"/>
    <w:rsid w:val="0936328E"/>
    <w:rsid w:val="0941E849"/>
    <w:rsid w:val="099A0B8B"/>
    <w:rsid w:val="0B443E2D"/>
    <w:rsid w:val="0B815BDD"/>
    <w:rsid w:val="0C2281F4"/>
    <w:rsid w:val="0D3B5610"/>
    <w:rsid w:val="0DDFEB1A"/>
    <w:rsid w:val="0E929A8D"/>
    <w:rsid w:val="0EFCF9F3"/>
    <w:rsid w:val="0F45AB69"/>
    <w:rsid w:val="1080E579"/>
    <w:rsid w:val="10F1EF69"/>
    <w:rsid w:val="12A558FD"/>
    <w:rsid w:val="12DEAC97"/>
    <w:rsid w:val="144167CE"/>
    <w:rsid w:val="144D6825"/>
    <w:rsid w:val="15C076D9"/>
    <w:rsid w:val="15C616BA"/>
    <w:rsid w:val="171E28E1"/>
    <w:rsid w:val="17DC9417"/>
    <w:rsid w:val="189E8A98"/>
    <w:rsid w:val="18F8D750"/>
    <w:rsid w:val="199FBDBA"/>
    <w:rsid w:val="1AFE4431"/>
    <w:rsid w:val="1B52FC6B"/>
    <w:rsid w:val="1C2B1290"/>
    <w:rsid w:val="1C664770"/>
    <w:rsid w:val="1D27900D"/>
    <w:rsid w:val="1D7C1764"/>
    <w:rsid w:val="1EDE4E23"/>
    <w:rsid w:val="1F468B40"/>
    <w:rsid w:val="20A4A848"/>
    <w:rsid w:val="215AAF8A"/>
    <w:rsid w:val="217BCEE9"/>
    <w:rsid w:val="21AE2776"/>
    <w:rsid w:val="22348940"/>
    <w:rsid w:val="22B20B27"/>
    <w:rsid w:val="23A9E64E"/>
    <w:rsid w:val="2507375E"/>
    <w:rsid w:val="251EE22A"/>
    <w:rsid w:val="253FDB41"/>
    <w:rsid w:val="25412EEC"/>
    <w:rsid w:val="255C0211"/>
    <w:rsid w:val="26D7C0CD"/>
    <w:rsid w:val="27D8AAA3"/>
    <w:rsid w:val="27E0692E"/>
    <w:rsid w:val="27EB38D9"/>
    <w:rsid w:val="27EE2C70"/>
    <w:rsid w:val="27FDF8D8"/>
    <w:rsid w:val="282F5F44"/>
    <w:rsid w:val="2933EBC4"/>
    <w:rsid w:val="29B9C6D3"/>
    <w:rsid w:val="29BE6E28"/>
    <w:rsid w:val="2A909D09"/>
    <w:rsid w:val="2CF87A41"/>
    <w:rsid w:val="2F7D3480"/>
    <w:rsid w:val="2FF61407"/>
    <w:rsid w:val="31A7C96B"/>
    <w:rsid w:val="31E97B3E"/>
    <w:rsid w:val="320B759F"/>
    <w:rsid w:val="3212D6C6"/>
    <w:rsid w:val="32C299D6"/>
    <w:rsid w:val="32D1D672"/>
    <w:rsid w:val="33B5083D"/>
    <w:rsid w:val="33DC4FC2"/>
    <w:rsid w:val="34159BE1"/>
    <w:rsid w:val="356B61E9"/>
    <w:rsid w:val="3784269C"/>
    <w:rsid w:val="384C02DA"/>
    <w:rsid w:val="38835750"/>
    <w:rsid w:val="38FB64EB"/>
    <w:rsid w:val="39005C4F"/>
    <w:rsid w:val="3952ED24"/>
    <w:rsid w:val="3A00AE5E"/>
    <w:rsid w:val="3B118316"/>
    <w:rsid w:val="3B330276"/>
    <w:rsid w:val="3C7D5C93"/>
    <w:rsid w:val="3C8B68BA"/>
    <w:rsid w:val="3DFCFC18"/>
    <w:rsid w:val="3E0A3B02"/>
    <w:rsid w:val="3E8C5AE8"/>
    <w:rsid w:val="3F2D9AE1"/>
    <w:rsid w:val="3FD641B2"/>
    <w:rsid w:val="3FFE25A9"/>
    <w:rsid w:val="409D8C99"/>
    <w:rsid w:val="40DBA4DD"/>
    <w:rsid w:val="40DE818A"/>
    <w:rsid w:val="41DB9262"/>
    <w:rsid w:val="42685217"/>
    <w:rsid w:val="42E2E6D0"/>
    <w:rsid w:val="4323FBA6"/>
    <w:rsid w:val="43FB1818"/>
    <w:rsid w:val="44522D44"/>
    <w:rsid w:val="45BB7150"/>
    <w:rsid w:val="46F4C523"/>
    <w:rsid w:val="4996CB4D"/>
    <w:rsid w:val="49A59D91"/>
    <w:rsid w:val="4A20A1A7"/>
    <w:rsid w:val="4A4F3C2E"/>
    <w:rsid w:val="4A61A8E4"/>
    <w:rsid w:val="4B555A50"/>
    <w:rsid w:val="4BA403D8"/>
    <w:rsid w:val="4C6A3A5D"/>
    <w:rsid w:val="4E252EC3"/>
    <w:rsid w:val="4EF20DB2"/>
    <w:rsid w:val="4EF3D3C8"/>
    <w:rsid w:val="4F1657D0"/>
    <w:rsid w:val="4F711FCF"/>
    <w:rsid w:val="50A7AC46"/>
    <w:rsid w:val="5161A83F"/>
    <w:rsid w:val="52B56BF7"/>
    <w:rsid w:val="541016B6"/>
    <w:rsid w:val="546ADAF3"/>
    <w:rsid w:val="55C97E4A"/>
    <w:rsid w:val="58EB6028"/>
    <w:rsid w:val="591C8084"/>
    <w:rsid w:val="59F1BBEF"/>
    <w:rsid w:val="5BF4C67F"/>
    <w:rsid w:val="5CF44C4B"/>
    <w:rsid w:val="5CFDC60A"/>
    <w:rsid w:val="5DA33ABD"/>
    <w:rsid w:val="5E6E080E"/>
    <w:rsid w:val="5E82C97F"/>
    <w:rsid w:val="5F2AA6A8"/>
    <w:rsid w:val="5F855BAF"/>
    <w:rsid w:val="60921AEF"/>
    <w:rsid w:val="60D5D459"/>
    <w:rsid w:val="610AB557"/>
    <w:rsid w:val="613C2AD3"/>
    <w:rsid w:val="63BDF8F1"/>
    <w:rsid w:val="643DEC3C"/>
    <w:rsid w:val="64C9EDFD"/>
    <w:rsid w:val="654341D4"/>
    <w:rsid w:val="65FFD4AF"/>
    <w:rsid w:val="661E4E22"/>
    <w:rsid w:val="662D1C00"/>
    <w:rsid w:val="663A6649"/>
    <w:rsid w:val="6776EB24"/>
    <w:rsid w:val="67D1A920"/>
    <w:rsid w:val="686ACDBC"/>
    <w:rsid w:val="68E37847"/>
    <w:rsid w:val="690D1C5A"/>
    <w:rsid w:val="699F76B9"/>
    <w:rsid w:val="6A0EC43F"/>
    <w:rsid w:val="6A0ED3FC"/>
    <w:rsid w:val="6ABAFEBC"/>
    <w:rsid w:val="6ABE0BCE"/>
    <w:rsid w:val="6B469758"/>
    <w:rsid w:val="6D21F78C"/>
    <w:rsid w:val="6D89A322"/>
    <w:rsid w:val="6E2E792D"/>
    <w:rsid w:val="6FB2C0CA"/>
    <w:rsid w:val="71F8D134"/>
    <w:rsid w:val="726EDF9D"/>
    <w:rsid w:val="73198674"/>
    <w:rsid w:val="73EB8EEF"/>
    <w:rsid w:val="7413F2CD"/>
    <w:rsid w:val="74BC19CE"/>
    <w:rsid w:val="7548DF6C"/>
    <w:rsid w:val="7650E40F"/>
    <w:rsid w:val="7777594A"/>
    <w:rsid w:val="78B83316"/>
    <w:rsid w:val="78CC84EE"/>
    <w:rsid w:val="797109EE"/>
    <w:rsid w:val="79805571"/>
    <w:rsid w:val="799D2705"/>
    <w:rsid w:val="7C6AE528"/>
    <w:rsid w:val="7C95BD25"/>
    <w:rsid w:val="7CF07B8D"/>
    <w:rsid w:val="7DB8A6C9"/>
    <w:rsid w:val="7E446E32"/>
    <w:rsid w:val="7F3C3A09"/>
    <w:rsid w:val="7FFC41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292D7D0-928D-437D-AD73-94F1C7EB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pPr>
      <w:numPr>
        <w:numId w:val="1"/>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B878F3"/>
    <w:rPr>
      <w:color w:val="605E5C"/>
      <w:shd w:val="clear" w:color="auto" w:fill="E1DFDD"/>
    </w:rPr>
  </w:style>
  <w:style w:type="character" w:customStyle="1" w:styleId="HeaderChar">
    <w:name w:val="Header Char"/>
    <w:basedOn w:val="DefaultParagraphFont"/>
    <w:link w:val="Header"/>
    <w:uiPriority w:val="99"/>
    <w:rsid w:val="00A02509"/>
    <w:rPr>
      <w:rFonts w:ascii="Times New Roman" w:hAnsi="Times New Roman" w:cs="Times New Roman"/>
      <w:sz w:val="24"/>
      <w:lang w:val="ro-RO"/>
    </w:rPr>
  </w:style>
  <w:style w:type="character" w:customStyle="1" w:styleId="FooterChar">
    <w:name w:val="Footer Char"/>
    <w:basedOn w:val="DefaultParagraphFont"/>
    <w:link w:val="Footer"/>
    <w:uiPriority w:val="99"/>
    <w:rsid w:val="00A0250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0250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02509"/>
    <w:pPr>
      <w:spacing w:before="0"/>
      <w:jc w:val="right"/>
    </w:pPr>
    <w:rPr>
      <w:sz w:val="28"/>
    </w:rPr>
  </w:style>
  <w:style w:type="paragraph" w:customStyle="1" w:styleId="FooterSensitivity">
    <w:name w:val="Footer Sensitivity"/>
    <w:basedOn w:val="Normal"/>
    <w:rsid w:val="00A0250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02509"/>
    <w:pPr>
      <w:tabs>
        <w:tab w:val="center" w:pos="4535"/>
        <w:tab w:val="right" w:pos="9071"/>
      </w:tabs>
      <w:spacing w:before="0"/>
    </w:pPr>
  </w:style>
  <w:style w:type="paragraph" w:customStyle="1" w:styleId="HeaderLandscape">
    <w:name w:val="HeaderLandscape"/>
    <w:basedOn w:val="Normal"/>
    <w:rsid w:val="00A02509"/>
    <w:pPr>
      <w:tabs>
        <w:tab w:val="center" w:pos="7285"/>
        <w:tab w:val="right" w:pos="14003"/>
      </w:tabs>
      <w:spacing w:before="0"/>
    </w:pPr>
  </w:style>
  <w:style w:type="paragraph" w:styleId="Footer">
    <w:name w:val="footer"/>
    <w:basedOn w:val="Normal"/>
    <w:link w:val="FooterChar"/>
    <w:uiPriority w:val="99"/>
    <w:unhideWhenUsed/>
    <w:rsid w:val="00A0250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0250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0d4a45ceb65fa1e8958e924e519f32">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9555c819a23e6db1989b9ee9c68893d6"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d391a7-a199-4123-a7da-de48cf76b19c}"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A7B0299-E106-4C54-A077-FF816CFF7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F3BE34-3F32-45EF-9205-8801550CC2AE}">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3.xml><?xml version="1.0" encoding="utf-8"?>
<ds:datastoreItem xmlns:ds="http://schemas.openxmlformats.org/officeDocument/2006/customXml" ds:itemID="{55A7329A-CE3F-4158-B2FA-81452AF81966}">
  <ds:schemaRefs>
    <ds:schemaRef ds:uri="http://schemas.microsoft.com/sharepoint/v3/contenttype/forms"/>
  </ds:schemaRefs>
</ds:datastoreItem>
</file>

<file path=customXml/itemProps4.xml><?xml version="1.0" encoding="utf-8"?>
<ds:datastoreItem xmlns:ds="http://schemas.openxmlformats.org/officeDocument/2006/customXml" ds:itemID="{274F7607-8AA9-4313-8956-0D9819755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7</Pages>
  <Words>1953</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2026-01-27T15:52:00Z</dcterms:created>
  <dcterms:modified xsi:type="dcterms:W3CDTF">2026-02-09T15:09:00Z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2025-04-02T16:12:45Z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e79548cc-c521-4afa-840a-87af69bbe5bf</vt:lpwstr>
  </property>
  <property fmtid="{D5CDD505-2E9C-101B-9397-08002B2CF9AE}" pid="16" name="MSIP_Label_6bd9ddd1-4d20-43f6-abfa-fc3c07406f94_ContentBits">
    <vt:lpwstr>0</vt:lpwstr>
  </property>
  <property fmtid="{D5CDD505-2E9C-101B-9397-08002B2CF9AE}" pid="17" name="ContentTypeId">
    <vt:lpwstr>0x010100159C0AD6FB6ACE4A830182AC83E20278</vt:lpwstr>
  </property>
  <property fmtid="{D5CDD505-2E9C-101B-9397-08002B2CF9AE}" pid="18" name="MediaServiceImageTags">
    <vt:lpwstr/>
  </property>
  <property fmtid="{D5CDD505-2E9C-101B-9397-08002B2CF9AE}" pid="19" name="DQCStatus">
    <vt:lpwstr>Green (DQC version 03)</vt:lpwstr>
  </property>
</Properties>
</file>