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8979A2" w14:textId="1EDF7F97" w:rsidR="00D10A27" w:rsidRPr="009151FC" w:rsidRDefault="00676E2C" w:rsidP="00676E2C">
      <w:pPr>
        <w:pStyle w:val="Pagedecouverture"/>
        <w:rPr>
          <w:noProof/>
        </w:rPr>
      </w:pPr>
      <w:r>
        <w:rPr>
          <w:noProof/>
        </w:rPr>
        <w:pict w14:anchorId="0A7701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7DB4C5C-3153-478D-8800-92CDB0FABA89" style="width:455.25pt;height:381.75pt">
            <v:imagedata r:id="rId7" o:title=""/>
          </v:shape>
        </w:pict>
      </w:r>
    </w:p>
    <w:p w14:paraId="090C3816" w14:textId="77777777" w:rsidR="00D10A27" w:rsidRPr="009151FC" w:rsidRDefault="00D10A27" w:rsidP="00D10A27">
      <w:pPr>
        <w:rPr>
          <w:noProof/>
        </w:rPr>
        <w:sectPr w:rsidR="00D10A27" w:rsidRPr="009151FC" w:rsidSect="00676E2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34D05D9D" w14:textId="77777777" w:rsidR="00D10A27" w:rsidRPr="009151FC" w:rsidRDefault="00D10A27" w:rsidP="00D10A27">
      <w:pPr>
        <w:pStyle w:val="Annexetitre"/>
        <w:rPr>
          <w:noProof/>
        </w:rPr>
      </w:pPr>
      <w:bookmarkStart w:id="0" w:name="_GoBack"/>
      <w:bookmarkEnd w:id="0"/>
      <w:r w:rsidRPr="009151FC">
        <w:rPr>
          <w:noProof/>
        </w:rPr>
        <w:lastRenderedPageBreak/>
        <w:t xml:space="preserve">ANEXĂ </w:t>
      </w:r>
    </w:p>
    <w:p w14:paraId="7656DBFE" w14:textId="77777777" w:rsidR="00D10A27" w:rsidRPr="009151FC" w:rsidRDefault="00D10A27" w:rsidP="00D10A27">
      <w:pPr>
        <w:rPr>
          <w:noProof/>
        </w:rPr>
      </w:pPr>
      <w:r w:rsidRPr="009151FC">
        <w:rPr>
          <w:noProof/>
        </w:rPr>
        <w:t xml:space="preserve">Poziția care trebuie adoptată, în numele Uniunii, în cadrul procedurii scrise a participanților la Înțelegerea sectorială privind creditele la export pentru aeronave civile (denumită în continuare „ISA”) este de a accepta modificările aduse notelor de articolului 28 din apendicele II (Rate minime ale primelor), astfel cum figurează în prezenta anexă. Adăugirile sunt marcate cu </w:t>
      </w:r>
      <w:r w:rsidRPr="009151FC">
        <w:rPr>
          <w:b/>
          <w:noProof/>
          <w:u w:val="single"/>
        </w:rPr>
        <w:t>caractere aldine subliniate</w:t>
      </w:r>
      <w:r w:rsidRPr="009151FC">
        <w:rPr>
          <w:noProof/>
        </w:rPr>
        <w:t>:</w:t>
      </w:r>
    </w:p>
    <w:p w14:paraId="7F4EC41A" w14:textId="6949E58B" w:rsidR="00D10A27" w:rsidRPr="009151FC" w:rsidRDefault="00BD0421" w:rsidP="00D10A27">
      <w:pPr>
        <w:rPr>
          <w:b/>
          <w:bCs/>
          <w:noProof/>
        </w:rPr>
      </w:pPr>
      <w:r w:rsidRPr="009151FC">
        <w:rPr>
          <w:b/>
          <w:noProof/>
        </w:rPr>
        <w:t xml:space="preserve">„ </w:t>
      </w:r>
    </w:p>
    <w:p w14:paraId="0BC615C1" w14:textId="77777777" w:rsidR="00D10A27" w:rsidRPr="009151FC" w:rsidRDefault="00D10A27" w:rsidP="00D10A27">
      <w:pPr>
        <w:rPr>
          <w:b/>
          <w:bCs/>
          <w:noProof/>
        </w:rPr>
      </w:pPr>
      <w:r w:rsidRPr="009151FC">
        <w:rPr>
          <w:b/>
          <w:noProof/>
        </w:rPr>
        <w:t>APENDICELE II - RATELE MINIME ALE PRIMELOR</w:t>
      </w:r>
    </w:p>
    <w:p w14:paraId="493D4DC7" w14:textId="10F82D2C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>28.</w:t>
      </w:r>
      <w:r w:rsidR="009151FC" w:rsidRPr="009151FC">
        <w:rPr>
          <w:i/>
          <w:noProof/>
        </w:rPr>
        <w:t xml:space="preserve"> </w:t>
      </w:r>
      <w:r w:rsidRPr="009151FC">
        <w:rPr>
          <w:i/>
          <w:noProof/>
        </w:rPr>
        <w:t>Pentru fiecare categorie de risc, se calculează o suprataxă care reflectă condițiile pieței (MRS) după cum urmează:</w:t>
      </w:r>
    </w:p>
    <w:p w14:paraId="4FDD9BC4" w14:textId="77777777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 xml:space="preserve">                                                   MRS = B*</w:t>
      </w:r>
      <w:r w:rsidRPr="009151FC">
        <w:rPr>
          <w:b/>
          <w:i/>
          <w:noProof/>
          <w:u w:val="single"/>
        </w:rPr>
        <w:t>{[</w:t>
      </w:r>
      <w:r w:rsidRPr="009151FC">
        <w:rPr>
          <w:i/>
          <w:noProof/>
        </w:rPr>
        <w:t>0,5*</w:t>
      </w:r>
      <w:r w:rsidRPr="009151FC">
        <w:rPr>
          <w:b/>
          <w:i/>
          <w:noProof/>
          <w:u w:val="single"/>
        </w:rPr>
        <w:t>(</w:t>
      </w:r>
      <w:r w:rsidRPr="009151FC">
        <w:rPr>
          <w:i/>
          <w:noProof/>
        </w:rPr>
        <w:t>MCS</w:t>
      </w:r>
      <w:r w:rsidRPr="009151FC">
        <w:rPr>
          <w:b/>
          <w:i/>
          <w:noProof/>
          <w:u w:val="single"/>
        </w:rPr>
        <w:t>-CAS</w:t>
      </w:r>
      <w:r w:rsidRPr="009151FC">
        <w:rPr>
          <w:i/>
          <w:noProof/>
        </w:rPr>
        <w:t>)</w:t>
      </w:r>
      <w:r w:rsidRPr="009151FC">
        <w:rPr>
          <w:b/>
          <w:i/>
          <w:noProof/>
          <w:u w:val="single"/>
        </w:rPr>
        <w:t>]</w:t>
      </w:r>
      <w:r w:rsidRPr="009151FC">
        <w:rPr>
          <w:i/>
          <w:noProof/>
        </w:rPr>
        <w:t>-RBR]</w:t>
      </w:r>
      <w:r w:rsidRPr="009151FC">
        <w:rPr>
          <w:b/>
          <w:i/>
          <w:noProof/>
          <w:u w:val="single"/>
        </w:rPr>
        <w:t>}</w:t>
      </w:r>
    </w:p>
    <w:p w14:paraId="03AD8B31" w14:textId="77777777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 xml:space="preserve">unde: </w:t>
      </w:r>
    </w:p>
    <w:p w14:paraId="33C19A3D" w14:textId="2A2EEB06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>-</w:t>
      </w:r>
      <w:r w:rsidR="009151FC" w:rsidRPr="009151FC">
        <w:rPr>
          <w:i/>
          <w:noProof/>
        </w:rPr>
        <w:t xml:space="preserve"> </w:t>
      </w:r>
      <w:r w:rsidRPr="009151FC">
        <w:rPr>
          <w:i/>
          <w:noProof/>
        </w:rPr>
        <w:t>B este un coeficient de ponderare care variază de la 0,7 până la 0,35 în funcție de categoria de risc aplicată, conform tabelului 4 de mai jos.</w:t>
      </w:r>
    </w:p>
    <w:p w14:paraId="2546DBEC" w14:textId="64FB065E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>-</w:t>
      </w:r>
      <w:r w:rsidR="009151FC" w:rsidRPr="009151FC">
        <w:rPr>
          <w:i/>
          <w:noProof/>
        </w:rPr>
        <w:t xml:space="preserve"> </w:t>
      </w:r>
      <w:r w:rsidRPr="009151FC">
        <w:rPr>
          <w:i/>
          <w:noProof/>
        </w:rPr>
        <w:t xml:space="preserve">MCS este o medie mobilă de 90 de zile a marjelor mediane ale creditelor (Median Credit Spreads, MCS) publicate de agenția Moody’s, cu o durată medie de 7 ani. </w:t>
      </w:r>
    </w:p>
    <w:p w14:paraId="2A6FA455" w14:textId="438AC253" w:rsidR="00D10A27" w:rsidRPr="009151FC" w:rsidRDefault="00D10A27" w:rsidP="00D10A27">
      <w:pPr>
        <w:rPr>
          <w:i/>
          <w:iCs/>
          <w:noProof/>
        </w:rPr>
      </w:pPr>
      <w:r w:rsidRPr="009151FC">
        <w:rPr>
          <w:i/>
          <w:noProof/>
        </w:rPr>
        <w:t xml:space="preserve">- </w:t>
      </w:r>
      <w:r w:rsidRPr="009151FC">
        <w:rPr>
          <w:b/>
          <w:i/>
          <w:noProof/>
          <w:u w:val="single"/>
        </w:rPr>
        <w:t>CAS (Credit Adjustment Spread - marja de ajustare a creditului) se aplică pentru a alinia rata de bază istorică a MCS la noua rată de bază fără risc a MCS, ca urmare a întreruperii LIBOR; se aplică o CAS de 29 de puncte de bază.</w:t>
      </w:r>
    </w:p>
    <w:p w14:paraId="38A41DA9" w14:textId="249409C2" w:rsidR="00905D22" w:rsidRPr="003A41F7" w:rsidRDefault="00D10A27" w:rsidP="00D10A27">
      <w:pPr>
        <w:rPr>
          <w:b/>
          <w:bCs/>
          <w:noProof/>
        </w:rPr>
      </w:pPr>
      <w:r w:rsidRPr="009151FC">
        <w:rPr>
          <w:b/>
          <w:noProof/>
        </w:rPr>
        <w:t>”</w:t>
      </w:r>
    </w:p>
    <w:sectPr w:rsidR="00905D22" w:rsidRPr="003A41F7" w:rsidSect="00676E2C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05571" w14:textId="77777777" w:rsidR="00D10A27" w:rsidRPr="009151FC" w:rsidRDefault="00D10A27" w:rsidP="00D10A27">
      <w:pPr>
        <w:spacing w:before="0" w:after="0"/>
      </w:pPr>
      <w:r w:rsidRPr="009151FC">
        <w:separator/>
      </w:r>
    </w:p>
  </w:endnote>
  <w:endnote w:type="continuationSeparator" w:id="0">
    <w:p w14:paraId="14972ABE" w14:textId="77777777" w:rsidR="00D10A27" w:rsidRPr="009151FC" w:rsidRDefault="00D10A27" w:rsidP="00D10A27">
      <w:pPr>
        <w:spacing w:before="0" w:after="0"/>
      </w:pPr>
      <w:r w:rsidRPr="009151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6B88F" w14:textId="385F4391" w:rsidR="00676E2C" w:rsidRPr="00676E2C" w:rsidRDefault="00676E2C" w:rsidP="00676E2C">
    <w:pPr>
      <w:pStyle w:val="Footer"/>
      <w:rPr>
        <w:rFonts w:ascii="Arial" w:hAnsi="Arial" w:cs="Arial"/>
        <w:b/>
        <w:sz w:val="48"/>
      </w:rPr>
    </w:pPr>
    <w:r w:rsidRPr="00676E2C">
      <w:rPr>
        <w:rFonts w:ascii="Arial" w:hAnsi="Arial" w:cs="Arial"/>
        <w:b/>
        <w:sz w:val="48"/>
      </w:rPr>
      <w:t>RO</w:t>
    </w:r>
    <w:r w:rsidRPr="00676E2C">
      <w:rPr>
        <w:rFonts w:ascii="Arial" w:hAnsi="Arial" w:cs="Arial"/>
        <w:b/>
        <w:sz w:val="48"/>
      </w:rPr>
      <w:tab/>
    </w:r>
    <w:r w:rsidRPr="00676E2C">
      <w:rPr>
        <w:rFonts w:ascii="Arial" w:hAnsi="Arial" w:cs="Arial"/>
        <w:b/>
        <w:sz w:val="48"/>
      </w:rPr>
      <w:tab/>
    </w:r>
    <w:r w:rsidRPr="00676E2C">
      <w:tab/>
    </w:r>
    <w:r w:rsidRPr="00676E2C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FCBE86" w14:textId="7F0F3B07" w:rsidR="00676E2C" w:rsidRPr="00676E2C" w:rsidRDefault="00676E2C" w:rsidP="00676E2C">
    <w:pPr>
      <w:pStyle w:val="Footer"/>
      <w:rPr>
        <w:rFonts w:ascii="Arial" w:hAnsi="Arial" w:cs="Arial"/>
        <w:b/>
        <w:sz w:val="48"/>
      </w:rPr>
    </w:pPr>
    <w:r w:rsidRPr="00676E2C">
      <w:rPr>
        <w:rFonts w:ascii="Arial" w:hAnsi="Arial" w:cs="Arial"/>
        <w:b/>
        <w:sz w:val="48"/>
      </w:rPr>
      <w:t>RO</w:t>
    </w:r>
    <w:r w:rsidRPr="00676E2C">
      <w:rPr>
        <w:rFonts w:ascii="Arial" w:hAnsi="Arial" w:cs="Arial"/>
        <w:b/>
        <w:sz w:val="48"/>
      </w:rPr>
      <w:tab/>
    </w:r>
    <w:r w:rsidRPr="00676E2C">
      <w:rPr>
        <w:rFonts w:ascii="Arial" w:hAnsi="Arial" w:cs="Arial"/>
        <w:b/>
        <w:sz w:val="48"/>
      </w:rPr>
      <w:tab/>
    </w:r>
    <w:r w:rsidRPr="00676E2C">
      <w:tab/>
    </w:r>
    <w:r w:rsidRPr="00676E2C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F0765" w14:textId="77777777" w:rsidR="00676E2C" w:rsidRPr="00676E2C" w:rsidRDefault="00676E2C" w:rsidP="00676E2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284AC" w14:textId="77777777" w:rsidR="00676E2C" w:rsidRDefault="00676E2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7F5201" w14:textId="30EAFADE" w:rsidR="00676E2C" w:rsidRPr="00676E2C" w:rsidRDefault="00676E2C" w:rsidP="00676E2C">
    <w:pPr>
      <w:pStyle w:val="Footer"/>
      <w:rPr>
        <w:rFonts w:ascii="Arial" w:hAnsi="Arial" w:cs="Arial"/>
        <w:b/>
        <w:sz w:val="48"/>
      </w:rPr>
    </w:pPr>
    <w:r w:rsidRPr="00676E2C">
      <w:rPr>
        <w:rFonts w:ascii="Arial" w:hAnsi="Arial" w:cs="Arial"/>
        <w:b/>
        <w:sz w:val="48"/>
      </w:rPr>
      <w:t>RO</w:t>
    </w:r>
    <w:r w:rsidRPr="00676E2C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676E2C">
      <w:tab/>
    </w:r>
    <w:r w:rsidRPr="00676E2C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6A747" w14:textId="77777777" w:rsidR="00676E2C" w:rsidRDefault="00676E2C" w:rsidP="0067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A4CFA" w14:textId="77777777" w:rsidR="00D10A27" w:rsidRPr="009151FC" w:rsidRDefault="00D10A27" w:rsidP="00D10A27">
      <w:pPr>
        <w:spacing w:before="0" w:after="0"/>
      </w:pPr>
      <w:r w:rsidRPr="009151FC">
        <w:separator/>
      </w:r>
    </w:p>
  </w:footnote>
  <w:footnote w:type="continuationSeparator" w:id="0">
    <w:p w14:paraId="259A6AF4" w14:textId="77777777" w:rsidR="00D10A27" w:rsidRPr="009151FC" w:rsidRDefault="00D10A27" w:rsidP="00D10A27">
      <w:pPr>
        <w:spacing w:before="0" w:after="0"/>
      </w:pPr>
      <w:r w:rsidRPr="009151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7BE3A" w14:textId="77777777" w:rsidR="00676E2C" w:rsidRPr="00676E2C" w:rsidRDefault="00676E2C" w:rsidP="0067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ECC0F" w14:textId="77777777" w:rsidR="00676E2C" w:rsidRPr="00676E2C" w:rsidRDefault="00676E2C" w:rsidP="0067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0515E" w14:textId="77777777" w:rsidR="00676E2C" w:rsidRPr="00676E2C" w:rsidRDefault="00676E2C" w:rsidP="00676E2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5376A" w14:textId="77777777" w:rsidR="00676E2C" w:rsidRDefault="00676E2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657B64" w14:textId="77777777" w:rsidR="00676E2C" w:rsidRDefault="0067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D78CB7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9E24E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F5B0054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9070861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594042E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97AE8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39000E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2FE27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19"/>
  </w:num>
  <w:num w:numId="10">
    <w:abstractNumId w:val="12"/>
  </w:num>
  <w:num w:numId="11">
    <w:abstractNumId w:val="21"/>
  </w:num>
  <w:num w:numId="12">
    <w:abstractNumId w:val="11"/>
  </w:num>
  <w:num w:numId="13">
    <w:abstractNumId w:val="13"/>
  </w:num>
  <w:num w:numId="14">
    <w:abstractNumId w:val="14"/>
  </w:num>
  <w:num w:numId="15">
    <w:abstractNumId w:val="9"/>
  </w:num>
  <w:num w:numId="16">
    <w:abstractNumId w:val="20"/>
  </w:num>
  <w:num w:numId="17">
    <w:abstractNumId w:val="8"/>
  </w:num>
  <w:num w:numId="18">
    <w:abstractNumId w:val="15"/>
  </w:num>
  <w:num w:numId="19">
    <w:abstractNumId w:val="17"/>
  </w:num>
  <w:num w:numId="20">
    <w:abstractNumId w:val="18"/>
  </w:num>
  <w:num w:numId="21">
    <w:abstractNumId w:val="10"/>
  </w:num>
  <w:num w:numId="22">
    <w:abstractNumId w:val="16"/>
  </w:num>
  <w:num w:numId="23">
    <w:abstractNumId w:val="22"/>
  </w:num>
  <w:num w:numId="24">
    <w:abstractNumId w:val="19"/>
  </w:num>
  <w:num w:numId="25">
    <w:abstractNumId w:val="12"/>
  </w:num>
  <w:num w:numId="26">
    <w:abstractNumId w:val="21"/>
  </w:num>
  <w:num w:numId="27">
    <w:abstractNumId w:val="11"/>
  </w:num>
  <w:num w:numId="28">
    <w:abstractNumId w:val="13"/>
  </w:num>
  <w:num w:numId="29">
    <w:abstractNumId w:val="14"/>
  </w:num>
  <w:num w:numId="30">
    <w:abstractNumId w:val="9"/>
  </w:num>
  <w:num w:numId="31">
    <w:abstractNumId w:val="20"/>
  </w:num>
  <w:num w:numId="32">
    <w:abstractNumId w:val="8"/>
  </w:num>
  <w:num w:numId="33">
    <w:abstractNumId w:val="15"/>
  </w:num>
  <w:num w:numId="34">
    <w:abstractNumId w:val="17"/>
  </w:num>
  <w:num w:numId="35">
    <w:abstractNumId w:val="18"/>
  </w:num>
  <w:num w:numId="36">
    <w:abstractNumId w:val="10"/>
  </w:num>
  <w:num w:numId="37">
    <w:abstractNumId w:val="16"/>
  </w:num>
  <w:num w:numId="38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2-09 16:13:0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47DB4C5C-3153-478D-8800-92CDB0FABA89"/>
    <w:docVar w:name="LW_COVERPAGE_TYPE" w:val="1"/>
    <w:docVar w:name="LW_CreatedUtc" w:val="2025-12-19T11:05:32.6895117Z"/>
    <w:docVar w:name="LW_CROSSREFERENCE" w:val="&lt;UNUSED&gt;"/>
    <w:docVar w:name="LW_DocType" w:val="ANNEX"/>
    <w:docVar w:name="LW_EMISSION" w:val="3.2.2026"/>
    <w:docVar w:name="LW_EMISSION_ISODATE" w:val="2026-02-03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pozi\u539?ia care urmeaz\u259? s\u259? fie adoptat\u259? în numele Uniunii în cadrul procedurii scrise a participan\u539?ilor la În\u539?elegerea sectorial\u259? privind creditele la export pentru aeronave civile (\u8222?ISA\u8221?) în ceea ce prive\u537?te calcularea suprataxei care reflect\u259? condi\u539?iile pie\u539?ei"/>
    <w:docVar w:name="LW_OBJETACTEPRINCIPAL.CP" w:val="privind pozi\u539?ia care urmeaz\u259? s\u259? fie adoptat\u259? în numele Uniunii în cadrul procedurii scrise a participan\u539?ilor la În\u539?elegerea sectorial\u259? privind creditele la export pentru aeronave civile (\u8222?ISA\u8221?) în ceea ce prive\u537?te calcularea suprataxei care reflect\u259? condi\u539?iile pie\u539?ei"/>
    <w:docVar w:name="LW_PART_NBR" w:val="1"/>
    <w:docVar w:name="LW_PART_NBR_TOTAL" w:val="1"/>
    <w:docVar w:name="LW_REF.INST.NEW" w:val="COM"/>
    <w:docVar w:name="LW_REF.INST.NEW_ADOPTED" w:val="final"/>
    <w:docVar w:name="LW_REF.INST.NEW_TEXT" w:val="(2026) 67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 de decizie a Consiliului"/>
    <w:docVar w:name="LW_TYPEACTEPRINCIPAL.CP" w:val="Propunere de decizie a Consiliului"/>
    <w:docVar w:name="LwApiVersions" w:val="LW4CoDe 1.24.5.0; LW 9.2, Build 20251112"/>
  </w:docVars>
  <w:rsids>
    <w:rsidRoot w:val="00D10A27"/>
    <w:rsid w:val="001258C9"/>
    <w:rsid w:val="00165C4F"/>
    <w:rsid w:val="001F343E"/>
    <w:rsid w:val="0035528F"/>
    <w:rsid w:val="0037214F"/>
    <w:rsid w:val="003A41F7"/>
    <w:rsid w:val="003C0CBB"/>
    <w:rsid w:val="003F7C76"/>
    <w:rsid w:val="00492EB7"/>
    <w:rsid w:val="004C1E2B"/>
    <w:rsid w:val="005345A8"/>
    <w:rsid w:val="00535E77"/>
    <w:rsid w:val="00614F55"/>
    <w:rsid w:val="00626E37"/>
    <w:rsid w:val="00676E2C"/>
    <w:rsid w:val="006A6BCB"/>
    <w:rsid w:val="006E1CD9"/>
    <w:rsid w:val="00766031"/>
    <w:rsid w:val="007E4911"/>
    <w:rsid w:val="00840E16"/>
    <w:rsid w:val="00856B59"/>
    <w:rsid w:val="008655B1"/>
    <w:rsid w:val="008D6398"/>
    <w:rsid w:val="00905D22"/>
    <w:rsid w:val="009151FC"/>
    <w:rsid w:val="00A562E8"/>
    <w:rsid w:val="00A6243B"/>
    <w:rsid w:val="00A71F6D"/>
    <w:rsid w:val="00B66517"/>
    <w:rsid w:val="00B726DA"/>
    <w:rsid w:val="00BA4F3C"/>
    <w:rsid w:val="00BB30BC"/>
    <w:rsid w:val="00BD0421"/>
    <w:rsid w:val="00C902D2"/>
    <w:rsid w:val="00C953CA"/>
    <w:rsid w:val="00CB31B6"/>
    <w:rsid w:val="00D10A27"/>
    <w:rsid w:val="00D2575A"/>
    <w:rsid w:val="00D30B08"/>
    <w:rsid w:val="00D328C4"/>
    <w:rsid w:val="00D33986"/>
    <w:rsid w:val="00D57D1B"/>
    <w:rsid w:val="00E05C63"/>
    <w:rsid w:val="00E411F8"/>
    <w:rsid w:val="00F7024E"/>
    <w:rsid w:val="00F8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35EC36E"/>
  <w15:docId w15:val="{887B059F-D59A-42FA-B6FE-17C44BC9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4C1E2B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4C1E2B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4C1E2B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C1E2B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C1E2B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C1E2B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4C1E2B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C1E2B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C1E2B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C1E2B"/>
    <w:pPr>
      <w:numPr>
        <w:numId w:val="8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76E2C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676E2C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676E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676E2C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676E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4"/>
      </w:numPr>
    </w:pPr>
  </w:style>
  <w:style w:type="paragraph" w:customStyle="1" w:styleId="Tiret1">
    <w:name w:val="Tiret 1"/>
    <w:basedOn w:val="Point1"/>
    <w:pPr>
      <w:numPr>
        <w:numId w:val="25"/>
      </w:numPr>
    </w:pPr>
  </w:style>
  <w:style w:type="paragraph" w:customStyle="1" w:styleId="Tiret2">
    <w:name w:val="Tiret 2"/>
    <w:basedOn w:val="Point2"/>
    <w:pPr>
      <w:numPr>
        <w:numId w:val="26"/>
      </w:numPr>
    </w:pPr>
  </w:style>
  <w:style w:type="paragraph" w:customStyle="1" w:styleId="Tiret3">
    <w:name w:val="Tiret 3"/>
    <w:basedOn w:val="Point3"/>
    <w:pPr>
      <w:numPr>
        <w:numId w:val="27"/>
      </w:numPr>
    </w:pPr>
  </w:style>
  <w:style w:type="paragraph" w:customStyle="1" w:styleId="Tiret4">
    <w:name w:val="Tiret 4"/>
    <w:basedOn w:val="Point4"/>
    <w:pPr>
      <w:numPr>
        <w:numId w:val="28"/>
      </w:numPr>
    </w:pPr>
  </w:style>
  <w:style w:type="paragraph" w:customStyle="1" w:styleId="Tiret5">
    <w:name w:val="Tiret 5"/>
    <w:basedOn w:val="Point5"/>
    <w:pPr>
      <w:numPr>
        <w:numId w:val="29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0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0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0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0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0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0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0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2"/>
      </w:numPr>
    </w:pPr>
  </w:style>
  <w:style w:type="paragraph" w:customStyle="1" w:styleId="Point1number">
    <w:name w:val="Point 1 (number)"/>
    <w:basedOn w:val="Normal"/>
    <w:pPr>
      <w:numPr>
        <w:ilvl w:val="2"/>
        <w:numId w:val="32"/>
      </w:numPr>
    </w:pPr>
  </w:style>
  <w:style w:type="paragraph" w:customStyle="1" w:styleId="Point2number">
    <w:name w:val="Point 2 (number)"/>
    <w:basedOn w:val="Normal"/>
    <w:pPr>
      <w:numPr>
        <w:ilvl w:val="4"/>
        <w:numId w:val="32"/>
      </w:numPr>
    </w:pPr>
  </w:style>
  <w:style w:type="paragraph" w:customStyle="1" w:styleId="Point3number">
    <w:name w:val="Point 3 (number)"/>
    <w:basedOn w:val="Normal"/>
    <w:pPr>
      <w:numPr>
        <w:ilvl w:val="6"/>
        <w:numId w:val="32"/>
      </w:numPr>
    </w:pPr>
  </w:style>
  <w:style w:type="paragraph" w:customStyle="1" w:styleId="Point0letter">
    <w:name w:val="Point 0 (letter)"/>
    <w:basedOn w:val="Normal"/>
    <w:pPr>
      <w:numPr>
        <w:ilvl w:val="1"/>
        <w:numId w:val="32"/>
      </w:numPr>
    </w:pPr>
  </w:style>
  <w:style w:type="paragraph" w:customStyle="1" w:styleId="Point1letter">
    <w:name w:val="Point 1 (letter)"/>
    <w:basedOn w:val="Normal"/>
    <w:pPr>
      <w:numPr>
        <w:ilvl w:val="3"/>
        <w:numId w:val="32"/>
      </w:numPr>
    </w:pPr>
  </w:style>
  <w:style w:type="paragraph" w:customStyle="1" w:styleId="Point2letter">
    <w:name w:val="Point 2 (letter)"/>
    <w:basedOn w:val="Normal"/>
    <w:pPr>
      <w:numPr>
        <w:ilvl w:val="5"/>
        <w:numId w:val="32"/>
      </w:numPr>
    </w:pPr>
  </w:style>
  <w:style w:type="paragraph" w:customStyle="1" w:styleId="Point3letter">
    <w:name w:val="Point 3 (letter)"/>
    <w:basedOn w:val="Normal"/>
    <w:pPr>
      <w:numPr>
        <w:ilvl w:val="7"/>
        <w:numId w:val="32"/>
      </w:numPr>
    </w:pPr>
  </w:style>
  <w:style w:type="paragraph" w:customStyle="1" w:styleId="Point4letter">
    <w:name w:val="Point 4 (letter)"/>
    <w:basedOn w:val="Normal"/>
    <w:pPr>
      <w:numPr>
        <w:ilvl w:val="8"/>
        <w:numId w:val="32"/>
      </w:numPr>
    </w:pPr>
  </w:style>
  <w:style w:type="paragraph" w:customStyle="1" w:styleId="Bullet0">
    <w:name w:val="Bullet 0"/>
    <w:basedOn w:val="Normal"/>
    <w:pPr>
      <w:numPr>
        <w:numId w:val="33"/>
      </w:numPr>
    </w:pPr>
  </w:style>
  <w:style w:type="paragraph" w:customStyle="1" w:styleId="Bullet1">
    <w:name w:val="Bullet 1"/>
    <w:basedOn w:val="Normal"/>
    <w:pPr>
      <w:numPr>
        <w:numId w:val="34"/>
      </w:numPr>
    </w:pPr>
  </w:style>
  <w:style w:type="paragraph" w:customStyle="1" w:styleId="Bullet2">
    <w:name w:val="Bullet 2"/>
    <w:basedOn w:val="Normal"/>
    <w:pPr>
      <w:numPr>
        <w:numId w:val="35"/>
      </w:numPr>
    </w:pPr>
  </w:style>
  <w:style w:type="paragraph" w:customStyle="1" w:styleId="Bullet3">
    <w:name w:val="Bullet 3"/>
    <w:basedOn w:val="Normal"/>
    <w:pPr>
      <w:numPr>
        <w:numId w:val="36"/>
      </w:numPr>
    </w:pPr>
  </w:style>
  <w:style w:type="paragraph" w:customStyle="1" w:styleId="Bullet4">
    <w:name w:val="Bullet 4"/>
    <w:basedOn w:val="Normal"/>
    <w:pPr>
      <w:numPr>
        <w:numId w:val="37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38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676E2C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676E2C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676E2C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676E2C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15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18</cp:revision>
  <dcterms:created xsi:type="dcterms:W3CDTF">2025-12-19T11:05:00Z</dcterms:created>
  <dcterms:modified xsi:type="dcterms:W3CDTF">2026-02-09T15:13:00Z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2025-12-19T11:07:13Z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477e2a1f-93c5-4126-8d67-f98f06cac17f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DQCStatus">
    <vt:lpwstr>Green (DQC version 03)</vt:lpwstr>
  </property>
</Properties>
</file>