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EEFF6C1-B8A7-4E22-B443-62249329A785" style="width:455.25pt;height:300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ListParagraph"/>
        <w:numPr>
          <w:ilvl w:val="0"/>
          <w:numId w:val="2"/>
        </w:numPr>
        <w:spacing w:after="120" w:line="240" w:lineRule="auto"/>
        <w:contextualSpacing w:val="0"/>
        <w:jc w:val="both"/>
        <w:outlineLvl w:val="0"/>
        <w:rPr>
          <w:rFonts w:ascii="Times New Roman" w:hAnsi="Times New Roman" w:cs="Times New Roman"/>
          <w:b/>
          <w:bCs/>
          <w:noProof/>
        </w:rPr>
      </w:pPr>
      <w:r>
        <w:rPr>
          <w:rFonts w:ascii="Times New Roman" w:hAnsi="Times New Roman"/>
          <w:b/>
          <w:noProof/>
        </w:rPr>
        <w:lastRenderedPageBreak/>
        <w:t>Introduction</w:t>
      </w:r>
    </w:p>
    <w:p>
      <w:pPr>
        <w:spacing w:after="120" w:line="240" w:lineRule="auto"/>
        <w:jc w:val="both"/>
        <w:rPr>
          <w:rFonts w:ascii="Times New Roman" w:hAnsi="Times New Roman" w:cs="Times New Roman"/>
          <w:noProof/>
        </w:rPr>
      </w:pPr>
      <w:r>
        <w:rPr>
          <w:rFonts w:ascii="Times New Roman" w:hAnsi="Times New Roman"/>
          <w:b/>
          <w:noProof/>
        </w:rPr>
        <w:t>Le monde numérique est une porte d’entrée vers la connaissance, une opportunité de connexion et de créativité</w:t>
      </w:r>
      <w:r>
        <w:rPr>
          <w:rFonts w:ascii="Times New Roman" w:hAnsi="Times New Roman"/>
          <w:noProof/>
        </w:rPr>
        <w:t>. Toutefois, les modèles économiques des plateformes, conçus pour maximiser le temps passé en ligne, donnent lieu à une quantité considérable d’interactions en ligne et peuvent exploiter les vulnérabilités des enfants. Selon une enquête Eurobaromètre de 2026, les adolescents passent en moyenne 4,5 heures en ligne les jours d’école, et 6,1 heures les jours de week-end</w:t>
      </w:r>
      <w:r>
        <w:rPr>
          <w:rStyle w:val="FootnoteReference"/>
          <w:noProof/>
        </w:rPr>
        <w:footnoteReference w:id="1"/>
      </w:r>
      <w:r>
        <w:rPr>
          <w:rFonts w:ascii="Times New Roman" w:hAnsi="Times New Roman"/>
          <w:noProof/>
        </w:rPr>
        <w:t xml:space="preserve">.   </w:t>
      </w:r>
    </w:p>
    <w:p>
      <w:pPr>
        <w:spacing w:after="120" w:line="240" w:lineRule="auto"/>
        <w:jc w:val="both"/>
        <w:rPr>
          <w:rFonts w:ascii="Times New Roman" w:hAnsi="Times New Roman" w:cs="Times New Roman"/>
          <w:noProof/>
        </w:rPr>
      </w:pPr>
      <w:r>
        <w:rPr>
          <w:rFonts w:ascii="Times New Roman" w:hAnsi="Times New Roman"/>
          <w:noProof/>
        </w:rPr>
        <w:t xml:space="preserve">Les données disponibles montrent que plus les enfants commencent à utiliser les plateformes en ligne à un âge précoce, plus ils sont susceptibles de passer de temps devant des écrans. Ceux qui ont commencé à utiliser les médias sociaux avant l’âge de 10 ans déclarent passer 7,5 heures sur les écrans les jours de week-end, contre 5,7 heures pour ceux qui ont commencé après l’âge de 14 ans. </w:t>
      </w:r>
      <w:r>
        <w:rPr>
          <w:rFonts w:ascii="Times New Roman" w:hAnsi="Times New Roman"/>
          <w:b/>
          <w:noProof/>
        </w:rPr>
        <w:t>Cela amplifie la pression sur la santé mentale des jeunes, qui n’a jamais été aussi menacée</w:t>
      </w:r>
      <w:r>
        <w:rPr>
          <w:rFonts w:ascii="Times New Roman" w:hAnsi="Times New Roman"/>
          <w:noProof/>
        </w:rPr>
        <w:t>. Un adolescent sur trois se sent stressé ou socialement exclu et touché par des problèmes de concentration. Un enfant sur quatre est actuellement confronté à des contenus en ligne préjudiciables et dérangeants, allant de la violence et des discours de haine à la désinformation, en passant par les pressions liées à l’image corporelle. Un jeune sur quatre est également victime de sollicitation sexuelle en ligne avant l’âge de 18 ans, y compris des interactions sexuelles non désirées consécutives à des pressions, ainsi que des formes de pédopiégeage</w:t>
      </w:r>
      <w:r>
        <w:rPr>
          <w:rStyle w:val="FootnoteReference"/>
          <w:noProof/>
        </w:rPr>
        <w:footnoteReference w:id="2"/>
      </w:r>
      <w:r>
        <w:rPr>
          <w:rFonts w:ascii="Times New Roman" w:hAnsi="Times New Roman"/>
          <w:noProof/>
        </w:rPr>
        <w:t xml:space="preserve">. Si tout enfant peut être concerné, les enfants vulnérables sont beaucoup plus exposés, tandis que les filles et les garçons ne sont pas confrontés aux mêmes types de risques. </w:t>
      </w:r>
    </w:p>
    <w:p>
      <w:pPr>
        <w:spacing w:after="120" w:line="240" w:lineRule="auto"/>
        <w:jc w:val="both"/>
        <w:rPr>
          <w:rFonts w:ascii="Times New Roman" w:hAnsi="Times New Roman"/>
          <w:noProof/>
        </w:rPr>
      </w:pPr>
      <w:r>
        <w:rPr>
          <w:rFonts w:ascii="Times New Roman" w:hAnsi="Times New Roman"/>
          <w:noProof/>
        </w:rPr>
        <w:t xml:space="preserve">En outre, comme le confirment les résultats du programme international pour le suivi des acquis des élèves de l’OCDE (PISA) de 2025, </w:t>
      </w:r>
      <w:r>
        <w:rPr>
          <w:rFonts w:ascii="Times New Roman" w:hAnsi="Times New Roman"/>
          <w:b/>
          <w:noProof/>
        </w:rPr>
        <w:t>la distraction numérique est une cause fondamentale du recul des performances scolaires des enfants</w:t>
      </w:r>
      <w:r>
        <w:rPr>
          <w:rFonts w:ascii="Times New Roman" w:hAnsi="Times New Roman"/>
          <w:noProof/>
        </w:rPr>
        <w:t xml:space="preserve">. Nuisant à la faculté d’apprentissage des jeunes, elle constitue un facteur clé du déclin des compétences de base dans l’UE. La surconsommation de médias sociaux et un temps d’écran excessif entraînent en particulier des lacunes dans la capacité d’évaluer les informations, de relier entre elles différentes sources et de faire preuve d’une réflexion critique. </w:t>
      </w:r>
    </w:p>
    <w:p>
      <w:pPr>
        <w:spacing w:after="120" w:line="240" w:lineRule="auto"/>
        <w:jc w:val="both"/>
        <w:rPr>
          <w:rFonts w:ascii="Times New Roman" w:hAnsi="Times New Roman"/>
          <w:noProof/>
        </w:rPr>
      </w:pPr>
      <w:r>
        <w:rPr>
          <w:rFonts w:ascii="Times New Roman" w:hAnsi="Times New Roman"/>
          <w:b/>
          <w:noProof/>
        </w:rPr>
        <w:t>L’essor des contenus problématiques générés par l’IA, tels que les hypertrucages ou les conseils dangereux prodigués par les dialogueurs ou compagnons IA, exacerbe encore le problème</w:t>
      </w:r>
      <w:r>
        <w:rPr>
          <w:rFonts w:ascii="Times New Roman" w:hAnsi="Times New Roman"/>
          <w:noProof/>
        </w:rPr>
        <w:t>. La pression exercée sur les adolescents pour qu’ils partagent des photos intimes en touche un sur dix, soit des millions de jeunes dans toute l’Europe. Il ne s’agit pas d’une simple exposition passive et elle ne se limite pas aux écrans. Ces contenus façonnent, encouragent et récompensent les comportements à risque, allant de l’atteinte à l’intégrité physique d’autrui aux dommages auto-infligés, y compris les troubles alimentaires, en passant par les actes imprudents exécutés et filmés pour rechercher l’attention et la validation et qui ont, dans certains cas, des conséquences fatales.</w:t>
      </w:r>
    </w:p>
    <w:p>
      <w:pPr>
        <w:spacing w:after="120" w:line="240" w:lineRule="auto"/>
        <w:jc w:val="both"/>
        <w:rPr>
          <w:rFonts w:ascii="Times New Roman" w:hAnsi="Times New Roman" w:cs="Times New Roman"/>
          <w:b/>
          <w:noProof/>
        </w:rPr>
      </w:pPr>
      <w:r>
        <w:rPr>
          <w:rFonts w:ascii="Times New Roman" w:hAnsi="Times New Roman"/>
          <w:b/>
          <w:noProof/>
        </w:rPr>
        <w:t>L’Union dispose déjà de bases solides pour protéger les mineurs en ligne</w:t>
      </w:r>
      <w:r>
        <w:rPr>
          <w:rFonts w:ascii="Times New Roman" w:hAnsi="Times New Roman"/>
          <w:noProof/>
        </w:rPr>
        <w:t xml:space="preserve">. Le règlement sur les services numériques (DSA) impose aux plateformes en ligne de veiller à la sécurité des mineurs lorsqu’elles réfléchissent aux principaux choix de conception de leurs services. Le cadre réglementaire de l’UE comprend également des garanties complètes pour les enfants lorsque ceux-ci utilisent des services de diffusion en continu, des jeux en ligne, des espaces de commerce de détail en ligne et des produits d’IA. Le règlement général sur la protection des données (RGPD) prévoit des règles et des garanties spécifiques concernant l’utilisation des données à caractère personnel, y compris celles des enfants. La législation de l’UE en matière de protection des consommateurs, notamment la directive sur les pratiques commerciales déloyales, protège les mineurs en leur qualité de consommateurs vulnérables. </w:t>
      </w:r>
    </w:p>
    <w:p>
      <w:pPr>
        <w:spacing w:after="120" w:line="240" w:lineRule="auto"/>
        <w:jc w:val="both"/>
        <w:rPr>
          <w:rFonts w:ascii="Times New Roman" w:hAnsi="Times New Roman" w:cs="Times New Roman"/>
          <w:noProof/>
        </w:rPr>
      </w:pPr>
      <w:r>
        <w:rPr>
          <w:rFonts w:ascii="Times New Roman" w:hAnsi="Times New Roman"/>
          <w:b/>
          <w:noProof/>
        </w:rPr>
        <w:t>L’application de cette législation est une priorité essentielle de la Commission</w:t>
      </w:r>
      <w:r>
        <w:rPr>
          <w:rFonts w:ascii="Times New Roman" w:hAnsi="Times New Roman"/>
          <w:noProof/>
        </w:rPr>
        <w:t>. En vertu du DSA, par exemple, la Commission a pris des mesures coercitives à l’encontre de ByteDance et de Meta pour conception addictive de leurs plateformes en ligne phares (respectivement TikTok pour la première entreprise, et Facebook et Instagram pour la seconde), et pour vérification insuffisante de l’âge sur Facebook et Instagram. La Commission a également pris des mesures coercitives à l’encontre de X en raison de la production et de la diffusion par Grok de matériel relatif à des abus sexuels sur enfants. Par l’intermédiaire du réseau de coopération en matière de protection des consommateurs (CPC), la Commission et les autorités nationales luttent contre les pratiques préjudiciables, notamment dans les jeux en ligne et le commerce électronique</w:t>
      </w:r>
      <w:r>
        <w:rPr>
          <w:rFonts w:ascii="Times New Roman" w:hAnsi="Times New Roman" w:cs="Times New Roman"/>
          <w:noProof/>
          <w:vertAlign w:val="superscript"/>
        </w:rPr>
        <w:footnoteReference w:id="3"/>
      </w:r>
      <w:r>
        <w:rPr>
          <w:rFonts w:ascii="Times New Roman" w:hAnsi="Times New Roman"/>
          <w:noProof/>
        </w:rPr>
        <w:t xml:space="preserve">. Les autorités chargées de la protection des données ont également pris des mesures à l’encontre de Meta, TikTok, X et d’autres acteurs, pour utilisation abusive des données à caractère personnel des enfants.  </w:t>
      </w:r>
    </w:p>
    <w:p>
      <w:pPr>
        <w:spacing w:after="120" w:line="240" w:lineRule="auto"/>
        <w:jc w:val="both"/>
        <w:rPr>
          <w:rFonts w:ascii="Times New Roman" w:hAnsi="Times New Roman" w:cs="Times New Roman"/>
          <w:noProof/>
        </w:rPr>
      </w:pPr>
      <w:r>
        <w:rPr>
          <w:rFonts w:ascii="Times New Roman" w:hAnsi="Times New Roman"/>
          <w:noProof/>
        </w:rPr>
        <w:t xml:space="preserve">Toutefois, </w:t>
      </w:r>
      <w:r>
        <w:rPr>
          <w:rFonts w:ascii="Times New Roman" w:hAnsi="Times New Roman"/>
          <w:b/>
          <w:noProof/>
        </w:rPr>
        <w:t>les règles existantes ne suffisent pas</w:t>
      </w:r>
      <w:r>
        <w:rPr>
          <w:rFonts w:ascii="Times New Roman" w:hAnsi="Times New Roman"/>
          <w:noProof/>
        </w:rPr>
        <w:t xml:space="preserve">. Le cadre législatif actuel de l’UE ne prévoit pas d’âge minimal pour l’accès aux plateformes et aux services présentant des fonctionnalités et des contenus inappropriés ou risqués //en fonction de l’âge des utilisateurs//pour les jeunes utilisateurs?. Il n’existe pas non plus d’interdiction pure et simple de fonctionnalités problématiques communes, telles que le défilement infini, les notifications excessives ou les systèmes de recommandation préjudiciables. Par ailleurs, le cadre existant de l’Union ne contient pas de règles suffisamment harmonisées et détaillées pour lutter contre les fonctionnalités de conception addictives des produits et services numériques accessibles aux mineurs. Il manque également de sécurité juridique en ce qui concerne les systèmes de vérification de l’âge et la responsabilité juridique des entreprises technologiques pour la conception de leurs services. </w:t>
      </w:r>
    </w:p>
    <w:p>
      <w:pPr>
        <w:spacing w:after="120" w:line="240" w:lineRule="auto"/>
        <w:jc w:val="both"/>
        <w:rPr>
          <w:rFonts w:ascii="Times New Roman" w:hAnsi="Times New Roman"/>
          <w:noProof/>
        </w:rPr>
      </w:pPr>
      <w:r>
        <w:rPr>
          <w:rFonts w:ascii="Times New Roman" w:hAnsi="Times New Roman"/>
          <w:noProof/>
        </w:rPr>
        <w:t xml:space="preserve">À la suite de l’annonce faite dans le discours sur l’état de l’Union de 2025, un </w:t>
      </w:r>
      <w:r>
        <w:rPr>
          <w:rFonts w:ascii="Times New Roman" w:hAnsi="Times New Roman"/>
          <w:b/>
          <w:noProof/>
        </w:rPr>
        <w:t>groupe spécial</w:t>
      </w:r>
      <w:r>
        <w:rPr>
          <w:rFonts w:ascii="Times New Roman" w:hAnsi="Times New Roman"/>
          <w:noProof/>
        </w:rPr>
        <w:t xml:space="preserve"> a été chargé de conseiller la présidente de la Commission sur l’élaboration d’une approche européenne visant à préserver la sécurité des enfants en ligne. Le groupe spécial a associé différents groupes de parties prenantes à ses travaux et entendu des experts présentant différents profils et issus tant de l’Union que de pays partenaires. Ses délibérations ont abouti au rapport des coprésidents du groupe spécial, exposant leurs conclusions et leurs principales recommandations</w:t>
      </w:r>
      <w:r>
        <w:rPr>
          <w:rStyle w:val="FootnoteReference"/>
          <w:noProof/>
        </w:rPr>
        <w:footnoteReference w:id="4"/>
      </w:r>
      <w:r>
        <w:rPr>
          <w:rFonts w:ascii="Times New Roman" w:hAnsi="Times New Roman"/>
          <w:noProof/>
        </w:rPr>
        <w:t>.</w:t>
      </w:r>
    </w:p>
    <w:p>
      <w:pPr>
        <w:spacing w:after="120" w:line="240" w:lineRule="auto"/>
        <w:jc w:val="both"/>
        <w:rPr>
          <w:rFonts w:ascii="Times New Roman" w:hAnsi="Times New Roman" w:cs="Times New Roman"/>
          <w:noProof/>
        </w:rPr>
      </w:pPr>
      <w:r>
        <w:rPr>
          <w:rFonts w:ascii="Times New Roman" w:hAnsi="Times New Roman"/>
          <w:noProof/>
        </w:rPr>
        <w:t>Parallèlement, la sécurité des enfants en ligne a été reconnue comme un défi mondial nécessitant une coopération étroite entre les partenaires. Aux États-Unis, le récent accord à l’amiable conclu avec Meta montre que les fournisseurs de services se rendent désormais compte qu’ils sont de plus en plus considérés, tant sur le plan juridique que sociétal, comme responsables de la sécurité des enfants auxquels ils proposent des services</w:t>
      </w:r>
      <w:r>
        <w:rPr>
          <w:rStyle w:val="FootnoteReference"/>
          <w:noProof/>
        </w:rPr>
        <w:footnoteReference w:id="5"/>
      </w:r>
      <w:r>
        <w:rPr>
          <w:rFonts w:ascii="Times New Roman" w:hAnsi="Times New Roman"/>
          <w:noProof/>
        </w:rPr>
        <w:t>. Au sein de l’UE, de nombreux États membres envisagent des initiatives législatives pour protéger les mineurs en ligne, notamment en fixant un âge minimal pour l’accès à certains services</w:t>
      </w:r>
      <w:r>
        <w:rPr>
          <w:rStyle w:val="FootnoteReference"/>
          <w:noProof/>
        </w:rPr>
        <w:footnoteReference w:id="6"/>
      </w:r>
      <w:r>
        <w:rPr>
          <w:rFonts w:ascii="Times New Roman" w:hAnsi="Times New Roman"/>
          <w:noProof/>
        </w:rPr>
        <w:t xml:space="preserve">. </w:t>
      </w:r>
      <w:r>
        <w:rPr>
          <w:rFonts w:ascii="Times New Roman" w:hAnsi="Times New Roman"/>
          <w:b/>
          <w:noProof/>
        </w:rPr>
        <w:t>Les évolutions récentes ont toutefois clairement démontré la complexité juridique de la question</w:t>
      </w:r>
      <w:r>
        <w:rPr>
          <w:rFonts w:ascii="Times New Roman" w:hAnsi="Times New Roman"/>
          <w:noProof/>
        </w:rPr>
        <w:t>, ainsi que la nécessité d’une approche ciblée et proportionnée et de la protection des droits fondamentaux</w:t>
      </w:r>
      <w:r>
        <w:rPr>
          <w:rStyle w:val="FootnoteReference"/>
          <w:noProof/>
        </w:rPr>
        <w:footnoteReference w:id="7"/>
      </w:r>
      <w:r>
        <w:rPr>
          <w:rFonts w:ascii="Times New Roman" w:hAnsi="Times New Roman"/>
          <w:noProof/>
        </w:rPr>
        <w:t xml:space="preserve">. </w:t>
      </w:r>
    </w:p>
    <w:p>
      <w:pPr>
        <w:spacing w:after="120" w:line="240" w:lineRule="auto"/>
        <w:jc w:val="both"/>
        <w:rPr>
          <w:rFonts w:ascii="Times New Roman" w:hAnsi="Times New Roman"/>
          <w:noProof/>
        </w:rPr>
      </w:pPr>
      <w:r>
        <w:rPr>
          <w:rFonts w:ascii="Times New Roman" w:hAnsi="Times New Roman"/>
          <w:noProof/>
        </w:rPr>
        <w:t xml:space="preserve">Dans ce contexte, une </w:t>
      </w:r>
      <w:r>
        <w:rPr>
          <w:rFonts w:ascii="Times New Roman" w:hAnsi="Times New Roman"/>
          <w:b/>
          <w:noProof/>
        </w:rPr>
        <w:t>action décisive, globale et urgente au niveau de l’Union est la meilleure voie à suivre</w:t>
      </w:r>
      <w:r>
        <w:rPr>
          <w:rFonts w:ascii="Times New Roman" w:hAnsi="Times New Roman"/>
          <w:noProof/>
        </w:rPr>
        <w:t xml:space="preserve"> pour parer efficacement et rapidement à l’ampleur et à la gravité des risques rencontrés par les enfants en ligne. C’est la réponse effective aux appels sans équivoque du Conseil européen, des colégislateurs et des principales parties prenantes, qui plaident en faveur d’une approche européenne commune pour protéger tous les enfants de manière uniforme dans l’ensemble de l’Union lorsqu’ils utilisent des services en ligne. Elle permettra à l’Europe de stopper, une fois pour toutes, l’accès étendu et préjudiciable des entreprises technologiques aux enfants européens, de sorte que ceux-ci puissent mener une vie libérée des algorithmes. En effet, «l’Europe estime que les enfants devraient être élevés par leurs parents, et non par des algorithmes». </w:t>
      </w:r>
    </w:p>
    <w:p>
      <w:pPr>
        <w:spacing w:after="120" w:line="240" w:lineRule="auto"/>
        <w:jc w:val="both"/>
        <w:rPr>
          <w:rFonts w:ascii="Times New Roman" w:hAnsi="Times New Roman" w:cs="Times New Roman"/>
          <w:noProof/>
          <w:lang w:val="fr-BE"/>
        </w:rPr>
      </w:pPr>
    </w:p>
    <w:p>
      <w:pPr>
        <w:rPr>
          <w:rFonts w:ascii="Times New Roman" w:hAnsi="Times New Roman"/>
          <w:b/>
          <w:noProof/>
        </w:rPr>
      </w:pPr>
      <w:r>
        <w:rPr>
          <w:noProof/>
        </w:rPr>
        <w:br w:type="page"/>
      </w:r>
    </w:p>
    <w:p>
      <w:pPr>
        <w:pStyle w:val="ListParagraph"/>
        <w:numPr>
          <w:ilvl w:val="0"/>
          <w:numId w:val="2"/>
        </w:numPr>
        <w:spacing w:after="120" w:line="240" w:lineRule="auto"/>
        <w:contextualSpacing w:val="0"/>
        <w:jc w:val="both"/>
        <w:outlineLvl w:val="0"/>
        <w:rPr>
          <w:rFonts w:ascii="Times New Roman" w:hAnsi="Times New Roman" w:cs="Times New Roman"/>
          <w:b/>
          <w:bCs/>
          <w:noProof/>
        </w:rPr>
      </w:pPr>
      <w:r>
        <w:rPr>
          <w:rFonts w:ascii="Times New Roman" w:hAnsi="Times New Roman"/>
          <w:b/>
          <w:noProof/>
        </w:rPr>
        <w:t>Vers une approche européenne globale et ambitieuse: l’EU KIDS Act (règlement relatif à un environnement numérique responsable et digne de confiance dans l’UE pour les enfants)</w:t>
      </w:r>
    </w:p>
    <w:p>
      <w:pPr>
        <w:spacing w:after="120" w:line="240" w:lineRule="auto"/>
        <w:jc w:val="both"/>
        <w:rPr>
          <w:rFonts w:ascii="Times New Roman" w:eastAsia="Times New Roman" w:hAnsi="Times New Roman" w:cs="Times New Roman"/>
          <w:noProof/>
        </w:rPr>
      </w:pPr>
      <w:r>
        <w:rPr>
          <w:rFonts w:ascii="Times New Roman" w:hAnsi="Times New Roman"/>
          <w:noProof/>
        </w:rPr>
        <w:t>L’</w:t>
      </w:r>
      <w:r>
        <w:rPr>
          <w:rFonts w:ascii="Times New Roman" w:hAnsi="Times New Roman"/>
          <w:b/>
          <w:noProof/>
        </w:rPr>
        <w:t>approche de l’Union</w:t>
      </w:r>
      <w:r>
        <w:rPr>
          <w:rFonts w:ascii="Times New Roman" w:hAnsi="Times New Roman"/>
          <w:noProof/>
        </w:rPr>
        <w:t xml:space="preserve"> devrait permettre aux mineurs de bénéficier de l’énorme potentiel des services numériques, tout en les protégeant des abus et de l’exploitation. Elle </w:t>
      </w:r>
      <w:r>
        <w:rPr>
          <w:rFonts w:ascii="Times New Roman" w:hAnsi="Times New Roman"/>
          <w:b/>
          <w:noProof/>
        </w:rPr>
        <w:t>doit limiter l’accès des entreprises technologiques à nos enfants, et non l’inverse</w:t>
      </w:r>
      <w:r>
        <w:rPr>
          <w:rFonts w:ascii="Times New Roman" w:hAnsi="Times New Roman"/>
          <w:noProof/>
        </w:rPr>
        <w:t>. Elle doit souligner que la responsabilité première de concevoir des espaces en ligne sûrs incombe aux fournisseurs de services numériques. Elle doit respecter l’évolution de la maturité des enfants au fur et à mesure qu’ils grandissent et le rôle de leurs parents ou des autres adultes responsables, sans leur transférer indûment la responsabilité. L’approche de l’Union devrait donc être globale, collective, adaptée en fonction de l’âge et fondée sur les risques réels auxquels les enfants sont exposés en ligne. Elle devrait être fondée sur les droits de l’enfant en tant que droits fondamentaux, conformément à la charte des droits fondamentaux de l’Union européenne, en tenant compte en premier lieu de l’intérêt supérieur de l’enfant.</w:t>
      </w:r>
    </w:p>
    <w:p>
      <w:pPr>
        <w:spacing w:after="120" w:line="240" w:lineRule="auto"/>
        <w:jc w:val="both"/>
        <w:rPr>
          <w:rFonts w:ascii="Times New Roman" w:hAnsi="Times New Roman" w:cs="Times New Roman"/>
          <w:noProof/>
        </w:rPr>
      </w:pPr>
      <w:r>
        <w:rPr>
          <w:rFonts w:ascii="Times New Roman" w:hAnsi="Times New Roman"/>
          <w:noProof/>
        </w:rPr>
        <w:t>Le règlement «</w:t>
      </w:r>
      <w:r>
        <w:rPr>
          <w:rFonts w:ascii="Times New Roman" w:hAnsi="Times New Roman"/>
          <w:b/>
          <w:noProof/>
        </w:rPr>
        <w:t>EU KIDS Act</w:t>
      </w:r>
      <w:r>
        <w:rPr>
          <w:rFonts w:ascii="Times New Roman" w:hAnsi="Times New Roman"/>
          <w:noProof/>
        </w:rPr>
        <w:t xml:space="preserve">», adopté avec la présente communication, </w:t>
      </w:r>
      <w:r>
        <w:rPr>
          <w:rFonts w:ascii="Times New Roman" w:hAnsi="Times New Roman"/>
          <w:b/>
          <w:noProof/>
        </w:rPr>
        <w:t>prévoit un ensemble unique de règles de l’UE assurant un niveau égal de protection</w:t>
      </w:r>
      <w:r>
        <w:rPr>
          <w:rFonts w:ascii="Times New Roman" w:hAnsi="Times New Roman"/>
          <w:noProof/>
        </w:rPr>
        <w:t xml:space="preserve"> de tous les enfants dans l’ensemble de l’Union, ainsi qu’un </w:t>
      </w:r>
      <w:r>
        <w:rPr>
          <w:rFonts w:ascii="Times New Roman" w:hAnsi="Times New Roman"/>
          <w:b/>
          <w:noProof/>
        </w:rPr>
        <w:t>ensemble d’outils pour les parents et autres adultes responsables</w:t>
      </w:r>
      <w:r>
        <w:rPr>
          <w:rStyle w:val="FootnoteReference"/>
          <w:noProof/>
        </w:rPr>
        <w:footnoteReference w:id="8"/>
      </w:r>
      <w:r>
        <w:rPr>
          <w:rFonts w:ascii="Times New Roman" w:hAnsi="Times New Roman"/>
          <w:noProof/>
        </w:rPr>
        <w:t xml:space="preserve">. Il réduira le risque de fragmentation entre les États membres et apportera une sécurité juridique claire aux entreprises de l’UE lorsqu’elles opèrent dans le marché unique. </w:t>
      </w:r>
    </w:p>
    <w:p>
      <w:pPr>
        <w:spacing w:after="120" w:line="240" w:lineRule="auto"/>
        <w:jc w:val="both"/>
        <w:rPr>
          <w:rFonts w:ascii="Times New Roman" w:hAnsi="Times New Roman" w:cs="Times New Roman"/>
          <w:noProof/>
        </w:rPr>
      </w:pPr>
      <w:r>
        <w:rPr>
          <w:rFonts w:ascii="Times New Roman" w:hAnsi="Times New Roman"/>
          <w:b/>
          <w:noProof/>
        </w:rPr>
        <w:t>Le règlement proposé s’appliquera aux «médias sociaux+»</w:t>
      </w:r>
      <w:r>
        <w:rPr>
          <w:rFonts w:ascii="Times New Roman" w:hAnsi="Times New Roman"/>
          <w:noProof/>
        </w:rPr>
        <w:t xml:space="preserve">, à savoir le groupe de services qui présentent le plus grand risque pour les mineurs. Il s’agit des services de médias sociaux, des plateformes de partage de vidéos et des jeux en ligne qui présentent des risques de conception spécifiques pour les mineurs, ainsi que des dialogueurs IA et des compagnons IA, en tant qu’outils virtuels susceptibles de fournir des conseils en matière de santé mentale et de développement personnel aux mineurs. Le règlement proposé ne ciblera pas les services conçus et exploités à des fins éducatives ou par les pouvoirs publics, et ne s’appliquera pas non plus à l’IA industrielle ou aux produits de bureautique fondés sur l’IA. Il s’appuiera sur une </w:t>
      </w:r>
      <w:r>
        <w:rPr>
          <w:rFonts w:ascii="Times New Roman" w:hAnsi="Times New Roman"/>
          <w:b/>
          <w:noProof/>
        </w:rPr>
        <w:t>approche combinée</w:t>
      </w:r>
      <w:r>
        <w:rPr>
          <w:rFonts w:ascii="Times New Roman" w:hAnsi="Times New Roman"/>
          <w:noProof/>
        </w:rPr>
        <w:t xml:space="preserve"> associant i) l’exigence d’un </w:t>
      </w:r>
      <w:r>
        <w:rPr>
          <w:rFonts w:ascii="Times New Roman" w:hAnsi="Times New Roman"/>
          <w:b/>
          <w:noProof/>
        </w:rPr>
        <w:t>âge minimum applicable à l’échelle de l’UE</w:t>
      </w:r>
      <w:r>
        <w:rPr>
          <w:rFonts w:ascii="Times New Roman" w:hAnsi="Times New Roman"/>
          <w:noProof/>
        </w:rPr>
        <w:t xml:space="preserve"> et ii) des </w:t>
      </w:r>
      <w:r>
        <w:rPr>
          <w:rFonts w:ascii="Times New Roman" w:hAnsi="Times New Roman"/>
          <w:b/>
          <w:noProof/>
        </w:rPr>
        <w:t>exigences en matière de sécurité de la conception</w:t>
      </w:r>
      <w:r>
        <w:rPr>
          <w:rFonts w:ascii="Times New Roman" w:hAnsi="Times New Roman"/>
          <w:noProof/>
        </w:rPr>
        <w:t xml:space="preserve">. </w:t>
      </w:r>
    </w:p>
    <w:p>
      <w:pPr>
        <w:spacing w:after="120" w:line="240" w:lineRule="auto"/>
        <w:ind w:left="567"/>
        <w:jc w:val="both"/>
        <w:outlineLvl w:val="0"/>
        <w:rPr>
          <w:rFonts w:ascii="Times New Roman" w:hAnsi="Times New Roman" w:cs="Times New Roman"/>
          <w:i/>
          <w:iCs/>
          <w:noProof/>
        </w:rPr>
      </w:pPr>
    </w:p>
    <w:p>
      <w:pPr>
        <w:spacing w:after="120" w:line="240" w:lineRule="auto"/>
        <w:ind w:left="567"/>
        <w:jc w:val="both"/>
        <w:outlineLvl w:val="0"/>
        <w:rPr>
          <w:rFonts w:ascii="Times New Roman" w:hAnsi="Times New Roman" w:cs="Times New Roman"/>
          <w:i/>
          <w:iCs/>
          <w:noProof/>
        </w:rPr>
      </w:pPr>
      <w:r>
        <w:rPr>
          <w:rFonts w:ascii="Times New Roman" w:hAnsi="Times New Roman"/>
          <w:i/>
          <w:noProof/>
        </w:rPr>
        <w:t>2.1 L’âge minimum à l’échelle de l’UE pour l’accès aux médias sociaux</w:t>
      </w:r>
    </w:p>
    <w:p>
      <w:pPr>
        <w:spacing w:after="120" w:line="240" w:lineRule="auto"/>
        <w:jc w:val="both"/>
        <w:rPr>
          <w:rFonts w:ascii="Times New Roman" w:hAnsi="Times New Roman" w:cs="Times New Roman"/>
          <w:noProof/>
        </w:rPr>
      </w:pPr>
      <w:r>
        <w:rPr>
          <w:rFonts w:ascii="Times New Roman" w:hAnsi="Times New Roman"/>
          <w:noProof/>
        </w:rPr>
        <w:t>L’accès des enfants aux plateformes reste un problème majeur, et la question de savoir s’ils disposent ou non de leur propre compte fait une énorme différence sur le plan des risques. Dans cette optique, la proposition prévoit, selon une approche progressive, d’</w:t>
      </w:r>
      <w:r>
        <w:rPr>
          <w:rFonts w:ascii="Times New Roman" w:hAnsi="Times New Roman"/>
          <w:b/>
          <w:noProof/>
        </w:rPr>
        <w:t>interdire l’accès des plateformes de médias sociaux aux enfants de moins de 13 ans</w:t>
      </w:r>
      <w:r>
        <w:rPr>
          <w:rFonts w:ascii="Times New Roman" w:hAnsi="Times New Roman"/>
          <w:noProof/>
        </w:rPr>
        <w:t xml:space="preserve"> et de </w:t>
      </w:r>
      <w:r>
        <w:rPr>
          <w:rFonts w:ascii="Times New Roman" w:hAnsi="Times New Roman"/>
          <w:b/>
          <w:noProof/>
        </w:rPr>
        <w:t>fixer à 15 ans dans toute l’UE l’âge minimum auquel les mineurs peuvent ouvrir leur propre compte</w:t>
      </w:r>
      <w:r>
        <w:rPr>
          <w:rFonts w:ascii="Times New Roman" w:hAnsi="Times New Roman"/>
          <w:noProof/>
        </w:rPr>
        <w:t>. En particulier:</w:t>
      </w:r>
    </w:p>
    <w:p>
      <w:pPr>
        <w:spacing w:after="120" w:line="240" w:lineRule="auto"/>
        <w:jc w:val="both"/>
        <w:rPr>
          <w:rFonts w:ascii="Times New Roman" w:hAnsi="Times New Roman" w:cs="Times New Roman"/>
          <w:b/>
          <w:bCs/>
          <w:noProof/>
        </w:rPr>
      </w:pPr>
      <w:r>
        <w:rPr>
          <w:rFonts w:ascii="Times New Roman" w:hAnsi="Times New Roman"/>
          <w:b/>
          <w:noProof/>
        </w:rPr>
        <w:t>Les enfants, de leur naissance à leurs 3 ans</w:t>
      </w:r>
      <w:r>
        <w:rPr>
          <w:rFonts w:ascii="Times New Roman" w:hAnsi="Times New Roman"/>
          <w:noProof/>
        </w:rPr>
        <w:t>, ne devraient avoir accès à aucun écran. À cette période-là de leur vie, les enfants sont principalement exposés à des risques relationnels en tant qu’utilisateurs passifs des médias numériques. Ces risques surviennent souvent lorsque les parents ou autres adultes responsables remplacent l’interaction directe par un écran pour apaiser ou distraire de jeunes enfants, ce qui peut avoir une incidence sur la capacité d’attention de ces enfants, leur acquisition du langage, leur vue et leur développement socio-émotionnel. Les parents et autres adultes responsables devraient donc donner la priorité aux interactions en face à face, limiter leur propre temps d’utilisation des médias sociaux lorsqu’ils s’occupent d’enfants et éviter d’exposer ceux-ci aux écrans.</w:t>
      </w:r>
    </w:p>
    <w:p>
      <w:pPr>
        <w:spacing w:after="120" w:line="240" w:lineRule="auto"/>
        <w:jc w:val="both"/>
        <w:rPr>
          <w:rFonts w:ascii="Times New Roman" w:hAnsi="Times New Roman" w:cs="Times New Roman"/>
          <w:noProof/>
        </w:rPr>
      </w:pPr>
      <w:r>
        <w:rPr>
          <w:rFonts w:ascii="Times New Roman" w:hAnsi="Times New Roman"/>
          <w:b/>
          <w:noProof/>
        </w:rPr>
        <w:t>Les enfants de plus de 3 ans et de moins de 13 ans</w:t>
      </w:r>
      <w:r>
        <w:rPr>
          <w:rFonts w:ascii="Times New Roman" w:hAnsi="Times New Roman"/>
          <w:noProof/>
        </w:rPr>
        <w:t xml:space="preserve"> ne devraient pas être exposés aux médias sociaux. Toutefois, les fournisseurs de plateformes de partage de vidéos peuvent proposer des services adaptés aux enfants, par exemple du matériel éducatif ou des divertissements de leur âge, que les adultes responsables peuvent permettre aux enfants de regarder sous leur surveillance. À cette fin, il faut que les plateformes proposent aux parents et autres adultes responsables un outil facile à utiliser pour que, lorsqu’ils permettent à des enfants d’utiliser leur compte, ceux-ci ne puissent accéder par ce compte qu’à ces services adaptés à leur âge, et uniquement pour une heure par jour au maximum. Cette approche, conforme aux recommandations des coprésidents du groupe spécial, permet aux enfants de se familiariser lentement avec la technologie au fur et à mesure qu’ils grandissent. Elle les protège en tout état de cause de toute interférence indue et de toute caractéristique de conception addictive auxquelles ils pourraient autrement être exposés.  </w:t>
      </w:r>
    </w:p>
    <w:p>
      <w:pPr>
        <w:shd w:val="clear" w:color="auto" w:fill="FFFFFF" w:themeFill="background1"/>
        <w:spacing w:after="120" w:line="240" w:lineRule="auto"/>
        <w:jc w:val="both"/>
        <w:rPr>
          <w:rFonts w:ascii="Times New Roman" w:hAnsi="Times New Roman" w:cs="Times New Roman"/>
          <w:noProof/>
        </w:rPr>
      </w:pPr>
      <w:r>
        <w:rPr>
          <w:rFonts w:ascii="Times New Roman" w:hAnsi="Times New Roman"/>
          <w:b/>
          <w:noProof/>
        </w:rPr>
        <w:t>Pour les enfants de 13 ans au minimum et de moins de 15 ans</w:t>
      </w:r>
      <w:r>
        <w:rPr>
          <w:rFonts w:ascii="Times New Roman" w:hAnsi="Times New Roman"/>
          <w:noProof/>
        </w:rPr>
        <w:t xml:space="preserve">, les parents ou autres adultes responsables peuvent créer, sur les médias sociaux et les plateformes de partage de vidéos, de mini-comptes subordonnés à l’exigence d’un âge minimum de 13 ans. Ces comptes auraient des fonctionnalités fortement limitées et seraient soumis au contrôle parental. Les fonctionnalités des médias sociaux seraient limitées à un nombre maximal de contacts entre pairs et à un temps d’écran quotidien maximal d’une heure par jour. Les parents et autres adultes responsables seraient en outre en mesure d’exercer leurs responsabilités parentales en surveillant et en contrôlant l’utilisation du compte de l’enfant au moyen d’une application dédiée.  </w:t>
      </w:r>
    </w:p>
    <w:p>
      <w:pPr>
        <w:shd w:val="clear" w:color="auto" w:fill="FFFFFF" w:themeFill="background1"/>
        <w:spacing w:after="120" w:line="240" w:lineRule="auto"/>
        <w:jc w:val="both"/>
        <w:rPr>
          <w:rFonts w:ascii="Times New Roman" w:hAnsi="Times New Roman" w:cs="Times New Roman"/>
          <w:noProof/>
        </w:rPr>
      </w:pPr>
      <w:r>
        <w:rPr>
          <w:rFonts w:ascii="Times New Roman" w:hAnsi="Times New Roman"/>
          <w:b/>
          <w:noProof/>
        </w:rPr>
        <w:t>Les jeunes de 15 ans ou plus et de moins de 18 ans</w:t>
      </w:r>
      <w:r>
        <w:rPr>
          <w:rFonts w:ascii="Times New Roman" w:hAnsi="Times New Roman"/>
          <w:noProof/>
        </w:rPr>
        <w:t xml:space="preserve"> pourraient créer leur propre compte autonome sur les médias sociaux et les plateformes de partage de vidéos sans autorisation parentale, ce compte ne leur donnant accès qu’à des environnements sûrs dès la conception. Au cours de cette période, le rôle des parents et des tuteurs reste essentiel. </w:t>
      </w:r>
    </w:p>
    <w:p>
      <w:pPr>
        <w:spacing w:after="120" w:line="240" w:lineRule="auto"/>
        <w:rPr>
          <w:rFonts w:ascii="Times New Roman" w:hAnsi="Times New Roman" w:cs="Times New Roman"/>
          <w:i/>
          <w:iCs/>
          <w:noProof/>
        </w:rPr>
      </w:pPr>
    </w:p>
    <w:p>
      <w:pPr>
        <w:spacing w:after="120" w:line="240" w:lineRule="auto"/>
        <w:ind w:left="567"/>
        <w:jc w:val="both"/>
        <w:rPr>
          <w:rFonts w:ascii="Times New Roman" w:eastAsia="Times New Roman" w:hAnsi="Times New Roman" w:cs="Times New Roman"/>
          <w:noProof/>
        </w:rPr>
      </w:pPr>
      <w:r>
        <w:rPr>
          <w:rFonts w:ascii="Times New Roman" w:hAnsi="Times New Roman"/>
          <w:i/>
          <w:noProof/>
        </w:rPr>
        <w:t>2.2 Conception sûre</w:t>
      </w:r>
    </w:p>
    <w:p>
      <w:pPr>
        <w:spacing w:after="120" w:line="240" w:lineRule="auto"/>
        <w:jc w:val="both"/>
        <w:rPr>
          <w:rFonts w:ascii="Times New Roman" w:hAnsi="Times New Roman" w:cs="Times New Roman"/>
          <w:noProof/>
        </w:rPr>
      </w:pPr>
      <w:r>
        <w:rPr>
          <w:rFonts w:ascii="Times New Roman" w:hAnsi="Times New Roman"/>
          <w:noProof/>
        </w:rPr>
        <w:t>Outre les mesures ci-dessus, le règlement «EU KIDS Act» impose à tous les services entrant dans son champ d’application une obligation de conception sûre, obéissant à des règles et principes stricts. Cela garantira une expérience de la navigation en ligne sûre et adaptée à l’âge. Ces règles et principes prescrivent en particulier:</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noProof/>
        </w:rPr>
        <w:t>l’</w:t>
      </w:r>
      <w:r>
        <w:rPr>
          <w:rFonts w:ascii="Times New Roman" w:hAnsi="Times New Roman"/>
          <w:b/>
          <w:noProof/>
        </w:rPr>
        <w:t>interdiction des fonctionnalités addictives</w:t>
      </w:r>
      <w:r>
        <w:rPr>
          <w:rFonts w:ascii="Times New Roman" w:hAnsi="Times New Roman"/>
          <w:noProof/>
        </w:rPr>
        <w:t>, comme le défilement infini, les notifications artificielles ou certaines fonctionnalités de récompense;</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noProof/>
        </w:rPr>
        <w:t xml:space="preserve">la </w:t>
      </w:r>
      <w:r>
        <w:rPr>
          <w:rFonts w:ascii="Times New Roman" w:hAnsi="Times New Roman"/>
          <w:b/>
          <w:noProof/>
        </w:rPr>
        <w:t>régulation des systèmes de recommandation</w:t>
      </w:r>
      <w:r>
        <w:rPr>
          <w:rFonts w:ascii="Times New Roman" w:hAnsi="Times New Roman"/>
          <w:noProof/>
        </w:rPr>
        <w:t>, par exemple avec des options permettant de choisir, d’ajuster et de contrôler les contenus recommandés, d’éviter les effets de spirale infernale et de dépasser les signaux basés sur les interactions;</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noProof/>
        </w:rPr>
        <w:t xml:space="preserve">la garantie de </w:t>
      </w:r>
      <w:r>
        <w:rPr>
          <w:rFonts w:ascii="Times New Roman" w:hAnsi="Times New Roman"/>
          <w:b/>
          <w:noProof/>
        </w:rPr>
        <w:t>paramètres de compte sûrs</w:t>
      </w:r>
      <w:r>
        <w:rPr>
          <w:rFonts w:ascii="Times New Roman" w:hAnsi="Times New Roman"/>
          <w:noProof/>
        </w:rPr>
        <w:t xml:space="preserve"> pour que la confidentialité des contenus soit préservée et que les paramètres à risque soient désactivés par défaut, avec une information claire des mineurs;</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noProof/>
        </w:rPr>
        <w:t>l’</w:t>
      </w:r>
      <w:r>
        <w:rPr>
          <w:rFonts w:ascii="Times New Roman" w:hAnsi="Times New Roman"/>
          <w:b/>
          <w:noProof/>
        </w:rPr>
        <w:t>interdiction des contacts non désirés</w:t>
      </w:r>
      <w:r>
        <w:rPr>
          <w:rFonts w:ascii="Times New Roman" w:hAnsi="Times New Roman"/>
          <w:noProof/>
        </w:rPr>
        <w:t xml:space="preserve"> de la part d’autres utilisateurs: les utilisateurs inconnus ne peuvent pas établir de contact direct en dehors des connexions approuvées, une autorisation expresse est nécessaire pour être ajouté à un groupe, le blocage est facile et anonyme; </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noProof/>
        </w:rPr>
        <w:t xml:space="preserve">un </w:t>
      </w:r>
      <w:r>
        <w:rPr>
          <w:rFonts w:ascii="Times New Roman" w:hAnsi="Times New Roman"/>
          <w:b/>
          <w:noProof/>
        </w:rPr>
        <w:t>signalement facile des contenus préjudiciables</w:t>
      </w:r>
      <w:r>
        <w:rPr>
          <w:rFonts w:ascii="Times New Roman" w:hAnsi="Times New Roman"/>
          <w:noProof/>
        </w:rPr>
        <w:t xml:space="preserve"> et l’</w:t>
      </w:r>
      <w:r>
        <w:rPr>
          <w:rFonts w:ascii="Times New Roman" w:hAnsi="Times New Roman"/>
          <w:b/>
          <w:noProof/>
        </w:rPr>
        <w:t>accès rapide à des outils d’aide</w:t>
      </w:r>
      <w:r>
        <w:rPr>
          <w:rFonts w:ascii="Times New Roman" w:hAnsi="Times New Roman"/>
          <w:noProof/>
        </w:rPr>
        <w:t xml:space="preserve"> pour les enfants;</w:t>
      </w:r>
    </w:p>
    <w:p>
      <w:pPr>
        <w:numPr>
          <w:ilvl w:val="0"/>
          <w:numId w:val="10"/>
        </w:numPr>
        <w:spacing w:after="120" w:line="240" w:lineRule="auto"/>
        <w:ind w:left="357" w:hanging="357"/>
        <w:jc w:val="both"/>
        <w:rPr>
          <w:rFonts w:ascii="Times New Roman" w:hAnsi="Times New Roman" w:cs="Times New Roman"/>
          <w:noProof/>
        </w:rPr>
      </w:pPr>
      <w:r>
        <w:rPr>
          <w:rFonts w:ascii="Times New Roman" w:hAnsi="Times New Roman"/>
          <w:noProof/>
        </w:rPr>
        <w:t xml:space="preserve">des </w:t>
      </w:r>
      <w:r>
        <w:rPr>
          <w:rFonts w:ascii="Times New Roman" w:hAnsi="Times New Roman"/>
          <w:b/>
          <w:noProof/>
        </w:rPr>
        <w:t>outils de contrôle parental</w:t>
      </w:r>
      <w:r>
        <w:rPr>
          <w:rFonts w:ascii="Times New Roman" w:hAnsi="Times New Roman"/>
          <w:noProof/>
        </w:rPr>
        <w:t xml:space="preserve"> efficaces et adaptés à l’âge.</w:t>
      </w:r>
      <w:r>
        <w:rPr>
          <w:rFonts w:ascii="Times New Roman" w:hAnsi="Times New Roman"/>
          <w:b/>
          <w:noProof/>
        </w:rPr>
        <w:t xml:space="preserve"> </w:t>
      </w:r>
    </w:p>
    <w:p>
      <w:pPr>
        <w:spacing w:after="120" w:line="240" w:lineRule="auto"/>
        <w:jc w:val="both"/>
        <w:rPr>
          <w:rFonts w:ascii="Times New Roman" w:eastAsia="Aptos" w:hAnsi="Times New Roman" w:cs="Times New Roman"/>
          <w:noProof/>
        </w:rPr>
      </w:pPr>
      <w:r>
        <w:rPr>
          <w:rFonts w:ascii="Times New Roman" w:hAnsi="Times New Roman"/>
          <w:noProof/>
        </w:rPr>
        <w:t>Ces règles et principes seront complétés par une exigence d’engagements sur mesure pour les jeux en ligne et les dialogueurs et compagnons IA, ce qui garantira une approche de corégulation fondée sur l’autorégulation du secteur. Les boutiques d’applications logicielles seraient également soumises à des exigences, inspirées des bonnes pratiques d’autorégulation actuelles. Elles devraient appliquer des classifications par âge cohérentes et rendre les applications, telles que les jeux en ligne, inaccessibles aux mineurs n’ayant pas l’âge requis.</w:t>
      </w:r>
    </w:p>
    <w:p>
      <w:pPr>
        <w:spacing w:after="120" w:line="240" w:lineRule="auto"/>
        <w:jc w:val="both"/>
        <w:rPr>
          <w:rFonts w:ascii="Times New Roman" w:eastAsia="Aptos" w:hAnsi="Times New Roman" w:cs="Times New Roman"/>
          <w:noProof/>
        </w:rPr>
      </w:pPr>
    </w:p>
    <w:p>
      <w:pPr>
        <w:spacing w:after="120" w:line="240" w:lineRule="auto"/>
        <w:ind w:left="567"/>
        <w:jc w:val="both"/>
        <w:outlineLvl w:val="0"/>
        <w:rPr>
          <w:rFonts w:ascii="Times New Roman" w:hAnsi="Times New Roman" w:cs="Times New Roman"/>
          <w:i/>
          <w:iCs/>
          <w:noProof/>
        </w:rPr>
      </w:pPr>
      <w:r>
        <w:rPr>
          <w:rFonts w:ascii="Times New Roman" w:hAnsi="Times New Roman"/>
          <w:i/>
          <w:noProof/>
        </w:rPr>
        <w:t>2.3 Vérification de l’âge</w:t>
      </w:r>
    </w:p>
    <w:p>
      <w:pPr>
        <w:spacing w:after="120" w:line="240" w:lineRule="auto"/>
        <w:jc w:val="both"/>
        <w:rPr>
          <w:rFonts w:ascii="Times New Roman" w:hAnsi="Times New Roman" w:cs="Times New Roman"/>
          <w:noProof/>
        </w:rPr>
      </w:pPr>
      <w:r>
        <w:rPr>
          <w:rFonts w:ascii="Times New Roman" w:hAnsi="Times New Roman"/>
          <w:noProof/>
        </w:rPr>
        <w:t xml:space="preserve">Il est aussi prévu de réglementer les </w:t>
      </w:r>
      <w:r>
        <w:rPr>
          <w:rFonts w:ascii="Times New Roman" w:hAnsi="Times New Roman"/>
          <w:b/>
          <w:noProof/>
        </w:rPr>
        <w:t>systèmes de vérification de l’âge accessibles</w:t>
      </w:r>
      <w:r>
        <w:rPr>
          <w:rFonts w:ascii="Times New Roman" w:hAnsi="Times New Roman"/>
          <w:noProof/>
        </w:rPr>
        <w:t xml:space="preserve">, qui devront être </w:t>
      </w:r>
      <w:r>
        <w:rPr>
          <w:rFonts w:ascii="Times New Roman" w:hAnsi="Times New Roman"/>
          <w:b/>
          <w:noProof/>
        </w:rPr>
        <w:t>respectueux de la vie privée</w:t>
      </w:r>
      <w:r>
        <w:rPr>
          <w:rFonts w:ascii="Times New Roman" w:hAnsi="Times New Roman"/>
          <w:noProof/>
        </w:rPr>
        <w:t xml:space="preserve">, ainsi que leurs modalités de fonctionnement. </w:t>
      </w:r>
    </w:p>
    <w:p>
      <w:pPr>
        <w:spacing w:after="120" w:line="240" w:lineRule="auto"/>
        <w:jc w:val="both"/>
        <w:rPr>
          <w:rFonts w:ascii="Times New Roman" w:hAnsi="Times New Roman"/>
          <w:noProof/>
        </w:rPr>
      </w:pPr>
      <w:r>
        <w:rPr>
          <w:rFonts w:ascii="Times New Roman" w:hAnsi="Times New Roman"/>
          <w:noProof/>
        </w:rPr>
        <w:t xml:space="preserve">Le règlement «EU KIDS Act» obligera les fournisseurs de services de médias sociaux et de plateformes de partage de vidéos à </w:t>
      </w:r>
      <w:r>
        <w:rPr>
          <w:rFonts w:ascii="Times New Roman" w:hAnsi="Times New Roman"/>
          <w:b/>
          <w:noProof/>
        </w:rPr>
        <w:t>procéder à une vérification de l’âge de tout utilisateur ouvrant un nouveau compte</w:t>
      </w:r>
      <w:r>
        <w:rPr>
          <w:rFonts w:ascii="Times New Roman" w:hAnsi="Times New Roman"/>
          <w:noProof/>
        </w:rPr>
        <w:t xml:space="preserve">. Pour ce faire, ils devront utiliser l’outil de vérification de l’âge de l’UE ou d’autres solutions proposées par les pouvoirs publics, offrant un niveau équivalent de précision, de fiabilité, de robustesse, de respect de la vie privée, de sécurité, de non-discrimination et de non-intrusion. Les comptes existants feraient l’objet de contrôles proportionnés plutôt que d’une vérification de l’âge en bonne et due forme, effectuée rétrospectivement. Tel serait le cas, par exemple, d’un compte créé il y a déjà de nombreuses années ou lié à une carte de crédit du titulaire du compte. Dans le cas des jeux en ligne en particulier, une </w:t>
      </w:r>
      <w:r>
        <w:rPr>
          <w:rFonts w:ascii="Times New Roman" w:hAnsi="Times New Roman"/>
          <w:b/>
          <w:noProof/>
        </w:rPr>
        <w:t>obligation de recommandation d’âge minimum</w:t>
      </w:r>
      <w:r>
        <w:rPr>
          <w:rFonts w:ascii="Times New Roman" w:hAnsi="Times New Roman"/>
          <w:noProof/>
        </w:rPr>
        <w:t xml:space="preserve"> s’appliquera systématiquement, et l’âge sera strictement vérifié dans le cadre d’une boutique d’applications logicielles avant téléchargement du moindre jeu. </w:t>
      </w:r>
    </w:p>
    <w:p>
      <w:pPr>
        <w:rPr>
          <w:rFonts w:ascii="Times New Roman" w:hAnsi="Times New Roman" w:cs="Times New Roman"/>
          <w:i/>
          <w:iCs/>
          <w:noProof/>
        </w:rPr>
      </w:pPr>
    </w:p>
    <w:p>
      <w:pPr>
        <w:spacing w:after="120" w:line="240" w:lineRule="auto"/>
        <w:ind w:left="567"/>
        <w:jc w:val="both"/>
        <w:outlineLvl w:val="0"/>
        <w:rPr>
          <w:rFonts w:ascii="Times New Roman" w:hAnsi="Times New Roman" w:cs="Times New Roman"/>
          <w:i/>
          <w:iCs/>
          <w:noProof/>
        </w:rPr>
      </w:pPr>
      <w:r>
        <w:rPr>
          <w:rFonts w:ascii="Times New Roman" w:hAnsi="Times New Roman"/>
          <w:i/>
          <w:noProof/>
        </w:rPr>
        <w:t xml:space="preserve">2.4 Contrôle de l’application des règles </w:t>
      </w:r>
    </w:p>
    <w:p>
      <w:pPr>
        <w:spacing w:after="120" w:line="240" w:lineRule="auto"/>
        <w:jc w:val="both"/>
        <w:rPr>
          <w:rFonts w:ascii="Times New Roman" w:hAnsi="Times New Roman" w:cs="Times New Roman"/>
          <w:noProof/>
        </w:rPr>
      </w:pPr>
      <w:r>
        <w:rPr>
          <w:rFonts w:ascii="Times New Roman" w:hAnsi="Times New Roman"/>
          <w:noProof/>
        </w:rPr>
        <w:t>Pour garantir une protection efficace des enfants, il est nécessaire de veiller strictement à l’application de la législation. Le règlement «EU KIDS Act» s’appuie sur l’</w:t>
      </w:r>
      <w:r>
        <w:rPr>
          <w:rFonts w:ascii="Times New Roman" w:hAnsi="Times New Roman"/>
          <w:b/>
          <w:noProof/>
        </w:rPr>
        <w:t>architecture d’application</w:t>
      </w:r>
      <w:r>
        <w:rPr>
          <w:rFonts w:ascii="Times New Roman" w:hAnsi="Times New Roman"/>
          <w:noProof/>
        </w:rPr>
        <w:t xml:space="preserve"> du règlement sur les services numériques et du règlement sur l’IA. La charge de la preuve du respect des nouvelles règles incombe aux opérateurs. C’est pourquoi les très grandes plateformes en ligne seront tenues de soumettre un plan de conformité à un auditeur indépendant, qui devra évaluer de manière approfondie le nouveau service, la nouvelle caractéristique ou la nouvelle fonctionnalité. La Commission pourra demander à un fournisseur de proposer des mesures correctives si elle estime, sur la base du rapport de l’auditeur, que le plan de conformité présente des lacunes. Le nouveau règlement prévoit également une redevance de surveillance, destinée à financer et soutenir efficacement le travail de surveillance et de contrôle de l’application des règles conduit par la Commission à l’échelle de l’UE. Dans le cadre de cette architecture, </w:t>
      </w:r>
      <w:r>
        <w:rPr>
          <w:rFonts w:ascii="Times New Roman" w:hAnsi="Times New Roman"/>
          <w:b/>
          <w:noProof/>
        </w:rPr>
        <w:t>la priorité sera donnée aux plaintes concernant des mineurs</w:t>
      </w:r>
      <w:r>
        <w:rPr>
          <w:rFonts w:ascii="Times New Roman" w:hAnsi="Times New Roman"/>
          <w:noProof/>
        </w:rPr>
        <w:t xml:space="preserve">. </w:t>
      </w:r>
    </w:p>
    <w:p>
      <w:pPr>
        <w:spacing w:after="120" w:line="240" w:lineRule="auto"/>
        <w:jc w:val="both"/>
        <w:rPr>
          <w:rFonts w:ascii="Times New Roman" w:hAnsi="Times New Roman" w:cs="Times New Roman"/>
          <w:noProof/>
        </w:rPr>
      </w:pPr>
      <w:r>
        <w:rPr>
          <w:rFonts w:ascii="Times New Roman" w:hAnsi="Times New Roman"/>
          <w:noProof/>
        </w:rPr>
        <w:t xml:space="preserve">La technologie évoluant rapidement, la proposition prévoit une </w:t>
      </w:r>
      <w:r>
        <w:rPr>
          <w:rFonts w:ascii="Times New Roman" w:hAnsi="Times New Roman"/>
          <w:b/>
          <w:noProof/>
        </w:rPr>
        <w:t>clause de réexamen</w:t>
      </w:r>
      <w:r>
        <w:rPr>
          <w:rFonts w:ascii="Times New Roman" w:hAnsi="Times New Roman"/>
          <w:noProof/>
        </w:rPr>
        <w:t xml:space="preserve"> permettant, si nécessaire, d’actualiser le cadre réglementaire.</w:t>
      </w:r>
    </w:p>
    <w:p>
      <w:pPr>
        <w:spacing w:after="120" w:line="240" w:lineRule="auto"/>
        <w:jc w:val="both"/>
        <w:rPr>
          <w:rFonts w:ascii="Times New Roman" w:hAnsi="Times New Roman" w:cs="Times New Roman"/>
          <w:noProof/>
        </w:rPr>
      </w:pPr>
    </w:p>
    <w:p>
      <w:pPr>
        <w:pStyle w:val="ListParagraph"/>
        <w:numPr>
          <w:ilvl w:val="0"/>
          <w:numId w:val="2"/>
        </w:numPr>
        <w:spacing w:after="120" w:line="240" w:lineRule="auto"/>
        <w:contextualSpacing w:val="0"/>
        <w:jc w:val="both"/>
        <w:outlineLvl w:val="0"/>
        <w:rPr>
          <w:rFonts w:ascii="Times New Roman" w:hAnsi="Times New Roman" w:cs="Times New Roman"/>
          <w:b/>
          <w:bCs/>
          <w:noProof/>
        </w:rPr>
      </w:pPr>
      <w:r>
        <w:rPr>
          <w:rFonts w:ascii="Times New Roman" w:hAnsi="Times New Roman"/>
          <w:b/>
          <w:noProof/>
        </w:rPr>
        <w:t xml:space="preserve">Mesures complémentaires </w:t>
      </w:r>
    </w:p>
    <w:p>
      <w:pPr>
        <w:pStyle w:val="ListParagraph"/>
        <w:numPr>
          <w:ilvl w:val="1"/>
          <w:numId w:val="2"/>
        </w:numPr>
        <w:spacing w:after="120" w:line="240" w:lineRule="auto"/>
        <w:ind w:left="851" w:hanging="425"/>
        <w:contextualSpacing w:val="0"/>
        <w:jc w:val="both"/>
        <w:outlineLvl w:val="0"/>
        <w:rPr>
          <w:rFonts w:ascii="Times New Roman" w:hAnsi="Times New Roman" w:cs="Times New Roman"/>
          <w:i/>
          <w:iCs/>
          <w:noProof/>
        </w:rPr>
      </w:pPr>
      <w:r>
        <w:rPr>
          <w:rFonts w:ascii="Times New Roman" w:hAnsi="Times New Roman"/>
          <w:i/>
          <w:noProof/>
        </w:rPr>
        <w:t>Mesures complémentaires de l’UE de nature réglementaire</w:t>
      </w:r>
    </w:p>
    <w:p>
      <w:pPr>
        <w:spacing w:after="120" w:line="240" w:lineRule="auto"/>
        <w:jc w:val="both"/>
        <w:rPr>
          <w:rFonts w:ascii="Times New Roman" w:hAnsi="Times New Roman"/>
          <w:noProof/>
        </w:rPr>
      </w:pPr>
      <w:r>
        <w:rPr>
          <w:rFonts w:ascii="Times New Roman" w:hAnsi="Times New Roman"/>
          <w:noProof/>
        </w:rPr>
        <w:t xml:space="preserve">Le règlement «EU KIDS Act» prévoit des règles spécifiques pour les services numériques dont l’utilisation présente le plus grand risque pour la sécurité et le développement des mineurs. Il privilégie une approche d’accès progressif et met l’accent sur une garantie de conception sûre de certaines fonctionnalités. Dans le même temps, nous devons veiller à garantir la sécurité des mineurs quels que soient les produits et services auxquels ils peuvent être confrontés en ligne, et à ce que les pratiques commerciales qui les atteignent ne présentent pas de risques pour leur santé ou leur sécurité. </w:t>
      </w:r>
    </w:p>
    <w:p>
      <w:pPr>
        <w:spacing w:after="120" w:line="240" w:lineRule="auto"/>
        <w:jc w:val="both"/>
        <w:rPr>
          <w:rFonts w:ascii="Times New Roman" w:hAnsi="Times New Roman"/>
          <w:strike/>
          <w:noProof/>
        </w:rPr>
      </w:pPr>
      <w:r>
        <w:rPr>
          <w:rFonts w:ascii="Times New Roman" w:hAnsi="Times New Roman"/>
          <w:noProof/>
        </w:rPr>
        <w:t xml:space="preserve">Le futur </w:t>
      </w:r>
      <w:r>
        <w:rPr>
          <w:rFonts w:ascii="Times New Roman" w:hAnsi="Times New Roman"/>
          <w:b/>
          <w:noProof/>
        </w:rPr>
        <w:t>règlement sur l’équité numérique</w:t>
      </w:r>
      <w:r>
        <w:rPr>
          <w:rFonts w:ascii="Times New Roman" w:hAnsi="Times New Roman"/>
          <w:noProof/>
        </w:rPr>
        <w:t xml:space="preserve"> et la révision du </w:t>
      </w:r>
      <w:r>
        <w:rPr>
          <w:rFonts w:ascii="Times New Roman" w:hAnsi="Times New Roman"/>
          <w:b/>
          <w:noProof/>
        </w:rPr>
        <w:t>règlement relatif à la coopération en matière de protection des consommateurs</w:t>
      </w:r>
      <w:r>
        <w:rPr>
          <w:rFonts w:ascii="Times New Roman" w:hAnsi="Times New Roman"/>
          <w:noProof/>
        </w:rPr>
        <w:t xml:space="preserve"> constituent une occasion déterminante d’ancrer la protection des enfants et des adolescents au cœur du droit européen de la consommation. Le règlement sur l’équité numérique actualisera les règles horizontales de protection des consommateurs contre les pratiques commerciales préjudiciables en ligne dont pâtissent également les enfants en tant que jeunes consommateurs, telles que les pratiques numériques manipulatrices ou les techniques tarifaires déloyales de certaines entreprises à l’égard des consommateurs, le marketing problématique des influenceurs, et les contrats et abonnements numériques problématiques. La Commission révisera en outre le règlement relatif à la coopération en matière de protection des consommateurs, afin de garantir une application plus stricte du droit dans l’intérêt de tous, et en particulier des mineurs, en s’appuyant sur le règlement «EU KIDS Act» et en le complétant. Dans le cadre de cette révision, elle étudiera les moyens d’améliorer la coordination entre les autorités nationales de protection des consommateurs dans les affaires transfrontières, et de centraliser les pouvoirs d’enquête et de répression au niveau de l’UE dans certains cas spécifiques. </w:t>
      </w:r>
    </w:p>
    <w:p>
      <w:pPr>
        <w:spacing w:after="120" w:line="240" w:lineRule="auto"/>
        <w:jc w:val="both"/>
        <w:rPr>
          <w:rFonts w:ascii="Times New Roman" w:hAnsi="Times New Roman" w:cs="Times New Roman"/>
          <w:noProof/>
        </w:rPr>
      </w:pPr>
      <w:r>
        <w:rPr>
          <w:rFonts w:ascii="Times New Roman" w:hAnsi="Times New Roman"/>
          <w:noProof/>
        </w:rPr>
        <w:t xml:space="preserve">En outre, la Commission proposera une révision de la </w:t>
      </w:r>
      <w:r>
        <w:rPr>
          <w:rFonts w:ascii="Times New Roman" w:hAnsi="Times New Roman"/>
          <w:b/>
          <w:noProof/>
        </w:rPr>
        <w:t>directive «Services de médias audiovisuels»</w:t>
      </w:r>
      <w:r>
        <w:rPr>
          <w:rFonts w:ascii="Times New Roman" w:hAnsi="Times New Roman"/>
          <w:noProof/>
        </w:rPr>
        <w:t>.</w:t>
      </w:r>
      <w:r>
        <w:rPr>
          <w:rFonts w:ascii="Times New Roman" w:hAnsi="Times New Roman"/>
          <w:b/>
          <w:noProof/>
        </w:rPr>
        <w:t xml:space="preserve"> </w:t>
      </w:r>
      <w:r>
        <w:rPr>
          <w:rFonts w:ascii="Times New Roman" w:hAnsi="Times New Roman"/>
          <w:noProof/>
        </w:rPr>
        <w:t xml:space="preserve">Elle précisera dans ce cadre les catégories de contenus préjudiciables dont les plateformes de partage de vidéos doivent protéger les mineurs et stipulera l’applicabilité des règles audiovisuelles de l’UE aux influenceurs en tant que fournisseurs de contenus. </w:t>
      </w:r>
    </w:p>
    <w:p>
      <w:pPr>
        <w:spacing w:after="120" w:line="240" w:lineRule="auto"/>
        <w:jc w:val="both"/>
        <w:rPr>
          <w:rFonts w:ascii="Times New Roman" w:hAnsi="Times New Roman" w:cs="Times New Roman"/>
          <w:noProof/>
        </w:rPr>
      </w:pPr>
      <w:r>
        <w:rPr>
          <w:rFonts w:ascii="Times New Roman" w:hAnsi="Times New Roman"/>
          <w:noProof/>
        </w:rPr>
        <w:t>Au-delà de l’élaboration d’un cadre réglementaire approprié et de sa mise en œuvre efficace, la réponse de l’Union doit s’appuyer sur une série de mesures de soutien, telles que celles décrites ci-dessous.</w:t>
      </w:r>
    </w:p>
    <w:p>
      <w:pPr>
        <w:spacing w:after="120" w:line="240" w:lineRule="auto"/>
        <w:jc w:val="both"/>
        <w:rPr>
          <w:rFonts w:ascii="Times New Roman" w:hAnsi="Times New Roman"/>
          <w:i/>
          <w:noProof/>
        </w:rPr>
      </w:pPr>
    </w:p>
    <w:p>
      <w:pPr>
        <w:spacing w:after="120" w:line="240" w:lineRule="auto"/>
        <w:ind w:firstLine="720"/>
        <w:jc w:val="both"/>
        <w:rPr>
          <w:rFonts w:ascii="Times New Roman" w:eastAsia="Times New Roman" w:hAnsi="Times New Roman" w:cs="Times New Roman"/>
          <w:noProof/>
        </w:rPr>
      </w:pPr>
      <w:r>
        <w:rPr>
          <w:rFonts w:ascii="Times New Roman" w:hAnsi="Times New Roman"/>
          <w:i/>
          <w:noProof/>
        </w:rPr>
        <w:t>3.2 Autonomiser les enfants et les jeunes par l’éducation</w:t>
      </w:r>
      <w:r>
        <w:rPr>
          <w:rFonts w:ascii="Times New Roman" w:hAnsi="Times New Roman"/>
          <w:noProof/>
        </w:rPr>
        <w:t xml:space="preserve"> </w:t>
      </w:r>
    </w:p>
    <w:p>
      <w:pPr>
        <w:spacing w:after="120" w:line="240" w:lineRule="auto"/>
        <w:jc w:val="both"/>
        <w:rPr>
          <w:rFonts w:ascii="Times New Roman" w:eastAsia="Times New Roman" w:hAnsi="Times New Roman" w:cs="Times New Roman"/>
          <w:noProof/>
        </w:rPr>
      </w:pPr>
      <w:r>
        <w:rPr>
          <w:rFonts w:ascii="Times New Roman" w:hAnsi="Times New Roman"/>
          <w:noProof/>
        </w:rPr>
        <w:t xml:space="preserve">Premièrement, </w:t>
      </w:r>
      <w:r>
        <w:rPr>
          <w:rFonts w:ascii="Times New Roman" w:hAnsi="Times New Roman"/>
          <w:b/>
          <w:noProof/>
        </w:rPr>
        <w:t>l’éducation est la clé du bon développement de chaque enfant</w:t>
      </w:r>
      <w:r>
        <w:rPr>
          <w:rFonts w:ascii="Times New Roman" w:hAnsi="Times New Roman"/>
          <w:noProof/>
        </w:rPr>
        <w:t xml:space="preserve">, parce qu’elle le dote des connaissances dont il a besoin pour mieux appréhender l’environnement en ligne et distinguer les comportements appropriés des comportements à risque, notamment en ligne. Dans cette optique, il est essentiel de donner aux jeunes les compétences nécessaires pour se lancer de manière sûre et responsable sur les «médias sociaux+», y compris dans le contexte d’une accélération de l’utilisation de l’IA. </w:t>
      </w:r>
    </w:p>
    <w:p>
      <w:pPr>
        <w:spacing w:after="120" w:line="240" w:lineRule="auto"/>
        <w:jc w:val="both"/>
        <w:rPr>
          <w:rFonts w:ascii="Times New Roman" w:eastAsia="Times New Roman" w:hAnsi="Times New Roman" w:cs="Times New Roman"/>
          <w:noProof/>
        </w:rPr>
      </w:pPr>
      <w:r>
        <w:rPr>
          <w:rFonts w:ascii="Times New Roman" w:hAnsi="Times New Roman"/>
          <w:noProof/>
        </w:rPr>
        <w:t xml:space="preserve">Dans ce contexte, la Commission adoptera un </w:t>
      </w:r>
      <w:r>
        <w:rPr>
          <w:rFonts w:ascii="Times New Roman" w:hAnsi="Times New Roman"/>
          <w:b/>
          <w:noProof/>
        </w:rPr>
        <w:t>train de mesures en faveur de l’éducation</w:t>
      </w:r>
      <w:r>
        <w:rPr>
          <w:rFonts w:ascii="Times New Roman" w:hAnsi="Times New Roman"/>
          <w:noProof/>
        </w:rPr>
        <w:t xml:space="preserve"> afin de soutenir les écoles, </w:t>
      </w:r>
      <w:r>
        <w:rPr>
          <w:rFonts w:ascii="Times New Roman" w:hAnsi="Times New Roman"/>
          <w:b/>
          <w:noProof/>
        </w:rPr>
        <w:t>notamment par la formation des enseignants et des directions d’établissements</w:t>
      </w:r>
      <w:r>
        <w:rPr>
          <w:rFonts w:ascii="Times New Roman" w:hAnsi="Times New Roman"/>
          <w:noProof/>
        </w:rPr>
        <w:t xml:space="preserve">, dans leurs efforts tendant à promouvoir l’acquisition des compétences numériques et en matière d’IA, ainsi qu’à sensibiliser les mineurs et à développer leur résilience quant aux effets des «médias sociaux+» sur la santé mentale et le développement cognitif. Un soutien psychologique ainsi qu’une éducation globale adaptée à l’âge sont ici essentiels.  </w:t>
      </w:r>
    </w:p>
    <w:p>
      <w:pPr>
        <w:spacing w:after="120" w:line="240" w:lineRule="auto"/>
        <w:jc w:val="both"/>
        <w:rPr>
          <w:rFonts w:ascii="Times New Roman" w:hAnsi="Times New Roman"/>
          <w:noProof/>
        </w:rPr>
      </w:pPr>
      <w:r>
        <w:rPr>
          <w:rFonts w:ascii="Times New Roman" w:hAnsi="Times New Roman"/>
          <w:noProof/>
        </w:rPr>
        <w:t>Le futur train de mesures en faveur de l’éducation promouvra davantage l’</w:t>
      </w:r>
      <w:r>
        <w:rPr>
          <w:rFonts w:ascii="Times New Roman" w:hAnsi="Times New Roman"/>
          <w:b/>
          <w:noProof/>
        </w:rPr>
        <w:t>intégration de l’éducation à l’IA dans les parcours éducatifs</w:t>
      </w:r>
      <w:r>
        <w:rPr>
          <w:rFonts w:ascii="Times New Roman" w:hAnsi="Times New Roman"/>
          <w:noProof/>
        </w:rPr>
        <w:t xml:space="preserve">, notamment à l’aide du </w:t>
      </w:r>
      <w:r>
        <w:rPr>
          <w:rFonts w:ascii="Times New Roman" w:hAnsi="Times New Roman"/>
          <w:b/>
          <w:noProof/>
        </w:rPr>
        <w:t>cadre de maîtrise de l’IA pour l’enseignement primaire et secondaire conjointement élaboré par l’UE et l’OCDE</w:t>
      </w:r>
      <w:r>
        <w:rPr>
          <w:rFonts w:ascii="Times New Roman" w:hAnsi="Times New Roman"/>
          <w:noProof/>
        </w:rPr>
        <w:t>, et aidera les écoles à élaborer des stratégies destinées à favoriser le bien-être numérique des enfants en mettant l’accent sur leur sécurité et leur autonomisation. Il s’intéressera aussi à la fourniture d’infrastructures européennes d’éducation numérique sûres et interopérables et de contenus éducatifs solides sur le plan pédagogique, et contribuera à réduire les dépendances stratégiques de l’Europe en matière de technologies éducatives.</w:t>
      </w:r>
    </w:p>
    <w:p>
      <w:pPr>
        <w:spacing w:after="120" w:line="240" w:lineRule="auto"/>
        <w:jc w:val="both"/>
        <w:rPr>
          <w:rFonts w:ascii="Times New Roman" w:hAnsi="Times New Roman"/>
          <w:noProof/>
        </w:rPr>
      </w:pPr>
      <w:r>
        <w:rPr>
          <w:rFonts w:ascii="Times New Roman" w:hAnsi="Times New Roman"/>
          <w:noProof/>
        </w:rPr>
        <w:t xml:space="preserve">Cofinancés par l’UE, les </w:t>
      </w:r>
      <w:r>
        <w:rPr>
          <w:rFonts w:ascii="Times New Roman" w:hAnsi="Times New Roman"/>
          <w:b/>
          <w:noProof/>
        </w:rPr>
        <w:t>centres pour un internet plus sûr</w:t>
      </w:r>
      <w:r>
        <w:rPr>
          <w:rFonts w:ascii="Times New Roman" w:hAnsi="Times New Roman"/>
          <w:noProof/>
        </w:rPr>
        <w:t xml:space="preserve"> fournissent déjà une aide efficace et fiable pour préserver la sécurité des enfants en ligne. Leur implantation nationale, leur vaste champ d’action et leur expertise spécialisée font de leur réseau un précieux partenaire des États membres pour la conception et la mise en œuvre de stratégies nationales efficaces pour un environnement numérique meilleur et plus sûr pour les enfants. Sur la base de ces travaux, la Commission prévoit de fournir à différents groupes, notamment les enfants, leurs parents ou autres adultes responsables, les éducateurs, les écoles et les autorités de réglementation, des </w:t>
      </w:r>
      <w:r>
        <w:rPr>
          <w:rFonts w:ascii="Times New Roman" w:hAnsi="Times New Roman"/>
          <w:b/>
          <w:noProof/>
        </w:rPr>
        <w:t>orientations sur mesure concernant les nouvelles règles</w:t>
      </w:r>
      <w:r>
        <w:rPr>
          <w:rFonts w:ascii="Times New Roman" w:hAnsi="Times New Roman"/>
          <w:noProof/>
        </w:rPr>
        <w:t>. Il s’agira notamment de webinaires, et d’apprendre à détecter rapidement les contenus préjudiciables, à gérer un accès adapté à l’âge et à utiliser les dialogueurs et compagnons IA en toute sécurité. Les États membres devraient s’appuyer sur ces travaux et les renforcer dans le contexte national, régional et local.</w:t>
      </w:r>
    </w:p>
    <w:p>
      <w:pPr>
        <w:spacing w:after="120" w:line="240" w:lineRule="auto"/>
        <w:jc w:val="both"/>
        <w:rPr>
          <w:rFonts w:ascii="Times New Roman" w:hAnsi="Times New Roman" w:cs="Times New Roman"/>
          <w:noProof/>
        </w:rPr>
      </w:pPr>
      <w:r>
        <w:rPr>
          <w:rFonts w:ascii="Times New Roman" w:hAnsi="Times New Roman"/>
          <w:noProof/>
        </w:rPr>
        <w:t>En ce qui concerne les financements, la Commission finance déjà la recherche sur la sécurité des enfants en ligne dans le cadre d’</w:t>
      </w:r>
      <w:r>
        <w:rPr>
          <w:rFonts w:ascii="Times New Roman" w:hAnsi="Times New Roman"/>
          <w:b/>
          <w:noProof/>
        </w:rPr>
        <w:t>Horizon Europe</w:t>
      </w:r>
      <w:r>
        <w:rPr>
          <w:rFonts w:ascii="Times New Roman" w:hAnsi="Times New Roman"/>
          <w:noProof/>
        </w:rPr>
        <w:t xml:space="preserve">. Le programme de travail pour 2026 prévoit notamment l’étude de l’impact, sur les résultats scolaires et la santé mentale, de l’utilisation d’outils numériques en dehors de l’école et pour la communication, avec un lancement des projets pertinents en 2027. En outre, la Commission peut recenser les </w:t>
      </w:r>
      <w:r>
        <w:rPr>
          <w:rFonts w:ascii="Times New Roman" w:hAnsi="Times New Roman"/>
          <w:b/>
          <w:noProof/>
        </w:rPr>
        <w:t>priorités émergentes en matière de financement de la recherche</w:t>
      </w:r>
      <w:r>
        <w:rPr>
          <w:rFonts w:ascii="Times New Roman" w:hAnsi="Times New Roman"/>
          <w:noProof/>
        </w:rPr>
        <w:t xml:space="preserve">, ainsi que les possibilités de soutenir, par des investissements publics et privés directs, des services sûrs et l’innovation axée sur les enfants. </w:t>
      </w:r>
    </w:p>
    <w:p>
      <w:pPr>
        <w:spacing w:after="120" w:line="240" w:lineRule="auto"/>
        <w:jc w:val="both"/>
        <w:rPr>
          <w:rFonts w:ascii="Times New Roman" w:hAnsi="Times New Roman" w:cs="Times New Roman"/>
          <w:noProof/>
        </w:rPr>
      </w:pPr>
      <w:r>
        <w:rPr>
          <w:rFonts w:ascii="Times New Roman" w:hAnsi="Times New Roman"/>
          <w:noProof/>
        </w:rPr>
        <w:t xml:space="preserve">Parallèlement, des mesures devraient être prises pour </w:t>
      </w:r>
      <w:r>
        <w:rPr>
          <w:rFonts w:ascii="Times New Roman" w:hAnsi="Times New Roman"/>
          <w:b/>
          <w:noProof/>
        </w:rPr>
        <w:t>faire en sorte que les enfants passent du temps hors ligne</w:t>
      </w:r>
      <w:r>
        <w:rPr>
          <w:rFonts w:ascii="Times New Roman" w:hAnsi="Times New Roman"/>
          <w:noProof/>
        </w:rPr>
        <w:t>. Avec Erasmus+, la Commission soutient des activités et espaces hors ligne essentiels au développement des enfants, parce qu’ils contribuent à promouvoir des interactions saines en offrant des alternatives aux écrans. La Commission encourage donc les États membres à élargir l’accès à des pratiques sportives et artistiques, des clubs de jeunes, des bibliothèques et des espaces communautaires abordables. Les États membres et les régions de l’UE devraient tirer pleinement parti des financements nationaux et européens disponibles pour fournir des infrastructures appropriées aux enseignants, aux parents et aux enfants.</w:t>
      </w:r>
    </w:p>
    <w:p>
      <w:pPr>
        <w:spacing w:after="120" w:line="240" w:lineRule="auto"/>
        <w:jc w:val="both"/>
        <w:rPr>
          <w:rFonts w:ascii="Times New Roman" w:eastAsia="Times New Roman" w:hAnsi="Times New Roman" w:cs="Times New Roman"/>
          <w:noProof/>
        </w:rPr>
      </w:pPr>
      <w:r>
        <w:rPr>
          <w:rFonts w:ascii="Times New Roman" w:hAnsi="Times New Roman"/>
          <w:noProof/>
        </w:rPr>
        <w:t xml:space="preserve">Ces efforts devraient s’inscrire dans le cadre plus large d’un engagement collectif fort à </w:t>
      </w:r>
      <w:r>
        <w:rPr>
          <w:rFonts w:ascii="Times New Roman" w:hAnsi="Times New Roman"/>
          <w:b/>
          <w:noProof/>
        </w:rPr>
        <w:t>mobiliser toutes les ressources disponibles</w:t>
      </w:r>
      <w:r>
        <w:rPr>
          <w:rFonts w:ascii="Times New Roman" w:hAnsi="Times New Roman"/>
          <w:noProof/>
        </w:rPr>
        <w:t xml:space="preserve">, tant au niveau de l’Union qu’au niveau national, </w:t>
      </w:r>
      <w:r>
        <w:rPr>
          <w:rFonts w:ascii="Times New Roman" w:hAnsi="Times New Roman"/>
          <w:b/>
          <w:noProof/>
        </w:rPr>
        <w:t>pour l’éducation, la sensibilisation aux risques et l’échange de bonnes pratiques</w:t>
      </w:r>
      <w:r>
        <w:rPr>
          <w:rFonts w:ascii="Times New Roman" w:hAnsi="Times New Roman"/>
          <w:noProof/>
        </w:rPr>
        <w:t>, en vue de renforcer les mécanismes de prévention, de soutien et de protection des enfants dans l’environnement numérique, selon une approche intégrée de la protection de l’enfance. Dans ce contexte, la transposition et la mise en œuvre rapides de la directive sur la responsabilité du fait des produits permettront aux victimes de produits défectueux, y compris numériques, de demander réparation à des conditions uniformes dans toute l’UE.</w:t>
      </w:r>
    </w:p>
    <w:p>
      <w:pPr>
        <w:spacing w:after="120" w:line="240" w:lineRule="auto"/>
        <w:jc w:val="both"/>
        <w:rPr>
          <w:rFonts w:ascii="Times New Roman" w:hAnsi="Times New Roman" w:cs="Times New Roman"/>
          <w:noProof/>
        </w:rPr>
      </w:pPr>
    </w:p>
    <w:p>
      <w:pPr>
        <w:pStyle w:val="ListParagraph"/>
        <w:numPr>
          <w:ilvl w:val="1"/>
          <w:numId w:val="14"/>
        </w:numPr>
        <w:spacing w:after="120" w:line="240" w:lineRule="auto"/>
        <w:ind w:left="993"/>
        <w:contextualSpacing w:val="0"/>
        <w:jc w:val="both"/>
        <w:outlineLvl w:val="0"/>
        <w:rPr>
          <w:rFonts w:ascii="Times New Roman" w:hAnsi="Times New Roman" w:cs="Times New Roman"/>
          <w:i/>
          <w:iCs/>
          <w:noProof/>
        </w:rPr>
      </w:pPr>
      <w:r>
        <w:rPr>
          <w:rFonts w:ascii="Times New Roman" w:hAnsi="Times New Roman"/>
          <w:i/>
          <w:noProof/>
        </w:rPr>
        <w:t>Mesures de soutien générales de l’UE</w:t>
      </w:r>
    </w:p>
    <w:p>
      <w:pPr>
        <w:spacing w:after="120" w:line="240" w:lineRule="auto"/>
        <w:jc w:val="both"/>
        <w:rPr>
          <w:rFonts w:ascii="Times New Roman" w:hAnsi="Times New Roman" w:cs="Times New Roman"/>
          <w:noProof/>
        </w:rPr>
      </w:pPr>
      <w:r>
        <w:rPr>
          <w:rFonts w:ascii="Times New Roman" w:hAnsi="Times New Roman"/>
          <w:noProof/>
        </w:rPr>
        <w:t>Outre l’éducation et l’éducation aux médias, un certain nombre d’autres mesures complémentaires de l’UE sont essentielles pour assurer la protection des enfants en ligne. Il s’agit notamment d’adopter une approche globale de la santé, en particulier de la santé mentale, et d’améliorer la coopération et la coordination entre les acteurs de la lutte contre les risques en ligne et les crimes en ligne contre les enfants.</w:t>
      </w:r>
    </w:p>
    <w:p>
      <w:pPr>
        <w:spacing w:after="120" w:line="240" w:lineRule="auto"/>
        <w:jc w:val="both"/>
        <w:rPr>
          <w:rFonts w:ascii="Times New Roman" w:hAnsi="Times New Roman" w:cs="Times New Roman"/>
          <w:noProof/>
        </w:rPr>
      </w:pPr>
      <w:r>
        <w:rPr>
          <w:rFonts w:ascii="Times New Roman" w:hAnsi="Times New Roman"/>
          <w:noProof/>
        </w:rPr>
        <w:t xml:space="preserve">En 2023, la Commission avait déjà adopté une communication en faveur d’une approche globale de la santé mentale, prévoyant 20 initiatives phares et près de 1,3 milliard d’euros de financements. Cette initiative a mis davantage l’accent sur l’inclusion et le soutien à apporter aux groupes vulnérables, tels que les enfants et les jeunes. À présent, la Commission élabore, en collaboration avec l’UNICEF, une </w:t>
      </w:r>
      <w:r>
        <w:rPr>
          <w:rFonts w:ascii="Times New Roman" w:hAnsi="Times New Roman"/>
          <w:b/>
          <w:noProof/>
        </w:rPr>
        <w:t>boîte à outils de prévention</w:t>
      </w:r>
      <w:r>
        <w:rPr>
          <w:rFonts w:ascii="Times New Roman" w:hAnsi="Times New Roman"/>
          <w:noProof/>
        </w:rPr>
        <w:t xml:space="preserve"> qui aidera les décideurs politiques à mieux soutenir la santé mentale et physique des enfants. Cette boîte à outils sera présentée à l’occasion de la Journée mondiale de la santé mentale, en octobre 2026. Elle traitera aussi des problèmes liés aux effets de la numérisation sur la santé mentale des enfants.  En outre, la Commission travaille avec l’Organisation mondiale de la santé à un </w:t>
      </w:r>
      <w:r>
        <w:rPr>
          <w:rFonts w:ascii="Times New Roman" w:hAnsi="Times New Roman"/>
          <w:b/>
          <w:noProof/>
        </w:rPr>
        <w:t>renforcement des capacités des systèmes de santé mentale</w:t>
      </w:r>
      <w:r>
        <w:rPr>
          <w:rFonts w:ascii="Times New Roman" w:hAnsi="Times New Roman"/>
          <w:noProof/>
        </w:rPr>
        <w:t xml:space="preserve"> qui s’intéresse également aux déterminants numériques de la santé mentale des jeunes.</w:t>
      </w:r>
    </w:p>
    <w:p>
      <w:pPr>
        <w:spacing w:after="120" w:line="240" w:lineRule="auto"/>
        <w:jc w:val="both"/>
        <w:rPr>
          <w:rFonts w:ascii="Times New Roman" w:hAnsi="Times New Roman"/>
          <w:noProof/>
        </w:rPr>
      </w:pPr>
      <w:r>
        <w:rPr>
          <w:rFonts w:ascii="Times New Roman" w:hAnsi="Times New Roman"/>
          <w:noProof/>
        </w:rPr>
        <w:t xml:space="preserve">Par ailleurs, </w:t>
      </w:r>
      <w:r>
        <w:rPr>
          <w:rFonts w:ascii="Times New Roman" w:hAnsi="Times New Roman"/>
          <w:b/>
          <w:noProof/>
        </w:rPr>
        <w:t>les enfants peuvent être victimes de criminels</w:t>
      </w:r>
      <w:r>
        <w:rPr>
          <w:rFonts w:ascii="Times New Roman" w:hAnsi="Times New Roman"/>
          <w:noProof/>
        </w:rPr>
        <w:t>. Lorsque des enfants sont victimes ou auteurs d’infractions pénales en ligne, ou les deux, l’acquis de l’UE en matière de droit pénal procédural s’applique, en particulier la directive relative aux droits des victimes et la directive de 2016 relative aux garanties procédurales. En ce qui concerne la prévention de la criminalité, l’acquis de l’UE en matière de droit pénal matériel est le cadre applicable, notamment la directive relative aux abus sexuels sur enfants.</w:t>
      </w:r>
    </w:p>
    <w:p>
      <w:pPr>
        <w:spacing w:after="120" w:line="240" w:lineRule="auto"/>
        <w:jc w:val="both"/>
        <w:rPr>
          <w:rFonts w:ascii="Times New Roman" w:hAnsi="Times New Roman"/>
          <w:noProof/>
          <w:u w:val="single"/>
        </w:rPr>
      </w:pPr>
      <w:r>
        <w:rPr>
          <w:rFonts w:ascii="Times New Roman" w:hAnsi="Times New Roman"/>
          <w:noProof/>
        </w:rPr>
        <w:t xml:space="preserve">Les crimes qui touchent les enfants en ligne vont des crimes de haine au recrutement dans la criminalité organisée et l’extrémisme violent ou le terrorisme, en passant par la traite des êtres humains, les abus et l’exploitation sexuelle. Les autorités nationales et de l’UE chargées de faire appliquer différentes législations continueront de coopérer et de partager rapidement informations et données, afin de permettre le niveau le plus élevé de protection des mineurs. Le futur </w:t>
      </w:r>
      <w:r>
        <w:rPr>
          <w:rFonts w:ascii="Times New Roman" w:hAnsi="Times New Roman"/>
          <w:b/>
          <w:noProof/>
        </w:rPr>
        <w:t>plan d’action sur la protection des enfants contre la criminalité</w:t>
      </w:r>
      <w:r>
        <w:rPr>
          <w:rFonts w:ascii="Times New Roman" w:hAnsi="Times New Roman"/>
          <w:noProof/>
        </w:rPr>
        <w:t xml:space="preserve"> visera à apporter une réponse globale cohérente aux différents risques en lien avec la criminalité auxquels les enfants sont exposés, tant en ligne que hors ligne. Il aura pour objectifs de réduire dans toute la mesure du possible l’exposition des enfants à la criminalité et de renforcer la capacité des services répressifs et des autres autorités compétentes à enquêter et à engager des poursuites sur les crimes touchant les enfants. Il mettra l’accent sur le soutien aux enfants dans leurs démarches auprès des juridictions pénales de leur pays. </w:t>
      </w:r>
      <w:r>
        <w:rPr>
          <w:rFonts w:ascii="Times New Roman" w:hAnsi="Times New Roman"/>
          <w:b/>
          <w:noProof/>
        </w:rPr>
        <w:t>Cette approche centrée sur l’enfant placera les droits et l’intérêt supérieur de l’enfant au cœur de toutes les initiatives.</w:t>
      </w:r>
      <w:r>
        <w:rPr>
          <w:rFonts w:ascii="Times New Roman" w:hAnsi="Times New Roman"/>
          <w:noProof/>
          <w:u w:val="single"/>
        </w:rPr>
        <w:t xml:space="preserve"> </w:t>
      </w:r>
    </w:p>
    <w:p>
      <w:pPr>
        <w:spacing w:after="120" w:line="240" w:lineRule="auto"/>
        <w:jc w:val="both"/>
        <w:rPr>
          <w:rFonts w:ascii="Times New Roman" w:hAnsi="Times New Roman" w:cs="Times New Roman"/>
          <w:noProof/>
        </w:rPr>
      </w:pPr>
    </w:p>
    <w:p>
      <w:pPr>
        <w:spacing w:after="120" w:line="240" w:lineRule="auto"/>
        <w:ind w:firstLine="720"/>
        <w:jc w:val="both"/>
        <w:rPr>
          <w:rFonts w:ascii="Times New Roman" w:eastAsia="Aptos" w:hAnsi="Times New Roman" w:cs="Times New Roman"/>
          <w:i/>
          <w:iCs/>
          <w:noProof/>
        </w:rPr>
      </w:pPr>
      <w:r>
        <w:rPr>
          <w:rFonts w:ascii="Times New Roman" w:hAnsi="Times New Roman"/>
          <w:i/>
          <w:noProof/>
        </w:rPr>
        <w:t>3.4 Coopération internationale</w:t>
      </w:r>
    </w:p>
    <w:p>
      <w:pPr>
        <w:spacing w:after="120" w:line="240" w:lineRule="auto"/>
        <w:jc w:val="both"/>
        <w:rPr>
          <w:rFonts w:ascii="Times New Roman" w:hAnsi="Times New Roman" w:cs="Times New Roman"/>
          <w:noProof/>
        </w:rPr>
      </w:pPr>
      <w:r>
        <w:rPr>
          <w:rFonts w:ascii="Times New Roman" w:hAnsi="Times New Roman"/>
          <w:noProof/>
        </w:rPr>
        <w:t>Conformément à sa stratégie numérique internationale, l’UE a jusqu’à présent collaboré avec l’Australie, le Brésil, le Canada, Singapour, le Royaume-Uni et le Japon pour protéger les enfants en ligne et façonné l’ensemble commun de principes du G7 concernant les mineurs en ligne</w:t>
      </w:r>
      <w:r>
        <w:rPr>
          <w:rStyle w:val="FootnoteReference"/>
          <w:noProof/>
        </w:rPr>
        <w:footnoteReference w:id="9"/>
      </w:r>
      <w:r>
        <w:rPr>
          <w:rFonts w:ascii="Times New Roman" w:hAnsi="Times New Roman"/>
          <w:noProof/>
        </w:rPr>
        <w:t>. Elle a également contribué aux discussions au niveau multilatéral, y compris au niveau des Nations unies</w:t>
      </w:r>
      <w:r>
        <w:rPr>
          <w:rFonts w:ascii="Times New Roman" w:hAnsi="Times New Roman" w:cs="Times New Roman"/>
          <w:noProof/>
          <w:vertAlign w:val="superscript"/>
          <w:lang w:val="en-US"/>
        </w:rPr>
        <w:footnoteReference w:id="10"/>
      </w:r>
      <w:r>
        <w:rPr>
          <w:rFonts w:ascii="Times New Roman" w:hAnsi="Times New Roman"/>
          <w:noProof/>
        </w:rPr>
        <w:t>. Il demeure prioritaire de renforcer notre coopération avec nos partenaires internationaux pour protéger efficacement les mineurs en ligne. L’introduction, par le règlement «EU KIDS Act», de mesures destinées à atténuer l’impact que peut avoir l’intelligence artificielle sur les enfants via les dialogueurs et les compagnons IA renforcera l’</w:t>
      </w:r>
      <w:r>
        <w:rPr>
          <w:rFonts w:ascii="Times New Roman" w:hAnsi="Times New Roman"/>
          <w:b/>
          <w:noProof/>
        </w:rPr>
        <w:t>approche fondée sur le droit et les risques privilégiée par l’UE à l’égard de l’IA</w:t>
      </w:r>
      <w:r>
        <w:rPr>
          <w:rFonts w:ascii="Times New Roman" w:hAnsi="Times New Roman"/>
          <w:noProof/>
        </w:rPr>
        <w:t xml:space="preserve">, approche qui intéresse nombre de nos partenaires du monde entier. D’une manière générale, une approche de la protection des enfants en ligne unifiée à l’échelle de l’UE rendra cette coopération internationale plus efficace, en fournissant un solide point de référence pour dialoguer avec nos partenaires en vue d’atteindre les objectifs de la présente initiative. </w:t>
      </w:r>
    </w:p>
    <w:p>
      <w:pPr>
        <w:spacing w:after="120" w:line="240" w:lineRule="auto"/>
        <w:jc w:val="both"/>
        <w:rPr>
          <w:rFonts w:ascii="Times New Roman" w:eastAsia="Times New Roman" w:hAnsi="Times New Roman" w:cs="Times New Roman"/>
          <w:noProof/>
        </w:rPr>
      </w:pPr>
    </w:p>
    <w:p>
      <w:pPr>
        <w:spacing w:after="120" w:line="240" w:lineRule="auto"/>
        <w:ind w:firstLine="720"/>
        <w:jc w:val="both"/>
        <w:rPr>
          <w:rFonts w:ascii="Times New Roman" w:eastAsia="Times New Roman" w:hAnsi="Times New Roman" w:cs="Times New Roman"/>
          <w:i/>
          <w:iCs/>
          <w:noProof/>
        </w:rPr>
      </w:pPr>
      <w:r>
        <w:rPr>
          <w:rFonts w:ascii="Times New Roman" w:hAnsi="Times New Roman"/>
          <w:i/>
          <w:noProof/>
        </w:rPr>
        <w:t>3.5 Suivi</w:t>
      </w:r>
    </w:p>
    <w:p>
      <w:pPr>
        <w:spacing w:after="120" w:line="240" w:lineRule="auto"/>
        <w:jc w:val="both"/>
        <w:rPr>
          <w:rFonts w:ascii="Times New Roman" w:hAnsi="Times New Roman" w:cs="Times New Roman"/>
          <w:noProof/>
        </w:rPr>
      </w:pPr>
      <w:r>
        <w:rPr>
          <w:rFonts w:ascii="Times New Roman" w:hAnsi="Times New Roman"/>
          <w:noProof/>
        </w:rPr>
        <w:t xml:space="preserve">Il importe d’analyser en continu l’évolution des services numériques proposés aux mineurs, leur impact sur ceux-ci et les effets des initiatives prises au sein de l’Union. </w:t>
      </w:r>
      <w:r>
        <w:rPr>
          <w:rFonts w:ascii="Times New Roman" w:hAnsi="Times New Roman"/>
          <w:b/>
          <w:noProof/>
        </w:rPr>
        <w:t>La Commission fera régulièrement le point des progrès accomplis</w:t>
      </w:r>
      <w:r>
        <w:rPr>
          <w:rFonts w:ascii="Times New Roman" w:hAnsi="Times New Roman"/>
          <w:noProof/>
        </w:rPr>
        <w:t>, avec le soutien des parties prenantes, y compris les organisations de jeunesse et de défense des droits de l’enfant, les associations de parents et les enfants. Elle suivra l’incidence et l’efficacité du train de mesures lié à la présente communication.</w:t>
      </w:r>
    </w:p>
    <w:p>
      <w:pPr>
        <w:spacing w:after="120" w:line="240" w:lineRule="auto"/>
        <w:jc w:val="both"/>
        <w:rPr>
          <w:rFonts w:ascii="Times New Roman" w:eastAsia="Times New Roman" w:hAnsi="Times New Roman" w:cs="Times New Roman"/>
          <w:noProof/>
        </w:rPr>
      </w:pPr>
      <w:r>
        <w:rPr>
          <w:rFonts w:ascii="Times New Roman" w:hAnsi="Times New Roman"/>
          <w:noProof/>
        </w:rPr>
        <w:t xml:space="preserve">Ce suivi permettra de mesurer </w:t>
      </w:r>
      <w:r>
        <w:rPr>
          <w:rFonts w:ascii="Times New Roman" w:hAnsi="Times New Roman"/>
          <w:b/>
          <w:noProof/>
        </w:rPr>
        <w:t>les effets de l’encadrement de l’âge minimal et l’éventuelle nécessité de l’adapter</w:t>
      </w:r>
      <w:r>
        <w:rPr>
          <w:rFonts w:ascii="Times New Roman" w:hAnsi="Times New Roman"/>
          <w:noProof/>
        </w:rPr>
        <w:t>, le but étant de mettre en place un système structuré de collecte régulière de données pour comprendre l’expérience en ligne vécue par les mineurs dans l’ensemble de l’UE. Ce cadre reposera sur la participation des enfants, notamment via la plateforme européenne de participation des enfants mise en place au titre de la stratégie de l’UE sur les droits de l’enfant et de la stratégie BIK+ (Pour un internet mieux adapté aux enfants). Il s’appuiera aussi sur des travaux de recherche et les travaux menés dans le cadre du règlement sur les services numériques et par le Centre européen pour la transparence des algorithmes, qui suit les technologies émergentes, l’évolution des modes d’utilisation et la sécurité des enfants en ligne.</w:t>
      </w:r>
    </w:p>
    <w:p>
      <w:pPr>
        <w:spacing w:after="120" w:line="240" w:lineRule="auto"/>
        <w:jc w:val="both"/>
        <w:rPr>
          <w:rFonts w:ascii="Times New Roman" w:eastAsia="Aptos" w:hAnsi="Times New Roman" w:cs="Times New Roman"/>
          <w:noProof/>
        </w:rPr>
      </w:pPr>
      <w:r>
        <w:rPr>
          <w:rFonts w:ascii="Times New Roman" w:hAnsi="Times New Roman"/>
          <w:b/>
          <w:noProof/>
        </w:rPr>
        <w:t>Le suivi se concentrera en particulier sur les répercussions sur la santé mentale des jeunes</w:t>
      </w:r>
      <w:r>
        <w:rPr>
          <w:rFonts w:ascii="Times New Roman" w:hAnsi="Times New Roman"/>
          <w:noProof/>
        </w:rPr>
        <w:t>. Il tiendra également compte des dimensions positives des expériences en ligne des enfants, y compris la question de savoir si et dans quelle mesure ils se sentent autonomes et en sécurité en ligne, et la manière dont ils répartissent leur temps d’écran entre différentes activités.</w:t>
      </w:r>
    </w:p>
    <w:p>
      <w:pPr>
        <w:spacing w:after="120" w:line="240" w:lineRule="auto"/>
        <w:jc w:val="both"/>
        <w:rPr>
          <w:rFonts w:ascii="Times New Roman" w:eastAsia="Times New Roman" w:hAnsi="Times New Roman" w:cs="Times New Roman"/>
          <w:noProof/>
          <w:lang w:val="fr-BE"/>
        </w:rPr>
      </w:pPr>
    </w:p>
    <w:p>
      <w:pPr>
        <w:pStyle w:val="ListParagraph"/>
        <w:numPr>
          <w:ilvl w:val="0"/>
          <w:numId w:val="2"/>
        </w:numPr>
        <w:spacing w:after="120" w:line="240" w:lineRule="auto"/>
        <w:contextualSpacing w:val="0"/>
        <w:jc w:val="both"/>
        <w:outlineLvl w:val="0"/>
        <w:rPr>
          <w:rFonts w:ascii="Times New Roman" w:hAnsi="Times New Roman" w:cs="Times New Roman"/>
          <w:b/>
          <w:bCs/>
          <w:noProof/>
        </w:rPr>
      </w:pPr>
      <w:r>
        <w:rPr>
          <w:rFonts w:ascii="Times New Roman" w:hAnsi="Times New Roman"/>
          <w:b/>
          <w:noProof/>
        </w:rPr>
        <w:t>Conclusions et prochaines étapes</w:t>
      </w:r>
    </w:p>
    <w:p>
      <w:pPr>
        <w:spacing w:after="120" w:line="240" w:lineRule="auto"/>
        <w:jc w:val="both"/>
        <w:rPr>
          <w:rFonts w:ascii="Times New Roman" w:hAnsi="Times New Roman" w:cs="Times New Roman"/>
          <w:noProof/>
        </w:rPr>
      </w:pPr>
      <w:r>
        <w:rPr>
          <w:rFonts w:ascii="Times New Roman" w:hAnsi="Times New Roman"/>
          <w:noProof/>
        </w:rPr>
        <w:t xml:space="preserve">La présente communication propose un cadre fondé sur une conviction claire: les entreprises technologiques sont responsables au premier chef de la sécurité de leurs produits. </w:t>
      </w:r>
      <w:r>
        <w:rPr>
          <w:rFonts w:ascii="Times New Roman" w:hAnsi="Times New Roman"/>
          <w:b/>
          <w:noProof/>
        </w:rPr>
        <w:t>Les enfants européens devraient être élevés par leurs parents, et non par des algorithmes.</w:t>
      </w:r>
    </w:p>
    <w:p>
      <w:pPr>
        <w:spacing w:after="120" w:line="240" w:lineRule="auto"/>
        <w:jc w:val="both"/>
        <w:rPr>
          <w:rFonts w:ascii="Times New Roman" w:hAnsi="Times New Roman" w:cs="Times New Roman"/>
          <w:noProof/>
        </w:rPr>
      </w:pPr>
      <w:r>
        <w:rPr>
          <w:rFonts w:ascii="Times New Roman" w:hAnsi="Times New Roman"/>
          <w:noProof/>
        </w:rPr>
        <w:t xml:space="preserve">Nous devons construire un monde numérique dans lequel </w:t>
      </w:r>
      <w:r>
        <w:rPr>
          <w:rFonts w:ascii="Times New Roman" w:hAnsi="Times New Roman"/>
          <w:b/>
          <w:noProof/>
        </w:rPr>
        <w:t>nos enfants peuvent grandir en liberté et en sécurité</w:t>
      </w:r>
      <w:r>
        <w:rPr>
          <w:rFonts w:ascii="Times New Roman" w:hAnsi="Times New Roman"/>
          <w:noProof/>
        </w:rPr>
        <w:t>, protégés par les valeurs que défend l’Europe. L’Europe doit être le meilleur endroit pour grandir, s’épanouir et vieillir. C’est à l’aune de ce critère qu’il convient d’apprécier notre proposition.</w:t>
      </w:r>
    </w:p>
    <w:p>
      <w:pPr>
        <w:spacing w:after="120" w:line="240" w:lineRule="auto"/>
        <w:jc w:val="both"/>
        <w:rPr>
          <w:rFonts w:ascii="Times New Roman" w:hAnsi="Times New Roman" w:cs="Times New Roman"/>
          <w:noProof/>
        </w:rPr>
      </w:pPr>
      <w:r>
        <w:rPr>
          <w:rFonts w:ascii="Times New Roman" w:hAnsi="Times New Roman"/>
          <w:noProof/>
        </w:rPr>
        <w:t xml:space="preserve">Le groupe spécial a fourni les preuves. Il appartient désormais aux institutions de l’Union, travaillant main dans la main avec les États membres, les entreprises concernées, la société civile, les écoles et les familles, de </w:t>
      </w:r>
      <w:r>
        <w:rPr>
          <w:rFonts w:ascii="Times New Roman" w:hAnsi="Times New Roman"/>
          <w:b/>
          <w:noProof/>
        </w:rPr>
        <w:t>mettre en œuvre le changement</w:t>
      </w:r>
      <w:r>
        <w:rPr>
          <w:rFonts w:ascii="Times New Roman" w:hAnsi="Times New Roman"/>
          <w:noProof/>
        </w:rPr>
        <w:t xml:space="preserve"> </w:t>
      </w:r>
      <w:r>
        <w:rPr>
          <w:rFonts w:ascii="Times New Roman" w:hAnsi="Times New Roman"/>
          <w:b/>
          <w:noProof/>
        </w:rPr>
        <w:t>que les enfants et les parents de toute l’Europe appellent de leurs vœux</w:t>
      </w:r>
      <w:r>
        <w:rPr>
          <w:rFonts w:ascii="Times New Roman" w:hAnsi="Times New Roman"/>
          <w:noProof/>
        </w:rPr>
        <w:t xml:space="preserve">: un monde conçu dans le souci de leur bien-être. </w:t>
      </w:r>
    </w:p>
    <w:p>
      <w:pPr>
        <w:spacing w:after="120" w:line="240" w:lineRule="auto"/>
        <w:jc w:val="both"/>
        <w:rPr>
          <w:rFonts w:ascii="Times New Roman" w:hAnsi="Times New Roman"/>
          <w:noProof/>
          <w:sz w:val="10"/>
        </w:rPr>
      </w:pPr>
    </w:p>
    <w:tbl>
      <w:tblPr>
        <w:tblStyle w:val="TableGrid"/>
        <w:tblW w:w="0" w:type="auto"/>
        <w:tblLook w:val="04A0" w:firstRow="1" w:lastRow="0" w:firstColumn="1" w:lastColumn="0" w:noHBand="0" w:noVBand="1"/>
      </w:tblPr>
      <w:tblGrid>
        <w:gridCol w:w="9016"/>
      </w:tblGrid>
      <w:tr>
        <w:tc>
          <w:tcPr>
            <w:tcW w:w="9016" w:type="dxa"/>
          </w:tcPr>
          <w:p>
            <w:pPr>
              <w:spacing w:after="120"/>
              <w:jc w:val="both"/>
              <w:rPr>
                <w:rFonts w:ascii="Times New Roman" w:eastAsia="Times New Roman" w:hAnsi="Times New Roman" w:cs="Times New Roman"/>
                <w:b/>
                <w:bCs/>
                <w:noProof/>
                <w:sz w:val="24"/>
                <w:szCs w:val="24"/>
              </w:rPr>
            </w:pPr>
            <w:r>
              <w:rPr>
                <w:rFonts w:ascii="Times New Roman" w:hAnsi="Times New Roman"/>
                <w:b/>
                <w:noProof/>
              </w:rPr>
              <w:t>La Commission va:</w:t>
            </w:r>
          </w:p>
          <w:p>
            <w:pPr>
              <w:numPr>
                <w:ilvl w:val="0"/>
                <w:numId w:val="3"/>
              </w:numPr>
              <w:spacing w:after="120"/>
              <w:ind w:left="714" w:hanging="357"/>
              <w:jc w:val="both"/>
              <w:rPr>
                <w:rFonts w:ascii="Times New Roman" w:eastAsia="Times New Roman" w:hAnsi="Times New Roman" w:cs="Times New Roman"/>
                <w:noProof/>
                <w:sz w:val="24"/>
                <w:szCs w:val="24"/>
              </w:rPr>
            </w:pPr>
            <w:r>
              <w:rPr>
                <w:rFonts w:ascii="Times New Roman" w:hAnsi="Times New Roman"/>
                <w:noProof/>
              </w:rPr>
              <w:t xml:space="preserve">proposer un </w:t>
            </w:r>
            <w:r>
              <w:rPr>
                <w:rFonts w:ascii="Times New Roman" w:hAnsi="Times New Roman"/>
                <w:b/>
                <w:noProof/>
              </w:rPr>
              <w:t>règlement sur l’équité numérique</w:t>
            </w:r>
            <w:r>
              <w:rPr>
                <w:rFonts w:ascii="Times New Roman" w:hAnsi="Times New Roman"/>
                <w:noProof/>
              </w:rPr>
              <w:t xml:space="preserve">; </w:t>
            </w:r>
          </w:p>
          <w:p>
            <w:pPr>
              <w:numPr>
                <w:ilvl w:val="0"/>
                <w:numId w:val="3"/>
              </w:numPr>
              <w:spacing w:after="120"/>
              <w:ind w:left="714" w:hanging="357"/>
              <w:jc w:val="both"/>
              <w:rPr>
                <w:rFonts w:ascii="Times New Roman" w:eastAsia="Times New Roman" w:hAnsi="Times New Roman" w:cs="Times New Roman"/>
                <w:noProof/>
                <w:sz w:val="24"/>
                <w:szCs w:val="24"/>
              </w:rPr>
            </w:pPr>
            <w:r>
              <w:rPr>
                <w:rFonts w:ascii="Times New Roman" w:hAnsi="Times New Roman"/>
                <w:noProof/>
              </w:rPr>
              <w:t xml:space="preserve">proposer une </w:t>
            </w:r>
            <w:r>
              <w:rPr>
                <w:rFonts w:ascii="Times New Roman" w:hAnsi="Times New Roman"/>
                <w:b/>
                <w:noProof/>
              </w:rPr>
              <w:t>révision du règlement relatif à la coopération en matière de protection des consommateurs</w:t>
            </w:r>
            <w:r>
              <w:rPr>
                <w:rFonts w:ascii="Times New Roman" w:hAnsi="Times New Roman"/>
                <w:noProof/>
              </w:rPr>
              <w:t>:</w:t>
            </w:r>
            <w:r>
              <w:rPr>
                <w:rFonts w:ascii="Times New Roman" w:hAnsi="Times New Roman"/>
                <w:b/>
                <w:noProof/>
                <w:sz w:val="24"/>
              </w:rPr>
              <w:t xml:space="preserve"> </w:t>
            </w:r>
            <w:r>
              <w:rPr>
                <w:rFonts w:ascii="Times New Roman" w:hAnsi="Times New Roman"/>
                <w:noProof/>
              </w:rPr>
              <w:t xml:space="preserve"> </w:t>
            </w:r>
          </w:p>
          <w:p>
            <w:pPr>
              <w:numPr>
                <w:ilvl w:val="0"/>
                <w:numId w:val="3"/>
              </w:numPr>
              <w:spacing w:after="120"/>
              <w:ind w:left="714" w:hanging="357"/>
              <w:jc w:val="both"/>
              <w:rPr>
                <w:rFonts w:ascii="Times New Roman" w:eastAsia="Times New Roman" w:hAnsi="Times New Roman" w:cs="Times New Roman"/>
                <w:noProof/>
                <w:sz w:val="24"/>
                <w:szCs w:val="24"/>
              </w:rPr>
            </w:pPr>
            <w:r>
              <w:rPr>
                <w:rFonts w:ascii="Times New Roman" w:hAnsi="Times New Roman"/>
                <w:noProof/>
              </w:rPr>
              <w:t xml:space="preserve">proposer une </w:t>
            </w:r>
            <w:r>
              <w:rPr>
                <w:rFonts w:ascii="Times New Roman" w:hAnsi="Times New Roman"/>
                <w:b/>
                <w:noProof/>
              </w:rPr>
              <w:t>révision de la</w:t>
            </w:r>
            <w:r>
              <w:rPr>
                <w:rFonts w:ascii="Times New Roman" w:hAnsi="Times New Roman"/>
                <w:noProof/>
              </w:rPr>
              <w:t xml:space="preserve"> </w:t>
            </w:r>
            <w:r>
              <w:rPr>
                <w:rFonts w:ascii="Times New Roman" w:hAnsi="Times New Roman"/>
                <w:b/>
                <w:noProof/>
              </w:rPr>
              <w:t>directive «Services de médias audiovisuels»</w:t>
            </w:r>
            <w:r>
              <w:rPr>
                <w:rFonts w:ascii="Times New Roman" w:hAnsi="Times New Roman"/>
                <w:noProof/>
              </w:rPr>
              <w:t xml:space="preserve">; </w:t>
            </w:r>
          </w:p>
          <w:p>
            <w:pPr>
              <w:numPr>
                <w:ilvl w:val="0"/>
                <w:numId w:val="3"/>
              </w:numPr>
              <w:spacing w:after="120"/>
              <w:ind w:left="714" w:hanging="357"/>
              <w:jc w:val="both"/>
              <w:rPr>
                <w:rFonts w:ascii="Times New Roman" w:eastAsia="Times New Roman" w:hAnsi="Times New Roman" w:cs="Times New Roman"/>
                <w:noProof/>
                <w:sz w:val="24"/>
                <w:szCs w:val="24"/>
              </w:rPr>
            </w:pPr>
            <w:r>
              <w:rPr>
                <w:rFonts w:ascii="Times New Roman" w:hAnsi="Times New Roman"/>
                <w:noProof/>
              </w:rPr>
              <w:t xml:space="preserve">présenter un </w:t>
            </w:r>
            <w:r>
              <w:rPr>
                <w:rFonts w:ascii="Times New Roman" w:hAnsi="Times New Roman"/>
                <w:b/>
                <w:noProof/>
              </w:rPr>
              <w:t>plan d’action sur la protection des enfants contre la criminalité</w:t>
            </w:r>
            <w:r>
              <w:rPr>
                <w:rFonts w:ascii="Times New Roman" w:hAnsi="Times New Roman"/>
                <w:noProof/>
              </w:rPr>
              <w:t>;</w:t>
            </w:r>
            <w:r>
              <w:rPr>
                <w:rFonts w:ascii="Times New Roman" w:hAnsi="Times New Roman"/>
                <w:b/>
                <w:noProof/>
              </w:rPr>
              <w:t xml:space="preserve"> </w:t>
            </w:r>
          </w:p>
          <w:p>
            <w:pPr>
              <w:numPr>
                <w:ilvl w:val="0"/>
                <w:numId w:val="3"/>
              </w:numPr>
              <w:spacing w:after="120"/>
              <w:ind w:left="714" w:hanging="357"/>
              <w:jc w:val="both"/>
              <w:rPr>
                <w:rFonts w:ascii="Times New Roman" w:eastAsia="Times New Roman" w:hAnsi="Times New Roman" w:cs="Times New Roman"/>
                <w:b/>
                <w:bCs/>
                <w:noProof/>
                <w:sz w:val="24"/>
                <w:szCs w:val="24"/>
              </w:rPr>
            </w:pPr>
            <w:r>
              <w:rPr>
                <w:rFonts w:ascii="Times New Roman" w:hAnsi="Times New Roman"/>
                <w:noProof/>
              </w:rPr>
              <w:t xml:space="preserve">présenter un </w:t>
            </w:r>
            <w:r>
              <w:rPr>
                <w:rFonts w:ascii="Times New Roman" w:hAnsi="Times New Roman"/>
                <w:b/>
                <w:noProof/>
              </w:rPr>
              <w:t>train de mesures en faveur de l’éducation</w:t>
            </w:r>
            <w:r>
              <w:rPr>
                <w:rFonts w:ascii="Times New Roman" w:hAnsi="Times New Roman"/>
                <w:noProof/>
              </w:rPr>
              <w:t>.</w:t>
            </w:r>
            <w:r>
              <w:rPr>
                <w:rFonts w:ascii="Times New Roman" w:hAnsi="Times New Roman"/>
                <w:b/>
                <w:noProof/>
              </w:rPr>
              <w:t xml:space="preserve"> </w:t>
            </w:r>
          </w:p>
        </w:tc>
      </w:tr>
    </w:tbl>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quot;Aptos&quot;,sans-serif">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6330408"/>
      <w:docPartObj>
        <w:docPartGallery w:val="Page Numbers (Bottom of Page)"/>
        <w:docPartUnique/>
      </w:docPartObj>
    </w:sdtPr>
    <w:sdtEndPr>
      <w:rPr>
        <w:rFonts w:ascii="Times New Roman" w:hAnsi="Times New Roman" w:cs="Times New Roman"/>
        <w:noProof/>
        <w:sz w:val="20"/>
        <w:szCs w:val="20"/>
      </w:rPr>
    </w:sdtEndPr>
    <w:sdtContent>
      <w:p>
        <w:pPr>
          <w:pStyle w:val="Footer"/>
          <w:jc w:val="center"/>
          <w:rPr>
            <w:rFonts w:ascii="Times New Roman" w:hAnsi="Times New Roman" w:cs="Times New Roman"/>
            <w:sz w:val="20"/>
            <w:szCs w:val="20"/>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Pr>
            <w:rFonts w:ascii="Times New Roman" w:hAnsi="Times New Roman" w:cs="Times New Roman"/>
            <w:sz w:val="20"/>
          </w:rPr>
          <w:t>2</w:t>
        </w:r>
        <w:r>
          <w:rPr>
            <w:rFonts w:ascii="Times New Roman" w:hAnsi="Times New Roman" w:cs="Times New Roman"/>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hyperlink r:id="rId1" w:history="1">
        <w:r>
          <w:rPr>
            <w:rStyle w:val="Hyperlink"/>
            <w:rFonts w:ascii="Times New Roman" w:hAnsi="Times New Roman"/>
            <w:color w:val="auto"/>
            <w:u w:val="none"/>
          </w:rPr>
          <w:t>Impact of excessive screen time and social media on young people’s mental health (Impact d’une utilisation excessive des écrans et des médias sociaux sur la santé mentale des jeunes) – juin 2026 – enquête Eurobaromètre</w:t>
        </w:r>
      </w:hyperlink>
      <w:r>
        <w:t>.</w:t>
      </w:r>
    </w:p>
  </w:footnote>
  <w:footnote w:id="2">
    <w:p>
      <w:pPr>
        <w:pStyle w:val="FootnoteText"/>
        <w:jc w:val="both"/>
        <w:rPr>
          <w:rFonts w:ascii="Times New Roman" w:hAnsi="Times New Roman"/>
        </w:rPr>
      </w:pPr>
      <w:r>
        <w:rPr>
          <w:rStyle w:val="FootnoteReference"/>
        </w:rPr>
        <w:footnoteRef/>
      </w:r>
      <w:r>
        <w:rPr>
          <w:rFonts w:ascii="Times New Roman" w:hAnsi="Times New Roman"/>
        </w:rPr>
        <w:t xml:space="preserve"> </w:t>
      </w:r>
      <w:r>
        <w:rPr>
          <w:rStyle w:val="Hyperlink"/>
          <w:rFonts w:ascii="Times New Roman" w:hAnsi="Times New Roman"/>
          <w:color w:val="0000FF"/>
        </w:rPr>
        <w:t>https://www.childlight.org/reports/itl-interim-update-2026</w:t>
      </w:r>
    </w:p>
  </w:footnote>
  <w:footnote w:id="3">
    <w:p>
      <w:pPr>
        <w:pStyle w:val="FootnoteText"/>
        <w:jc w:val="both"/>
        <w:rPr>
          <w:rFonts w:ascii="Times New Roman" w:eastAsia="Times New Roman" w:hAnsi="Times New Roman" w:cs="Times New Roman"/>
          <w:color w:val="008080"/>
          <w:u w:val="single"/>
        </w:rPr>
      </w:pPr>
      <w:r>
        <w:rPr>
          <w:rStyle w:val="FootnoteReference"/>
        </w:rPr>
        <w:footnoteRef/>
      </w:r>
      <w:r>
        <w:rPr>
          <w:rStyle w:val="FootnoteReference"/>
        </w:rPr>
        <w:t xml:space="preserve"> </w:t>
      </w:r>
      <w:r>
        <w:rPr>
          <w:rFonts w:ascii="Times New Roman" w:hAnsi="Times New Roman"/>
        </w:rPr>
        <w:t xml:space="preserve">Dans l’affaire Star Stable Online, par exemple, le réseau CPC a enquêté sur des incitations à l’achat direct à l’intention des enfants, des tactiques de vente sous pression et des informations peu claires sur les monnaies de jeu. Le réseau CPC a demandé à l’entreprise de présenter des engagements à améliorer ses pratiques. En outre, des actions coordonnées du réseau CPC sont en cours à l’encontre de Temu et de Shein pour des violations du droit de la consommation liées aux interfaces truquées, aux fausses remises et à d’autres pratiques commerciales déloyales. </w:t>
      </w:r>
      <w:r>
        <w:rPr>
          <w:rFonts w:ascii="Times New Roman" w:hAnsi="Times New Roman"/>
          <w:strike/>
        </w:rPr>
        <w:t xml:space="preserve"> </w:t>
      </w:r>
    </w:p>
  </w:footnote>
  <w:footnote w:id="4">
    <w:p>
      <w:pPr>
        <w:pStyle w:val="FootnoteText"/>
        <w:jc w:val="both"/>
        <w:rPr>
          <w:rFonts w:ascii="Times New Roman" w:hAnsi="Times New Roman" w:cs="Times New Roman"/>
        </w:rPr>
      </w:pPr>
      <w:r>
        <w:rPr>
          <w:rStyle w:val="FootnoteReference"/>
        </w:rPr>
        <w:footnoteRef/>
      </w:r>
      <w:r>
        <w:rPr>
          <w:rFonts w:ascii="Times New Roman" w:hAnsi="Times New Roman"/>
        </w:rPr>
        <w:t xml:space="preserve"> Child safety online: protecting and empowering minors in a digital world (La sécurité des enfants en ligne: protéger et autonomiser les mineurs dans un monde numérique), disponible à l’adresse suivante: https://commission.europa.eu/document/download/d833504d-5ec3-4fac-945f-38e7d0bd5326_en?filename=Special-panel-report.pdf</w:t>
      </w:r>
    </w:p>
  </w:footnote>
  <w:footnote w:id="5">
    <w:p>
      <w:pPr>
        <w:pStyle w:val="FootnoteText"/>
        <w:rPr>
          <w:rFonts w:ascii="Times New Roman" w:hAnsi="Times New Roman" w:cs="Times New Roman"/>
        </w:rPr>
      </w:pPr>
      <w:r>
        <w:rPr>
          <w:rStyle w:val="FootnoteReference"/>
        </w:rPr>
        <w:footnoteRef/>
      </w:r>
      <w:r>
        <w:rPr>
          <w:rFonts w:ascii="Times New Roman" w:hAnsi="Times New Roman"/>
        </w:rPr>
        <w:t xml:space="preserve"> https://www.oag.state.va.us/media-center/news-releases/3105-attorney-general-jay-jones-announces-a-17-billion-landmark-settlement-with-meta-with-353-million-guaranteed-for-virginia</w:t>
      </w:r>
    </w:p>
  </w:footnote>
  <w:footnote w:id="6">
    <w:p>
      <w:pPr>
        <w:pStyle w:val="FootnoteText"/>
      </w:pPr>
      <w:r>
        <w:rPr>
          <w:rStyle w:val="FootnoteReference"/>
        </w:rPr>
        <w:footnoteRef/>
      </w:r>
      <w:r>
        <w:t xml:space="preserve"> </w:t>
      </w:r>
      <w:r>
        <w:rPr>
          <w:rFonts w:ascii="Times New Roman" w:hAnsi="Times New Roman"/>
        </w:rPr>
        <w:t>Des projets législatifs sont en cours d’élaboration ou de négociation dans 17 États membres.</w:t>
      </w:r>
    </w:p>
  </w:footnote>
  <w:footnote w:id="7">
    <w:p>
      <w:pPr>
        <w:pStyle w:val="FootnoteText"/>
        <w:jc w:val="both"/>
        <w:rPr>
          <w:rFonts w:ascii="Times New Roman" w:hAnsi="Times New Roman" w:cs="Times New Roman"/>
        </w:rPr>
      </w:pPr>
      <w:r>
        <w:rPr>
          <w:rStyle w:val="FootnoteReference"/>
        </w:rPr>
        <w:footnoteRef/>
      </w:r>
      <w:r>
        <w:rPr>
          <w:rFonts w:ascii="Times New Roman" w:hAnsi="Times New Roman"/>
        </w:rPr>
        <w:t xml:space="preserve"> https://www.conseil-constitutionnel.fr/decision/2026/2026911DC.htm</w:t>
      </w:r>
    </w:p>
  </w:footnote>
  <w:footnote w:id="8">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La définition de la filiation suivra la législation nationale de chaque État membre de l’UE.</w:t>
      </w:r>
    </w:p>
  </w:footnote>
  <w:footnote w:id="9">
    <w:p>
      <w:pPr>
        <w:pStyle w:val="FootnoteText"/>
        <w:jc w:val="both"/>
        <w:rPr>
          <w:rFonts w:ascii="Times New Roman" w:hAnsi="Times New Roman"/>
        </w:rPr>
      </w:pPr>
      <w:r>
        <w:rPr>
          <w:rStyle w:val="FootnoteReference"/>
        </w:rPr>
        <w:footnoteRef/>
      </w:r>
      <w:r>
        <w:t xml:space="preserve"> </w:t>
      </w:r>
      <w:r>
        <w:rPr>
          <w:rFonts w:ascii="Times New Roman" w:hAnsi="Times New Roman"/>
        </w:rPr>
        <w:t>Approuvé ensuite par les dirigeants du Brésil, de l’Égypte, du Kenya, de l’Inde et de la Corée du Sud.</w:t>
      </w:r>
    </w:p>
  </w:footnote>
  <w:footnote w:id="10">
    <w:p>
      <w:pPr>
        <w:pStyle w:val="FootnoteText"/>
        <w:jc w:val="both"/>
        <w:rPr>
          <w:rFonts w:ascii="Times New Roman" w:hAnsi="Times New Roman" w:cs="Times New Roman"/>
        </w:rPr>
      </w:pPr>
      <w:r>
        <w:rPr>
          <w:rFonts w:ascii="Times New Roman" w:hAnsi="Times New Roman" w:cs="Times New Roman"/>
          <w:vertAlign w:val="superscript"/>
        </w:rPr>
        <w:footnoteRef/>
      </w:r>
      <w:r>
        <w:t xml:space="preserve"> </w:t>
      </w:r>
      <w:r>
        <w:rPr>
          <w:rFonts w:ascii="Times New Roman" w:hAnsi="Times New Roman"/>
        </w:rPr>
        <w:t>Ensemble commun de principes du G7 définissant un espace numérique plus sûr et mieux sécurisé pour les mineurs.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89F66"/>
    <w:multiLevelType w:val="hybridMultilevel"/>
    <w:tmpl w:val="FFFFFFFF"/>
    <w:lvl w:ilvl="0" w:tplc="994EDDBA">
      <w:start w:val="1"/>
      <w:numFmt w:val="bullet"/>
      <w:lvlText w:val="-"/>
      <w:lvlJc w:val="left"/>
      <w:pPr>
        <w:ind w:left="720" w:hanging="360"/>
      </w:pPr>
      <w:rPr>
        <w:rFonts w:ascii="&quot;Aptos&quot;,sans-serif" w:hAnsi="&quot;Aptos&quot;,sans-serif" w:hint="default"/>
      </w:rPr>
    </w:lvl>
    <w:lvl w:ilvl="1" w:tplc="B6C2A0D2">
      <w:start w:val="1"/>
      <w:numFmt w:val="bullet"/>
      <w:lvlText w:val="o"/>
      <w:lvlJc w:val="left"/>
      <w:pPr>
        <w:ind w:left="1440" w:hanging="360"/>
      </w:pPr>
      <w:rPr>
        <w:rFonts w:ascii="Courier New" w:hAnsi="Courier New" w:hint="default"/>
      </w:rPr>
    </w:lvl>
    <w:lvl w:ilvl="2" w:tplc="04883986">
      <w:start w:val="1"/>
      <w:numFmt w:val="bullet"/>
      <w:lvlText w:val=""/>
      <w:lvlJc w:val="left"/>
      <w:pPr>
        <w:ind w:left="2160" w:hanging="360"/>
      </w:pPr>
      <w:rPr>
        <w:rFonts w:ascii="Wingdings" w:hAnsi="Wingdings" w:hint="default"/>
      </w:rPr>
    </w:lvl>
    <w:lvl w:ilvl="3" w:tplc="2A5ECB0A">
      <w:start w:val="1"/>
      <w:numFmt w:val="bullet"/>
      <w:lvlText w:val=""/>
      <w:lvlJc w:val="left"/>
      <w:pPr>
        <w:ind w:left="2880" w:hanging="360"/>
      </w:pPr>
      <w:rPr>
        <w:rFonts w:ascii="Symbol" w:hAnsi="Symbol" w:hint="default"/>
      </w:rPr>
    </w:lvl>
    <w:lvl w:ilvl="4" w:tplc="B2DACE1A">
      <w:start w:val="1"/>
      <w:numFmt w:val="bullet"/>
      <w:lvlText w:val="o"/>
      <w:lvlJc w:val="left"/>
      <w:pPr>
        <w:ind w:left="3600" w:hanging="360"/>
      </w:pPr>
      <w:rPr>
        <w:rFonts w:ascii="Courier New" w:hAnsi="Courier New" w:hint="default"/>
      </w:rPr>
    </w:lvl>
    <w:lvl w:ilvl="5" w:tplc="626AD61E">
      <w:start w:val="1"/>
      <w:numFmt w:val="bullet"/>
      <w:lvlText w:val=""/>
      <w:lvlJc w:val="left"/>
      <w:pPr>
        <w:ind w:left="4320" w:hanging="360"/>
      </w:pPr>
      <w:rPr>
        <w:rFonts w:ascii="Wingdings" w:hAnsi="Wingdings" w:hint="default"/>
      </w:rPr>
    </w:lvl>
    <w:lvl w:ilvl="6" w:tplc="B4F25930">
      <w:start w:val="1"/>
      <w:numFmt w:val="bullet"/>
      <w:lvlText w:val=""/>
      <w:lvlJc w:val="left"/>
      <w:pPr>
        <w:ind w:left="5040" w:hanging="360"/>
      </w:pPr>
      <w:rPr>
        <w:rFonts w:ascii="Symbol" w:hAnsi="Symbol" w:hint="default"/>
      </w:rPr>
    </w:lvl>
    <w:lvl w:ilvl="7" w:tplc="06A2DD1C">
      <w:start w:val="1"/>
      <w:numFmt w:val="bullet"/>
      <w:lvlText w:val="o"/>
      <w:lvlJc w:val="left"/>
      <w:pPr>
        <w:ind w:left="5760" w:hanging="360"/>
      </w:pPr>
      <w:rPr>
        <w:rFonts w:ascii="Courier New" w:hAnsi="Courier New" w:hint="default"/>
      </w:rPr>
    </w:lvl>
    <w:lvl w:ilvl="8" w:tplc="25E0667E">
      <w:start w:val="1"/>
      <w:numFmt w:val="bullet"/>
      <w:lvlText w:val=""/>
      <w:lvlJc w:val="left"/>
      <w:pPr>
        <w:ind w:left="6480" w:hanging="360"/>
      </w:pPr>
      <w:rPr>
        <w:rFonts w:ascii="Wingdings" w:hAnsi="Wingdings" w:hint="default"/>
      </w:rPr>
    </w:lvl>
  </w:abstractNum>
  <w:abstractNum w:abstractNumId="1" w15:restartNumberingAfterBreak="0">
    <w:nsid w:val="144250E1"/>
    <w:multiLevelType w:val="hybridMultilevel"/>
    <w:tmpl w:val="56A8D9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74D766E"/>
    <w:multiLevelType w:val="hybridMultilevel"/>
    <w:tmpl w:val="1C66CDCE"/>
    <w:lvl w:ilvl="0" w:tplc="10000001">
      <w:start w:val="1"/>
      <w:numFmt w:val="bullet"/>
      <w:lvlText w:val=""/>
      <w:lvlJc w:val="left"/>
      <w:pPr>
        <w:tabs>
          <w:tab w:val="num" w:pos="360"/>
        </w:tabs>
        <w:ind w:left="360" w:hanging="360"/>
      </w:pPr>
      <w:rPr>
        <w:rFonts w:ascii="Symbol" w:hAnsi="Symbol" w:hint="default"/>
      </w:rPr>
    </w:lvl>
    <w:lvl w:ilvl="1" w:tplc="FFFFFFFF">
      <w:numFmt w:val="bullet"/>
      <w:lvlText w:val="•"/>
      <w:lvlJc w:val="left"/>
      <w:pPr>
        <w:tabs>
          <w:tab w:val="num" w:pos="1080"/>
        </w:tabs>
        <w:ind w:left="1080" w:hanging="360"/>
      </w:pPr>
      <w:rPr>
        <w:rFonts w:ascii="Arial" w:hAnsi="Arial" w:hint="default"/>
      </w:rPr>
    </w:lvl>
    <w:lvl w:ilvl="2" w:tplc="FFFFFFFF" w:tentative="1">
      <w:start w:val="1"/>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2DEE20DC"/>
    <w:multiLevelType w:val="multilevel"/>
    <w:tmpl w:val="B5CCE40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4055E19"/>
    <w:multiLevelType w:val="hybridMultilevel"/>
    <w:tmpl w:val="25A44752"/>
    <w:lvl w:ilvl="0" w:tplc="C6F6494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394965C0"/>
    <w:multiLevelType w:val="multilevel"/>
    <w:tmpl w:val="A8485D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E0F7426"/>
    <w:multiLevelType w:val="hybridMultilevel"/>
    <w:tmpl w:val="6206E3EA"/>
    <w:lvl w:ilvl="0" w:tplc="380C870A">
      <w:start w:val="1"/>
      <w:numFmt w:val="bullet"/>
      <w:lvlText w:val="•"/>
      <w:lvlJc w:val="left"/>
      <w:pPr>
        <w:tabs>
          <w:tab w:val="num" w:pos="360"/>
        </w:tabs>
        <w:ind w:left="360" w:hanging="360"/>
      </w:pPr>
      <w:rPr>
        <w:rFonts w:ascii="Arial" w:hAnsi="Arial" w:hint="default"/>
      </w:rPr>
    </w:lvl>
    <w:lvl w:ilvl="1" w:tplc="18F81FC4">
      <w:numFmt w:val="bullet"/>
      <w:lvlText w:val="•"/>
      <w:lvlJc w:val="left"/>
      <w:pPr>
        <w:tabs>
          <w:tab w:val="num" w:pos="1080"/>
        </w:tabs>
        <w:ind w:left="1080" w:hanging="360"/>
      </w:pPr>
      <w:rPr>
        <w:rFonts w:ascii="Arial" w:hAnsi="Arial" w:hint="default"/>
      </w:rPr>
    </w:lvl>
    <w:lvl w:ilvl="2" w:tplc="0C32466E" w:tentative="1">
      <w:start w:val="1"/>
      <w:numFmt w:val="bullet"/>
      <w:lvlText w:val="•"/>
      <w:lvlJc w:val="left"/>
      <w:pPr>
        <w:tabs>
          <w:tab w:val="num" w:pos="1800"/>
        </w:tabs>
        <w:ind w:left="1800" w:hanging="360"/>
      </w:pPr>
      <w:rPr>
        <w:rFonts w:ascii="Arial" w:hAnsi="Arial" w:hint="default"/>
      </w:rPr>
    </w:lvl>
    <w:lvl w:ilvl="3" w:tplc="566A81EC" w:tentative="1">
      <w:start w:val="1"/>
      <w:numFmt w:val="bullet"/>
      <w:lvlText w:val="•"/>
      <w:lvlJc w:val="left"/>
      <w:pPr>
        <w:tabs>
          <w:tab w:val="num" w:pos="2520"/>
        </w:tabs>
        <w:ind w:left="2520" w:hanging="360"/>
      </w:pPr>
      <w:rPr>
        <w:rFonts w:ascii="Arial" w:hAnsi="Arial" w:hint="default"/>
      </w:rPr>
    </w:lvl>
    <w:lvl w:ilvl="4" w:tplc="BEA091E4" w:tentative="1">
      <w:start w:val="1"/>
      <w:numFmt w:val="bullet"/>
      <w:lvlText w:val="•"/>
      <w:lvlJc w:val="left"/>
      <w:pPr>
        <w:tabs>
          <w:tab w:val="num" w:pos="3240"/>
        </w:tabs>
        <w:ind w:left="3240" w:hanging="360"/>
      </w:pPr>
      <w:rPr>
        <w:rFonts w:ascii="Arial" w:hAnsi="Arial" w:hint="default"/>
      </w:rPr>
    </w:lvl>
    <w:lvl w:ilvl="5" w:tplc="42E6C010" w:tentative="1">
      <w:start w:val="1"/>
      <w:numFmt w:val="bullet"/>
      <w:lvlText w:val="•"/>
      <w:lvlJc w:val="left"/>
      <w:pPr>
        <w:tabs>
          <w:tab w:val="num" w:pos="3960"/>
        </w:tabs>
        <w:ind w:left="3960" w:hanging="360"/>
      </w:pPr>
      <w:rPr>
        <w:rFonts w:ascii="Arial" w:hAnsi="Arial" w:hint="default"/>
      </w:rPr>
    </w:lvl>
    <w:lvl w:ilvl="6" w:tplc="CA6C09E4" w:tentative="1">
      <w:start w:val="1"/>
      <w:numFmt w:val="bullet"/>
      <w:lvlText w:val="•"/>
      <w:lvlJc w:val="left"/>
      <w:pPr>
        <w:tabs>
          <w:tab w:val="num" w:pos="4680"/>
        </w:tabs>
        <w:ind w:left="4680" w:hanging="360"/>
      </w:pPr>
      <w:rPr>
        <w:rFonts w:ascii="Arial" w:hAnsi="Arial" w:hint="default"/>
      </w:rPr>
    </w:lvl>
    <w:lvl w:ilvl="7" w:tplc="BBF05E8A" w:tentative="1">
      <w:start w:val="1"/>
      <w:numFmt w:val="bullet"/>
      <w:lvlText w:val="•"/>
      <w:lvlJc w:val="left"/>
      <w:pPr>
        <w:tabs>
          <w:tab w:val="num" w:pos="5400"/>
        </w:tabs>
        <w:ind w:left="5400" w:hanging="360"/>
      </w:pPr>
      <w:rPr>
        <w:rFonts w:ascii="Arial" w:hAnsi="Arial" w:hint="default"/>
      </w:rPr>
    </w:lvl>
    <w:lvl w:ilvl="8" w:tplc="600E54EE"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49453BA7"/>
    <w:multiLevelType w:val="hybridMultilevel"/>
    <w:tmpl w:val="2B4C87C8"/>
    <w:lvl w:ilvl="0" w:tplc="9DC4D332">
      <w:start w:val="1"/>
      <w:numFmt w:val="decimal"/>
      <w:lvlText w:val="%1."/>
      <w:lvlJc w:val="left"/>
      <w:pPr>
        <w:ind w:left="720" w:hanging="360"/>
      </w:pPr>
    </w:lvl>
    <w:lvl w:ilvl="1" w:tplc="B7DAC8FA">
      <w:start w:val="1"/>
      <w:numFmt w:val="lowerLetter"/>
      <w:lvlText w:val="%2."/>
      <w:lvlJc w:val="left"/>
      <w:pPr>
        <w:ind w:left="1440" w:hanging="360"/>
      </w:pPr>
    </w:lvl>
    <w:lvl w:ilvl="2" w:tplc="C0203536">
      <w:start w:val="1"/>
      <w:numFmt w:val="lowerRoman"/>
      <w:lvlText w:val="%3."/>
      <w:lvlJc w:val="right"/>
      <w:pPr>
        <w:ind w:left="2160" w:hanging="180"/>
      </w:pPr>
    </w:lvl>
    <w:lvl w:ilvl="3" w:tplc="C122C6D0">
      <w:start w:val="1"/>
      <w:numFmt w:val="decimal"/>
      <w:lvlText w:val="%4."/>
      <w:lvlJc w:val="left"/>
      <w:pPr>
        <w:ind w:left="2880" w:hanging="360"/>
      </w:pPr>
    </w:lvl>
    <w:lvl w:ilvl="4" w:tplc="AC7A3C74">
      <w:start w:val="1"/>
      <w:numFmt w:val="lowerLetter"/>
      <w:lvlText w:val="%5."/>
      <w:lvlJc w:val="left"/>
      <w:pPr>
        <w:ind w:left="3600" w:hanging="360"/>
      </w:pPr>
    </w:lvl>
    <w:lvl w:ilvl="5" w:tplc="8EAAB2E0">
      <w:start w:val="1"/>
      <w:numFmt w:val="lowerRoman"/>
      <w:lvlText w:val="%6."/>
      <w:lvlJc w:val="right"/>
      <w:pPr>
        <w:ind w:left="4320" w:hanging="180"/>
      </w:pPr>
    </w:lvl>
    <w:lvl w:ilvl="6" w:tplc="BEA41994">
      <w:start w:val="1"/>
      <w:numFmt w:val="decimal"/>
      <w:lvlText w:val="%7."/>
      <w:lvlJc w:val="left"/>
      <w:pPr>
        <w:ind w:left="5040" w:hanging="360"/>
      </w:pPr>
    </w:lvl>
    <w:lvl w:ilvl="7" w:tplc="C902D42E">
      <w:start w:val="1"/>
      <w:numFmt w:val="lowerLetter"/>
      <w:lvlText w:val="%8."/>
      <w:lvlJc w:val="left"/>
      <w:pPr>
        <w:ind w:left="5760" w:hanging="360"/>
      </w:pPr>
    </w:lvl>
    <w:lvl w:ilvl="8" w:tplc="75E8AB6E">
      <w:start w:val="1"/>
      <w:numFmt w:val="lowerRoman"/>
      <w:lvlText w:val="%9."/>
      <w:lvlJc w:val="right"/>
      <w:pPr>
        <w:ind w:left="6480" w:hanging="180"/>
      </w:pPr>
    </w:lvl>
  </w:abstractNum>
  <w:abstractNum w:abstractNumId="8" w15:restartNumberingAfterBreak="0">
    <w:nsid w:val="4B2F1096"/>
    <w:multiLevelType w:val="hybridMultilevel"/>
    <w:tmpl w:val="C59EAFD6"/>
    <w:lvl w:ilvl="0" w:tplc="1000000F">
      <w:start w:val="4"/>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4E9A2E73"/>
    <w:multiLevelType w:val="hybridMultilevel"/>
    <w:tmpl w:val="54F48F24"/>
    <w:lvl w:ilvl="0" w:tplc="C93A2B1E">
      <w:start w:val="1"/>
      <w:numFmt w:val="bullet"/>
      <w:lvlText w:val=""/>
      <w:lvlJc w:val="left"/>
      <w:pPr>
        <w:ind w:left="2880" w:hanging="360"/>
      </w:pPr>
      <w:rPr>
        <w:rFonts w:ascii="Symbol" w:hAnsi="Symbol"/>
      </w:rPr>
    </w:lvl>
    <w:lvl w:ilvl="1" w:tplc="9710CDFA">
      <w:start w:val="1"/>
      <w:numFmt w:val="bullet"/>
      <w:lvlText w:val=""/>
      <w:lvlJc w:val="left"/>
      <w:pPr>
        <w:ind w:left="2880" w:hanging="360"/>
      </w:pPr>
      <w:rPr>
        <w:rFonts w:ascii="Symbol" w:hAnsi="Symbol"/>
      </w:rPr>
    </w:lvl>
    <w:lvl w:ilvl="2" w:tplc="82C8C184">
      <w:start w:val="1"/>
      <w:numFmt w:val="bullet"/>
      <w:lvlText w:val=""/>
      <w:lvlJc w:val="left"/>
      <w:pPr>
        <w:ind w:left="2880" w:hanging="360"/>
      </w:pPr>
      <w:rPr>
        <w:rFonts w:ascii="Symbol" w:hAnsi="Symbol"/>
      </w:rPr>
    </w:lvl>
    <w:lvl w:ilvl="3" w:tplc="9C60BB90">
      <w:start w:val="1"/>
      <w:numFmt w:val="bullet"/>
      <w:lvlText w:val=""/>
      <w:lvlJc w:val="left"/>
      <w:pPr>
        <w:ind w:left="2880" w:hanging="360"/>
      </w:pPr>
      <w:rPr>
        <w:rFonts w:ascii="Symbol" w:hAnsi="Symbol"/>
      </w:rPr>
    </w:lvl>
    <w:lvl w:ilvl="4" w:tplc="2FEA8EFA">
      <w:start w:val="1"/>
      <w:numFmt w:val="bullet"/>
      <w:lvlText w:val=""/>
      <w:lvlJc w:val="left"/>
      <w:pPr>
        <w:ind w:left="2880" w:hanging="360"/>
      </w:pPr>
      <w:rPr>
        <w:rFonts w:ascii="Symbol" w:hAnsi="Symbol"/>
      </w:rPr>
    </w:lvl>
    <w:lvl w:ilvl="5" w:tplc="A4DAC00E">
      <w:start w:val="1"/>
      <w:numFmt w:val="bullet"/>
      <w:lvlText w:val=""/>
      <w:lvlJc w:val="left"/>
      <w:pPr>
        <w:ind w:left="2880" w:hanging="360"/>
      </w:pPr>
      <w:rPr>
        <w:rFonts w:ascii="Symbol" w:hAnsi="Symbol"/>
      </w:rPr>
    </w:lvl>
    <w:lvl w:ilvl="6" w:tplc="6206F594">
      <w:start w:val="1"/>
      <w:numFmt w:val="bullet"/>
      <w:lvlText w:val=""/>
      <w:lvlJc w:val="left"/>
      <w:pPr>
        <w:ind w:left="2880" w:hanging="360"/>
      </w:pPr>
      <w:rPr>
        <w:rFonts w:ascii="Symbol" w:hAnsi="Symbol"/>
      </w:rPr>
    </w:lvl>
    <w:lvl w:ilvl="7" w:tplc="E8163ED8">
      <w:start w:val="1"/>
      <w:numFmt w:val="bullet"/>
      <w:lvlText w:val=""/>
      <w:lvlJc w:val="left"/>
      <w:pPr>
        <w:ind w:left="2880" w:hanging="360"/>
      </w:pPr>
      <w:rPr>
        <w:rFonts w:ascii="Symbol" w:hAnsi="Symbol"/>
      </w:rPr>
    </w:lvl>
    <w:lvl w:ilvl="8" w:tplc="7448633E">
      <w:start w:val="1"/>
      <w:numFmt w:val="bullet"/>
      <w:lvlText w:val=""/>
      <w:lvlJc w:val="left"/>
      <w:pPr>
        <w:ind w:left="2880" w:hanging="360"/>
      </w:pPr>
      <w:rPr>
        <w:rFonts w:ascii="Symbol" w:hAnsi="Symbol"/>
      </w:rPr>
    </w:lvl>
  </w:abstractNum>
  <w:abstractNum w:abstractNumId="10" w15:restartNumberingAfterBreak="0">
    <w:nsid w:val="50B87794"/>
    <w:multiLevelType w:val="hybridMultilevel"/>
    <w:tmpl w:val="86CE213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57FF2295"/>
    <w:multiLevelType w:val="hybridMultilevel"/>
    <w:tmpl w:val="3D042F82"/>
    <w:lvl w:ilvl="0" w:tplc="FFFFFFFF">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0B7B8D"/>
    <w:multiLevelType w:val="multilevel"/>
    <w:tmpl w:val="3C2CBDC4"/>
    <w:lvl w:ilvl="0">
      <w:start w:val="3"/>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79712E2A"/>
    <w:multiLevelType w:val="hybridMultilevel"/>
    <w:tmpl w:val="0F300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7"/>
  </w:num>
  <w:num w:numId="2">
    <w:abstractNumId w:val="3"/>
  </w:num>
  <w:num w:numId="3">
    <w:abstractNumId w:val="1"/>
  </w:num>
  <w:num w:numId="4">
    <w:abstractNumId w:val="13"/>
  </w:num>
  <w:num w:numId="5">
    <w:abstractNumId w:val="11"/>
  </w:num>
  <w:num w:numId="6">
    <w:abstractNumId w:val="4"/>
  </w:num>
  <w:num w:numId="7">
    <w:abstractNumId w:val="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10"/>
  </w:num>
  <w:num w:numId="12">
    <w:abstractNumId w:val="8"/>
  </w:num>
  <w:num w:numId="13">
    <w:abstractNumId w:val="0"/>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1EEFF6C1-B8A7-4E22-B443-62249329A785"/>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6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approche de l\u8217?UE pour la sécurité des enfants en ligne _x000d__x000d__x000d__x000d__x000d__x000d__x000d__x000d__x000d__x000b_"/>
    <w:docVar w:name="LW_TYPE.DOC.CP" w:val="COMMUNICATION DE LA COMMISSION AU PARLEMENT EUROPÉEN ET AU CONSEIL"/>
    <w:docVar w:name="LW_TYPE.DOC.CP.USERTEXT" w:val="&lt;EMPTY&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CB0B1A0D-C510-4312-857C-D7816F4C6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rFonts w:ascii="Times New Roman" w:hAnsi="Times New Roman" w:cs="Times New Roman"/>
      <w:vertAlign w:val="superscript"/>
      <w:lang w:val="fr-FR"/>
    </w:rPr>
  </w:style>
  <w:style w:type="paragraph" w:customStyle="1" w:styleId="CharCharChar1">
    <w:name w:val="Char Char Char1"/>
    <w:basedOn w:val="Normal"/>
    <w:link w:val="FootnoteReference"/>
    <w:uiPriority w:val="99"/>
    <w:pPr>
      <w:spacing w:before="120" w:after="120" w:line="240" w:lineRule="exact"/>
      <w:jc w:val="both"/>
    </w:pPr>
    <w:rPr>
      <w:rFonts w:ascii="Times New Roman" w:hAnsi="Times New Roman" w:cs="Times New Roman"/>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table" w:styleId="TableGrid">
    <w:name w:val="Table Grid"/>
    <w:basedOn w:val="TableNormal"/>
    <w:uiPriority w:val="3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467886"/>
      <w:u w:val="single"/>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6607D" w:themeColor="followedHyperlink"/>
      <w:u w:val="single"/>
    </w:rPr>
  </w:style>
  <w:style w:type="character" w:styleId="Mention">
    <w:name w:val="Mention"/>
    <w:basedOn w:val="DefaultParagraphFont"/>
    <w:uiPriority w:val="99"/>
    <w:unhideWhenUsed/>
    <w:rPr>
      <w:color w:val="2B579A"/>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opa.eu/eurobarometer/surveys/detail/36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D39EE-7A59-4D4A-8510-CB404E34C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5047</Words>
  <Characters>28773</Characters>
  <Application>Microsoft Office Word</Application>
  <DocSecurity>0</DocSecurity>
  <Lines>239</Lines>
  <Paragraphs>67</Paragraphs>
  <ScaleCrop>false</ScaleCrop>
  <Manager/>
  <Company/>
  <LinksUpToDate>false</LinksUpToDate>
  <CharactersWithSpaces>33753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8</cp:revision>
  <dcterms:created xsi:type="dcterms:W3CDTF">2026-09-15T15:03:00Z</dcterms:created>
  <dcterms:modified xsi:type="dcterms:W3CDTF">2026-09-17T08:10:00Z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2026-09-15T14:12:19Z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b24a1a61-0cbc-4f29-81aa-69fcd1a88a09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