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F6877B2-A8F8-4437-9DF9-D90A1F077CF7" style="width:455.25pt;height:357.75pt">
            <v:imagedata r:id="rId11" o:title=""/>
          </v:shape>
        </w:pict>
      </w:r>
    </w:p>
    <w:p>
      <w:pPr>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EXPUNERE DE MOTIVE</w:t>
      </w:r>
    </w:p>
    <w:p>
      <w:pPr>
        <w:pStyle w:val="ManualHeading1"/>
        <w:rPr>
          <w:noProof/>
        </w:rPr>
      </w:pPr>
      <w:bookmarkStart w:id="0" w:name="_Toc484762486"/>
      <w:r>
        <w:rPr>
          <w:noProof/>
        </w:rPr>
        <w:t>1.</w:t>
      </w:r>
      <w:r>
        <w:rPr>
          <w:noProof/>
        </w:rPr>
        <w:tab/>
        <w:t>Contextul propunerii</w:t>
      </w:r>
      <w:bookmarkEnd w:id="0"/>
    </w:p>
    <w:p>
      <w:pPr>
        <w:rPr>
          <w:noProof/>
        </w:rPr>
      </w:pPr>
      <w:r>
        <w:rPr>
          <w:noProof/>
        </w:rPr>
        <w:t>Prezenta decizie se referă la mobilizarea sumei de 489 148 220 EUR din Fondul de solidaritate al Uniunii Europene (denumit în continuare „FSUE”), în conformitate cu Regulamentul (CE) nr. 2012/2002 al Consiliului</w:t>
      </w:r>
      <w:r>
        <w:rPr>
          <w:rStyle w:val="FootnoteReference"/>
          <w:noProof/>
        </w:rPr>
        <w:footnoteReference w:id="2"/>
      </w:r>
      <w:r>
        <w:rPr>
          <w:noProof/>
        </w:rPr>
        <w:t xml:space="preserve"> (denumit în continuare „Regulamentul privind FSUE”), în vederea furnizării de asistență Maltei și Italiei în legătură cu furtuna Harry din ianuarie 2026, precum și Portugaliei și Spaniei ca urmare a furtunilor din ianuarie și februarie 2026.</w:t>
      </w:r>
    </w:p>
    <w:p>
      <w:pPr>
        <w:rPr>
          <w:noProof/>
          <w:snapToGrid w:val="0"/>
        </w:rPr>
      </w:pPr>
      <w:r>
        <w:rPr>
          <w:noProof/>
        </w:rPr>
        <w:t>Această mobilizare este însoțită de DEC nr. 16/2026, care propune transferul cuantumului necesar de la linia aferentă Rezervei pentru solidaritate europeană (denumită în continuare „ESR”) către linia bugetară operațională a FSUE, atât în credite de angajament, cât și în credite de plată.</w:t>
      </w:r>
    </w:p>
    <w:p>
      <w:pPr>
        <w:pStyle w:val="ManualHeading1"/>
        <w:rPr>
          <w:noProof/>
        </w:rPr>
      </w:pPr>
      <w:bookmarkStart w:id="1" w:name="_Toc484762487"/>
      <w:r>
        <w:rPr>
          <w:noProof/>
        </w:rPr>
        <w:t>2.</w:t>
      </w:r>
      <w:r>
        <w:rPr>
          <w:noProof/>
        </w:rPr>
        <w:tab/>
        <w:t>Informații și condiții</w:t>
      </w:r>
      <w:bookmarkEnd w:id="1"/>
    </w:p>
    <w:p>
      <w:pPr>
        <w:pStyle w:val="ManualHeading2"/>
        <w:rPr>
          <w:noProof/>
        </w:rPr>
      </w:pPr>
      <w:r>
        <w:rPr>
          <w:noProof/>
        </w:rPr>
        <w:t>2.1</w:t>
      </w:r>
      <w:r>
        <w:rPr>
          <w:noProof/>
        </w:rPr>
        <w:tab/>
      </w:r>
      <w:bookmarkStart w:id="2" w:name="_Hlk196898248"/>
      <w:r>
        <w:rPr>
          <w:noProof/>
        </w:rPr>
        <w:t>Malta – catastrofă naturală majoră: furtuna Harry din ianuarie 2026</w:t>
      </w:r>
    </w:p>
    <w:p>
      <w:pPr>
        <w:pStyle w:val="Point0"/>
        <w:rPr>
          <w:noProof/>
        </w:rPr>
      </w:pPr>
      <w:r>
        <w:rPr>
          <w:noProof/>
        </w:rPr>
        <w:t>(1)</w:t>
      </w:r>
      <w:r>
        <w:rPr>
          <w:noProof/>
        </w:rPr>
        <w:tab/>
        <w:t>La 10 aprilie 2026, Malta a depus o cerere de contribuție financiară din FSUE pentru finanțarea operațiunilor de urgență și de recuperare desfășurate ca urmare a furtunii Harry din ianuarie 2026. La 15 iunie 2026, Malta a prezentat o cerere revizuită, inclusiv o estimare actualizată a daunelor directe totale, în conformitate cu articolul 4 alineatul (1) litera (a) din regulament.</w:t>
      </w:r>
    </w:p>
    <w:p>
      <w:pPr>
        <w:pStyle w:val="Point0"/>
        <w:rPr>
          <w:noProof/>
        </w:rPr>
      </w:pPr>
      <w:r>
        <w:rPr>
          <w:noProof/>
        </w:rPr>
        <w:t>(2)</w:t>
      </w:r>
      <w:r>
        <w:rPr>
          <w:noProof/>
        </w:rPr>
        <w:tab/>
        <w:t>Malta a solicitat o contribuție financiară din FSUE, respectând termenul de 12 săptămâni de la data înregistrării primelor daune provocate de catastrofă, și anume 18 ianuarie 2026. Cererea conține toate informațiile necesare prevăzute la articolul 4 din Regulamentul privind FSUE.</w:t>
      </w:r>
    </w:p>
    <w:p>
      <w:pPr>
        <w:pStyle w:val="Point0"/>
        <w:rPr>
          <w:noProof/>
        </w:rPr>
      </w:pPr>
      <w:r>
        <w:rPr>
          <w:noProof/>
        </w:rPr>
        <w:t>(3)</w:t>
      </w:r>
      <w:r>
        <w:rPr>
          <w:noProof/>
        </w:rPr>
        <w:tab/>
        <w:t>Catastrofa este de origine naturală și, prin urmare, se încadrează în domeniul de aplicare al FSUE.</w:t>
      </w:r>
    </w:p>
    <w:p>
      <w:pPr>
        <w:pStyle w:val="Point0"/>
        <w:rPr>
          <w:noProof/>
        </w:rPr>
      </w:pPr>
      <w:r>
        <w:rPr>
          <w:noProof/>
        </w:rPr>
        <w:t>(4)</w:t>
      </w:r>
      <w:r>
        <w:rPr>
          <w:noProof/>
        </w:rPr>
        <w:tab/>
        <w:t>Autoritățile malteze estimează că valoarea daunelor directe totale cauzate de catastrofă este de aproximativ 132,97 milioane EUR. Acest cuantum depășește pragul aplicabil unei „catastrofe naturale majore” pentru Malta, respectiv 0,6 % din venitul său național brut, care a fost de 121,55 milioane EUR în 2026. Prin urmare, catastrofa se califică drept „catastrofă naturală majoră” în conformitate cu articolul 2 alineatul (2) din Regulamentul privind FSUE.</w:t>
      </w:r>
    </w:p>
    <w:p>
      <w:pPr>
        <w:pStyle w:val="Point0"/>
        <w:rPr>
          <w:noProof/>
        </w:rPr>
      </w:pPr>
      <w:r>
        <w:rPr>
          <w:noProof/>
        </w:rPr>
        <w:t>(5)</w:t>
      </w:r>
      <w:r>
        <w:rPr>
          <w:noProof/>
        </w:rPr>
        <w:tab/>
        <w:t>Daunele directe totale reprezintă baza de calcul a valorii contribuției financiare din FSUE. Contribuția financiară poate fi utilizată exclusiv pentru operațiuni de urgență și de recuperare esențiale, astfel cum sunt definite la articolul 3 din Regulamentul privind FSUE.</w:t>
      </w:r>
    </w:p>
    <w:p>
      <w:pPr>
        <w:pStyle w:val="Point0"/>
        <w:rPr>
          <w:noProof/>
        </w:rPr>
      </w:pPr>
      <w:r>
        <w:rPr>
          <w:noProof/>
        </w:rPr>
        <w:t>(6)</w:t>
      </w:r>
      <w:r>
        <w:rPr>
          <w:noProof/>
        </w:rPr>
        <w:tab/>
        <w:t xml:space="preserve">Malta a solicitat plata unui avans în temeiul articolului 4a din Regulamentul privind FSUE. Pe baza evaluării preliminare, Comisia a concluzionat că au fost îndeplinite condițiile pentru plata unui avans din FSUE. Prin urmare, prin Decizia de punere în </w:t>
      </w:r>
      <w:r>
        <w:rPr>
          <w:noProof/>
        </w:rPr>
        <w:lastRenderedPageBreak/>
        <w:t>aplicare C(2026) 5301 a Comisiei din 23 iulie 2026 s-a acordat un avans de 931 014 EUR. Avansul a fost plătit Maltei la 4 august 2026.</w:t>
      </w:r>
    </w:p>
    <w:p>
      <w:pPr>
        <w:pStyle w:val="Point0"/>
        <w:rPr>
          <w:noProof/>
        </w:rPr>
      </w:pPr>
      <w:r>
        <w:rPr>
          <w:noProof/>
        </w:rPr>
        <w:t>(7)</w:t>
      </w:r>
      <w:r>
        <w:rPr>
          <w:noProof/>
        </w:rPr>
        <w:tab/>
        <w:t>Între 18 și 21 ianuarie 2026, furtuna Harry a lovit insulele malteze, provocând vânturi puternice, precipitații abundente, creșterea nivelului mării și a activității valurilor. Evenimentul a provocat daune pe scară largă în Malta și Gozo, afectând multe municipalități, în special zonele de coastă și portuare. Furtuna a condus la perturbări semnificative ale funcționării normale a serviciilor esențiale, cum ar fi blocarea drumurilor și întreruperea legăturilor de transport. De asemenea, aceasta a cauzat daune sectorului agricol, acvaculturii și industriei pescuitului.</w:t>
      </w:r>
    </w:p>
    <w:p>
      <w:pPr>
        <w:pStyle w:val="Point0"/>
        <w:rPr>
          <w:noProof/>
        </w:rPr>
      </w:pPr>
      <w:r>
        <w:rPr>
          <w:noProof/>
        </w:rPr>
        <w:t>(8)</w:t>
      </w:r>
      <w:r>
        <w:rPr>
          <w:noProof/>
        </w:rPr>
        <w:tab/>
        <w:t>Autoritățile malteze nu au solicitat asistență prin intermediul mecanismului de protecție civilă al Uniunii Europene.</w:t>
      </w:r>
    </w:p>
    <w:p>
      <w:pPr>
        <w:pStyle w:val="Point0"/>
        <w:rPr>
          <w:noProof/>
        </w:rPr>
      </w:pPr>
      <w:r>
        <w:rPr>
          <w:noProof/>
        </w:rPr>
        <w:t>(9)</w:t>
      </w:r>
      <w:r>
        <w:rPr>
          <w:noProof/>
        </w:rPr>
        <w:tab/>
        <w:t xml:space="preserve">Malta a estimat la 73,16 milioane EUR costul operațiunilor eligibile în temeiul articolului 3 alineatul (2) din Regulamentul privind FSUE și a prezentat costurile defalcate pe tipuri de operațiuni. Cea mai mare parte a costurilor – 52,08 milioane EUR – acoperă repunerea în funcțiune a infrastructurii și a instalațiilor în domeniile energiei, apelor, apelor uzate, telecomunicațiilor și transporturilor. Pe locul al doilea ca proporție a costurilor se situează securizarea infrastructurii de prevenire și protecția patrimoniului cultural, costurile aferente acestor operațiuni ridicându-se la 15,91 milioane EUR. Pe locul al treilea ca proporție a costurilor se situează operațiunile de curățare a zonelor sinistrate, acestea însumând 5,09 milioane EUR. Pe locul al patrulea ca proporție din costuri se situează locuințele de urgență și serviciile de salvare, însumând 0,08 milioane EUR. </w:t>
      </w:r>
    </w:p>
    <w:p>
      <w:pPr>
        <w:pStyle w:val="Point0"/>
        <w:rPr>
          <w:noProof/>
        </w:rPr>
      </w:pPr>
      <w:r>
        <w:rPr>
          <w:noProof/>
        </w:rPr>
        <w:t>(10)</w:t>
      </w:r>
      <w:r>
        <w:rPr>
          <w:noProof/>
        </w:rPr>
        <w:tab/>
        <w:t>Malta a transpus Directiva 2007/60/CE privind inundațiile prin Regulamentele privind evaluarea și gestionarea riscurilor de inundații (S.L. 549.167), în temeiul cărora Agenția pentru Energie și Apă acționează în calitate de autoritate competentă și a pregătit evaluarea preliminară a riscurilor de inundații, hărțile de pericol și risc de inundații și al doilea Plan de gestionare a riscurilor de inundații pentru districtul hidrografic Malta.</w:t>
      </w:r>
    </w:p>
    <w:p>
      <w:pPr>
        <w:pStyle w:val="Point0"/>
        <w:rPr>
          <w:noProof/>
        </w:rPr>
      </w:pPr>
      <w:r>
        <w:rPr>
          <w:noProof/>
        </w:rPr>
        <w:t>(11)</w:t>
      </w:r>
      <w:r>
        <w:rPr>
          <w:noProof/>
        </w:rPr>
        <w:tab/>
        <w:t>La data depunerii cererii, Malta nu făcea obiectul niciunei proceduri de constatare a neîndeplinirii obligațiilor în ceea ce privește legislația Uniunii referitoare la natura catastrofei.</w:t>
      </w:r>
      <w:bookmarkEnd w:id="2"/>
    </w:p>
    <w:p>
      <w:pPr>
        <w:pStyle w:val="ManualHeading2"/>
        <w:tabs>
          <w:tab w:val="clear" w:pos="850"/>
        </w:tabs>
        <w:ind w:left="0" w:firstLine="1"/>
        <w:rPr>
          <w:noProof/>
        </w:rPr>
      </w:pPr>
      <w:r>
        <w:rPr>
          <w:noProof/>
        </w:rPr>
        <w:t>2.2</w:t>
      </w:r>
      <w:r>
        <w:rPr>
          <w:noProof/>
        </w:rPr>
        <w:tab/>
        <w:t xml:space="preserve">Italia – catastrofă naturală regională: furtuna Harry din ianuarie 2026 </w:t>
      </w:r>
    </w:p>
    <w:p>
      <w:pPr>
        <w:pStyle w:val="Point0"/>
        <w:rPr>
          <w:noProof/>
        </w:rPr>
      </w:pPr>
      <w:r>
        <w:rPr>
          <w:noProof/>
        </w:rPr>
        <w:t>(1)</w:t>
      </w:r>
      <w:r>
        <w:rPr>
          <w:noProof/>
        </w:rPr>
        <w:tab/>
        <w:t>La 10 aprilie 2026, Italia a depus o cerere de contribuție financiară din FSUE pentru finanțarea operațiunilor de urgență și de recuperare desfășurate ca urmare a furtunii Harry din ianuarie 2026.</w:t>
      </w:r>
    </w:p>
    <w:p>
      <w:pPr>
        <w:pStyle w:val="Point0"/>
        <w:rPr>
          <w:noProof/>
        </w:rPr>
      </w:pPr>
      <w:r>
        <w:rPr>
          <w:noProof/>
        </w:rPr>
        <w:t>(2)</w:t>
      </w:r>
      <w:r>
        <w:rPr>
          <w:noProof/>
        </w:rPr>
        <w:tab/>
        <w:t>Italia a solicitat o contribuție financiară din FSUE, respectând termenul de 12 săptămâni de la data înregistrării primelor daune provocate de catastrofă, și anume 18 ianuarie 2026. Cererea conține toate informațiile necesare prevăzute la articolul 4 din Regulamentul privind FSUE.</w:t>
      </w:r>
    </w:p>
    <w:p>
      <w:pPr>
        <w:pStyle w:val="Point0"/>
        <w:rPr>
          <w:noProof/>
        </w:rPr>
      </w:pPr>
      <w:r>
        <w:rPr>
          <w:noProof/>
        </w:rPr>
        <w:t>(3)</w:t>
      </w:r>
      <w:r>
        <w:rPr>
          <w:noProof/>
        </w:rPr>
        <w:tab/>
        <w:t>Catastrofa este de origine naturală și, prin urmare, se încadrează în domeniul de aplicare al FSUE.</w:t>
      </w:r>
    </w:p>
    <w:p>
      <w:pPr>
        <w:pStyle w:val="Point0"/>
        <w:rPr>
          <w:noProof/>
        </w:rPr>
      </w:pPr>
      <w:r>
        <w:rPr>
          <w:noProof/>
        </w:rPr>
        <w:t>(4)</w:t>
      </w:r>
      <w:r>
        <w:rPr>
          <w:noProof/>
        </w:rPr>
        <w:tab/>
        <w:t xml:space="preserve">Autoritățile italiene au depus cererea în conformitate cu criteriul „catastrofă naturală regională”, astfel cum este prevăzut la articolul 2 alineatul (3) din Regulamentul privind FSUE, în care acest tip de catastrofă este definit drept „orice catastrofă naturală care provoacă într-o regiune de nivel NUTS 2 dintr-un stat eligibil daune directe care depășesc 1,5 % din produsul intern brut (PIB) al regiunii respective”. Autoritățile italiene estimează că valoarea daunelor directe totale cauzate de catastrofă este de aproximativ 2 995,4 milioane EUR. În conformitate cu articolul 2 alineatul (3) al treilea paragraf, în cazul în care catastrofa naturală afectează mai multe regiuni de nivel NUTS 2, pragul se aplică la PIB-ul mediu al regiunilor </w:t>
      </w:r>
      <w:r>
        <w:rPr>
          <w:noProof/>
        </w:rPr>
        <w:lastRenderedPageBreak/>
        <w:t>respective ponderat în funcție de proporția din totalul daunelor care afectează fiecare regiune în parte. Daunele directe exprimate ca procent din PIB-ul regional total ponderat al regiunilor Calabria, Sardinia și Sicilia sunt de 3,256 %. Acest cuantum depășește 1,5 % din PIB-ul regional total ponderat al regiunilor Calabria, Sardinia și Sicilia.</w:t>
      </w:r>
    </w:p>
    <w:p>
      <w:pPr>
        <w:pStyle w:val="Point0"/>
        <w:rPr>
          <w:noProof/>
        </w:rPr>
      </w:pPr>
      <w:r>
        <w:rPr>
          <w:noProof/>
        </w:rPr>
        <w:t>(5)</w:t>
      </w:r>
      <w:r>
        <w:rPr>
          <w:noProof/>
        </w:rPr>
        <w:tab/>
        <w:t>Daunele directe totale reprezintă baza de calcul a valorii contribuției financiare din FSUE. Contribuția financiară poate fi utilizată exclusiv pentru operațiuni de urgență și de recuperare esențiale, astfel cum sunt definite la articolul 3 din Regulamentul privind FSUE.</w:t>
      </w:r>
    </w:p>
    <w:p>
      <w:pPr>
        <w:pStyle w:val="Point0"/>
        <w:rPr>
          <w:noProof/>
        </w:rPr>
      </w:pPr>
      <w:r>
        <w:rPr>
          <w:noProof/>
        </w:rPr>
        <w:t>(6)</w:t>
      </w:r>
      <w:r>
        <w:rPr>
          <w:noProof/>
        </w:rPr>
        <w:tab/>
        <w:t>Italia nu a solicitat plata unui avans.</w:t>
      </w:r>
    </w:p>
    <w:p>
      <w:pPr>
        <w:pStyle w:val="Point0"/>
        <w:rPr>
          <w:noProof/>
        </w:rPr>
      </w:pPr>
      <w:r>
        <w:rPr>
          <w:noProof/>
        </w:rPr>
        <w:t>(7)</w:t>
      </w:r>
      <w:r>
        <w:rPr>
          <w:noProof/>
        </w:rPr>
        <w:tab/>
        <w:t>Între 18 și 21 ianuarie 2026, regiunile Sardinia, Sicilia și Calabria au fost afectate de furtuna Harry, care a provocat precipitații intense și persistente, vânturi puternice și creșteri ale nivelului mării. Cele mai grave daune s-au produs în zonele de coastă și de-a lungul râurilor, unde creșterea nivelului apei a afectat în mod semnificativ mai multe baraje. Prin urmare, mii de persoane au fost evacuate și sute de locuințe au fost declarate nelocuibile. Furtuna a distrus, de asemenea, clădiri publice, linii de cale ferată, infrastructură portuară și drumuri, ceea ce a dus la izolarea temporară a unor comunități.</w:t>
      </w:r>
    </w:p>
    <w:p>
      <w:pPr>
        <w:pStyle w:val="Point0"/>
        <w:rPr>
          <w:noProof/>
        </w:rPr>
      </w:pPr>
      <w:r>
        <w:rPr>
          <w:noProof/>
        </w:rPr>
        <w:t>(8)</w:t>
      </w:r>
      <w:r>
        <w:rPr>
          <w:noProof/>
        </w:rPr>
        <w:tab/>
        <w:t>Autoritățile italiene nu au solicitat asistență prin intermediul mecanismului de protecție civilă al Uniunii Europene.</w:t>
      </w:r>
    </w:p>
    <w:p>
      <w:pPr>
        <w:pStyle w:val="Point0"/>
        <w:rPr>
          <w:noProof/>
        </w:rPr>
      </w:pPr>
      <w:r>
        <w:rPr>
          <w:noProof/>
        </w:rPr>
        <w:t>(9)</w:t>
      </w:r>
      <w:r>
        <w:rPr>
          <w:noProof/>
        </w:rPr>
        <w:tab/>
        <w:t>Italia a estimat costul operațiunilor eligibile în temeiul articolului 3 alineatul (2) din Regulamentul privind FSUE la 116,66 milioane EUR și a prezentat costurile defalcate pe tipuri de operațiuni. Pe primul loc ca proporție din costuri se situează repunerea în funcțiune a infrastructurii și a instalațiilor în domeniile energiei, apelor și apelor uzate, telecomunicațiilor, transporturilor, sănătății și educației, acestea însumând 93,01 milioane EUR. Pe locul al doilea ca proporție a costurilor se situează securizarea infrastructurii de prevenire și protecția patrimoniului cultural, costurile aferente acestor operațiuni ridicându-se la 9,76 milioane EUR. Pe locul al treilea ca proporție a costurilor se situează operațiunile de curățare a zonelor sinistrate, acestea însumând 8,67 milioane EUR. Pe locul al patrulea ca proporție din costuri se situează locuințele de urgență și serviciile de salvare, însumând 5,22 milioane EUR.</w:t>
      </w:r>
    </w:p>
    <w:p>
      <w:pPr>
        <w:pStyle w:val="Point0"/>
        <w:rPr>
          <w:noProof/>
        </w:rPr>
      </w:pPr>
      <w:r>
        <w:rPr>
          <w:noProof/>
        </w:rPr>
        <w:t>(10)</w:t>
      </w:r>
      <w:r>
        <w:rPr>
          <w:noProof/>
        </w:rPr>
        <w:tab/>
        <w:t>Italia a transpus Directiva 2007/60/CE prin Decretul legislativ nr. 49/2010 din 23 februarie 2010 referitor la punerea în aplicare a Directivei 2007/60/CE privind evaluarea și gestionarea riscurilor de inundații. Decretul legislativ nr. 49/2010 prevede că trebuie adoptate hărți de hazard și hărți de risc de inundații pentru zonele identificate în conformitate cu același act legislativ. În plus, la 22 decembrie 2015, a fost aprobat un plan de management al riscurilor de inundații împărțit pe districte hidrografice.</w:t>
      </w:r>
    </w:p>
    <w:p>
      <w:pPr>
        <w:pStyle w:val="Point0"/>
        <w:rPr>
          <w:noProof/>
        </w:rPr>
      </w:pPr>
      <w:r>
        <w:rPr>
          <w:noProof/>
        </w:rPr>
        <w:t>(11)</w:t>
      </w:r>
      <w:r>
        <w:rPr>
          <w:noProof/>
        </w:rPr>
        <w:tab/>
        <w:t xml:space="preserve">La data depunerii cererii, Italia nu făcea obiectul niciunei proceduri de constatare a neîndeplinirii obligațiilor în ceea ce privește legislația Uniunii referitoare la natura catastrofei. </w:t>
      </w:r>
    </w:p>
    <w:p>
      <w:pPr>
        <w:pStyle w:val="ManualHeading2"/>
        <w:tabs>
          <w:tab w:val="clear" w:pos="850"/>
        </w:tabs>
        <w:ind w:left="0" w:firstLine="1"/>
        <w:rPr>
          <w:noProof/>
        </w:rPr>
      </w:pPr>
      <w:r>
        <w:rPr>
          <w:noProof/>
        </w:rPr>
        <w:t>2.3 Portugalia – catastrofă naturală majoră: furtunile din ianuarie și februarie 2026</w:t>
      </w:r>
    </w:p>
    <w:p>
      <w:pPr>
        <w:pStyle w:val="Point0"/>
        <w:rPr>
          <w:noProof/>
        </w:rPr>
      </w:pPr>
      <w:r>
        <w:rPr>
          <w:noProof/>
        </w:rPr>
        <w:t>(1)</w:t>
      </w:r>
      <w:r>
        <w:rPr>
          <w:noProof/>
        </w:rPr>
        <w:tab/>
        <w:t>La 13 aprilie 2026, Portugalia a depus o cerere de contribuție financiară din FSUE pentru finanțarea operațiunilor de urgență și de recuperare ca urmare a furtunilor din ianuarie și februarie 2026.</w:t>
      </w:r>
    </w:p>
    <w:p>
      <w:pPr>
        <w:pStyle w:val="Point0"/>
        <w:rPr>
          <w:noProof/>
        </w:rPr>
      </w:pPr>
      <w:r>
        <w:rPr>
          <w:noProof/>
        </w:rPr>
        <w:t>(2)</w:t>
      </w:r>
      <w:r>
        <w:rPr>
          <w:noProof/>
        </w:rPr>
        <w:tab/>
        <w:t xml:space="preserve">Portugalia a solicitat o contribuție financiară din FSUE, respectând termenul de 12 săptămâni de la data înregistrării primelor daune provocate de catastrofă, și anume 22 </w:t>
      </w:r>
      <w:r>
        <w:rPr>
          <w:noProof/>
        </w:rPr>
        <w:lastRenderedPageBreak/>
        <w:t>ianuarie 2026. Cererea conține toate informațiile necesare prevăzute la articolul 4 din Regulamentul privind FSUE.</w:t>
      </w:r>
    </w:p>
    <w:p>
      <w:pPr>
        <w:pStyle w:val="Point0"/>
        <w:rPr>
          <w:noProof/>
        </w:rPr>
      </w:pPr>
      <w:r>
        <w:rPr>
          <w:noProof/>
        </w:rPr>
        <w:t>(3)</w:t>
      </w:r>
      <w:r>
        <w:rPr>
          <w:noProof/>
        </w:rPr>
        <w:tab/>
        <w:t>Catastrofa este de origine naturală și, prin urmare, se încadrează în domeniul de aplicare al FSUE.</w:t>
      </w:r>
    </w:p>
    <w:p>
      <w:pPr>
        <w:pStyle w:val="Point0"/>
        <w:rPr>
          <w:noProof/>
        </w:rPr>
      </w:pPr>
      <w:r>
        <w:rPr>
          <w:noProof/>
        </w:rPr>
        <w:t>(4)</w:t>
      </w:r>
      <w:r>
        <w:rPr>
          <w:noProof/>
        </w:rPr>
        <w:tab/>
        <w:t>Autoritățile portugheze estimează că valoarea daunelor directe totale cauzate de catastrofă este de aproximativ 5 351,97 milioane EUR. Acest cuantum depășește pragul aplicabil unei „catastrofe naturale majore” pentru Portugalia, respectiv 0,6 % din venitul său național brut, care a fost de 1 703,84 milioane EUR în 2026. Prin urmare, catastrofa se califică drept „catastrofă naturală majoră” în conformitate cu articolul 2 alineatul (2) din Regulamentul privind FSUE.</w:t>
      </w:r>
    </w:p>
    <w:p>
      <w:pPr>
        <w:pStyle w:val="Point0"/>
        <w:rPr>
          <w:noProof/>
        </w:rPr>
      </w:pPr>
      <w:r>
        <w:rPr>
          <w:noProof/>
        </w:rPr>
        <w:t>(5)</w:t>
      </w:r>
      <w:r>
        <w:rPr>
          <w:noProof/>
        </w:rPr>
        <w:tab/>
        <w:t>Daunele directe totale reprezintă baza de calcul a valorii contribuției financiare din FSUE. Contribuția financiară poate fi utilizată exclusiv pentru operațiuni de urgență și de recuperare esențiale, astfel cum sunt definite la articolul 3 din Regulamentul privind FSUE.</w:t>
      </w:r>
    </w:p>
    <w:p>
      <w:pPr>
        <w:pStyle w:val="Point0"/>
        <w:rPr>
          <w:noProof/>
        </w:rPr>
      </w:pPr>
      <w:r>
        <w:rPr>
          <w:noProof/>
        </w:rPr>
        <w:t>(6)</w:t>
      </w:r>
      <w:r>
        <w:rPr>
          <w:noProof/>
        </w:rPr>
        <w:tab/>
        <w:t>Portugalia a solicitat plata unui avans în temeiul articolului 4a din Regulamentul privind FSUE. Pe baza evaluării preliminare, Comisia a concluzionat că au fost îndeplinite condițiile pentru plata unui avans din FSUE. Prin urmare, prin Decizia de punere în aplicare C(2026) 5300 a Comisiei din 23 iulie 2026 s-a acordat un avans de 65 370 952 EUR. Avansul a fost plătit Portugaliei la 4 august 2026.</w:t>
      </w:r>
    </w:p>
    <w:p>
      <w:pPr>
        <w:pStyle w:val="Point0"/>
        <w:rPr>
          <w:noProof/>
        </w:rPr>
      </w:pPr>
      <w:r>
        <w:rPr>
          <w:noProof/>
        </w:rPr>
        <w:t>(7)</w:t>
      </w:r>
      <w:r>
        <w:rPr>
          <w:noProof/>
        </w:rPr>
        <w:tab/>
        <w:t>În perioada 22 ianuarie-15 februarie 2026, Portugalia s-a confruntat cu o succesiune de furtuni puternice care s-au manifestat prin vânturi puternice și precipitații intense provocând inundații și alunecări de teren devastatoare. Furtunile au cauzat daune materiale semnificative infrastructurii publice și private și au distrus numeroase locuințe. În plus, au fost afectate infrastructuri și întrerupte servicii esențiale în domeniile energiei, apei, apelor uzate, transporturilor, asistenței medicale și educației. Catastrofa a dus, de asemenea, la evacuarea a mii de persoane și la 18 decese.</w:t>
      </w:r>
    </w:p>
    <w:p>
      <w:pPr>
        <w:pStyle w:val="Point0"/>
        <w:rPr>
          <w:noProof/>
        </w:rPr>
      </w:pPr>
      <w:r>
        <w:rPr>
          <w:noProof/>
        </w:rPr>
        <w:t>(8)</w:t>
      </w:r>
      <w:r>
        <w:rPr>
          <w:noProof/>
        </w:rPr>
        <w:tab/>
        <w:t>Autoritățile portugheze au solicitat activarea datelor de observare a Pământului prin satelit din programul Copernicus pentru a cartografia zonele inundate și zona de impact a furtunilor prin intermediul mecanismului de protecție civilă al Uniunii Europene.</w:t>
      </w:r>
    </w:p>
    <w:p>
      <w:pPr>
        <w:pStyle w:val="Point0"/>
        <w:rPr>
          <w:noProof/>
        </w:rPr>
      </w:pPr>
      <w:r>
        <w:rPr>
          <w:noProof/>
        </w:rPr>
        <w:t>(9)</w:t>
      </w:r>
      <w:r>
        <w:rPr>
          <w:noProof/>
        </w:rPr>
        <w:tab/>
        <w:t xml:space="preserve">Portugalia a estimat costul operațiunilor eligibile în temeiul articolului 3 alineatul (2) din Regulamentul privind FSUE la 1 937,94 milioane EUR și a prezentat costurile defalcate pe tipuri de operațiuni. Pe primul loc ca proporție din costuri se situează repunerea în funcțiune a infrastructurii și a instalațiilor în domeniile energiei, apelor și apelor uzate, telecomunicațiilor, transporturilor, sănătății și educației, acestea însumând 1 436,61 milioane EUR. Pe locul al doilea ca proporție din costuri se situează operațiunile de curățare a zonelor sinistrate, însumând 341,5 milioane EUR. Pe locul al treilea ca proporție a costurilor se situează securizarea infrastructurii de prevenire și protecția patrimoniului cultural, costurile aferente acestor operațiuni ridicându-se la 149,56 milioane EUR. Pe locul al patrulea ca proporție din costuri se situează locuințele de urgență și serviciile de salvare, însumând 10,27 milioane EUR. </w:t>
      </w:r>
    </w:p>
    <w:p>
      <w:pPr>
        <w:pStyle w:val="Point0"/>
        <w:rPr>
          <w:noProof/>
        </w:rPr>
      </w:pPr>
      <w:r>
        <w:rPr>
          <w:noProof/>
        </w:rPr>
        <w:t>(10)</w:t>
      </w:r>
      <w:r>
        <w:rPr>
          <w:noProof/>
        </w:rPr>
        <w:tab/>
        <w:t>Portugalia a transpus Directiva 2007/60/CE a Parlamentului European și a Consiliului prin Decretul-lege nr. 115/2010, care a fost adoptat la 22 octombrie 2010.</w:t>
      </w:r>
    </w:p>
    <w:p>
      <w:pPr>
        <w:pStyle w:val="Point0"/>
        <w:rPr>
          <w:noProof/>
        </w:rPr>
      </w:pPr>
      <w:r>
        <w:rPr>
          <w:noProof/>
        </w:rPr>
        <w:t>(11)</w:t>
      </w:r>
      <w:r>
        <w:rPr>
          <w:noProof/>
        </w:rPr>
        <w:tab/>
        <w:t>La data depunerii cererii, Portugalia nu făcea obiectul niciunei proceduri de constatare a neîndeplinirii obligațiilor în ceea ce privește legislația Uniunii referitoare la natura catastrofei.</w:t>
      </w:r>
    </w:p>
    <w:p>
      <w:pPr>
        <w:pStyle w:val="ManualHeading2"/>
        <w:tabs>
          <w:tab w:val="clear" w:pos="850"/>
        </w:tabs>
        <w:ind w:left="0" w:firstLine="1"/>
        <w:rPr>
          <w:noProof/>
        </w:rPr>
      </w:pPr>
      <w:r>
        <w:rPr>
          <w:noProof/>
        </w:rPr>
        <w:lastRenderedPageBreak/>
        <w:t>2.4 Spania – catastrofă naturală majoră: furtunile din ianuarie și februarie 2026</w:t>
      </w:r>
    </w:p>
    <w:p>
      <w:pPr>
        <w:pStyle w:val="Point0"/>
        <w:rPr>
          <w:noProof/>
        </w:rPr>
      </w:pPr>
      <w:r>
        <w:rPr>
          <w:noProof/>
        </w:rPr>
        <w:t>(1)</w:t>
      </w:r>
      <w:r>
        <w:rPr>
          <w:noProof/>
        </w:rPr>
        <w:tab/>
        <w:t xml:space="preserve">La 17 aprilie 2026, Spania a depus o cerere de contribuție financiară din FSUE pentru finanțarea operațiunilor de urgență și de recuperare ca urmare a furtunilor din ianuarie și februarie 2026. </w:t>
      </w:r>
    </w:p>
    <w:p>
      <w:pPr>
        <w:pStyle w:val="Point0"/>
        <w:rPr>
          <w:noProof/>
        </w:rPr>
      </w:pPr>
      <w:r>
        <w:rPr>
          <w:noProof/>
        </w:rPr>
        <w:t>(2)</w:t>
      </w:r>
      <w:r>
        <w:rPr>
          <w:noProof/>
        </w:rPr>
        <w:tab/>
        <w:t>Spania a solicitat o contribuție financiară din FSUE, respectând termenul de 12 săptămâni de la data înregistrării primelor daune provocate de catastrofă, și anume 23 ianuarie 2026. Cererea conține toate informațiile necesare prevăzute la articolul 4 din Regulamentul privind FSUE.</w:t>
      </w:r>
    </w:p>
    <w:p>
      <w:pPr>
        <w:pStyle w:val="Point0"/>
        <w:rPr>
          <w:noProof/>
        </w:rPr>
      </w:pPr>
      <w:r>
        <w:rPr>
          <w:noProof/>
        </w:rPr>
        <w:t>(3)</w:t>
      </w:r>
      <w:r>
        <w:rPr>
          <w:noProof/>
        </w:rPr>
        <w:tab/>
        <w:t>Catastrofa este de origine naturală și, prin urmare, se încadrează în domeniul de aplicare al FSUE.</w:t>
      </w:r>
    </w:p>
    <w:p>
      <w:pPr>
        <w:pStyle w:val="Point0"/>
        <w:rPr>
          <w:noProof/>
        </w:rPr>
      </w:pPr>
      <w:r>
        <w:rPr>
          <w:noProof/>
        </w:rPr>
        <w:t>(4)</w:t>
      </w:r>
      <w:r>
        <w:rPr>
          <w:noProof/>
        </w:rPr>
        <w:tab/>
        <w:t>Autoritățile spaniole estimează daunele directe totale cauzate de catastrofă la aproximativ 4 839,53 milioane EUR. Acest cuantum depășește pragul aplicabil unei „catastrofe naturale majore” pentru Spania, de 3 000 milioane EUR la prețurile din 2011, care a fost de 4 037,61 miliarde EUR în 2026. Prin urmare, catastrofa se califică drept „catastrofă naturală majoră” în conformitate cu articolul 2 alineatul (2) din Regulamentul privind FSUE.</w:t>
      </w:r>
    </w:p>
    <w:p>
      <w:pPr>
        <w:pStyle w:val="Point0"/>
        <w:rPr>
          <w:noProof/>
        </w:rPr>
      </w:pPr>
      <w:r>
        <w:rPr>
          <w:noProof/>
        </w:rPr>
        <w:t>(5)</w:t>
      </w:r>
      <w:r>
        <w:rPr>
          <w:noProof/>
        </w:rPr>
        <w:tab/>
        <w:t>Daunele directe totale reprezintă baza de calcul a valorii contribuției financiare din FSUE. Contribuția financiară poate fi utilizată exclusiv pentru operațiuni de urgență și de recuperare esențiale, astfel cum sunt definite la articolul 3 din Regulamentul privind FSUE.</w:t>
      </w:r>
    </w:p>
    <w:p>
      <w:pPr>
        <w:pStyle w:val="Point0"/>
        <w:rPr>
          <w:noProof/>
        </w:rPr>
      </w:pPr>
      <w:r>
        <w:rPr>
          <w:noProof/>
        </w:rPr>
        <w:t>(6)</w:t>
      </w:r>
      <w:r>
        <w:rPr>
          <w:noProof/>
        </w:rPr>
        <w:tab/>
        <w:t>Spania a solicitat plata unui avans în temeiul articolului 4a din Regulamentul privind FSUE. Pe baza evaluării preliminare, Comisia a concluzionat că au fost îndeplinite condițiile pentru plata unui avans din FSUE. Prin urmare, prin Decizia de punere în aplicare C(2026) 5374 a Comisiei din 23 iulie 2026 s-a acordat un avans de 37 263 842 EUR. Avansul a fost plătit Spaniei la 4 august 2026.</w:t>
      </w:r>
    </w:p>
    <w:p>
      <w:pPr>
        <w:pStyle w:val="Point0"/>
        <w:rPr>
          <w:noProof/>
        </w:rPr>
      </w:pPr>
      <w:r>
        <w:rPr>
          <w:noProof/>
        </w:rPr>
        <w:t>(7)</w:t>
      </w:r>
      <w:r>
        <w:rPr>
          <w:noProof/>
        </w:rPr>
        <w:tab/>
        <w:t>Între 22 ianuarie și 14 februarie 2026, Spania a fost lovită de o serie de furtuni puternice. Furtunile au provocat cele mai mari daune în comunitățile autonome Andaluzia și Extremadura. Precipitațiile abundente cauzate de furtuni au condus la evacuarea a mii de persoane, la închiderea a peste 150 de drumuri și la daune structurale semnificative cauzate locuințelor oamenilor. În plus, infrastructura de energie electrică, apă și telecomunicații a fost întreruptă pentru o perioadă lungă de timp, ceea ce a cauzat daune economice semnificative și a lăsat comunitățile izolate.</w:t>
      </w:r>
    </w:p>
    <w:p>
      <w:pPr>
        <w:pStyle w:val="Point0"/>
        <w:rPr>
          <w:noProof/>
        </w:rPr>
      </w:pPr>
      <w:r>
        <w:rPr>
          <w:noProof/>
        </w:rPr>
        <w:t>(8)</w:t>
      </w:r>
      <w:r>
        <w:rPr>
          <w:noProof/>
        </w:rPr>
        <w:tab/>
        <w:t>Autoritățile spaniole nu au solicitat asistență prin intermediul mecanismului de protecție civilă al Uniunii Europene.</w:t>
      </w:r>
    </w:p>
    <w:p>
      <w:pPr>
        <w:pStyle w:val="Point0"/>
        <w:rPr>
          <w:noProof/>
        </w:rPr>
      </w:pPr>
      <w:r>
        <w:rPr>
          <w:noProof/>
        </w:rPr>
        <w:t>(9)</w:t>
      </w:r>
      <w:r>
        <w:rPr>
          <w:noProof/>
        </w:rPr>
        <w:tab/>
        <w:t>Spania a estimat la 1 801,64 milioane EUR costul operațiunilor eligibile în temeiul articolului 3 alineatul (2) din Regulamentul privind FSUE și a prezentat costurile defalcate pe tipuri de operațiuni. Cea mai mare parte a costurilor – 1 585,07 milioane EUR – acoperă repunerea în funcțiune a infrastructurii și a instalațiilor în domeniile energiei, apelor, apelor uzate, telecomunicațiilor și transporturilor. Pe locul al doilea ca proporție din costuri se situează operațiunile de curățare a zonelor sinistrate, însumând 194,30 de milioane EUR. Pe locul al treilea ca proporție a costurilor se situează securizarea infrastructurii de prevenire și protecția patrimoniului cultural, costurile aferente acestor operațiuni ridicându-se la 20,93 milioane EUR. Pe locul al patrulea ca proporție din costuri se situează locuințele de urgență și serviciile de salvare, însumând 1,34 milioane EUR.</w:t>
      </w:r>
    </w:p>
    <w:p>
      <w:pPr>
        <w:pStyle w:val="Point0"/>
        <w:rPr>
          <w:noProof/>
        </w:rPr>
      </w:pPr>
      <w:r>
        <w:rPr>
          <w:noProof/>
        </w:rPr>
        <w:lastRenderedPageBreak/>
        <w:t>(10)</w:t>
      </w:r>
      <w:r>
        <w:rPr>
          <w:noProof/>
        </w:rPr>
        <w:tab/>
        <w:t>În Spania, transpunerea Directivei 2007/60/CE a Parlamentului European și a Consiliului s-a efectuat prin Decretul regal 903/2010 din 9 iulie 2007 privind evaluarea și gestionarea riscurilor de inundații.</w:t>
      </w:r>
    </w:p>
    <w:p>
      <w:pPr>
        <w:pStyle w:val="Point0"/>
        <w:rPr>
          <w:noProof/>
        </w:rPr>
      </w:pPr>
      <w:r>
        <w:rPr>
          <w:noProof/>
        </w:rPr>
        <w:t>(11)</w:t>
      </w:r>
      <w:r>
        <w:rPr>
          <w:noProof/>
        </w:rPr>
        <w:tab/>
        <w:t>La data depunerii cererii, Spania nu făcea obiectul niciunei proceduri de constatare a neîndeplinirii obligațiilor în ceea ce privește legislația Uniunii referitoare la natura catastrofei.</w:t>
      </w:r>
    </w:p>
    <w:p>
      <w:pPr>
        <w:pStyle w:val="ManualHeading2"/>
        <w:tabs>
          <w:tab w:val="clear" w:pos="850"/>
        </w:tabs>
        <w:ind w:left="0" w:firstLine="1"/>
        <w:rPr>
          <w:noProof/>
        </w:rPr>
      </w:pPr>
      <w:bookmarkStart w:id="3" w:name="_Toc484762488"/>
      <w:r>
        <w:rPr>
          <w:noProof/>
        </w:rPr>
        <w:t>2.5</w:t>
      </w:r>
      <w:r>
        <w:rPr>
          <w:noProof/>
        </w:rPr>
        <w:tab/>
        <w:t>Concluzie</w:t>
      </w:r>
    </w:p>
    <w:p>
      <w:pPr>
        <w:rPr>
          <w:noProof/>
        </w:rPr>
      </w:pPr>
      <w:r>
        <w:rPr>
          <w:noProof/>
        </w:rPr>
        <w:t>Având în vedere considerațiile de mai sus și în urma evaluării informațiilor prezentate, Comisia a ajuns la concluzia potrivit căreia catastrofele menționate în cererile depuse de Malta, Italia, Portugalia și Spania îndeplinesc condițiile prevăzute în Regulamentul privind FSUE pentru mobilizarea FSUE.</w:t>
      </w:r>
    </w:p>
    <w:p>
      <w:pPr>
        <w:pStyle w:val="ManualHeading1"/>
        <w:rPr>
          <w:noProof/>
        </w:rPr>
      </w:pPr>
      <w:r>
        <w:rPr>
          <w:noProof/>
        </w:rPr>
        <w:t>3.</w:t>
      </w:r>
      <w:r>
        <w:rPr>
          <w:noProof/>
        </w:rPr>
        <w:tab/>
        <w:t xml:space="preserve">Finanțare </w:t>
      </w:r>
      <w:bookmarkEnd w:id="3"/>
    </w:p>
    <w:p>
      <w:pPr>
        <w:rPr>
          <w:noProof/>
        </w:rPr>
      </w:pPr>
      <w:r>
        <w:rPr>
          <w:noProof/>
        </w:rPr>
        <w:t>FSUE a fost instituit pe baza principiului solidarității și, în consecință, Comisia aplică o abordare progresivă în ceea ce privește alocarea ajutoarelor. Prin urmare, partea din daune care depășește pragul pentru mobilizarea FSUE aferent unei „</w:t>
      </w:r>
      <w:r>
        <w:rPr>
          <w:b/>
          <w:noProof/>
        </w:rPr>
        <w:t>catastrofe naturale majore</w:t>
      </w:r>
      <w:r>
        <w:rPr>
          <w:noProof/>
        </w:rPr>
        <w:t>” [și anume 0,6 % din VNB sau 3 miliarde EUR la prețurile din 2011, luându-se în considerare cuantumul cel mai mic, în conformitate cu articolul 2 alineatul (2) din Regulamentul privind FSUE] ar trebui să beneficieze de o intensitate mai mare a ajutorului decât partea din daune situată sub prag. Cu alte cuvinte, cuantumul ajutorului acordat unei țări afectate de o catastrofă care poate fi calificată drept „catastrofă naturală majoră” se calculează prin însumarea a două cuantumuri: 2,5 % din daunele directe totale situate sub prag și 6 % pentru partea din daunele directe totale care depășește pragul. Rata aplicată pentru definirea cuantumurilor ajutoarelor acordate pentru „</w:t>
      </w:r>
      <w:r>
        <w:rPr>
          <w:b/>
          <w:noProof/>
        </w:rPr>
        <w:t>catastrofe naturale regionale</w:t>
      </w:r>
      <w:r>
        <w:rPr>
          <w:noProof/>
        </w:rPr>
        <w:t>” care rămân sub pragul național este de 2,5 % din daunele directe totale.</w:t>
      </w:r>
    </w:p>
    <w:p>
      <w:pPr>
        <w:rPr>
          <w:noProof/>
        </w:rPr>
      </w:pPr>
      <w:r>
        <w:rPr>
          <w:noProof/>
        </w:rPr>
        <w:t>Această metodă de calcul al ajutorului FSUE a fost stabilită în Raportul anual pe 2002-2003 privind FSUE și a fost acceptată de Parlamentul European și de Consiliu. Contribuția din partea FSUE nu poate depăși costul total estimat al operațiunilor eligibile.</w:t>
      </w:r>
    </w:p>
    <w:p>
      <w:pPr>
        <w:rPr>
          <w:noProof/>
        </w:rPr>
      </w:pPr>
      <w:r>
        <w:rPr>
          <w:noProof/>
        </w:rPr>
        <w:t xml:space="preserve">Aplicând metodologia descrisă mai sus, Comisia a evaluat ajutorul din partea FSUE ca răspuns la cele patru cereri depuse de Malta, Italia, Portugalia și Spania ca urmare a furtunilor care au avut loc în ianuarie și februarie 2026. </w:t>
      </w:r>
    </w:p>
    <w:p>
      <w:pPr>
        <w:pageBreakBefore/>
        <w:rPr>
          <w:noProof/>
        </w:rPr>
      </w:pPr>
      <w:r>
        <w:rPr>
          <w:noProof/>
        </w:rPr>
        <w:t>Prin urmare, Comisia propune autorității bugetare să mobilizeze următoarele cuantumuri:</w:t>
      </w:r>
    </w:p>
    <w:tbl>
      <w:tblPr>
        <w:tblW w:w="9900" w:type="dxa"/>
        <w:tblInd w:w="118" w:type="dxa"/>
        <w:tblLook w:val="04A0" w:firstRow="1" w:lastRow="0" w:firstColumn="1" w:lastColumn="0" w:noHBand="0" w:noVBand="1"/>
      </w:tblPr>
      <w:tblGrid>
        <w:gridCol w:w="1534"/>
        <w:gridCol w:w="1079"/>
        <w:gridCol w:w="1216"/>
        <w:gridCol w:w="1213"/>
        <w:gridCol w:w="1213"/>
        <w:gridCol w:w="1395"/>
        <w:gridCol w:w="1035"/>
        <w:gridCol w:w="1215"/>
      </w:tblGrid>
      <w:tr>
        <w:trPr>
          <w:trHeight w:val="1050"/>
        </w:trPr>
        <w:tc>
          <w:tcPr>
            <w:tcW w:w="1550" w:type="dxa"/>
            <w:tcBorders>
              <w:top w:val="single" w:sz="8" w:space="0" w:color="auto"/>
              <w:left w:val="single" w:sz="8" w:space="0" w:color="auto"/>
              <w:bottom w:val="nil"/>
              <w:right w:val="single" w:sz="8" w:space="0" w:color="auto"/>
            </w:tcBorders>
            <w:shd w:val="clear" w:color="000000" w:fill="EEECE1"/>
            <w:vAlign w:val="center"/>
            <w:hideMark/>
          </w:tcPr>
          <w:p>
            <w:pPr>
              <w:spacing w:before="0" w:after="0"/>
              <w:jc w:val="center"/>
              <w:rPr>
                <w:rFonts w:eastAsia="Times New Roman"/>
                <w:b/>
                <w:bCs/>
                <w:noProof/>
                <w:color w:val="000000"/>
                <w:sz w:val="16"/>
                <w:szCs w:val="16"/>
              </w:rPr>
            </w:pPr>
            <w:r>
              <w:rPr>
                <w:b/>
                <w:noProof/>
                <w:color w:val="000000"/>
                <w:sz w:val="16"/>
              </w:rPr>
              <w:t>Țara/ Catastrofă</w:t>
            </w:r>
          </w:p>
        </w:tc>
        <w:tc>
          <w:tcPr>
            <w:tcW w:w="1030" w:type="dxa"/>
            <w:tcBorders>
              <w:top w:val="single" w:sz="8" w:space="0" w:color="auto"/>
              <w:left w:val="nil"/>
              <w:bottom w:val="nil"/>
              <w:right w:val="single" w:sz="8" w:space="0" w:color="auto"/>
            </w:tcBorders>
            <w:shd w:val="clear" w:color="000000" w:fill="EEECE1"/>
            <w:vAlign w:val="center"/>
            <w:hideMark/>
          </w:tcPr>
          <w:p>
            <w:pPr>
              <w:spacing w:before="0" w:after="0"/>
              <w:jc w:val="center"/>
              <w:rPr>
                <w:rFonts w:eastAsia="Times New Roman"/>
                <w:b/>
                <w:bCs/>
                <w:noProof/>
                <w:color w:val="000000"/>
                <w:sz w:val="16"/>
                <w:szCs w:val="16"/>
              </w:rPr>
            </w:pPr>
            <w:r>
              <w:rPr>
                <w:b/>
                <w:noProof/>
                <w:color w:val="000000"/>
                <w:sz w:val="16"/>
              </w:rPr>
              <w:t>Daune directe totale</w:t>
            </w:r>
          </w:p>
        </w:tc>
        <w:tc>
          <w:tcPr>
            <w:tcW w:w="1220" w:type="dxa"/>
            <w:tcBorders>
              <w:top w:val="single" w:sz="8" w:space="0" w:color="auto"/>
              <w:left w:val="nil"/>
              <w:bottom w:val="nil"/>
              <w:right w:val="single" w:sz="8" w:space="0" w:color="auto"/>
            </w:tcBorders>
            <w:shd w:val="clear" w:color="000000" w:fill="EEECE1"/>
            <w:vAlign w:val="center"/>
            <w:hideMark/>
          </w:tcPr>
          <w:p>
            <w:pPr>
              <w:spacing w:before="0" w:after="0"/>
              <w:jc w:val="center"/>
              <w:rPr>
                <w:rFonts w:eastAsia="Times New Roman"/>
                <w:b/>
                <w:bCs/>
                <w:noProof/>
                <w:color w:val="000000"/>
                <w:sz w:val="16"/>
                <w:szCs w:val="16"/>
              </w:rPr>
            </w:pPr>
            <w:r>
              <w:rPr>
                <w:b/>
                <w:noProof/>
                <w:color w:val="000000"/>
                <w:sz w:val="16"/>
              </w:rPr>
              <w:t>Pragul de catastrofă aplicat</w:t>
            </w:r>
          </w:p>
        </w:tc>
        <w:tc>
          <w:tcPr>
            <w:tcW w:w="1220" w:type="dxa"/>
            <w:tcBorders>
              <w:top w:val="single" w:sz="8" w:space="0" w:color="auto"/>
              <w:left w:val="nil"/>
              <w:bottom w:val="nil"/>
              <w:right w:val="single" w:sz="8" w:space="0" w:color="auto"/>
            </w:tcBorders>
            <w:shd w:val="clear" w:color="000000" w:fill="EEECE1"/>
            <w:vAlign w:val="center"/>
            <w:hideMark/>
          </w:tcPr>
          <w:p>
            <w:pPr>
              <w:spacing w:before="0" w:after="0"/>
              <w:jc w:val="center"/>
              <w:rPr>
                <w:rFonts w:eastAsia="Times New Roman"/>
                <w:b/>
                <w:bCs/>
                <w:noProof/>
                <w:color w:val="000000"/>
                <w:sz w:val="16"/>
                <w:szCs w:val="16"/>
              </w:rPr>
            </w:pPr>
            <w:r>
              <w:rPr>
                <w:b/>
                <w:noProof/>
                <w:color w:val="000000"/>
                <w:sz w:val="16"/>
              </w:rPr>
              <w:t>2,5 % din daunele directe totale</w:t>
            </w:r>
            <w:r>
              <w:rPr>
                <w:noProof/>
                <w:color w:val="000000"/>
                <w:sz w:val="16"/>
              </w:rPr>
              <w:t xml:space="preserve"> </w:t>
            </w:r>
            <w:r>
              <w:rPr>
                <w:i/>
                <w:noProof/>
                <w:color w:val="000000"/>
                <w:sz w:val="16"/>
              </w:rPr>
              <w:t xml:space="preserve">[care nu depășesc pragul aplicat pentru catastrofe majore] </w:t>
            </w:r>
          </w:p>
        </w:tc>
        <w:tc>
          <w:tcPr>
            <w:tcW w:w="1220" w:type="dxa"/>
            <w:tcBorders>
              <w:top w:val="single" w:sz="8" w:space="0" w:color="auto"/>
              <w:left w:val="nil"/>
              <w:bottom w:val="nil"/>
              <w:right w:val="single" w:sz="8" w:space="0" w:color="auto"/>
            </w:tcBorders>
            <w:shd w:val="clear" w:color="000000" w:fill="EEECE1"/>
            <w:vAlign w:val="center"/>
            <w:hideMark/>
          </w:tcPr>
          <w:p>
            <w:pPr>
              <w:spacing w:before="0" w:after="0"/>
              <w:jc w:val="center"/>
              <w:rPr>
                <w:rFonts w:eastAsia="Times New Roman"/>
                <w:b/>
                <w:bCs/>
                <w:noProof/>
                <w:color w:val="000000"/>
                <w:sz w:val="16"/>
                <w:szCs w:val="16"/>
              </w:rPr>
            </w:pPr>
            <w:r>
              <w:rPr>
                <w:b/>
                <w:noProof/>
                <w:color w:val="000000"/>
                <w:sz w:val="16"/>
              </w:rPr>
              <w:t xml:space="preserve">6 % din daunele directe totale (care depășesc pragul aplicat pentru catastrofe majore) </w:t>
            </w:r>
          </w:p>
        </w:tc>
        <w:tc>
          <w:tcPr>
            <w:tcW w:w="1405" w:type="dxa"/>
            <w:tcBorders>
              <w:top w:val="single" w:sz="8" w:space="0" w:color="auto"/>
              <w:left w:val="nil"/>
              <w:bottom w:val="nil"/>
              <w:right w:val="single" w:sz="8" w:space="0" w:color="auto"/>
            </w:tcBorders>
            <w:shd w:val="clear" w:color="000000" w:fill="EEECE1"/>
            <w:vAlign w:val="center"/>
            <w:hideMark/>
          </w:tcPr>
          <w:p>
            <w:pPr>
              <w:spacing w:before="0" w:after="0"/>
              <w:jc w:val="center"/>
              <w:rPr>
                <w:rFonts w:eastAsia="Times New Roman"/>
                <w:b/>
                <w:bCs/>
                <w:noProof/>
                <w:color w:val="000000"/>
                <w:sz w:val="16"/>
                <w:szCs w:val="16"/>
              </w:rPr>
            </w:pPr>
            <w:r>
              <w:rPr>
                <w:b/>
                <w:noProof/>
                <w:color w:val="000000"/>
                <w:sz w:val="16"/>
              </w:rPr>
              <w:t>Cuantumul total al ajutorului propus</w:t>
            </w:r>
          </w:p>
        </w:tc>
        <w:tc>
          <w:tcPr>
            <w:tcW w:w="1035" w:type="dxa"/>
            <w:tcBorders>
              <w:top w:val="single" w:sz="8" w:space="0" w:color="auto"/>
              <w:left w:val="nil"/>
              <w:bottom w:val="nil"/>
              <w:right w:val="single" w:sz="8" w:space="0" w:color="auto"/>
            </w:tcBorders>
            <w:shd w:val="clear" w:color="000000" w:fill="EEECE1"/>
            <w:vAlign w:val="center"/>
            <w:hideMark/>
          </w:tcPr>
          <w:p>
            <w:pPr>
              <w:spacing w:before="0" w:after="0"/>
              <w:jc w:val="center"/>
              <w:rPr>
                <w:rFonts w:eastAsia="Times New Roman"/>
                <w:b/>
                <w:bCs/>
                <w:noProof/>
                <w:color w:val="000000"/>
                <w:sz w:val="16"/>
                <w:szCs w:val="16"/>
              </w:rPr>
            </w:pPr>
            <w:r>
              <w:rPr>
                <w:b/>
                <w:noProof/>
                <w:color w:val="000000"/>
                <w:sz w:val="16"/>
              </w:rPr>
              <w:t>Plata în avans efectuată</w:t>
            </w:r>
          </w:p>
        </w:tc>
        <w:tc>
          <w:tcPr>
            <w:tcW w:w="1220" w:type="dxa"/>
            <w:tcBorders>
              <w:top w:val="single" w:sz="8" w:space="0" w:color="auto"/>
              <w:left w:val="nil"/>
              <w:bottom w:val="nil"/>
              <w:right w:val="single" w:sz="8" w:space="0" w:color="auto"/>
            </w:tcBorders>
            <w:shd w:val="clear" w:color="000000" w:fill="EEECE1"/>
            <w:vAlign w:val="center"/>
            <w:hideMark/>
          </w:tcPr>
          <w:p>
            <w:pPr>
              <w:spacing w:before="0" w:after="0"/>
              <w:jc w:val="center"/>
              <w:rPr>
                <w:rFonts w:eastAsia="Times New Roman"/>
                <w:b/>
                <w:bCs/>
                <w:noProof/>
                <w:color w:val="000000"/>
                <w:sz w:val="16"/>
                <w:szCs w:val="16"/>
              </w:rPr>
            </w:pPr>
            <w:r>
              <w:rPr>
                <w:b/>
                <w:noProof/>
                <w:color w:val="000000"/>
                <w:sz w:val="16"/>
              </w:rPr>
              <w:t>Sold de plată</w:t>
            </w:r>
          </w:p>
        </w:tc>
      </w:tr>
      <w:tr>
        <w:trPr>
          <w:trHeight w:val="240"/>
        </w:trPr>
        <w:tc>
          <w:tcPr>
            <w:tcW w:w="1550" w:type="dxa"/>
            <w:tcBorders>
              <w:top w:val="nil"/>
              <w:left w:val="single" w:sz="8" w:space="0" w:color="auto"/>
              <w:bottom w:val="single" w:sz="8" w:space="0" w:color="auto"/>
              <w:right w:val="single" w:sz="8" w:space="0" w:color="auto"/>
            </w:tcBorders>
            <w:shd w:val="clear" w:color="000000" w:fill="EEECE1"/>
            <w:vAlign w:val="center"/>
            <w:hideMark/>
          </w:tcPr>
          <w:p>
            <w:pPr>
              <w:spacing w:before="0" w:after="0"/>
              <w:jc w:val="center"/>
              <w:rPr>
                <w:rFonts w:eastAsia="Times New Roman"/>
                <w:b/>
                <w:bCs/>
                <w:noProof/>
                <w:color w:val="000000"/>
                <w:sz w:val="16"/>
                <w:szCs w:val="16"/>
              </w:rPr>
            </w:pPr>
            <w:r>
              <w:rPr>
                <w:b/>
                <w:noProof/>
                <w:color w:val="000000"/>
                <w:sz w:val="16"/>
              </w:rPr>
              <w:t xml:space="preserve"> </w:t>
            </w:r>
          </w:p>
        </w:tc>
        <w:tc>
          <w:tcPr>
            <w:tcW w:w="1030" w:type="dxa"/>
            <w:tcBorders>
              <w:top w:val="nil"/>
              <w:left w:val="nil"/>
              <w:bottom w:val="single" w:sz="8" w:space="0" w:color="auto"/>
              <w:right w:val="nil"/>
            </w:tcBorders>
            <w:shd w:val="clear" w:color="000000" w:fill="EEECE1"/>
            <w:vAlign w:val="center"/>
            <w:hideMark/>
          </w:tcPr>
          <w:p>
            <w:pPr>
              <w:spacing w:before="0" w:after="0"/>
              <w:jc w:val="center"/>
              <w:rPr>
                <w:rFonts w:eastAsia="Times New Roman"/>
                <w:b/>
                <w:bCs/>
                <w:noProof/>
                <w:color w:val="000000"/>
                <w:sz w:val="16"/>
                <w:szCs w:val="16"/>
              </w:rPr>
            </w:pPr>
            <w:r>
              <w:rPr>
                <w:b/>
                <w:noProof/>
                <w:color w:val="000000"/>
                <w:sz w:val="16"/>
              </w:rPr>
              <w:t>(EUR)</w:t>
            </w:r>
          </w:p>
        </w:tc>
        <w:tc>
          <w:tcPr>
            <w:tcW w:w="1220" w:type="dxa"/>
            <w:tcBorders>
              <w:top w:val="nil"/>
              <w:left w:val="single" w:sz="8" w:space="0" w:color="auto"/>
              <w:bottom w:val="single" w:sz="8" w:space="0" w:color="auto"/>
              <w:right w:val="single" w:sz="8" w:space="0" w:color="auto"/>
            </w:tcBorders>
            <w:shd w:val="clear" w:color="000000" w:fill="EEECE1"/>
            <w:vAlign w:val="center"/>
            <w:hideMark/>
          </w:tcPr>
          <w:p>
            <w:pPr>
              <w:spacing w:before="0" w:after="0"/>
              <w:jc w:val="center"/>
              <w:rPr>
                <w:rFonts w:eastAsia="Times New Roman"/>
                <w:b/>
                <w:bCs/>
                <w:noProof/>
                <w:color w:val="000000"/>
                <w:sz w:val="16"/>
                <w:szCs w:val="16"/>
              </w:rPr>
            </w:pPr>
            <w:r>
              <w:rPr>
                <w:b/>
                <w:noProof/>
                <w:color w:val="000000"/>
                <w:sz w:val="16"/>
              </w:rPr>
              <w:t>(EUR)</w:t>
            </w:r>
          </w:p>
        </w:tc>
        <w:tc>
          <w:tcPr>
            <w:tcW w:w="1220" w:type="dxa"/>
            <w:tcBorders>
              <w:top w:val="nil"/>
              <w:left w:val="nil"/>
              <w:bottom w:val="single" w:sz="8" w:space="0" w:color="auto"/>
              <w:right w:val="single" w:sz="8" w:space="0" w:color="auto"/>
            </w:tcBorders>
            <w:shd w:val="clear" w:color="000000" w:fill="EEECE1"/>
            <w:vAlign w:val="center"/>
            <w:hideMark/>
          </w:tcPr>
          <w:p>
            <w:pPr>
              <w:spacing w:before="0" w:after="0"/>
              <w:jc w:val="center"/>
              <w:rPr>
                <w:rFonts w:eastAsia="Times New Roman"/>
                <w:b/>
                <w:bCs/>
                <w:noProof/>
                <w:color w:val="000000"/>
                <w:sz w:val="16"/>
                <w:szCs w:val="16"/>
              </w:rPr>
            </w:pPr>
            <w:r>
              <w:rPr>
                <w:b/>
                <w:noProof/>
                <w:color w:val="000000"/>
                <w:sz w:val="16"/>
              </w:rPr>
              <w:t>(EUR)</w:t>
            </w:r>
          </w:p>
        </w:tc>
        <w:tc>
          <w:tcPr>
            <w:tcW w:w="1220" w:type="dxa"/>
            <w:tcBorders>
              <w:top w:val="nil"/>
              <w:left w:val="nil"/>
              <w:bottom w:val="single" w:sz="8" w:space="0" w:color="auto"/>
              <w:right w:val="single" w:sz="8" w:space="0" w:color="auto"/>
            </w:tcBorders>
            <w:shd w:val="clear" w:color="000000" w:fill="EEECE1"/>
            <w:vAlign w:val="center"/>
            <w:hideMark/>
          </w:tcPr>
          <w:p>
            <w:pPr>
              <w:spacing w:before="0" w:after="0"/>
              <w:jc w:val="center"/>
              <w:rPr>
                <w:rFonts w:eastAsia="Times New Roman"/>
                <w:b/>
                <w:bCs/>
                <w:noProof/>
                <w:color w:val="000000"/>
                <w:sz w:val="16"/>
                <w:szCs w:val="16"/>
              </w:rPr>
            </w:pPr>
            <w:r>
              <w:rPr>
                <w:b/>
                <w:noProof/>
                <w:color w:val="000000"/>
                <w:sz w:val="16"/>
              </w:rPr>
              <w:t>(EUR)</w:t>
            </w:r>
          </w:p>
        </w:tc>
        <w:tc>
          <w:tcPr>
            <w:tcW w:w="1405" w:type="dxa"/>
            <w:tcBorders>
              <w:top w:val="nil"/>
              <w:left w:val="nil"/>
              <w:bottom w:val="single" w:sz="8" w:space="0" w:color="auto"/>
              <w:right w:val="nil"/>
            </w:tcBorders>
            <w:shd w:val="clear" w:color="000000" w:fill="EEECE1"/>
            <w:vAlign w:val="center"/>
            <w:hideMark/>
          </w:tcPr>
          <w:p>
            <w:pPr>
              <w:spacing w:before="0" w:after="0"/>
              <w:jc w:val="center"/>
              <w:rPr>
                <w:rFonts w:eastAsia="Times New Roman"/>
                <w:b/>
                <w:bCs/>
                <w:noProof/>
                <w:color w:val="000000"/>
                <w:sz w:val="16"/>
                <w:szCs w:val="16"/>
              </w:rPr>
            </w:pPr>
            <w:r>
              <w:rPr>
                <w:b/>
                <w:noProof/>
                <w:color w:val="000000"/>
                <w:sz w:val="16"/>
              </w:rPr>
              <w:t>(EUR)</w:t>
            </w:r>
          </w:p>
        </w:tc>
        <w:tc>
          <w:tcPr>
            <w:tcW w:w="1035" w:type="dxa"/>
            <w:tcBorders>
              <w:top w:val="nil"/>
              <w:left w:val="single" w:sz="8" w:space="0" w:color="auto"/>
              <w:bottom w:val="single" w:sz="8" w:space="0" w:color="auto"/>
              <w:right w:val="nil"/>
            </w:tcBorders>
            <w:shd w:val="clear" w:color="000000" w:fill="EEECE1"/>
            <w:vAlign w:val="center"/>
            <w:hideMark/>
          </w:tcPr>
          <w:p>
            <w:pPr>
              <w:spacing w:before="0" w:after="0"/>
              <w:jc w:val="center"/>
              <w:rPr>
                <w:rFonts w:eastAsia="Times New Roman"/>
                <w:b/>
                <w:bCs/>
                <w:noProof/>
                <w:color w:val="000000"/>
                <w:sz w:val="16"/>
                <w:szCs w:val="16"/>
              </w:rPr>
            </w:pPr>
            <w:r>
              <w:rPr>
                <w:b/>
                <w:noProof/>
                <w:color w:val="000000"/>
                <w:sz w:val="16"/>
              </w:rPr>
              <w:t>(EUR)</w:t>
            </w:r>
          </w:p>
        </w:tc>
        <w:tc>
          <w:tcPr>
            <w:tcW w:w="1220" w:type="dxa"/>
            <w:tcBorders>
              <w:top w:val="nil"/>
              <w:left w:val="single" w:sz="8" w:space="0" w:color="auto"/>
              <w:bottom w:val="single" w:sz="8" w:space="0" w:color="auto"/>
              <w:right w:val="single" w:sz="8" w:space="0" w:color="auto"/>
            </w:tcBorders>
            <w:shd w:val="clear" w:color="000000" w:fill="EEECE1"/>
            <w:vAlign w:val="center"/>
            <w:hideMark/>
          </w:tcPr>
          <w:p>
            <w:pPr>
              <w:spacing w:before="0" w:after="0"/>
              <w:jc w:val="center"/>
              <w:rPr>
                <w:rFonts w:eastAsia="Times New Roman"/>
                <w:b/>
                <w:bCs/>
                <w:noProof/>
                <w:color w:val="000000"/>
                <w:sz w:val="16"/>
                <w:szCs w:val="16"/>
              </w:rPr>
            </w:pPr>
            <w:r>
              <w:rPr>
                <w:b/>
                <w:noProof/>
                <w:color w:val="000000"/>
                <w:sz w:val="16"/>
              </w:rPr>
              <w:t>(EUR)</w:t>
            </w:r>
          </w:p>
        </w:tc>
      </w:tr>
      <w:tr>
        <w:trPr>
          <w:trHeight w:val="240"/>
        </w:trPr>
        <w:tc>
          <w:tcPr>
            <w:tcW w:w="1550" w:type="dxa"/>
            <w:tcBorders>
              <w:top w:val="nil"/>
              <w:left w:val="single" w:sz="8" w:space="0" w:color="auto"/>
              <w:bottom w:val="nil"/>
              <w:right w:val="single" w:sz="8" w:space="0" w:color="auto"/>
            </w:tcBorders>
            <w:shd w:val="clear" w:color="000000" w:fill="EEECE1"/>
            <w:vAlign w:val="center"/>
            <w:hideMark/>
          </w:tcPr>
          <w:p>
            <w:pPr>
              <w:spacing w:before="0" w:after="0"/>
              <w:ind w:firstLineChars="100" w:firstLine="150"/>
              <w:jc w:val="left"/>
              <w:rPr>
                <w:rFonts w:eastAsia="Times New Roman"/>
                <w:b/>
                <w:bCs/>
                <w:noProof/>
                <w:color w:val="000000"/>
                <w:sz w:val="15"/>
                <w:szCs w:val="15"/>
              </w:rPr>
            </w:pPr>
            <w:r>
              <w:rPr>
                <w:b/>
                <w:noProof/>
                <w:color w:val="000000"/>
                <w:sz w:val="15"/>
              </w:rPr>
              <w:t>Malta – furtună</w:t>
            </w:r>
          </w:p>
        </w:tc>
        <w:tc>
          <w:tcPr>
            <w:tcW w:w="103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rPr>
            </w:pPr>
            <w:r>
              <w:rPr>
                <w:noProof/>
                <w:color w:val="000000"/>
                <w:sz w:val="15"/>
              </w:rPr>
              <w:t>132 970 625</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rPr>
            </w:pPr>
            <w:r>
              <w:rPr>
                <w:noProof/>
                <w:color w:val="000000"/>
                <w:sz w:val="15"/>
              </w:rPr>
              <w:t>121 548 000</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rPr>
            </w:pPr>
            <w:r>
              <w:rPr>
                <w:noProof/>
                <w:color w:val="000000"/>
                <w:sz w:val="15"/>
              </w:rPr>
              <w:t>3 038 700</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rPr>
            </w:pPr>
            <w:r>
              <w:rPr>
                <w:noProof/>
                <w:color w:val="000000"/>
                <w:sz w:val="15"/>
              </w:rPr>
              <w:t>685 357</w:t>
            </w:r>
          </w:p>
        </w:tc>
        <w:tc>
          <w:tcPr>
            <w:tcW w:w="1405"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5"/>
                <w:szCs w:val="15"/>
              </w:rPr>
            </w:pPr>
            <w:r>
              <w:rPr>
                <w:b/>
                <w:noProof/>
                <w:color w:val="000000"/>
                <w:sz w:val="15"/>
              </w:rPr>
              <w:t>3 724 057</w:t>
            </w:r>
          </w:p>
        </w:tc>
        <w:tc>
          <w:tcPr>
            <w:tcW w:w="1035"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5"/>
                <w:szCs w:val="15"/>
              </w:rPr>
            </w:pPr>
            <w:r>
              <w:rPr>
                <w:b/>
                <w:noProof/>
                <w:color w:val="000000"/>
                <w:sz w:val="15"/>
              </w:rPr>
              <w:t>931 014</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5"/>
                <w:szCs w:val="15"/>
              </w:rPr>
            </w:pPr>
            <w:r>
              <w:rPr>
                <w:b/>
                <w:noProof/>
                <w:color w:val="000000"/>
                <w:sz w:val="15"/>
              </w:rPr>
              <w:t>2 793 043</w:t>
            </w:r>
          </w:p>
        </w:tc>
      </w:tr>
      <w:tr>
        <w:trPr>
          <w:trHeight w:val="240"/>
        </w:trPr>
        <w:tc>
          <w:tcPr>
            <w:tcW w:w="1550" w:type="dxa"/>
            <w:tcBorders>
              <w:top w:val="nil"/>
              <w:left w:val="single" w:sz="8" w:space="0" w:color="auto"/>
              <w:bottom w:val="single" w:sz="8" w:space="0" w:color="auto"/>
              <w:right w:val="single" w:sz="8" w:space="0" w:color="auto"/>
            </w:tcBorders>
            <w:shd w:val="clear" w:color="000000" w:fill="EEECE1"/>
            <w:vAlign w:val="center"/>
            <w:hideMark/>
          </w:tcPr>
          <w:p>
            <w:pPr>
              <w:spacing w:before="0" w:after="0"/>
              <w:ind w:firstLineChars="100" w:firstLine="150"/>
              <w:jc w:val="left"/>
              <w:rPr>
                <w:rFonts w:eastAsia="Times New Roman"/>
                <w:i/>
                <w:iCs/>
                <w:noProof/>
                <w:color w:val="000000"/>
                <w:sz w:val="15"/>
                <w:szCs w:val="15"/>
              </w:rPr>
            </w:pPr>
            <w:r>
              <w:rPr>
                <w:i/>
                <w:noProof/>
                <w:color w:val="000000"/>
                <w:sz w:val="15"/>
              </w:rPr>
              <w:t>(catastrofă majoră)</w:t>
            </w:r>
          </w:p>
        </w:tc>
        <w:tc>
          <w:tcPr>
            <w:tcW w:w="103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eastAsia="en-IE"/>
              </w:rPr>
            </w:pPr>
          </w:p>
        </w:tc>
        <w:tc>
          <w:tcPr>
            <w:tcW w:w="1405"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5"/>
                <w:szCs w:val="15"/>
                <w:lang w:eastAsia="en-IE"/>
              </w:rPr>
            </w:pPr>
          </w:p>
        </w:tc>
        <w:tc>
          <w:tcPr>
            <w:tcW w:w="1035"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5"/>
                <w:szCs w:val="15"/>
                <w:lang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5"/>
                <w:szCs w:val="15"/>
                <w:lang w:eastAsia="en-IE"/>
              </w:rPr>
            </w:pPr>
          </w:p>
        </w:tc>
      </w:tr>
      <w:tr>
        <w:trPr>
          <w:trHeight w:val="240"/>
        </w:trPr>
        <w:tc>
          <w:tcPr>
            <w:tcW w:w="1550" w:type="dxa"/>
            <w:tcBorders>
              <w:top w:val="nil"/>
              <w:left w:val="single" w:sz="8" w:space="0" w:color="auto"/>
              <w:bottom w:val="nil"/>
              <w:right w:val="single" w:sz="8" w:space="0" w:color="auto"/>
            </w:tcBorders>
            <w:shd w:val="clear" w:color="000000" w:fill="EEECE1"/>
            <w:vAlign w:val="center"/>
            <w:hideMark/>
          </w:tcPr>
          <w:p>
            <w:pPr>
              <w:spacing w:before="0" w:after="0"/>
              <w:ind w:firstLineChars="100" w:firstLine="150"/>
              <w:jc w:val="left"/>
              <w:rPr>
                <w:rFonts w:eastAsia="Times New Roman"/>
                <w:b/>
                <w:bCs/>
                <w:noProof/>
                <w:color w:val="000000"/>
                <w:sz w:val="15"/>
                <w:szCs w:val="15"/>
              </w:rPr>
            </w:pPr>
            <w:r>
              <w:rPr>
                <w:b/>
                <w:noProof/>
                <w:color w:val="000000"/>
                <w:sz w:val="15"/>
              </w:rPr>
              <w:t xml:space="preserve">Italia – furtună </w:t>
            </w:r>
          </w:p>
        </w:tc>
        <w:tc>
          <w:tcPr>
            <w:tcW w:w="103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rPr>
            </w:pPr>
            <w:r>
              <w:rPr>
                <w:noProof/>
                <w:color w:val="000000"/>
                <w:sz w:val="15"/>
              </w:rPr>
              <w:t>2 995 399 358</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rPr>
            </w:pPr>
            <w:r>
              <w:rPr>
                <w:noProof/>
                <w:color w:val="000000"/>
                <w:sz w:val="15"/>
              </w:rPr>
              <w:t>1 379 823 036</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rPr>
            </w:pPr>
            <w:r>
              <w:rPr>
                <w:noProof/>
                <w:color w:val="000000"/>
                <w:sz w:val="15"/>
              </w:rPr>
              <w:t>74 884 983</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rPr>
            </w:pPr>
            <w:r>
              <w:rPr>
                <w:noProof/>
                <w:color w:val="000000"/>
                <w:sz w:val="15"/>
              </w:rPr>
              <w:t>N/A</w:t>
            </w:r>
          </w:p>
        </w:tc>
        <w:tc>
          <w:tcPr>
            <w:tcW w:w="1405"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5"/>
                <w:szCs w:val="15"/>
              </w:rPr>
            </w:pPr>
            <w:r>
              <w:rPr>
                <w:b/>
                <w:noProof/>
                <w:color w:val="000000"/>
                <w:sz w:val="15"/>
              </w:rPr>
              <w:t>74 884 983</w:t>
            </w:r>
          </w:p>
        </w:tc>
        <w:tc>
          <w:tcPr>
            <w:tcW w:w="1035"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5"/>
                <w:szCs w:val="15"/>
              </w:rPr>
            </w:pPr>
            <w:r>
              <w:rPr>
                <w:b/>
                <w:noProof/>
                <w:color w:val="000000"/>
                <w:sz w:val="15"/>
              </w:rPr>
              <w:t>nesolicitat</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5"/>
                <w:szCs w:val="15"/>
              </w:rPr>
            </w:pPr>
            <w:r>
              <w:rPr>
                <w:b/>
                <w:noProof/>
                <w:color w:val="000000"/>
                <w:sz w:val="15"/>
              </w:rPr>
              <w:t>74 884 983</w:t>
            </w:r>
          </w:p>
        </w:tc>
      </w:tr>
      <w:tr>
        <w:trPr>
          <w:trHeight w:val="240"/>
        </w:trPr>
        <w:tc>
          <w:tcPr>
            <w:tcW w:w="1550" w:type="dxa"/>
            <w:tcBorders>
              <w:top w:val="nil"/>
              <w:left w:val="single" w:sz="8" w:space="0" w:color="auto"/>
              <w:bottom w:val="single" w:sz="8" w:space="0" w:color="auto"/>
              <w:right w:val="single" w:sz="8" w:space="0" w:color="auto"/>
            </w:tcBorders>
            <w:shd w:val="clear" w:color="000000" w:fill="EEECE1"/>
            <w:vAlign w:val="center"/>
            <w:hideMark/>
          </w:tcPr>
          <w:p>
            <w:pPr>
              <w:spacing w:before="0" w:after="0"/>
              <w:ind w:firstLineChars="100" w:firstLine="150"/>
              <w:jc w:val="left"/>
              <w:rPr>
                <w:rFonts w:eastAsia="Times New Roman"/>
                <w:i/>
                <w:iCs/>
                <w:noProof/>
                <w:color w:val="000000"/>
                <w:sz w:val="15"/>
                <w:szCs w:val="15"/>
              </w:rPr>
            </w:pPr>
            <w:r>
              <w:rPr>
                <w:i/>
                <w:noProof/>
                <w:color w:val="000000"/>
                <w:sz w:val="15"/>
              </w:rPr>
              <w:t>(catastrofă regională)</w:t>
            </w:r>
          </w:p>
        </w:tc>
        <w:tc>
          <w:tcPr>
            <w:tcW w:w="103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eastAsia="en-IE"/>
              </w:rPr>
            </w:pPr>
          </w:p>
        </w:tc>
        <w:tc>
          <w:tcPr>
            <w:tcW w:w="1405"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5"/>
                <w:szCs w:val="15"/>
                <w:lang w:eastAsia="en-IE"/>
              </w:rPr>
            </w:pPr>
          </w:p>
        </w:tc>
        <w:tc>
          <w:tcPr>
            <w:tcW w:w="1035"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5"/>
                <w:szCs w:val="15"/>
                <w:lang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5"/>
                <w:szCs w:val="15"/>
                <w:lang w:eastAsia="en-IE"/>
              </w:rPr>
            </w:pPr>
          </w:p>
        </w:tc>
      </w:tr>
      <w:tr>
        <w:trPr>
          <w:trHeight w:val="240"/>
        </w:trPr>
        <w:tc>
          <w:tcPr>
            <w:tcW w:w="1550" w:type="dxa"/>
            <w:tcBorders>
              <w:top w:val="nil"/>
              <w:left w:val="single" w:sz="8" w:space="0" w:color="auto"/>
              <w:bottom w:val="nil"/>
              <w:right w:val="single" w:sz="8" w:space="0" w:color="auto"/>
            </w:tcBorders>
            <w:shd w:val="clear" w:color="000000" w:fill="EEECE1"/>
            <w:vAlign w:val="center"/>
            <w:hideMark/>
          </w:tcPr>
          <w:p>
            <w:pPr>
              <w:spacing w:before="0" w:after="0"/>
              <w:ind w:firstLineChars="100" w:firstLine="150"/>
              <w:jc w:val="left"/>
              <w:rPr>
                <w:rFonts w:eastAsia="Times New Roman"/>
                <w:b/>
                <w:bCs/>
                <w:noProof/>
                <w:color w:val="000000"/>
                <w:sz w:val="15"/>
                <w:szCs w:val="15"/>
              </w:rPr>
            </w:pPr>
            <w:r>
              <w:rPr>
                <w:b/>
                <w:noProof/>
                <w:color w:val="000000"/>
                <w:sz w:val="15"/>
              </w:rPr>
              <w:t xml:space="preserve">Portugalia – furtună </w:t>
            </w:r>
          </w:p>
        </w:tc>
        <w:tc>
          <w:tcPr>
            <w:tcW w:w="103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rPr>
            </w:pPr>
            <w:r>
              <w:rPr>
                <w:noProof/>
                <w:color w:val="000000"/>
                <w:sz w:val="15"/>
              </w:rPr>
              <w:t>5 351 969 000</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rPr>
            </w:pPr>
            <w:r>
              <w:rPr>
                <w:noProof/>
                <w:color w:val="000000"/>
                <w:sz w:val="15"/>
              </w:rPr>
              <w:t>1 703 838 000</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rPr>
            </w:pPr>
            <w:r>
              <w:rPr>
                <w:noProof/>
                <w:color w:val="000000"/>
                <w:sz w:val="15"/>
              </w:rPr>
              <w:t>42 595 950</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rPr>
            </w:pPr>
            <w:r>
              <w:rPr>
                <w:noProof/>
                <w:color w:val="000000"/>
                <w:sz w:val="15"/>
              </w:rPr>
              <w:t>218 887 860</w:t>
            </w:r>
          </w:p>
        </w:tc>
        <w:tc>
          <w:tcPr>
            <w:tcW w:w="1405"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5"/>
                <w:szCs w:val="15"/>
              </w:rPr>
            </w:pPr>
            <w:r>
              <w:rPr>
                <w:b/>
                <w:noProof/>
                <w:color w:val="000000"/>
                <w:sz w:val="15"/>
              </w:rPr>
              <w:t>261 483 810</w:t>
            </w:r>
          </w:p>
        </w:tc>
        <w:tc>
          <w:tcPr>
            <w:tcW w:w="1035"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5"/>
                <w:szCs w:val="15"/>
              </w:rPr>
            </w:pPr>
            <w:r>
              <w:rPr>
                <w:b/>
                <w:noProof/>
                <w:color w:val="000000"/>
                <w:sz w:val="15"/>
              </w:rPr>
              <w:t>65 370 952</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5"/>
                <w:szCs w:val="15"/>
              </w:rPr>
            </w:pPr>
            <w:r>
              <w:rPr>
                <w:b/>
                <w:noProof/>
                <w:color w:val="000000"/>
                <w:sz w:val="15"/>
              </w:rPr>
              <w:t>196 112 858</w:t>
            </w:r>
          </w:p>
        </w:tc>
      </w:tr>
      <w:tr>
        <w:trPr>
          <w:trHeight w:val="240"/>
        </w:trPr>
        <w:tc>
          <w:tcPr>
            <w:tcW w:w="1550" w:type="dxa"/>
            <w:tcBorders>
              <w:top w:val="nil"/>
              <w:left w:val="single" w:sz="8" w:space="0" w:color="auto"/>
              <w:bottom w:val="single" w:sz="8" w:space="0" w:color="auto"/>
              <w:right w:val="single" w:sz="8" w:space="0" w:color="auto"/>
            </w:tcBorders>
            <w:shd w:val="clear" w:color="000000" w:fill="EEECE1"/>
            <w:vAlign w:val="center"/>
            <w:hideMark/>
          </w:tcPr>
          <w:p>
            <w:pPr>
              <w:spacing w:before="0" w:after="0"/>
              <w:ind w:firstLineChars="100" w:firstLine="150"/>
              <w:jc w:val="left"/>
              <w:rPr>
                <w:rFonts w:eastAsia="Times New Roman"/>
                <w:i/>
                <w:iCs/>
                <w:noProof/>
                <w:color w:val="000000"/>
                <w:sz w:val="15"/>
                <w:szCs w:val="15"/>
              </w:rPr>
            </w:pPr>
            <w:r>
              <w:rPr>
                <w:i/>
                <w:noProof/>
                <w:color w:val="000000"/>
                <w:sz w:val="15"/>
              </w:rPr>
              <w:t>(catastrofă majoră)</w:t>
            </w:r>
          </w:p>
        </w:tc>
        <w:tc>
          <w:tcPr>
            <w:tcW w:w="103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eastAsia="en-IE"/>
              </w:rPr>
            </w:pPr>
          </w:p>
        </w:tc>
        <w:tc>
          <w:tcPr>
            <w:tcW w:w="1405"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5"/>
                <w:szCs w:val="15"/>
                <w:lang w:eastAsia="en-IE"/>
              </w:rPr>
            </w:pPr>
          </w:p>
        </w:tc>
        <w:tc>
          <w:tcPr>
            <w:tcW w:w="1035"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5"/>
                <w:szCs w:val="15"/>
                <w:lang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5"/>
                <w:szCs w:val="15"/>
                <w:lang w:eastAsia="en-IE"/>
              </w:rPr>
            </w:pPr>
          </w:p>
        </w:tc>
      </w:tr>
      <w:tr>
        <w:trPr>
          <w:trHeight w:val="240"/>
        </w:trPr>
        <w:tc>
          <w:tcPr>
            <w:tcW w:w="1550" w:type="dxa"/>
            <w:tcBorders>
              <w:top w:val="nil"/>
              <w:left w:val="single" w:sz="8" w:space="0" w:color="auto"/>
              <w:bottom w:val="nil"/>
              <w:right w:val="single" w:sz="8" w:space="0" w:color="auto"/>
            </w:tcBorders>
            <w:shd w:val="clear" w:color="000000" w:fill="EEECE1"/>
            <w:vAlign w:val="center"/>
            <w:hideMark/>
          </w:tcPr>
          <w:p>
            <w:pPr>
              <w:spacing w:before="0" w:after="0"/>
              <w:ind w:firstLineChars="100" w:firstLine="150"/>
              <w:jc w:val="left"/>
              <w:rPr>
                <w:rFonts w:eastAsia="Times New Roman"/>
                <w:b/>
                <w:bCs/>
                <w:noProof/>
                <w:color w:val="000000"/>
                <w:sz w:val="15"/>
                <w:szCs w:val="15"/>
              </w:rPr>
            </w:pPr>
            <w:r>
              <w:rPr>
                <w:b/>
                <w:noProof/>
                <w:color w:val="000000"/>
                <w:sz w:val="15"/>
              </w:rPr>
              <w:t>Spania – furtună</w:t>
            </w:r>
          </w:p>
        </w:tc>
        <w:tc>
          <w:tcPr>
            <w:tcW w:w="103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rPr>
            </w:pPr>
            <w:r>
              <w:rPr>
                <w:noProof/>
                <w:color w:val="000000"/>
                <w:sz w:val="15"/>
              </w:rPr>
              <w:t>4 839 525 763</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rPr>
            </w:pPr>
            <w:r>
              <w:rPr>
                <w:noProof/>
                <w:color w:val="000000"/>
                <w:sz w:val="15"/>
              </w:rPr>
              <w:t>4 037 605 000</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rPr>
            </w:pPr>
            <w:r>
              <w:rPr>
                <w:noProof/>
                <w:color w:val="000000"/>
                <w:sz w:val="15"/>
              </w:rPr>
              <w:t>100 940 125</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rPr>
            </w:pPr>
            <w:r>
              <w:rPr>
                <w:noProof/>
                <w:color w:val="000000"/>
                <w:sz w:val="15"/>
              </w:rPr>
              <w:t>48 115 245</w:t>
            </w:r>
          </w:p>
        </w:tc>
        <w:tc>
          <w:tcPr>
            <w:tcW w:w="1405"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5"/>
                <w:szCs w:val="15"/>
              </w:rPr>
            </w:pPr>
            <w:r>
              <w:rPr>
                <w:b/>
                <w:noProof/>
                <w:color w:val="000000"/>
                <w:sz w:val="15"/>
              </w:rPr>
              <w:t>149 055 370</w:t>
            </w:r>
          </w:p>
        </w:tc>
        <w:tc>
          <w:tcPr>
            <w:tcW w:w="1035"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5"/>
                <w:szCs w:val="15"/>
              </w:rPr>
            </w:pPr>
            <w:r>
              <w:rPr>
                <w:b/>
                <w:noProof/>
                <w:color w:val="000000"/>
                <w:sz w:val="15"/>
              </w:rPr>
              <w:t>37 263 842</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5"/>
                <w:szCs w:val="15"/>
              </w:rPr>
            </w:pPr>
            <w:r>
              <w:rPr>
                <w:b/>
                <w:noProof/>
                <w:color w:val="000000"/>
                <w:sz w:val="15"/>
              </w:rPr>
              <w:t>111 791 528</w:t>
            </w:r>
          </w:p>
        </w:tc>
      </w:tr>
      <w:tr>
        <w:trPr>
          <w:trHeight w:val="240"/>
        </w:trPr>
        <w:tc>
          <w:tcPr>
            <w:tcW w:w="1550" w:type="dxa"/>
            <w:tcBorders>
              <w:top w:val="nil"/>
              <w:left w:val="single" w:sz="8" w:space="0" w:color="auto"/>
              <w:bottom w:val="single" w:sz="8" w:space="0" w:color="auto"/>
              <w:right w:val="single" w:sz="8" w:space="0" w:color="auto"/>
            </w:tcBorders>
            <w:shd w:val="clear" w:color="000000" w:fill="EEECE1"/>
            <w:vAlign w:val="center"/>
            <w:hideMark/>
          </w:tcPr>
          <w:p>
            <w:pPr>
              <w:spacing w:before="0" w:after="0"/>
              <w:ind w:firstLineChars="100" w:firstLine="150"/>
              <w:jc w:val="left"/>
              <w:rPr>
                <w:rFonts w:eastAsia="Times New Roman"/>
                <w:i/>
                <w:iCs/>
                <w:noProof/>
                <w:color w:val="000000"/>
                <w:sz w:val="15"/>
                <w:szCs w:val="15"/>
              </w:rPr>
            </w:pPr>
            <w:r>
              <w:rPr>
                <w:i/>
                <w:noProof/>
                <w:color w:val="000000"/>
                <w:sz w:val="15"/>
              </w:rPr>
              <w:t>(catastrofă majoră)</w:t>
            </w:r>
          </w:p>
        </w:tc>
        <w:tc>
          <w:tcPr>
            <w:tcW w:w="103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eastAsia="en-IE"/>
              </w:rPr>
            </w:pPr>
          </w:p>
        </w:tc>
        <w:tc>
          <w:tcPr>
            <w:tcW w:w="1405"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5"/>
                <w:szCs w:val="15"/>
                <w:lang w:eastAsia="en-IE"/>
              </w:rPr>
            </w:pPr>
          </w:p>
        </w:tc>
        <w:tc>
          <w:tcPr>
            <w:tcW w:w="1035"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5"/>
                <w:szCs w:val="15"/>
                <w:lang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5"/>
                <w:szCs w:val="15"/>
                <w:lang w:eastAsia="en-IE"/>
              </w:rPr>
            </w:pPr>
          </w:p>
        </w:tc>
      </w:tr>
      <w:tr>
        <w:trPr>
          <w:trHeight w:val="300"/>
        </w:trPr>
        <w:tc>
          <w:tcPr>
            <w:tcW w:w="6240" w:type="dxa"/>
            <w:gridSpan w:val="5"/>
            <w:tcBorders>
              <w:top w:val="single" w:sz="8" w:space="0" w:color="auto"/>
              <w:left w:val="single" w:sz="8" w:space="0" w:color="auto"/>
              <w:bottom w:val="single" w:sz="8" w:space="0" w:color="auto"/>
              <w:right w:val="single" w:sz="8" w:space="0" w:color="000000"/>
            </w:tcBorders>
            <w:shd w:val="clear" w:color="000000" w:fill="EEECE1"/>
            <w:vAlign w:val="center"/>
            <w:hideMark/>
          </w:tcPr>
          <w:p>
            <w:pPr>
              <w:spacing w:before="0" w:after="0"/>
              <w:ind w:firstLineChars="200" w:firstLine="320"/>
              <w:jc w:val="right"/>
              <w:rPr>
                <w:rFonts w:eastAsia="Times New Roman"/>
                <w:b/>
                <w:bCs/>
                <w:noProof/>
                <w:color w:val="000000"/>
                <w:sz w:val="16"/>
                <w:szCs w:val="16"/>
              </w:rPr>
            </w:pPr>
            <w:r>
              <w:rPr>
                <w:b/>
                <w:noProof/>
                <w:color w:val="000000"/>
                <w:sz w:val="16"/>
              </w:rPr>
              <w:t>TOTAL</w:t>
            </w:r>
          </w:p>
        </w:tc>
        <w:tc>
          <w:tcPr>
            <w:tcW w:w="1405" w:type="dxa"/>
            <w:tcBorders>
              <w:top w:val="nil"/>
              <w:left w:val="nil"/>
              <w:bottom w:val="single" w:sz="8" w:space="0" w:color="auto"/>
              <w:right w:val="single" w:sz="8" w:space="0" w:color="auto"/>
            </w:tcBorders>
            <w:shd w:val="clear" w:color="000000" w:fill="EEECE1"/>
            <w:vAlign w:val="center"/>
            <w:hideMark/>
          </w:tcPr>
          <w:p>
            <w:pPr>
              <w:spacing w:before="0" w:after="0"/>
              <w:jc w:val="center"/>
              <w:rPr>
                <w:rFonts w:eastAsia="Times New Roman"/>
                <w:b/>
                <w:bCs/>
                <w:noProof/>
                <w:color w:val="000000"/>
                <w:sz w:val="16"/>
                <w:szCs w:val="16"/>
              </w:rPr>
            </w:pPr>
            <w:r>
              <w:rPr>
                <w:b/>
                <w:noProof/>
                <w:color w:val="000000"/>
                <w:sz w:val="16"/>
              </w:rPr>
              <w:t>489 148 220</w:t>
            </w:r>
          </w:p>
        </w:tc>
        <w:tc>
          <w:tcPr>
            <w:tcW w:w="1035" w:type="dxa"/>
            <w:tcBorders>
              <w:top w:val="nil"/>
              <w:left w:val="nil"/>
              <w:bottom w:val="single" w:sz="8" w:space="0" w:color="auto"/>
              <w:right w:val="single" w:sz="8" w:space="0" w:color="auto"/>
            </w:tcBorders>
            <w:shd w:val="clear" w:color="000000" w:fill="EEECE1"/>
            <w:vAlign w:val="center"/>
            <w:hideMark/>
          </w:tcPr>
          <w:p>
            <w:pPr>
              <w:spacing w:before="0" w:after="0"/>
              <w:jc w:val="center"/>
              <w:rPr>
                <w:rFonts w:eastAsia="Times New Roman"/>
                <w:b/>
                <w:bCs/>
                <w:noProof/>
                <w:color w:val="000000"/>
                <w:sz w:val="16"/>
                <w:szCs w:val="16"/>
              </w:rPr>
            </w:pPr>
            <w:r>
              <w:rPr>
                <w:b/>
                <w:noProof/>
                <w:color w:val="000000"/>
                <w:sz w:val="16"/>
              </w:rPr>
              <w:t>103 565 808</w:t>
            </w:r>
          </w:p>
        </w:tc>
        <w:tc>
          <w:tcPr>
            <w:tcW w:w="1220" w:type="dxa"/>
            <w:tcBorders>
              <w:top w:val="nil"/>
              <w:left w:val="nil"/>
              <w:bottom w:val="single" w:sz="8" w:space="0" w:color="auto"/>
              <w:right w:val="single" w:sz="8" w:space="0" w:color="auto"/>
            </w:tcBorders>
            <w:shd w:val="clear" w:color="000000" w:fill="EEECE1"/>
            <w:vAlign w:val="center"/>
            <w:hideMark/>
          </w:tcPr>
          <w:p>
            <w:pPr>
              <w:spacing w:before="0" w:after="0"/>
              <w:jc w:val="center"/>
              <w:rPr>
                <w:rFonts w:eastAsia="Times New Roman"/>
                <w:b/>
                <w:bCs/>
                <w:noProof/>
                <w:color w:val="000000"/>
                <w:sz w:val="16"/>
                <w:szCs w:val="16"/>
              </w:rPr>
            </w:pPr>
            <w:r>
              <w:rPr>
                <w:b/>
                <w:noProof/>
                <w:color w:val="000000"/>
                <w:sz w:val="16"/>
              </w:rPr>
              <w:t>385 582 412</w:t>
            </w:r>
          </w:p>
        </w:tc>
      </w:tr>
    </w:tbl>
    <w:p>
      <w:pPr>
        <w:rPr>
          <w:noProof/>
        </w:rPr>
      </w:pPr>
      <w:r>
        <w:rPr>
          <w:noProof/>
        </w:rPr>
        <w:t>În temeiul Regulamentului (UE, Euratom) 2020/2093 al Consiliului din 17 decembrie 2020 de stabilire a cadrului financiar multianual pentru perioada 2021-2027</w:t>
      </w:r>
      <w:r>
        <w:rPr>
          <w:rStyle w:val="FootnoteReference"/>
          <w:noProof/>
        </w:rPr>
        <w:footnoteReference w:id="3"/>
      </w:r>
      <w:r>
        <w:rPr>
          <w:noProof/>
        </w:rPr>
        <w:t xml:space="preserve"> (denumit în continuare „Regulamentul privind CFM”), Rezerva pentru solidaritate și ajutoare de urgență (SEAR) este constituită din două instrumente: Rezerva pentru solidaritate europeană și Rezerva pentru ajutoare de urgență.</w:t>
      </w:r>
    </w:p>
    <w:p>
      <w:pPr>
        <w:rPr>
          <w:noProof/>
        </w:rPr>
      </w:pPr>
      <w:r>
        <w:rPr>
          <w:noProof/>
        </w:rPr>
        <w:t>Rezerva pentru solidaritate europeană, cu o valoare anuală de 1 016 milioane EUR la prețurile din 2018 (reprezentând 1 190,4 milioane EUR la prețurile din 2026), va fi utilizată pentru acordarea de asistență în situațiile de urgență care intră sub incidența FSUE. Punctul 10 din Acordul interinstituțional din 16 decembrie 2020 între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Pr>
          <w:rStyle w:val="FootnoteReference"/>
          <w:noProof/>
        </w:rPr>
        <w:footnoteReference w:id="4"/>
      </w:r>
      <w:r>
        <w:rPr>
          <w:noProof/>
        </w:rPr>
        <w:t>, stabilește modalitățile de mobilizare a FSUE în contextul SEAR.</w:t>
      </w:r>
    </w:p>
    <w:p>
      <w:pPr>
        <w:rPr>
          <w:noProof/>
        </w:rPr>
      </w:pPr>
      <w:r>
        <w:rPr>
          <w:noProof/>
        </w:rPr>
        <w:t>Pentru a se evita o epuizare timpurie a alocării anuale, articolul 3 alineatul (7) din Regulamentul privind FSUE și articolul 9 alineatul (2) al doilea paragraf din Regulamentul privind CFM prevăd că un procent de 25 % din alocarea anuală din FSUE trebuie să rămână disponibil la data de 1 octombrie a fiecărui an (rezerva pentru sfârșitul anului). În 2026, acest cuantum corespunde sumei de 297,6 milioane EUR.</w:t>
      </w:r>
    </w:p>
    <w:p>
      <w:pPr>
        <w:rPr>
          <w:noProof/>
        </w:rPr>
      </w:pPr>
      <w:r>
        <w:rPr>
          <w:noProof/>
        </w:rPr>
        <w:t>În conformitate cu articolul 9 alineatul (2) primul paragraf din Regulamentul privind CFM, orice parte din cuantumul anual care nu a fost utilizată într-un an n dat poate fi utilizată în anul n+1. Suma de 21,3 milioane EUR s-a reportat din 2025 în 2026.</w:t>
      </w:r>
    </w:p>
    <w:p>
      <w:pPr>
        <w:rPr>
          <w:rFonts w:eastAsia="Times New Roman"/>
          <w:noProof/>
        </w:rPr>
      </w:pPr>
      <w:r>
        <w:rPr>
          <w:noProof/>
        </w:rPr>
        <w:t>Mai mult, în conformitate cu articolul 4a alineatul (4) din Regulamentul privind FSUE, în bugetul general pentru 2026 a fost deja înscris cuantumul de 50 de milioane EUR (sub formă de angajamente și plăți) pentru eventualele plăți în avans. În 2026, Comisia a efectuat deja patru plăți în avans, în valoare totală de 133,7 milioane EUR: Spaniei în ceea ce privește incendiile forestiere din 2025, Maltei în ceea ce privește furtuna Harry din ianuarie 2026, precum și Portugaliei și Spaniei în ceea ce privește furtunile din ianuarie și februarie 2026.</w:t>
      </w:r>
    </w:p>
    <w:p>
      <w:pPr>
        <w:rPr>
          <w:rFonts w:eastAsia="Yu Mincho"/>
          <w:noProof/>
          <w:szCs w:val="24"/>
        </w:rPr>
      </w:pPr>
      <w:r>
        <w:rPr>
          <w:noProof/>
        </w:rPr>
        <w:t>În cele din urmă, în conformitate cu Decizia (UE) 2026/1809 a Parlamentului European și a Consiliului din 8 iulie 2026</w:t>
      </w:r>
      <w:r>
        <w:rPr>
          <w:rStyle w:val="FootnoteReference"/>
          <w:rFonts w:eastAsia="Yu Mincho"/>
          <w:noProof/>
          <w:lang w:eastAsia="en-GB"/>
        </w:rPr>
        <w:footnoteReference w:id="5"/>
      </w:r>
      <w:r>
        <w:rPr>
          <w:noProof/>
        </w:rPr>
        <w:t xml:space="preserve">, FSUE va oferi asistență României în ceea ce privește inundațiile de la sfârșitul lunii mai 2025, Ciprului ca urmare a incendiilor forestiere din iulie 2025 și Spaniei ca urmare a incendiilor forestiere din august 2025, în valoare totală de 144,1 milioane EUR, din care soldul care trebuie plătit se ridică la 111,6 milioane EUR. </w:t>
      </w:r>
    </w:p>
    <w:p>
      <w:pPr>
        <w:rPr>
          <w:noProof/>
        </w:rPr>
      </w:pPr>
      <w:r>
        <w:rPr>
          <w:noProof/>
        </w:rPr>
        <w:t>În concluzie, cuantumul total disponibil anterior datei de 1 octombrie este de 628,1 milioane EUR (excluzând cuantumul disponibil pentru plățile în avans și rezerva pentru sfârșitul anului), ceea ce este suficient pentru a acoperi cuantumul propus pentru mobilizare.</w:t>
      </w:r>
    </w:p>
    <w:tbl>
      <w:tblPr>
        <w:tblW w:w="9289" w:type="dxa"/>
        <w:tblLook w:val="04A0" w:firstRow="1" w:lastRow="0" w:firstColumn="1" w:lastColumn="0" w:noHBand="0" w:noVBand="1"/>
      </w:tblPr>
      <w:tblGrid>
        <w:gridCol w:w="7276"/>
        <w:gridCol w:w="2013"/>
      </w:tblGrid>
      <w:tr>
        <w:trPr>
          <w:trHeight w:val="361"/>
        </w:trPr>
        <w:tc>
          <w:tcPr>
            <w:tcW w:w="7276" w:type="dxa"/>
            <w:tcBorders>
              <w:top w:val="single" w:sz="8" w:space="0" w:color="auto"/>
              <w:left w:val="single" w:sz="8" w:space="0" w:color="auto"/>
              <w:bottom w:val="single" w:sz="8" w:space="0" w:color="auto"/>
              <w:right w:val="nil"/>
            </w:tcBorders>
            <w:shd w:val="clear" w:color="000000" w:fill="E7E6E6"/>
            <w:vAlign w:val="center"/>
            <w:hideMark/>
          </w:tcPr>
          <w:p>
            <w:pPr>
              <w:spacing w:before="0" w:after="0"/>
              <w:ind w:firstLineChars="100" w:firstLine="180"/>
              <w:jc w:val="left"/>
              <w:rPr>
                <w:rFonts w:eastAsia="Times New Roman"/>
                <w:b/>
                <w:bCs/>
                <w:noProof/>
                <w:color w:val="000000"/>
                <w:sz w:val="18"/>
                <w:szCs w:val="18"/>
              </w:rPr>
            </w:pPr>
            <w:bookmarkStart w:id="4" w:name="RANGE!A26"/>
            <w:r>
              <w:rPr>
                <w:b/>
                <w:noProof/>
                <w:color w:val="000000"/>
                <w:sz w:val="18"/>
              </w:rPr>
              <w:t>Resurse FSUE disponibile în 2026 (EUR)</w:t>
            </w:r>
            <w:bookmarkEnd w:id="4"/>
          </w:p>
        </w:tc>
        <w:tc>
          <w:tcPr>
            <w:tcW w:w="2013" w:type="dxa"/>
            <w:tcBorders>
              <w:top w:val="single" w:sz="8" w:space="0" w:color="auto"/>
              <w:left w:val="nil"/>
              <w:bottom w:val="single" w:sz="8" w:space="0" w:color="auto"/>
              <w:right w:val="single" w:sz="8" w:space="0" w:color="auto"/>
            </w:tcBorders>
            <w:shd w:val="clear" w:color="000000" w:fill="E7E6E6"/>
            <w:vAlign w:val="center"/>
            <w:hideMark/>
          </w:tcPr>
          <w:p>
            <w:pPr>
              <w:spacing w:before="0" w:after="0"/>
              <w:jc w:val="left"/>
              <w:rPr>
                <w:rFonts w:eastAsia="Times New Roman"/>
                <w:noProof/>
                <w:color w:val="000000"/>
                <w:sz w:val="18"/>
                <w:szCs w:val="18"/>
              </w:rPr>
            </w:pPr>
            <w:r>
              <w:rPr>
                <w:noProof/>
                <w:color w:val="000000"/>
                <w:sz w:val="18"/>
              </w:rPr>
              <w:t xml:space="preserve"> </w:t>
            </w:r>
          </w:p>
        </w:tc>
      </w:tr>
      <w:tr>
        <w:trPr>
          <w:trHeight w:val="361"/>
        </w:trPr>
        <w:tc>
          <w:tcPr>
            <w:tcW w:w="7276" w:type="dxa"/>
            <w:tcBorders>
              <w:top w:val="nil"/>
              <w:left w:val="single" w:sz="8" w:space="0" w:color="auto"/>
              <w:bottom w:val="single" w:sz="8" w:space="0" w:color="auto"/>
              <w:right w:val="single" w:sz="8" w:space="0" w:color="auto"/>
            </w:tcBorders>
            <w:noWrap/>
            <w:vAlign w:val="center"/>
            <w:hideMark/>
          </w:tcPr>
          <w:p>
            <w:pPr>
              <w:spacing w:before="0" w:after="0"/>
              <w:ind w:firstLineChars="100" w:firstLine="180"/>
              <w:jc w:val="left"/>
              <w:rPr>
                <w:rFonts w:eastAsia="Times New Roman"/>
                <w:noProof/>
                <w:color w:val="000000"/>
                <w:sz w:val="18"/>
                <w:szCs w:val="18"/>
              </w:rPr>
            </w:pPr>
            <w:r>
              <w:rPr>
                <w:noProof/>
                <w:color w:val="000000"/>
                <w:sz w:val="18"/>
              </w:rPr>
              <w:t>Alocarea anuală totală pentru 2026 </w:t>
            </w:r>
          </w:p>
        </w:tc>
        <w:tc>
          <w:tcPr>
            <w:tcW w:w="2013" w:type="dxa"/>
            <w:tcBorders>
              <w:top w:val="nil"/>
              <w:left w:val="nil"/>
              <w:bottom w:val="single" w:sz="8" w:space="0" w:color="auto"/>
              <w:right w:val="single" w:sz="8" w:space="0" w:color="auto"/>
            </w:tcBorders>
            <w:vAlign w:val="center"/>
            <w:hideMark/>
          </w:tcPr>
          <w:p>
            <w:pPr>
              <w:spacing w:before="0" w:after="0"/>
              <w:ind w:firstLineChars="100" w:firstLine="180"/>
              <w:jc w:val="right"/>
              <w:rPr>
                <w:rFonts w:eastAsia="Times New Roman"/>
                <w:noProof/>
                <w:color w:val="000000"/>
                <w:sz w:val="18"/>
                <w:szCs w:val="18"/>
              </w:rPr>
            </w:pPr>
            <w:r>
              <w:rPr>
                <w:noProof/>
                <w:color w:val="000000"/>
                <w:sz w:val="18"/>
              </w:rPr>
              <w:t>1 190 405 931</w:t>
            </w:r>
          </w:p>
        </w:tc>
      </w:tr>
      <w:tr>
        <w:trPr>
          <w:trHeight w:val="361"/>
        </w:trPr>
        <w:tc>
          <w:tcPr>
            <w:tcW w:w="7276" w:type="dxa"/>
            <w:tcBorders>
              <w:top w:val="nil"/>
              <w:left w:val="single" w:sz="8" w:space="0" w:color="auto"/>
              <w:bottom w:val="single" w:sz="8" w:space="0" w:color="auto"/>
              <w:right w:val="single" w:sz="8" w:space="0" w:color="auto"/>
            </w:tcBorders>
            <w:vAlign w:val="center"/>
            <w:hideMark/>
          </w:tcPr>
          <w:p>
            <w:pPr>
              <w:spacing w:before="0" w:after="0"/>
              <w:ind w:firstLineChars="100" w:firstLine="180"/>
              <w:jc w:val="left"/>
              <w:rPr>
                <w:rFonts w:eastAsia="Times New Roman"/>
                <w:noProof/>
                <w:color w:val="000000"/>
                <w:sz w:val="18"/>
                <w:szCs w:val="18"/>
              </w:rPr>
            </w:pPr>
            <w:r>
              <w:rPr>
                <w:noProof/>
                <w:color w:val="000000"/>
                <w:sz w:val="18"/>
              </w:rPr>
              <w:t>Cuantumul reportat din 2025, inclusiv plățile în avans neutilizate (+)</w:t>
            </w:r>
          </w:p>
        </w:tc>
        <w:tc>
          <w:tcPr>
            <w:tcW w:w="2013" w:type="dxa"/>
            <w:tcBorders>
              <w:top w:val="nil"/>
              <w:left w:val="nil"/>
              <w:bottom w:val="single" w:sz="8" w:space="0" w:color="auto"/>
              <w:right w:val="single" w:sz="8" w:space="0" w:color="auto"/>
            </w:tcBorders>
            <w:vAlign w:val="center"/>
            <w:hideMark/>
          </w:tcPr>
          <w:p>
            <w:pPr>
              <w:spacing w:before="0" w:after="0"/>
              <w:ind w:firstLineChars="100" w:firstLine="180"/>
              <w:jc w:val="right"/>
              <w:rPr>
                <w:rFonts w:eastAsia="Times New Roman"/>
                <w:noProof/>
                <w:color w:val="000000"/>
                <w:sz w:val="18"/>
                <w:szCs w:val="18"/>
              </w:rPr>
            </w:pPr>
            <w:r>
              <w:rPr>
                <w:noProof/>
                <w:color w:val="000000"/>
                <w:sz w:val="18"/>
              </w:rPr>
              <w:t>21 304 355</w:t>
            </w:r>
          </w:p>
        </w:tc>
      </w:tr>
      <w:tr>
        <w:trPr>
          <w:trHeight w:val="361"/>
        </w:trPr>
        <w:tc>
          <w:tcPr>
            <w:tcW w:w="7276" w:type="dxa"/>
            <w:tcBorders>
              <w:top w:val="nil"/>
              <w:left w:val="single" w:sz="8" w:space="0" w:color="auto"/>
              <w:bottom w:val="single" w:sz="8" w:space="0" w:color="auto"/>
              <w:right w:val="single" w:sz="8" w:space="0" w:color="000000"/>
            </w:tcBorders>
            <w:shd w:val="clear" w:color="000000" w:fill="FFFFFF"/>
            <w:noWrap/>
            <w:vAlign w:val="center"/>
            <w:hideMark/>
          </w:tcPr>
          <w:p>
            <w:pPr>
              <w:spacing w:before="0" w:after="0"/>
              <w:ind w:firstLineChars="100" w:firstLine="180"/>
              <w:jc w:val="left"/>
              <w:rPr>
                <w:rFonts w:eastAsia="Times New Roman"/>
                <w:noProof/>
                <w:color w:val="000000"/>
                <w:sz w:val="18"/>
                <w:szCs w:val="18"/>
              </w:rPr>
            </w:pPr>
            <w:r>
              <w:rPr>
                <w:noProof/>
                <w:color w:val="000000"/>
                <w:sz w:val="18"/>
              </w:rPr>
              <w:t>Cuantumul deja utilizat (-)</w:t>
            </w:r>
          </w:p>
        </w:tc>
        <w:tc>
          <w:tcPr>
            <w:tcW w:w="2013" w:type="dxa"/>
            <w:tcBorders>
              <w:top w:val="nil"/>
              <w:left w:val="nil"/>
              <w:bottom w:val="single" w:sz="8" w:space="0" w:color="auto"/>
              <w:right w:val="single" w:sz="8" w:space="0" w:color="auto"/>
            </w:tcBorders>
            <w:shd w:val="clear" w:color="000000" w:fill="FFFFFF"/>
            <w:vAlign w:val="center"/>
            <w:hideMark/>
          </w:tcPr>
          <w:p>
            <w:pPr>
              <w:spacing w:before="0" w:after="0"/>
              <w:ind w:firstLineChars="100" w:firstLine="180"/>
              <w:jc w:val="right"/>
              <w:rPr>
                <w:rFonts w:eastAsia="Times New Roman"/>
                <w:noProof/>
                <w:color w:val="000000"/>
                <w:sz w:val="18"/>
                <w:szCs w:val="18"/>
              </w:rPr>
            </w:pPr>
            <w:r>
              <w:rPr>
                <w:noProof/>
                <w:color w:val="000000"/>
                <w:sz w:val="18"/>
              </w:rPr>
              <w:t>245 348 099</w:t>
            </w:r>
          </w:p>
        </w:tc>
      </w:tr>
      <w:tr>
        <w:trPr>
          <w:trHeight w:val="361"/>
        </w:trPr>
        <w:tc>
          <w:tcPr>
            <w:tcW w:w="7276" w:type="dxa"/>
            <w:tcBorders>
              <w:top w:val="nil"/>
              <w:left w:val="single" w:sz="8" w:space="0" w:color="auto"/>
              <w:bottom w:val="single" w:sz="8" w:space="0" w:color="auto"/>
              <w:right w:val="single" w:sz="8" w:space="0" w:color="000000"/>
            </w:tcBorders>
            <w:noWrap/>
            <w:vAlign w:val="center"/>
            <w:hideMark/>
          </w:tcPr>
          <w:p>
            <w:pPr>
              <w:spacing w:before="0" w:after="0"/>
              <w:ind w:firstLineChars="100" w:firstLine="180"/>
              <w:jc w:val="left"/>
              <w:rPr>
                <w:rFonts w:eastAsia="Times New Roman"/>
                <w:b/>
                <w:bCs/>
                <w:noProof/>
                <w:color w:val="000000"/>
                <w:sz w:val="18"/>
                <w:szCs w:val="18"/>
              </w:rPr>
            </w:pPr>
            <w:r>
              <w:rPr>
                <w:b/>
                <w:noProof/>
                <w:color w:val="000000"/>
                <w:sz w:val="18"/>
              </w:rPr>
              <w:t>Cuantumul total disponibil, din care:</w:t>
            </w:r>
          </w:p>
        </w:tc>
        <w:tc>
          <w:tcPr>
            <w:tcW w:w="2013" w:type="dxa"/>
            <w:tcBorders>
              <w:top w:val="nil"/>
              <w:left w:val="nil"/>
              <w:bottom w:val="single" w:sz="8" w:space="0" w:color="auto"/>
              <w:right w:val="single" w:sz="8" w:space="0" w:color="auto"/>
            </w:tcBorders>
            <w:vAlign w:val="center"/>
            <w:hideMark/>
          </w:tcPr>
          <w:p>
            <w:pPr>
              <w:spacing w:before="0" w:after="0"/>
              <w:ind w:firstLineChars="100" w:firstLine="180"/>
              <w:jc w:val="right"/>
              <w:rPr>
                <w:rFonts w:eastAsia="Times New Roman"/>
                <w:b/>
                <w:bCs/>
                <w:noProof/>
                <w:color w:val="000000"/>
                <w:sz w:val="18"/>
                <w:szCs w:val="18"/>
              </w:rPr>
            </w:pPr>
            <w:r>
              <w:rPr>
                <w:b/>
                <w:noProof/>
                <w:color w:val="000000"/>
                <w:sz w:val="18"/>
              </w:rPr>
              <w:t>966 362 187</w:t>
            </w:r>
          </w:p>
        </w:tc>
      </w:tr>
      <w:tr>
        <w:trPr>
          <w:trHeight w:val="361"/>
        </w:trPr>
        <w:tc>
          <w:tcPr>
            <w:tcW w:w="7276" w:type="dxa"/>
            <w:tcBorders>
              <w:top w:val="nil"/>
              <w:left w:val="single" w:sz="8" w:space="0" w:color="auto"/>
              <w:bottom w:val="single" w:sz="8" w:space="0" w:color="auto"/>
              <w:right w:val="single" w:sz="8" w:space="0" w:color="000000"/>
            </w:tcBorders>
            <w:noWrap/>
            <w:vAlign w:val="center"/>
            <w:hideMark/>
          </w:tcPr>
          <w:p>
            <w:pPr>
              <w:spacing w:before="0" w:after="0"/>
              <w:ind w:firstLineChars="100" w:firstLine="180"/>
              <w:jc w:val="left"/>
              <w:rPr>
                <w:rFonts w:eastAsia="Times New Roman"/>
                <w:noProof/>
                <w:color w:val="000000"/>
                <w:sz w:val="18"/>
                <w:szCs w:val="18"/>
              </w:rPr>
            </w:pPr>
            <w:r>
              <w:rPr>
                <w:rFonts w:ascii="Symbol" w:hAnsi="Symbol"/>
                <w:noProof/>
                <w:color w:val="000000"/>
                <w:sz w:val="18"/>
              </w:rPr>
              <w:t xml:space="preserve">® </w:t>
            </w:r>
            <w:r>
              <w:rPr>
                <w:noProof/>
                <w:color w:val="000000"/>
                <w:sz w:val="18"/>
              </w:rPr>
              <w:t>Cuantumul care trebuie utilizat pentru plățile în avans</w:t>
            </w:r>
          </w:p>
        </w:tc>
        <w:tc>
          <w:tcPr>
            <w:tcW w:w="2013" w:type="dxa"/>
            <w:tcBorders>
              <w:top w:val="nil"/>
              <w:left w:val="nil"/>
              <w:bottom w:val="single" w:sz="8" w:space="0" w:color="auto"/>
              <w:right w:val="single" w:sz="8" w:space="0" w:color="auto"/>
            </w:tcBorders>
            <w:vAlign w:val="center"/>
            <w:hideMark/>
          </w:tcPr>
          <w:p>
            <w:pPr>
              <w:spacing w:before="0" w:after="0"/>
              <w:ind w:firstLineChars="100" w:firstLine="180"/>
              <w:jc w:val="right"/>
              <w:rPr>
                <w:rFonts w:eastAsia="Times New Roman"/>
                <w:noProof/>
                <w:color w:val="000000"/>
                <w:sz w:val="18"/>
                <w:szCs w:val="18"/>
              </w:rPr>
            </w:pPr>
            <w:r>
              <w:rPr>
                <w:noProof/>
                <w:color w:val="000000"/>
                <w:sz w:val="18"/>
              </w:rPr>
              <w:t>40 647 932</w:t>
            </w:r>
          </w:p>
        </w:tc>
      </w:tr>
      <w:tr>
        <w:trPr>
          <w:trHeight w:val="361"/>
        </w:trPr>
        <w:tc>
          <w:tcPr>
            <w:tcW w:w="7276" w:type="dxa"/>
            <w:tcBorders>
              <w:top w:val="nil"/>
              <w:left w:val="single" w:sz="8" w:space="0" w:color="auto"/>
              <w:bottom w:val="single" w:sz="8" w:space="0" w:color="auto"/>
              <w:right w:val="single" w:sz="8" w:space="0" w:color="000000"/>
            </w:tcBorders>
            <w:noWrap/>
            <w:vAlign w:val="center"/>
            <w:hideMark/>
          </w:tcPr>
          <w:p>
            <w:pPr>
              <w:spacing w:before="0" w:after="0"/>
              <w:ind w:firstLineChars="100" w:firstLine="180"/>
              <w:jc w:val="left"/>
              <w:rPr>
                <w:rFonts w:eastAsia="Times New Roman"/>
                <w:noProof/>
                <w:color w:val="000000"/>
                <w:sz w:val="18"/>
                <w:szCs w:val="18"/>
              </w:rPr>
            </w:pPr>
            <w:r>
              <w:rPr>
                <w:rFonts w:ascii="Symbol" w:hAnsi="Symbol"/>
                <w:noProof/>
                <w:color w:val="000000"/>
                <w:sz w:val="18"/>
              </w:rPr>
              <w:t>®</w:t>
            </w:r>
            <w:r>
              <w:rPr>
                <w:noProof/>
                <w:color w:val="000000"/>
                <w:sz w:val="18"/>
              </w:rPr>
              <w:t xml:space="preserve"> Rezerva pentru sfârșitul anului, disponibilă după 1 octombrie</w:t>
            </w:r>
          </w:p>
        </w:tc>
        <w:tc>
          <w:tcPr>
            <w:tcW w:w="2013" w:type="dxa"/>
            <w:tcBorders>
              <w:top w:val="nil"/>
              <w:left w:val="nil"/>
              <w:bottom w:val="single" w:sz="8" w:space="0" w:color="auto"/>
              <w:right w:val="single" w:sz="8" w:space="0" w:color="auto"/>
            </w:tcBorders>
            <w:vAlign w:val="center"/>
            <w:hideMark/>
          </w:tcPr>
          <w:p>
            <w:pPr>
              <w:spacing w:before="0" w:after="0"/>
              <w:ind w:firstLineChars="100" w:firstLine="180"/>
              <w:jc w:val="right"/>
              <w:rPr>
                <w:rFonts w:eastAsia="Times New Roman"/>
                <w:noProof/>
                <w:color w:val="000000"/>
                <w:sz w:val="18"/>
                <w:szCs w:val="18"/>
              </w:rPr>
            </w:pPr>
            <w:r>
              <w:rPr>
                <w:noProof/>
                <w:color w:val="000000"/>
                <w:sz w:val="18"/>
              </w:rPr>
              <w:t>297 601 483</w:t>
            </w:r>
          </w:p>
        </w:tc>
      </w:tr>
      <w:tr>
        <w:trPr>
          <w:trHeight w:val="361"/>
        </w:trPr>
        <w:tc>
          <w:tcPr>
            <w:tcW w:w="7276" w:type="dxa"/>
            <w:tcBorders>
              <w:top w:val="nil"/>
              <w:left w:val="single" w:sz="8" w:space="0" w:color="auto"/>
              <w:bottom w:val="single" w:sz="8" w:space="0" w:color="auto"/>
              <w:right w:val="single" w:sz="8" w:space="0" w:color="000000"/>
            </w:tcBorders>
            <w:noWrap/>
            <w:vAlign w:val="center"/>
            <w:hideMark/>
          </w:tcPr>
          <w:p>
            <w:pPr>
              <w:spacing w:before="0" w:after="0"/>
              <w:ind w:firstLineChars="100" w:firstLine="180"/>
              <w:jc w:val="left"/>
              <w:rPr>
                <w:rFonts w:eastAsia="Times New Roman"/>
                <w:b/>
                <w:bCs/>
                <w:noProof/>
                <w:color w:val="000000"/>
                <w:sz w:val="18"/>
                <w:szCs w:val="18"/>
              </w:rPr>
            </w:pPr>
            <w:r>
              <w:rPr>
                <w:rFonts w:ascii="Symbol" w:hAnsi="Symbol"/>
                <w:b/>
                <w:noProof/>
                <w:color w:val="000000"/>
                <w:sz w:val="18"/>
              </w:rPr>
              <w:t>®</w:t>
            </w:r>
            <w:r>
              <w:rPr>
                <w:b/>
                <w:noProof/>
                <w:color w:val="000000"/>
                <w:sz w:val="18"/>
              </w:rPr>
              <w:t xml:space="preserve"> Cuantumul disponibil înainte de 1 octombrie</w:t>
            </w:r>
          </w:p>
        </w:tc>
        <w:tc>
          <w:tcPr>
            <w:tcW w:w="2013" w:type="dxa"/>
            <w:tcBorders>
              <w:top w:val="nil"/>
              <w:left w:val="nil"/>
              <w:bottom w:val="single" w:sz="8" w:space="0" w:color="auto"/>
              <w:right w:val="single" w:sz="8" w:space="0" w:color="auto"/>
            </w:tcBorders>
            <w:shd w:val="clear" w:color="000000" w:fill="FFFFFF"/>
            <w:vAlign w:val="center"/>
            <w:hideMark/>
          </w:tcPr>
          <w:p>
            <w:pPr>
              <w:spacing w:before="0" w:after="0"/>
              <w:ind w:firstLineChars="100" w:firstLine="180"/>
              <w:jc w:val="right"/>
              <w:rPr>
                <w:rFonts w:eastAsia="Times New Roman"/>
                <w:b/>
                <w:bCs/>
                <w:noProof/>
                <w:color w:val="000000"/>
                <w:sz w:val="18"/>
                <w:szCs w:val="18"/>
              </w:rPr>
            </w:pPr>
            <w:r>
              <w:rPr>
                <w:b/>
                <w:noProof/>
                <w:color w:val="000000"/>
                <w:sz w:val="18"/>
              </w:rPr>
              <w:t>628 112 772</w:t>
            </w:r>
          </w:p>
        </w:tc>
      </w:tr>
      <w:tr>
        <w:trPr>
          <w:trHeight w:val="361"/>
        </w:trPr>
        <w:tc>
          <w:tcPr>
            <w:tcW w:w="7276" w:type="dxa"/>
            <w:tcBorders>
              <w:top w:val="nil"/>
              <w:left w:val="single" w:sz="8" w:space="0" w:color="auto"/>
              <w:bottom w:val="single" w:sz="8" w:space="0" w:color="auto"/>
              <w:right w:val="single" w:sz="8" w:space="0" w:color="000000"/>
            </w:tcBorders>
            <w:shd w:val="clear" w:color="000000" w:fill="FFFFFF"/>
            <w:noWrap/>
            <w:vAlign w:val="center"/>
            <w:hideMark/>
          </w:tcPr>
          <w:p>
            <w:pPr>
              <w:spacing w:before="0" w:after="0"/>
              <w:ind w:firstLineChars="100" w:firstLine="180"/>
              <w:jc w:val="left"/>
              <w:rPr>
                <w:rFonts w:eastAsia="Times New Roman"/>
                <w:noProof/>
                <w:color w:val="000000"/>
                <w:sz w:val="18"/>
                <w:szCs w:val="18"/>
              </w:rPr>
            </w:pPr>
            <w:r>
              <w:rPr>
                <w:noProof/>
                <w:color w:val="000000"/>
                <w:sz w:val="18"/>
              </w:rPr>
              <w:t>Suma propusă pentru a fi mobilizată, din care:</w:t>
            </w:r>
          </w:p>
        </w:tc>
        <w:tc>
          <w:tcPr>
            <w:tcW w:w="2013" w:type="dxa"/>
            <w:tcBorders>
              <w:top w:val="nil"/>
              <w:left w:val="nil"/>
              <w:bottom w:val="single" w:sz="8" w:space="0" w:color="auto"/>
              <w:right w:val="single" w:sz="8" w:space="0" w:color="auto"/>
            </w:tcBorders>
            <w:shd w:val="clear" w:color="000000" w:fill="FFFFFF"/>
            <w:vAlign w:val="center"/>
            <w:hideMark/>
          </w:tcPr>
          <w:p>
            <w:pPr>
              <w:spacing w:before="0" w:after="0"/>
              <w:ind w:firstLineChars="100" w:firstLine="180"/>
              <w:jc w:val="right"/>
              <w:rPr>
                <w:rFonts w:eastAsia="Times New Roman"/>
                <w:noProof/>
                <w:color w:val="000000"/>
                <w:sz w:val="18"/>
                <w:szCs w:val="18"/>
              </w:rPr>
            </w:pPr>
            <w:r>
              <w:rPr>
                <w:noProof/>
                <w:color w:val="000000"/>
                <w:sz w:val="18"/>
              </w:rPr>
              <w:t>489 148 220</w:t>
            </w:r>
          </w:p>
        </w:tc>
      </w:tr>
      <w:tr>
        <w:trPr>
          <w:trHeight w:val="361"/>
        </w:trPr>
        <w:tc>
          <w:tcPr>
            <w:tcW w:w="7276" w:type="dxa"/>
            <w:tcBorders>
              <w:top w:val="nil"/>
              <w:left w:val="single" w:sz="8" w:space="0" w:color="auto"/>
              <w:bottom w:val="single" w:sz="8" w:space="0" w:color="auto"/>
              <w:right w:val="single" w:sz="8" w:space="0" w:color="000000"/>
            </w:tcBorders>
            <w:noWrap/>
            <w:vAlign w:val="center"/>
            <w:hideMark/>
          </w:tcPr>
          <w:p>
            <w:pPr>
              <w:spacing w:before="0" w:after="0"/>
              <w:ind w:firstLineChars="100" w:firstLine="180"/>
              <w:jc w:val="left"/>
              <w:rPr>
                <w:rFonts w:eastAsia="Times New Roman"/>
                <w:b/>
                <w:bCs/>
                <w:noProof/>
                <w:color w:val="000000"/>
                <w:sz w:val="18"/>
                <w:szCs w:val="18"/>
              </w:rPr>
            </w:pPr>
            <w:r>
              <w:rPr>
                <w:rFonts w:ascii="Symbol" w:hAnsi="Symbol"/>
                <w:b/>
                <w:noProof/>
                <w:color w:val="000000"/>
                <w:sz w:val="18"/>
              </w:rPr>
              <w:t></w:t>
            </w:r>
            <w:r>
              <w:rPr>
                <w:b/>
                <w:noProof/>
                <w:color w:val="000000"/>
                <w:sz w:val="18"/>
              </w:rPr>
              <w:t xml:space="preserve"> Sold de plată</w:t>
            </w:r>
          </w:p>
        </w:tc>
        <w:tc>
          <w:tcPr>
            <w:tcW w:w="2013" w:type="dxa"/>
            <w:tcBorders>
              <w:top w:val="nil"/>
              <w:left w:val="nil"/>
              <w:bottom w:val="single" w:sz="8" w:space="0" w:color="auto"/>
              <w:right w:val="single" w:sz="8" w:space="0" w:color="auto"/>
            </w:tcBorders>
            <w:shd w:val="clear" w:color="000000" w:fill="FFFFFF"/>
            <w:vAlign w:val="center"/>
            <w:hideMark/>
          </w:tcPr>
          <w:p>
            <w:pPr>
              <w:spacing w:before="0" w:after="0"/>
              <w:ind w:firstLineChars="100" w:firstLine="180"/>
              <w:jc w:val="right"/>
              <w:rPr>
                <w:rFonts w:eastAsia="Times New Roman"/>
                <w:b/>
                <w:bCs/>
                <w:noProof/>
                <w:color w:val="000000"/>
                <w:sz w:val="18"/>
                <w:szCs w:val="18"/>
              </w:rPr>
            </w:pPr>
            <w:r>
              <w:rPr>
                <w:b/>
                <w:noProof/>
                <w:color w:val="000000"/>
                <w:sz w:val="18"/>
              </w:rPr>
              <w:t>385 582 412</w:t>
            </w:r>
          </w:p>
        </w:tc>
      </w:tr>
      <w:tr>
        <w:trPr>
          <w:trHeight w:val="361"/>
        </w:trPr>
        <w:tc>
          <w:tcPr>
            <w:tcW w:w="7276" w:type="dxa"/>
            <w:tcBorders>
              <w:top w:val="nil"/>
              <w:left w:val="single" w:sz="8" w:space="0" w:color="auto"/>
              <w:bottom w:val="single" w:sz="8" w:space="0" w:color="auto"/>
              <w:right w:val="single" w:sz="8" w:space="0" w:color="000000"/>
            </w:tcBorders>
            <w:noWrap/>
            <w:vAlign w:val="center"/>
          </w:tcPr>
          <w:p>
            <w:pPr>
              <w:spacing w:before="0" w:after="0"/>
              <w:ind w:firstLineChars="100" w:firstLine="180"/>
              <w:jc w:val="left"/>
              <w:rPr>
                <w:rFonts w:eastAsia="Times New Roman"/>
                <w:b/>
                <w:bCs/>
                <w:noProof/>
                <w:color w:val="000000"/>
                <w:sz w:val="18"/>
                <w:szCs w:val="18"/>
              </w:rPr>
            </w:pPr>
            <w:r>
              <w:rPr>
                <w:b/>
                <w:noProof/>
                <w:color w:val="000000"/>
                <w:sz w:val="18"/>
              </w:rPr>
              <w:t>Cuantumul rămas pentru cererile viitoare, inclusiv plățile în avans și rezerva pentru sfârșitul anului</w:t>
            </w:r>
          </w:p>
        </w:tc>
        <w:tc>
          <w:tcPr>
            <w:tcW w:w="2013" w:type="dxa"/>
            <w:tcBorders>
              <w:top w:val="nil"/>
              <w:left w:val="nil"/>
              <w:bottom w:val="single" w:sz="8" w:space="0" w:color="auto"/>
              <w:right w:val="single" w:sz="8" w:space="0" w:color="auto"/>
            </w:tcBorders>
            <w:shd w:val="clear" w:color="000000" w:fill="FFFFFF"/>
            <w:vAlign w:val="center"/>
          </w:tcPr>
          <w:p>
            <w:pPr>
              <w:spacing w:before="0" w:after="0"/>
              <w:ind w:firstLineChars="100" w:firstLine="180"/>
              <w:jc w:val="right"/>
              <w:rPr>
                <w:rFonts w:eastAsia="Times New Roman"/>
                <w:b/>
                <w:bCs/>
                <w:noProof/>
                <w:color w:val="000000"/>
                <w:sz w:val="18"/>
                <w:szCs w:val="18"/>
              </w:rPr>
            </w:pPr>
            <w:r>
              <w:rPr>
                <w:b/>
                <w:noProof/>
                <w:color w:val="000000"/>
                <w:sz w:val="18"/>
              </w:rPr>
              <w:t>580 779 775</w:t>
            </w:r>
          </w:p>
        </w:tc>
      </w:tr>
    </w:tbl>
    <w:p>
      <w:pPr>
        <w:rPr>
          <w:noProof/>
        </w:rPr>
      </w:pPr>
    </w:p>
    <w:p>
      <w:pPr>
        <w:rPr>
          <w:noProof/>
        </w:rPr>
      </w:pPr>
    </w:p>
    <w:p>
      <w:pPr>
        <w:rPr>
          <w:noProof/>
        </w:rPr>
      </w:pPr>
    </w:p>
    <w:p>
      <w:pPr>
        <w:rPr>
          <w:noProof/>
          <w:snapToGrid w:val="0"/>
        </w:rPr>
        <w:sectPr>
          <w:headerReference w:type="even" r:id="rId18"/>
          <w:footerReference w:type="even" r:id="rId19"/>
          <w:footerReference w:type="default" r:id="rId20"/>
          <w:headerReference w:type="first" r:id="rId21"/>
          <w:footerReference w:type="first" r:id="rId22"/>
          <w:pgSz w:w="11907" w:h="16839"/>
          <w:pgMar w:top="1276" w:right="1417" w:bottom="1134" w:left="1417" w:header="709" w:footer="709" w:gutter="0"/>
          <w:pgNumType w:start="1"/>
          <w:cols w:space="720"/>
          <w:docGrid w:linePitch="360"/>
        </w:sectPr>
      </w:pPr>
    </w:p>
    <w:p>
      <w:pPr>
        <w:pStyle w:val="Rfrenceinterinstitutionnelle"/>
        <w:rPr>
          <w:noProof/>
        </w:rPr>
      </w:pPr>
      <w:r>
        <w:rPr>
          <w:noProof/>
        </w:rPr>
        <w:t>2026/0284 (BUD)</w:t>
      </w:r>
    </w:p>
    <w:p>
      <w:pPr>
        <w:pStyle w:val="Statut"/>
        <w:rPr>
          <w:noProof/>
        </w:rPr>
      </w:pPr>
      <w:r>
        <w:rPr>
          <w:noProof/>
        </w:rPr>
        <w:t>Propunere de</w:t>
      </w:r>
    </w:p>
    <w:p>
      <w:pPr>
        <w:pStyle w:val="Typedudocument"/>
        <w:rPr>
          <w:noProof/>
        </w:rPr>
      </w:pPr>
      <w:r>
        <w:rPr>
          <w:noProof/>
        </w:rPr>
        <w:t>DECIZIE A PARLAMENTULUI EUROPEAN ȘI A CONSILIULUI</w:t>
      </w:r>
    </w:p>
    <w:p>
      <w:pPr>
        <w:pStyle w:val="Titreobjet"/>
        <w:rPr>
          <w:noProof/>
        </w:rPr>
      </w:pPr>
      <w:r>
        <w:rPr>
          <w:noProof/>
        </w:rPr>
        <w:t>privind mobilizarea Fondului de solidaritate al Uniunii Europene în vederea furnizării de asistență Maltei și Italiei în ceea ce privește furtuna Harry din ianuarie 2026, precum și Portugaliei și Spaniei ca urmare a furtunilor din ianuarie și februarie 2026</w:t>
      </w:r>
    </w:p>
    <w:p>
      <w:pPr>
        <w:pStyle w:val="Institutionquiagit"/>
        <w:rPr>
          <w:noProof/>
        </w:rPr>
      </w:pPr>
      <w:r>
        <w:rPr>
          <w:noProof/>
        </w:rPr>
        <w:t>PARLAMENTUL EUROPEAN ȘI CONSILIUL UNIUNII EUROPENE,</w:t>
      </w:r>
    </w:p>
    <w:p>
      <w:pPr>
        <w:rPr>
          <w:noProof/>
        </w:rPr>
      </w:pPr>
      <w:r>
        <w:rPr>
          <w:noProof/>
        </w:rPr>
        <w:t>având în vedere Tratatul privind funcționarea Uniunii Europene,</w:t>
      </w:r>
    </w:p>
    <w:p>
      <w:pPr>
        <w:rPr>
          <w:noProof/>
        </w:rPr>
      </w:pPr>
      <w:r>
        <w:rPr>
          <w:noProof/>
        </w:rPr>
        <w:t>având în vedere Regulamentul (CE) nr. 2012/2002 al Consiliului din 11 noiembrie 2002 de instituire a Fondului de solidaritate al Uniunii Europene</w:t>
      </w:r>
      <w:r>
        <w:rPr>
          <w:rStyle w:val="FootnoteReference"/>
          <w:noProof/>
        </w:rPr>
        <w:footnoteReference w:id="6"/>
      </w:r>
      <w:r>
        <w:rPr>
          <w:noProof/>
        </w:rPr>
        <w:t>, în special articolul 4 alineatul (3),</w:t>
      </w:r>
    </w:p>
    <w:p>
      <w:pPr>
        <w:rPr>
          <w:noProof/>
        </w:rPr>
      </w:pPr>
      <w:r>
        <w:rPr>
          <w:noProof/>
        </w:rPr>
        <w:t>având în vedere Acordul interinstituțional din 16 decembrie 2020 dintre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Pr>
          <w:rStyle w:val="FootnoteReference"/>
          <w:noProof/>
        </w:rPr>
        <w:footnoteReference w:id="7"/>
      </w:r>
      <w:r>
        <w:rPr>
          <w:noProof/>
        </w:rPr>
        <w:t>, în special punctul 10,</w:t>
      </w:r>
    </w:p>
    <w:p>
      <w:pPr>
        <w:rPr>
          <w:noProof/>
        </w:rPr>
      </w:pPr>
      <w:r>
        <w:rPr>
          <w:noProof/>
        </w:rPr>
        <w:t>având în vedere propunerea Comisiei Europene,</w:t>
      </w:r>
    </w:p>
    <w:p>
      <w:pPr>
        <w:spacing w:after="360"/>
        <w:rPr>
          <w:noProof/>
        </w:rPr>
      </w:pPr>
      <w:r>
        <w:rPr>
          <w:noProof/>
        </w:rPr>
        <w:t>întrucât:</w:t>
      </w:r>
    </w:p>
    <w:p>
      <w:pPr>
        <w:pStyle w:val="ManualConsidrant"/>
        <w:rPr>
          <w:noProof/>
        </w:rPr>
      </w:pPr>
      <w:r>
        <w:rPr>
          <w:noProof/>
        </w:rPr>
        <w:t>(1)</w:t>
      </w:r>
      <w:r>
        <w:rPr>
          <w:noProof/>
        </w:rPr>
        <w:tab/>
        <w:t>Obiectivul Fondului de solidaritate al Uniunii Europene („FSUE”) este de a permite Uniunii să răspundă într-un mod rapid, eficient și flexibil situațiilor de urgență, astfel încât să își exprime solidaritatea față de populația din regiunile afectate de catastrofe naturale majore sau regionale sau de o situație de urgență majoră de sănătate publică.</w:t>
      </w:r>
    </w:p>
    <w:p>
      <w:pPr>
        <w:pStyle w:val="ManualConsidrant"/>
        <w:rPr>
          <w:noProof/>
        </w:rPr>
      </w:pPr>
      <w:r>
        <w:rPr>
          <w:noProof/>
        </w:rPr>
        <w:t>(2)</w:t>
      </w:r>
      <w:r>
        <w:rPr>
          <w:noProof/>
        </w:rPr>
        <w:tab/>
        <w:t>FSUE nu trebuie să depășească plafoanele prevăzute la articolul 9 din Regulamentul (UE, Euratom) 2020/2093 al Consiliului</w:t>
      </w:r>
      <w:r>
        <w:rPr>
          <w:rStyle w:val="FootnoteReference"/>
          <w:noProof/>
        </w:rPr>
        <w:footnoteReference w:id="8"/>
      </w:r>
      <w:r>
        <w:rPr>
          <w:noProof/>
        </w:rPr>
        <w:t>.</w:t>
      </w:r>
    </w:p>
    <w:p>
      <w:pPr>
        <w:pStyle w:val="ManualConsidrant"/>
        <w:rPr>
          <w:noProof/>
        </w:rPr>
      </w:pPr>
      <w:r>
        <w:rPr>
          <w:noProof/>
        </w:rPr>
        <w:t>(3)</w:t>
      </w:r>
      <w:r>
        <w:rPr>
          <w:noProof/>
        </w:rPr>
        <w:tab/>
        <w:t>La 10 aprilie 2026, Malta a depus o cerere de mobilizare a FSUE ca urmare a furtunii Harry din ianuarie 2026.</w:t>
      </w:r>
    </w:p>
    <w:p>
      <w:pPr>
        <w:pStyle w:val="ManualConsidrant"/>
        <w:rPr>
          <w:noProof/>
        </w:rPr>
      </w:pPr>
      <w:r>
        <w:rPr>
          <w:noProof/>
        </w:rPr>
        <w:t>(4)</w:t>
      </w:r>
      <w:r>
        <w:rPr>
          <w:noProof/>
        </w:rPr>
        <w:tab/>
        <w:t>La 10 aprilie 2026, Italia a depus o cerere de mobilizare a FSUE ca urmare a furtunii Harry din ianuarie 2026.</w:t>
      </w:r>
    </w:p>
    <w:p>
      <w:pPr>
        <w:pStyle w:val="ManualConsidrant"/>
        <w:rPr>
          <w:noProof/>
        </w:rPr>
      </w:pPr>
      <w:r>
        <w:rPr>
          <w:noProof/>
        </w:rPr>
        <w:t>(5)</w:t>
      </w:r>
      <w:r>
        <w:rPr>
          <w:noProof/>
        </w:rPr>
        <w:tab/>
        <w:t>La 13 aprilie 2026, Portugalia a depus o cerere de mobilizare a FSUE ca urmare a furtunilor din ianuarie și februarie 2026.</w:t>
      </w:r>
    </w:p>
    <w:p>
      <w:pPr>
        <w:pStyle w:val="ManualConsidrant"/>
        <w:rPr>
          <w:noProof/>
        </w:rPr>
      </w:pPr>
      <w:r>
        <w:rPr>
          <w:noProof/>
        </w:rPr>
        <w:t>(6)</w:t>
      </w:r>
      <w:r>
        <w:rPr>
          <w:noProof/>
        </w:rPr>
        <w:tab/>
        <w:t>La 17 aprilie 2026, Spania a depus o cerere de mobilizare a FSUE ca urmare a furtunilor din ianuarie și februarie 2026.</w:t>
      </w:r>
    </w:p>
    <w:p>
      <w:pPr>
        <w:pStyle w:val="ManualConsidrant"/>
        <w:rPr>
          <w:noProof/>
        </w:rPr>
      </w:pPr>
      <w:r>
        <w:rPr>
          <w:noProof/>
        </w:rPr>
        <w:t>(7)</w:t>
      </w:r>
      <w:r>
        <w:rPr>
          <w:noProof/>
        </w:rPr>
        <w:tab/>
        <w:t>Cererile menționate îndeplinesc condițiile de acordare a unei contribuții financiare din FSUE, astfel cum se prevede la articolul 4 din Regulamentul (CE) nr. 2012/2002.</w:t>
      </w:r>
    </w:p>
    <w:p>
      <w:pPr>
        <w:pStyle w:val="ManualConsidrant"/>
        <w:rPr>
          <w:noProof/>
        </w:rPr>
      </w:pPr>
      <w:r>
        <w:rPr>
          <w:noProof/>
        </w:rPr>
        <w:t>(8)</w:t>
      </w:r>
      <w:r>
        <w:rPr>
          <w:noProof/>
        </w:rPr>
        <w:tab/>
        <w:t>Prin urmare, FSUE ar trebui mobilizat pentru a furniza o contribuție financiară Maltei, Italiei, Portugaliei și Spaniei.</w:t>
      </w:r>
    </w:p>
    <w:p>
      <w:pPr>
        <w:pStyle w:val="ManualConsidrant"/>
        <w:rPr>
          <w:noProof/>
        </w:rPr>
      </w:pPr>
      <w:r>
        <w:rPr>
          <w:noProof/>
        </w:rPr>
        <w:t>(9)</w:t>
      </w:r>
      <w:r>
        <w:rPr>
          <w:noProof/>
        </w:rPr>
        <w:tab/>
      </w:r>
      <w:bookmarkStart w:id="5" w:name="_Hlk228958840"/>
      <w:r>
        <w:rPr>
          <w:noProof/>
        </w:rPr>
        <w:t xml:space="preserve">Pentru a se asigura că asistența financiară din partea Uniunii poate fi pusă la dispoziția statelor membre afectate cât mai rapid posibil și pentru a se evita orice întârziere în mobilizarea Fondului de solidaritate al Uniunii Europene, prezenta decizie ar trebui să intre în vigoare în regim de urgență la data publicării în </w:t>
      </w:r>
      <w:r>
        <w:rPr>
          <w:i/>
          <w:noProof/>
        </w:rPr>
        <w:t>Jurnalul Oficial al Uniunii Europene</w:t>
      </w:r>
      <w:r>
        <w:rPr>
          <w:noProof/>
        </w:rPr>
        <w:t xml:space="preserve"> și ar trebui să se aplice de la data adoptării,</w:t>
      </w:r>
    </w:p>
    <w:bookmarkEnd w:id="5"/>
    <w:p>
      <w:pPr>
        <w:pStyle w:val="Formuledadoption"/>
        <w:rPr>
          <w:noProof/>
        </w:rPr>
      </w:pPr>
      <w:r>
        <w:rPr>
          <w:noProof/>
        </w:rPr>
        <w:t>ADOPTĂ PREZENTA DECIZIE:</w:t>
      </w:r>
    </w:p>
    <w:p>
      <w:pPr>
        <w:pStyle w:val="Titrearticle"/>
        <w:rPr>
          <w:noProof/>
        </w:rPr>
      </w:pPr>
      <w:r>
        <w:rPr>
          <w:noProof/>
        </w:rPr>
        <w:t>Articolul 1</w:t>
      </w:r>
    </w:p>
    <w:p>
      <w:pPr>
        <w:rPr>
          <w:noProof/>
          <w:szCs w:val="24"/>
        </w:rPr>
      </w:pPr>
      <w:r>
        <w:rPr>
          <w:noProof/>
        </w:rPr>
        <w:t>În cadrul bugetului general al Uniunii, se mobilizează din Fondul de solidaritate al Uniunii Europene următoarele cuantumuri în credite de angajament și de plată în legătură cu catastrofe naturale:</w:t>
      </w:r>
    </w:p>
    <w:p>
      <w:pPr>
        <w:pStyle w:val="Point1"/>
        <w:rPr>
          <w:noProof/>
        </w:rPr>
      </w:pPr>
      <w:r>
        <w:rPr>
          <w:noProof/>
        </w:rPr>
        <w:t>(a)</w:t>
      </w:r>
      <w:r>
        <w:rPr>
          <w:noProof/>
        </w:rPr>
        <w:tab/>
        <w:t>se acordă 3 724 057 EUR Maltei ca urmare a furtunii Harry din ianuarie 2026;</w:t>
      </w:r>
    </w:p>
    <w:p>
      <w:pPr>
        <w:pStyle w:val="Point1"/>
        <w:rPr>
          <w:noProof/>
        </w:rPr>
      </w:pPr>
      <w:r>
        <w:rPr>
          <w:noProof/>
        </w:rPr>
        <w:t>(b)</w:t>
      </w:r>
      <w:r>
        <w:rPr>
          <w:noProof/>
        </w:rPr>
        <w:tab/>
        <w:t>se acordă 74 884 983 EUR Italiei ca urmare a furtunii Harry din ianuarie 2026;</w:t>
      </w:r>
    </w:p>
    <w:p>
      <w:pPr>
        <w:pStyle w:val="Point1"/>
        <w:rPr>
          <w:noProof/>
        </w:rPr>
      </w:pPr>
      <w:r>
        <w:rPr>
          <w:noProof/>
        </w:rPr>
        <w:t>(c)</w:t>
      </w:r>
      <w:r>
        <w:rPr>
          <w:noProof/>
        </w:rPr>
        <w:tab/>
        <w:t>se acordă 261 483 810 EUR Portugaliei ca urmare a furtunilor din ianuarie și februarie 2026;</w:t>
      </w:r>
    </w:p>
    <w:p>
      <w:pPr>
        <w:pStyle w:val="Point1"/>
        <w:rPr>
          <w:noProof/>
        </w:rPr>
      </w:pPr>
      <w:r>
        <w:rPr>
          <w:noProof/>
        </w:rPr>
        <w:t>(d)</w:t>
      </w:r>
      <w:r>
        <w:rPr>
          <w:noProof/>
        </w:rPr>
        <w:tab/>
        <w:t>se acordă 149 055 370 EUR Spaniei ca urmare a furtunilor din ianuarie și februarie 2026.</w:t>
      </w:r>
    </w:p>
    <w:p>
      <w:pPr>
        <w:pStyle w:val="Titrearticle"/>
        <w:rPr>
          <w:noProof/>
        </w:rPr>
      </w:pPr>
      <w:r>
        <w:rPr>
          <w:noProof/>
        </w:rPr>
        <w:t>Articolul 2</w:t>
      </w:r>
    </w:p>
    <w:p>
      <w:pPr>
        <w:rPr>
          <w:noProof/>
        </w:rPr>
      </w:pPr>
      <w:r>
        <w:rPr>
          <w:noProof/>
        </w:rPr>
        <w:t xml:space="preserve">Prezenta decizie intră în vigoare la data publicării în </w:t>
      </w:r>
      <w:r>
        <w:rPr>
          <w:i/>
          <w:noProof/>
        </w:rPr>
        <w:t>Jurnalul Oficial al Uniunii Europene</w:t>
      </w:r>
      <w:r>
        <w:rPr>
          <w:noProof/>
        </w:rPr>
        <w:t>.</w:t>
      </w:r>
    </w:p>
    <w:p>
      <w:pPr>
        <w:keepNext/>
        <w:keepLines/>
        <w:rPr>
          <w:i/>
          <w:noProof/>
        </w:rPr>
      </w:pPr>
      <w:r>
        <w:rPr>
          <w:noProof/>
        </w:rPr>
        <w:t>Prezenta decizie se aplică de la [</w:t>
      </w:r>
      <w:r>
        <w:rPr>
          <w:i/>
          <w:noProof/>
        </w:rPr>
        <w:t>data adoptării</w:t>
      </w:r>
      <w:r>
        <w:rPr>
          <w:noProof/>
        </w:rPr>
        <w:t>].</w:t>
      </w:r>
    </w:p>
    <w:p>
      <w:pPr>
        <w:keepNext/>
        <w:keepLines/>
        <w:rPr>
          <w:i/>
          <w:noProof/>
        </w:rPr>
      </w:pPr>
    </w:p>
    <w:p>
      <w:pPr>
        <w:pStyle w:val="Fait"/>
        <w:rPr>
          <w:noProof/>
        </w:rPr>
      </w:pPr>
      <w:r>
        <w:rPr>
          <w:noProof/>
        </w:rPr>
        <w:t>Adoptată la Bruxelles,</w:t>
      </w:r>
    </w:p>
    <w:p>
      <w:pPr>
        <w:pStyle w:val="Institutionquisigne"/>
        <w:jc w:val="left"/>
        <w:rPr>
          <w:noProof/>
        </w:rPr>
      </w:pPr>
      <w:r>
        <w:rPr>
          <w:noProof/>
        </w:rPr>
        <w:t>Pentru Parlamentul European</w:t>
      </w:r>
      <w:r>
        <w:rPr>
          <w:noProof/>
        </w:rPr>
        <w:tab/>
        <w:t>Pentru Consiliu</w:t>
      </w:r>
    </w:p>
    <w:p>
      <w:pPr>
        <w:pStyle w:val="Institutionquisigne"/>
        <w:rPr>
          <w:noProof/>
        </w:rPr>
      </w:pPr>
      <w:r>
        <w:rPr>
          <w:noProof/>
        </w:rPr>
        <w:t>Președinta</w:t>
      </w:r>
      <w:r>
        <w:rPr>
          <w:noProof/>
        </w:rPr>
        <w:tab/>
      </w:r>
      <w:r>
        <w:rPr>
          <w:noProof/>
        </w:rPr>
        <w:tab/>
        <w:t>Președintele</w:t>
      </w:r>
    </w:p>
    <w:sectPr>
      <w:footnotePr>
        <w:numRestart w:val="eachSect"/>
      </w:footnotePr>
      <w:pgSz w:w="11907" w:h="16839"/>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Regulamentul (CE) nr. 2012/2002 al Consiliului din 11 noiembrie 2002 de instituire a Fondului de solidaritate al Uniunii Europene (JO L 311, 14.11.2002, p. 3, ELI: http://data.europa.eu/eli/reg/2002/2012/oj).</w:t>
      </w:r>
    </w:p>
  </w:footnote>
  <w:footnote w:id="3">
    <w:p>
      <w:pPr>
        <w:pStyle w:val="FootnoteText"/>
      </w:pPr>
      <w:r>
        <w:rPr>
          <w:rStyle w:val="FootnoteReference"/>
        </w:rPr>
        <w:footnoteRef/>
      </w:r>
      <w:r>
        <w:tab/>
        <w:t>JO L 433I, 22.12.2020, p. 11, ELI: http://data.europa.eu/eli/reg/2020/2093/oj.</w:t>
      </w:r>
    </w:p>
  </w:footnote>
  <w:footnote w:id="4">
    <w:p>
      <w:pPr>
        <w:pStyle w:val="FootnoteText"/>
      </w:pPr>
      <w:r>
        <w:rPr>
          <w:rStyle w:val="FootnoteReference"/>
        </w:rPr>
        <w:footnoteRef/>
      </w:r>
      <w:r>
        <w:tab/>
        <w:t>JO C 433I, 22.12.2020, p. 28.</w:t>
      </w:r>
    </w:p>
  </w:footnote>
  <w:footnote w:id="5">
    <w:p>
      <w:pPr>
        <w:pStyle w:val="FootnoteText"/>
      </w:pPr>
      <w:r>
        <w:rPr>
          <w:rStyle w:val="FootnoteReference"/>
        </w:rPr>
        <w:footnoteRef/>
      </w:r>
      <w:r>
        <w:tab/>
        <w:t xml:space="preserve">JO L, 2026/1809, 21.7.2026, ELI: http://data.europa.eu/eli/dec/2026/1809/oj. </w:t>
      </w:r>
    </w:p>
  </w:footnote>
  <w:footnote w:id="6">
    <w:p>
      <w:pPr>
        <w:pStyle w:val="FootnoteText"/>
      </w:pPr>
      <w:r>
        <w:rPr>
          <w:rStyle w:val="FootnoteReference"/>
        </w:rPr>
        <w:footnoteRef/>
      </w:r>
      <w:r>
        <w:tab/>
        <w:t>JO L 311, 14.11.2002, p. 3, ELI: http://data.europa.eu/eli/reg/2002/2012/oj.</w:t>
      </w:r>
    </w:p>
  </w:footnote>
  <w:footnote w:id="7">
    <w:p>
      <w:pPr>
        <w:pStyle w:val="FootnoteText"/>
      </w:pPr>
      <w:r>
        <w:rPr>
          <w:rStyle w:val="FootnoteReference"/>
        </w:rPr>
        <w:footnoteRef/>
      </w:r>
      <w:r>
        <w:tab/>
        <w:t>JO L 433I, 22.12.2020, p. 28, ELI: http://data.europa.eu/eli/agree_interinstit/2020/1222/oj.</w:t>
      </w:r>
    </w:p>
  </w:footnote>
  <w:footnote w:id="8">
    <w:p>
      <w:pPr>
        <w:pStyle w:val="FootnoteText"/>
        <w:rPr>
          <w:lang w:val="pl-PL"/>
        </w:rPr>
      </w:pPr>
      <w:r>
        <w:rPr>
          <w:rStyle w:val="FootnoteReference"/>
        </w:rPr>
        <w:footnoteRef/>
      </w:r>
      <w:r>
        <w:tab/>
        <w:t>Regulamentul (UE, Euratom) 2020/2093 al Consiliului din 17 decembrie 2020 de stabilire a cadrului financiar multianual pentru perioada 2021-2027 (JO L 433I, 22.12.2020, p. 11, ELI: http://data.europa.eu/eli/reg/2020/2093/oj).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0C06B78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6A31A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D86A1C2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8086FAD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DD7C862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E0C06F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F6A607E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AE7C532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12"/>
  </w:num>
  <w:num w:numId="16">
    <w:abstractNumId w:val="21"/>
  </w:num>
  <w:num w:numId="17">
    <w:abstractNumId w:val="11"/>
  </w:num>
  <w:num w:numId="18">
    <w:abstractNumId w:val="13"/>
  </w:num>
  <w:num w:numId="19">
    <w:abstractNumId w:val="14"/>
  </w:num>
  <w:num w:numId="20">
    <w:abstractNumId w:val="9"/>
  </w:num>
  <w:num w:numId="21">
    <w:abstractNumId w:val="20"/>
  </w:num>
  <w:num w:numId="22">
    <w:abstractNumId w:val="8"/>
  </w:num>
  <w:num w:numId="23">
    <w:abstractNumId w:val="15"/>
  </w:num>
  <w:num w:numId="24">
    <w:abstractNumId w:val="17"/>
  </w:num>
  <w:num w:numId="25">
    <w:abstractNumId w:val="18"/>
  </w:num>
  <w:num w:numId="26">
    <w:abstractNumId w:val="10"/>
  </w:num>
  <w:num w:numId="27">
    <w:abstractNumId w:val="16"/>
  </w:num>
  <w:num w:numId="28">
    <w:abstractNumId w:val="22"/>
  </w:num>
  <w:num w:numId="29">
    <w:abstractNumId w:val="19"/>
  </w:num>
  <w:num w:numId="30">
    <w:abstractNumId w:val="12"/>
  </w:num>
  <w:num w:numId="31">
    <w:abstractNumId w:val="21"/>
  </w:num>
  <w:num w:numId="32">
    <w:abstractNumId w:val="11"/>
  </w:num>
  <w:num w:numId="33">
    <w:abstractNumId w:val="13"/>
  </w:num>
  <w:num w:numId="34">
    <w:abstractNumId w:val="14"/>
  </w:num>
  <w:num w:numId="35">
    <w:abstractNumId w:val="9"/>
  </w:num>
  <w:num w:numId="36">
    <w:abstractNumId w:val="20"/>
  </w:num>
  <w:num w:numId="37">
    <w:abstractNumId w:val="8"/>
  </w:num>
  <w:num w:numId="38">
    <w:abstractNumId w:val="15"/>
  </w:num>
  <w:num w:numId="39">
    <w:abstractNumId w:val="17"/>
  </w:num>
  <w:num w:numId="40">
    <w:abstractNumId w:val="18"/>
  </w:num>
  <w:num w:numId="41">
    <w:abstractNumId w:val="10"/>
  </w:num>
  <w:num w:numId="42">
    <w:abstractNumId w:val="16"/>
  </w:num>
  <w:num w:numId="43">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24 16:14:4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F6877B2-A8F8-4437-9DF9-D90A1F077CF7"/>
    <w:docVar w:name="LW_COVERPAGE_TYPE" w:val="1"/>
    <w:docVar w:name="LW_CROSSREFERENCE" w:val="&lt;UNUSED&gt;"/>
    <w:docVar w:name="LW_DocType" w:val="COM"/>
    <w:docVar w:name="LW_EMISSION" w:val="17.9.2026"/>
    <w:docVar w:name="LW_EMISSION_ISODATE" w:val="2026-09-17"/>
    <w:docVar w:name="LW_EMISSION_LOCATION" w:val="BRX"/>
    <w:docVar w:name="LW_EMISSION_PREFIX" w:val="Bruxelles, "/>
    <w:docVar w:name="LW_EMISSION_SUFFIX" w:val=" "/>
    <w:docVar w:name="LW_ID_DOCMODEL" w:val="SJ-026"/>
    <w:docVar w:name="LW_ID_DOCSIGNATURE" w:val="SJ-026"/>
    <w:docVar w:name="LW_ID_DOCSTRUCTURE" w:val="COM/PL/ORG"/>
    <w:docVar w:name="LW_ID_DOCTYPE" w:val="SJ-026"/>
    <w:docVar w:name="LW_ID_EXP.MOTIFS.NEW" w:val="EM_PL_"/>
    <w:docVar w:name="LW_ID_STATUT" w:val="SJ-026"/>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BUD"/>
    <w:docVar w:name="LW_REF.II.NEW.CP_NUMBER" w:val="0284"/>
    <w:docVar w:name="LW_REF.II.NEW.CP_YEAR" w:val="2026"/>
    <w:docVar w:name="LW_REF.INST.NEW" w:val="COM"/>
    <w:docVar w:name="LW_REF.INST.NEW_ADOPTED" w:val="final"/>
    <w:docVar w:name="LW_REF.INST.NEW_TEXT" w:val="(2026) 700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mobilizarea Fondului de solidaritate al Uniunii Europene în vederea furniz\u259?rii de asisten\u539?\u259? Maltei \u537?i Italiei în ceea ce prive\u537?te furtuna Harry din ianuarie 2026, precum \u537?i Portugaliei \u537?i Spaniei ca urmare a furtunilor din ianuarie \u537?i februarie 2026"/>
    <w:docVar w:name="LW_TYPE.DOC.CP" w:val="DECIZIE A PARLAMENTULUI EUROPEAN \u536?I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20DF353B-AE60-42A9-BC67-2851AED46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rt-commentedtext">
    <w:name w:val="rt-commentedtext"/>
    <w:basedOn w:val="DefaultParagraphFont"/>
  </w:style>
  <w:style w:type="paragraph" w:customStyle="1" w:styleId="BVIfnrCarCarCarCarCharCharCharChar">
    <w:name w:val="BVI fnr Car Car Car Car Char Char Char Char"/>
    <w:basedOn w:val="Normal"/>
    <w:link w:val="FootnoteReference"/>
    <w:pPr>
      <w:spacing w:before="0" w:after="160" w:line="240" w:lineRule="exact"/>
      <w:jc w:val="left"/>
    </w:pPr>
    <w:rPr>
      <w:rFonts w:asciiTheme="minorHAnsi" w:hAnsiTheme="minorHAnsi" w:cstheme="minorBidi"/>
      <w:sz w:val="22"/>
      <w:vertAlign w:val="superscript"/>
    </w:rPr>
  </w:style>
  <w:style w:type="paragraph" w:customStyle="1" w:styleId="ListNumber3Level2">
    <w:name w:val="List Number 3 (Level 2)"/>
    <w:basedOn w:val="Text3"/>
    <w:pPr>
      <w:tabs>
        <w:tab w:val="num" w:pos="2268"/>
      </w:tabs>
      <w:ind w:left="2268" w:hanging="708"/>
    </w:pPr>
    <w:rPr>
      <w:rFonts w:eastAsia="Times New Roman"/>
      <w:lang w:eastAsia="de-DE"/>
    </w:rPr>
  </w:style>
  <w:style w:type="paragraph" w:customStyle="1" w:styleId="ListNumber3Level3">
    <w:name w:val="List Number 3 (Level 3)"/>
    <w:basedOn w:val="Text3"/>
    <w:pPr>
      <w:tabs>
        <w:tab w:val="num" w:pos="2977"/>
      </w:tabs>
      <w:ind w:left="2977" w:hanging="709"/>
    </w:pPr>
    <w:rPr>
      <w:rFonts w:eastAsia="Times New Roman"/>
      <w:lang w:eastAsia="de-DE"/>
    </w:rPr>
  </w:style>
  <w:style w:type="paragraph" w:customStyle="1" w:styleId="ListNumber3Level4">
    <w:name w:val="List Number 3 (Level 4)"/>
    <w:basedOn w:val="Text3"/>
    <w:pPr>
      <w:tabs>
        <w:tab w:val="num" w:pos="3686"/>
      </w:tabs>
      <w:ind w:left="3686" w:hanging="709"/>
    </w:pPr>
    <w:rPr>
      <w:rFonts w:eastAsia="Times New Roman"/>
      <w:lang w:eastAsia="de-DE"/>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Pr>
      <w:vertAlign w:val="superscript"/>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BVIfnrCarCarCarCarCharCharCharChar"/>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9"/>
      </w:numPr>
    </w:pPr>
  </w:style>
  <w:style w:type="paragraph" w:customStyle="1" w:styleId="Tiret1">
    <w:name w:val="Tiret 1"/>
    <w:basedOn w:val="Point1"/>
    <w:pPr>
      <w:numPr>
        <w:numId w:val="30"/>
      </w:numPr>
    </w:pPr>
  </w:style>
  <w:style w:type="paragraph" w:customStyle="1" w:styleId="Tiret2">
    <w:name w:val="Tiret 2"/>
    <w:basedOn w:val="Point2"/>
    <w:pPr>
      <w:numPr>
        <w:numId w:val="31"/>
      </w:numPr>
    </w:pPr>
  </w:style>
  <w:style w:type="paragraph" w:customStyle="1" w:styleId="Tiret3">
    <w:name w:val="Tiret 3"/>
    <w:basedOn w:val="Point3"/>
    <w:pPr>
      <w:numPr>
        <w:numId w:val="32"/>
      </w:numPr>
    </w:pPr>
  </w:style>
  <w:style w:type="paragraph" w:customStyle="1" w:styleId="Tiret4">
    <w:name w:val="Tiret 4"/>
    <w:basedOn w:val="Point4"/>
    <w:pPr>
      <w:numPr>
        <w:numId w:val="33"/>
      </w:numPr>
    </w:pPr>
  </w:style>
  <w:style w:type="paragraph" w:customStyle="1" w:styleId="Tiret5">
    <w:name w:val="Tiret 5"/>
    <w:basedOn w:val="Point5"/>
    <w:pPr>
      <w:numPr>
        <w:numId w:val="3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5"/>
      </w:numPr>
    </w:pPr>
  </w:style>
  <w:style w:type="paragraph" w:customStyle="1" w:styleId="NumPar2">
    <w:name w:val="NumPar 2"/>
    <w:basedOn w:val="Normal"/>
    <w:next w:val="Text1"/>
    <w:pPr>
      <w:numPr>
        <w:ilvl w:val="1"/>
        <w:numId w:val="35"/>
      </w:numPr>
    </w:pPr>
  </w:style>
  <w:style w:type="paragraph" w:customStyle="1" w:styleId="NumPar3">
    <w:name w:val="NumPar 3"/>
    <w:basedOn w:val="Normal"/>
    <w:next w:val="Text1"/>
    <w:pPr>
      <w:numPr>
        <w:ilvl w:val="2"/>
        <w:numId w:val="35"/>
      </w:numPr>
    </w:pPr>
  </w:style>
  <w:style w:type="paragraph" w:customStyle="1" w:styleId="NumPar4">
    <w:name w:val="NumPar 4"/>
    <w:basedOn w:val="Normal"/>
    <w:next w:val="Text1"/>
    <w:pPr>
      <w:numPr>
        <w:ilvl w:val="3"/>
        <w:numId w:val="35"/>
      </w:numPr>
    </w:pPr>
  </w:style>
  <w:style w:type="paragraph" w:customStyle="1" w:styleId="NumPar5">
    <w:name w:val="NumPar 5"/>
    <w:basedOn w:val="Normal"/>
    <w:next w:val="Text2"/>
    <w:pPr>
      <w:numPr>
        <w:ilvl w:val="4"/>
        <w:numId w:val="35"/>
      </w:numPr>
    </w:pPr>
  </w:style>
  <w:style w:type="paragraph" w:customStyle="1" w:styleId="NumPar6">
    <w:name w:val="NumPar 6"/>
    <w:basedOn w:val="Normal"/>
    <w:next w:val="Text2"/>
    <w:pPr>
      <w:numPr>
        <w:ilvl w:val="5"/>
        <w:numId w:val="35"/>
      </w:numPr>
    </w:pPr>
  </w:style>
  <w:style w:type="paragraph" w:customStyle="1" w:styleId="NumPar7">
    <w:name w:val="NumPar 7"/>
    <w:basedOn w:val="Normal"/>
    <w:next w:val="Text2"/>
    <w:pPr>
      <w:numPr>
        <w:ilvl w:val="6"/>
        <w:numId w:val="3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7"/>
      </w:numPr>
    </w:pPr>
  </w:style>
  <w:style w:type="paragraph" w:customStyle="1" w:styleId="Point1number">
    <w:name w:val="Point 1 (number)"/>
    <w:basedOn w:val="Normal"/>
    <w:pPr>
      <w:numPr>
        <w:ilvl w:val="2"/>
        <w:numId w:val="37"/>
      </w:numPr>
    </w:pPr>
  </w:style>
  <w:style w:type="paragraph" w:customStyle="1" w:styleId="Point2number">
    <w:name w:val="Point 2 (number)"/>
    <w:basedOn w:val="Normal"/>
    <w:pPr>
      <w:numPr>
        <w:ilvl w:val="4"/>
        <w:numId w:val="37"/>
      </w:numPr>
    </w:pPr>
  </w:style>
  <w:style w:type="paragraph" w:customStyle="1" w:styleId="Point3number">
    <w:name w:val="Point 3 (number)"/>
    <w:basedOn w:val="Normal"/>
    <w:pPr>
      <w:numPr>
        <w:ilvl w:val="6"/>
        <w:numId w:val="37"/>
      </w:numPr>
    </w:pPr>
  </w:style>
  <w:style w:type="paragraph" w:customStyle="1" w:styleId="Point0letter">
    <w:name w:val="Point 0 (letter)"/>
    <w:basedOn w:val="Normal"/>
    <w:pPr>
      <w:numPr>
        <w:ilvl w:val="1"/>
        <w:numId w:val="37"/>
      </w:numPr>
    </w:pPr>
  </w:style>
  <w:style w:type="paragraph" w:customStyle="1" w:styleId="Point1letter">
    <w:name w:val="Point 1 (letter)"/>
    <w:basedOn w:val="Normal"/>
    <w:pPr>
      <w:numPr>
        <w:ilvl w:val="3"/>
        <w:numId w:val="37"/>
      </w:numPr>
    </w:pPr>
  </w:style>
  <w:style w:type="paragraph" w:customStyle="1" w:styleId="Point2letter">
    <w:name w:val="Point 2 (letter)"/>
    <w:basedOn w:val="Normal"/>
    <w:pPr>
      <w:numPr>
        <w:ilvl w:val="5"/>
        <w:numId w:val="37"/>
      </w:numPr>
    </w:pPr>
  </w:style>
  <w:style w:type="paragraph" w:customStyle="1" w:styleId="Point3letter">
    <w:name w:val="Point 3 (letter)"/>
    <w:basedOn w:val="Normal"/>
    <w:pPr>
      <w:numPr>
        <w:ilvl w:val="7"/>
        <w:numId w:val="37"/>
      </w:numPr>
    </w:pPr>
  </w:style>
  <w:style w:type="paragraph" w:customStyle="1" w:styleId="Point4letter">
    <w:name w:val="Point 4 (letter)"/>
    <w:basedOn w:val="Normal"/>
    <w:pPr>
      <w:numPr>
        <w:ilvl w:val="8"/>
        <w:numId w:val="37"/>
      </w:numPr>
    </w:pPr>
  </w:style>
  <w:style w:type="paragraph" w:customStyle="1" w:styleId="Bullet0">
    <w:name w:val="Bullet 0"/>
    <w:basedOn w:val="Normal"/>
    <w:pPr>
      <w:numPr>
        <w:numId w:val="38"/>
      </w:numPr>
    </w:pPr>
  </w:style>
  <w:style w:type="paragraph" w:customStyle="1" w:styleId="Bullet1">
    <w:name w:val="Bullet 1"/>
    <w:basedOn w:val="Normal"/>
    <w:pPr>
      <w:numPr>
        <w:numId w:val="39"/>
      </w:numPr>
    </w:pPr>
  </w:style>
  <w:style w:type="paragraph" w:customStyle="1" w:styleId="Bullet2">
    <w:name w:val="Bullet 2"/>
    <w:basedOn w:val="Normal"/>
    <w:pPr>
      <w:numPr>
        <w:numId w:val="40"/>
      </w:numPr>
    </w:pPr>
  </w:style>
  <w:style w:type="paragraph" w:customStyle="1" w:styleId="Bullet3">
    <w:name w:val="Bullet 3"/>
    <w:basedOn w:val="Normal"/>
    <w:pPr>
      <w:numPr>
        <w:numId w:val="41"/>
      </w:numPr>
    </w:pPr>
  </w:style>
  <w:style w:type="paragraph" w:customStyle="1" w:styleId="Bullet4">
    <w:name w:val="Bullet 4"/>
    <w:basedOn w:val="Normal"/>
    <w:pPr>
      <w:numPr>
        <w:numId w:val="4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48416">
      <w:bodyDiv w:val="1"/>
      <w:marLeft w:val="0"/>
      <w:marRight w:val="0"/>
      <w:marTop w:val="0"/>
      <w:marBottom w:val="0"/>
      <w:divBdr>
        <w:top w:val="none" w:sz="0" w:space="0" w:color="auto"/>
        <w:left w:val="none" w:sz="0" w:space="0" w:color="auto"/>
        <w:bottom w:val="none" w:sz="0" w:space="0" w:color="auto"/>
        <w:right w:val="none" w:sz="0" w:space="0" w:color="auto"/>
      </w:divBdr>
    </w:div>
    <w:div w:id="711611223">
      <w:bodyDiv w:val="1"/>
      <w:marLeft w:val="0"/>
      <w:marRight w:val="0"/>
      <w:marTop w:val="0"/>
      <w:marBottom w:val="0"/>
      <w:divBdr>
        <w:top w:val="none" w:sz="0" w:space="0" w:color="auto"/>
        <w:left w:val="none" w:sz="0" w:space="0" w:color="auto"/>
        <w:bottom w:val="none" w:sz="0" w:space="0" w:color="auto"/>
        <w:right w:val="none" w:sz="0" w:space="0" w:color="auto"/>
      </w:divBdr>
    </w:div>
    <w:div w:id="729697649">
      <w:bodyDiv w:val="1"/>
      <w:marLeft w:val="0"/>
      <w:marRight w:val="0"/>
      <w:marTop w:val="0"/>
      <w:marBottom w:val="0"/>
      <w:divBdr>
        <w:top w:val="none" w:sz="0" w:space="0" w:color="auto"/>
        <w:left w:val="none" w:sz="0" w:space="0" w:color="auto"/>
        <w:bottom w:val="none" w:sz="0" w:space="0" w:color="auto"/>
        <w:right w:val="none" w:sz="0" w:space="0" w:color="auto"/>
      </w:divBdr>
    </w:div>
    <w:div w:id="740518435">
      <w:bodyDiv w:val="1"/>
      <w:marLeft w:val="0"/>
      <w:marRight w:val="0"/>
      <w:marTop w:val="0"/>
      <w:marBottom w:val="0"/>
      <w:divBdr>
        <w:top w:val="none" w:sz="0" w:space="0" w:color="auto"/>
        <w:left w:val="none" w:sz="0" w:space="0" w:color="auto"/>
        <w:bottom w:val="none" w:sz="0" w:space="0" w:color="auto"/>
        <w:right w:val="none" w:sz="0" w:space="0" w:color="auto"/>
      </w:divBdr>
    </w:div>
    <w:div w:id="1034887127">
      <w:bodyDiv w:val="1"/>
      <w:marLeft w:val="0"/>
      <w:marRight w:val="0"/>
      <w:marTop w:val="0"/>
      <w:marBottom w:val="0"/>
      <w:divBdr>
        <w:top w:val="none" w:sz="0" w:space="0" w:color="auto"/>
        <w:left w:val="none" w:sz="0" w:space="0" w:color="auto"/>
        <w:bottom w:val="none" w:sz="0" w:space="0" w:color="auto"/>
        <w:right w:val="none" w:sz="0" w:space="0" w:color="auto"/>
      </w:divBdr>
    </w:div>
    <w:div w:id="1151827816">
      <w:bodyDiv w:val="1"/>
      <w:marLeft w:val="0"/>
      <w:marRight w:val="0"/>
      <w:marTop w:val="0"/>
      <w:marBottom w:val="0"/>
      <w:divBdr>
        <w:top w:val="none" w:sz="0" w:space="0" w:color="auto"/>
        <w:left w:val="none" w:sz="0" w:space="0" w:color="auto"/>
        <w:bottom w:val="none" w:sz="0" w:space="0" w:color="auto"/>
        <w:right w:val="none" w:sz="0" w:space="0" w:color="auto"/>
      </w:divBdr>
    </w:div>
    <w:div w:id="1552031841">
      <w:bodyDiv w:val="1"/>
      <w:marLeft w:val="0"/>
      <w:marRight w:val="0"/>
      <w:marTop w:val="0"/>
      <w:marBottom w:val="0"/>
      <w:divBdr>
        <w:top w:val="none" w:sz="0" w:space="0" w:color="auto"/>
        <w:left w:val="none" w:sz="0" w:space="0" w:color="auto"/>
        <w:bottom w:val="none" w:sz="0" w:space="0" w:color="auto"/>
        <w:right w:val="none" w:sz="0" w:space="0" w:color="auto"/>
      </w:divBdr>
    </w:div>
    <w:div w:id="1598559586">
      <w:bodyDiv w:val="1"/>
      <w:marLeft w:val="0"/>
      <w:marRight w:val="0"/>
      <w:marTop w:val="0"/>
      <w:marBottom w:val="0"/>
      <w:divBdr>
        <w:top w:val="none" w:sz="0" w:space="0" w:color="auto"/>
        <w:left w:val="none" w:sz="0" w:space="0" w:color="auto"/>
        <w:bottom w:val="none" w:sz="0" w:space="0" w:color="auto"/>
        <w:right w:val="none" w:sz="0" w:space="0" w:color="auto"/>
      </w:divBdr>
    </w:div>
    <w:div w:id="1845706332">
      <w:bodyDiv w:val="1"/>
      <w:marLeft w:val="0"/>
      <w:marRight w:val="0"/>
      <w:marTop w:val="0"/>
      <w:marBottom w:val="0"/>
      <w:divBdr>
        <w:top w:val="none" w:sz="0" w:space="0" w:color="auto"/>
        <w:left w:val="none" w:sz="0" w:space="0" w:color="auto"/>
        <w:bottom w:val="none" w:sz="0" w:space="0" w:color="auto"/>
        <w:right w:val="none" w:sz="0" w:space="0" w:color="auto"/>
      </w:divBdr>
    </w:div>
    <w:div w:id="2042125643">
      <w:bodyDiv w:val="1"/>
      <w:marLeft w:val="0"/>
      <w:marRight w:val="0"/>
      <w:marTop w:val="0"/>
      <w:marBottom w:val="0"/>
      <w:divBdr>
        <w:top w:val="none" w:sz="0" w:space="0" w:color="auto"/>
        <w:left w:val="none" w:sz="0" w:space="0" w:color="auto"/>
        <w:bottom w:val="none" w:sz="0" w:space="0" w:color="auto"/>
        <w:right w:val="none" w:sz="0" w:space="0" w:color="auto"/>
      </w:divBdr>
    </w:div>
    <w:div w:id="2047632757">
      <w:bodyDiv w:val="1"/>
      <w:marLeft w:val="0"/>
      <w:marRight w:val="0"/>
      <w:marTop w:val="0"/>
      <w:marBottom w:val="0"/>
      <w:divBdr>
        <w:top w:val="none" w:sz="0" w:space="0" w:color="auto"/>
        <w:left w:val="none" w:sz="0" w:space="0" w:color="auto"/>
        <w:bottom w:val="none" w:sz="0" w:space="0" w:color="auto"/>
        <w:right w:val="none" w:sz="0" w:space="0" w:color="auto"/>
      </w:divBdr>
    </w:div>
    <w:div w:id="206655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F93C8C3BBABA488B15057D292843ED" ma:contentTypeVersion="20" ma:contentTypeDescription="Create a new document." ma:contentTypeScope="" ma:versionID="94c0ddc46370a5a687e48f411999fae3">
  <xsd:schema xmlns:xsd="http://www.w3.org/2001/XMLSchema" xmlns:xs="http://www.w3.org/2001/XMLSchema" xmlns:p="http://schemas.microsoft.com/office/2006/metadata/properties" xmlns:ns2="ed3db0c3-9325-49a3-a314-b2835b638b83" xmlns:ns3="013aa35d-30e5-41d1-9a7b-1c862c539650" targetNamespace="http://schemas.microsoft.com/office/2006/metadata/properties" ma:root="true" ma:fieldsID="61699b42c78fd24707e8ceaa82f3955b" ns2:_="" ns3:_="">
    <xsd:import namespace="ed3db0c3-9325-49a3-a314-b2835b638b83"/>
    <xsd:import namespace="013aa35d-30e5-41d1-9a7b-1c862c539650"/>
    <xsd:element name="properties">
      <xsd:complexType>
        <xsd:sequence>
          <xsd:element name="documentManagement">
            <xsd:complexType>
              <xsd:all>
                <xsd:element ref="ns2:Author0" minOccurs="0"/>
                <xsd:element ref="ns2:Year" minOccurs="0"/>
                <xsd:element ref="ns2:FreeText" minOccurs="0"/>
                <xsd:element ref="ns2:Accesslevel" minOccurs="0"/>
                <xsd:element ref="ns2:Step" minOccurs="0"/>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Sensitive" minOccurs="0"/>
                <xsd:element ref="ns2:Openpoints" minOccurs="0"/>
                <xsd:element ref="ns2:MediaServiceOCR"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3db0c3-9325-49a3-a314-b2835b638b83" elementFormDefault="qualified">
    <xsd:import namespace="http://schemas.microsoft.com/office/2006/documentManagement/types"/>
    <xsd:import namespace="http://schemas.microsoft.com/office/infopath/2007/PartnerControls"/>
    <xsd:element name="Author0" ma:index="8" nillable="true" ma:displayName="Author" ma:description="Select the lead author of this file" ma:format="Dropdown" ma:list="UserInfo" ma:SharePointGroup="0" ma:internalName="Author0">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Year" ma:index="9" nillable="true" ma:displayName="Year" ma:description="Add the year in which the file was created" ma:format="Dropdown" ma:internalName="Year">
      <xsd:simpleType>
        <xsd:restriction base="dms:Choice">
          <xsd:enumeration value="2023"/>
          <xsd:enumeration value="2024"/>
          <xsd:enumeration value="2025"/>
          <xsd:enumeration value="2026"/>
        </xsd:restriction>
      </xsd:simpleType>
    </xsd:element>
    <xsd:element name="FreeText" ma:index="10" nillable="true" ma:displayName="DG/programe" ma:description="Use this for a comment on the file" ma:format="Dropdown" ma:internalName="FreeText">
      <xsd:simpleType>
        <xsd:restriction base="dms:Text">
          <xsd:maxLength value="255"/>
        </xsd:restriction>
      </xsd:simpleType>
    </xsd:element>
    <xsd:element name="Accesslevel" ma:index="11" nillable="true" ma:displayName="Access level Information" ma:default="A.1 only" ma:description="indicate which level of access has been granted to this file/folder" ma:format="Dropdown" ma:internalName="Accesslevel">
      <xsd:simpleType>
        <xsd:restriction base="dms:Choice">
          <xsd:enumeration value="A.1 only"/>
          <xsd:enumeration value="Ax"/>
          <xsd:enumeration value="BUDG"/>
          <xsd:enumeration value="COM"/>
          <xsd:enumeration value="External"/>
        </xsd:restriction>
      </xsd:simpleType>
    </xsd:element>
    <xsd:element name="Step" ma:index="12" nillable="true" ma:displayName="Step" ma:description="Step in the annual budgetary procedure" ma:format="Dropdown" ma:internalName="Step">
      <xsd:simpleType>
        <xsd:restriction base="dms:Choice">
          <xsd:enumeration value="dab_01"/>
          <xsd:enumeration value="dab_02"/>
          <xsd:enumeration value="dab_03"/>
          <xsd:enumeration value="dab_04"/>
          <xsd:enumeration value="dab_05"/>
          <xsd:enumeration value="dab_06"/>
          <xsd:enumeration value="dab_07"/>
          <xsd:enumeration value="dab_08"/>
          <xsd:enumeration value="dab_09"/>
          <xsd:enumeration value="dab_10"/>
          <xsd:enumeration value="hearings"/>
          <xsd:enumeration value="draft_budget_1"/>
          <xsd:enumeration value="parliament_1"/>
          <xsd:enumeration value="council_1"/>
          <xsd:enumeration value="amending_letter_1"/>
          <xsd:enumeration value="amending_letter_2"/>
          <xsd:enumeration value="draft_budget_2"/>
          <xsd:enumeration value="parliament_2"/>
          <xsd:enumeration value="council_2"/>
          <xsd:enumeration value="budget"/>
          <xsd:enumeration value="tufp"/>
          <xsd:enumeration value="other"/>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Sensitive" ma:index="24" nillable="true" ma:displayName="Sensitive " ma:default="0" ma:format="Dropdown" ma:internalName="Sensitive">
      <xsd:simpleType>
        <xsd:restriction base="dms:Boolean"/>
      </xsd:simpleType>
    </xsd:element>
    <xsd:element name="Openpoints" ma:index="25" nillable="true" ma:displayName="Open points" ma:default="0" ma:format="Dropdown" ma:internalName="Openpoints">
      <xsd:simpleType>
        <xsd:restriction base="dms:Boolean"/>
      </xsd:simpleType>
    </xsd:element>
    <xsd:element name="MediaServiceOCR" ma:index="26" nillable="true" ma:displayName="Extracted Text" ma:internalName="MediaServiceOCR" ma:readOnly="true">
      <xsd:simpleType>
        <xsd:restriction base="dms:Note">
          <xsd:maxLength value="255"/>
        </xsd:restriction>
      </xsd:simpleType>
    </xsd:element>
    <xsd:element name="Date" ma:index="27" nillable="true" ma:displayName="Date" ma:format="DateOnly" ma:indexed="true"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13aa35d-30e5-41d1-9a7b-1c862c53965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89c4d62-6c3e-41b7-a1c5-852ed6395684}" ma:internalName="TaxCatchAll" ma:showField="CatchAllData" ma:web="013aa35d-30e5-41d1-9a7b-1c862c5396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d3db0c3-9325-49a3-a314-b2835b638b83">
      <Terms xmlns="http://schemas.microsoft.com/office/infopath/2007/PartnerControls"/>
    </lcf76f155ced4ddcb4097134ff3c332f>
    <TaxCatchAll xmlns="013aa35d-30e5-41d1-9a7b-1c862c539650" xsi:nil="true"/>
    <Step xmlns="ed3db0c3-9325-49a3-a314-b2835b638b83" xsi:nil="true"/>
    <FreeText xmlns="ed3db0c3-9325-49a3-a314-b2835b638b83" xsi:nil="true"/>
    <Sensitive xmlns="ed3db0c3-9325-49a3-a314-b2835b638b83">false</Sensitive>
    <Year xmlns="ed3db0c3-9325-49a3-a314-b2835b638b83" xsi:nil="true"/>
    <Accesslevel xmlns="ed3db0c3-9325-49a3-a314-b2835b638b83">A.1 only</Accesslevel>
    <Openpoints xmlns="ed3db0c3-9325-49a3-a314-b2835b638b83">false</Openpoints>
    <Author0 xmlns="ed3db0c3-9325-49a3-a314-b2835b638b83">
      <UserInfo>
        <DisplayName/>
        <AccountId xsi:nil="true"/>
        <AccountType/>
      </UserInfo>
    </Author0>
    <Date xmlns="ed3db0c3-9325-49a3-a314-b2835b638b83" xsi:nil="true"/>
  </documentManagement>
</p:properties>
</file>

<file path=customXml/itemProps1.xml><?xml version="1.0" encoding="utf-8"?>
<ds:datastoreItem xmlns:ds="http://schemas.openxmlformats.org/officeDocument/2006/customXml" ds:itemID="{33BF1DA2-0FBE-4CE9-9A42-2A5C360CC1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3db0c3-9325-49a3-a314-b2835b638b83"/>
    <ds:schemaRef ds:uri="013aa35d-30e5-41d1-9a7b-1c862c5396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A668AA-A246-4721-86EF-18772F8A59B1}">
  <ds:schemaRefs>
    <ds:schemaRef ds:uri="http://schemas.microsoft.com/sharepoint/v3/contenttype/forms"/>
  </ds:schemaRefs>
</ds:datastoreItem>
</file>

<file path=customXml/itemProps3.xml><?xml version="1.0" encoding="utf-8"?>
<ds:datastoreItem xmlns:ds="http://schemas.openxmlformats.org/officeDocument/2006/customXml" ds:itemID="{50E5331B-FCDE-4EA0-B1E9-85E5C73596BE}">
  <ds:schemaRefs>
    <ds:schemaRef ds:uri="http://schemas.openxmlformats.org/officeDocument/2006/bibliography"/>
  </ds:schemaRefs>
</ds:datastoreItem>
</file>

<file path=customXml/itemProps4.xml><?xml version="1.0" encoding="utf-8"?>
<ds:datastoreItem xmlns:ds="http://schemas.openxmlformats.org/officeDocument/2006/customXml" ds:itemID="{77DF5D4A-1E8D-48D1-A1A1-D0E8B3B37683}">
  <ds:schemaRefs>
    <ds:schemaRef ds:uri="http://schemas.microsoft.com/office/2006/metadata/properties"/>
    <ds:schemaRef ds:uri="http://schemas.microsoft.com/office/infopath/2007/PartnerControls"/>
    <ds:schemaRef ds:uri="ed3db0c3-9325-49a3-a314-b2835b638b83"/>
    <ds:schemaRef ds:uri="013aa35d-30e5-41d1-9a7b-1c862c539650"/>
  </ds:schemaRefs>
</ds:datastoreItem>
</file>

<file path=docProps/app.xml><?xml version="1.0" encoding="utf-8"?>
<Properties xmlns="http://schemas.openxmlformats.org/officeDocument/2006/extended-properties" xmlns:vt="http://schemas.openxmlformats.org/officeDocument/2006/docPropsVTypes">
  <Template>COM.dotm</Template>
  <TotalTime>353</TotalTime>
  <Pages>6</Pages>
  <Words>4103</Words>
  <Characters>23391</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27440</CharactersWithSpaces>
  <SharedDoc>false</SharedDoc>
  <HLinks>
    <vt:vector size="6" baseType="variant">
      <vt:variant>
        <vt:i4>8323139</vt:i4>
      </vt:variant>
      <vt:variant>
        <vt:i4>0</vt:i4>
      </vt:variant>
      <vt:variant>
        <vt:i4>0</vt:i4>
      </vt:variant>
      <vt:variant>
        <vt:i4>5</vt:i4>
      </vt:variant>
      <vt:variant>
        <vt:lpwstr>https://eur-lex.europa.eu/legal-content/EN/TXT/PDF/?uri=OJ:L_202601809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38</cp:revision>
  <cp:lastPrinted>2026-09-07T09:08:00Z</cp:lastPrinted>
  <dcterms:created xsi:type="dcterms:W3CDTF">2026-09-07T11:33:00Z</dcterms:created>
  <dcterms:modified xsi:type="dcterms:W3CDTF">2026-09-24T14:14:00Z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2022-09-30T17:04:04Z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5c823862-67af-45e0-bec6-febb547b10cd</vt:lpwstr>
  </property>
  <property fmtid="{D5CDD505-2E9C-101B-9397-08002B2CF9AE}" pid="16" name="MSIP_Label_6bd9ddd1-4d20-43f6-abfa-fc3c07406f94_ContentBits">
    <vt:lpwstr>0</vt:lpwstr>
  </property>
  <property fmtid="{D5CDD505-2E9C-101B-9397-08002B2CF9AE}" pid="17" name="MediaServiceImageTags">
    <vt:lpwstr/>
  </property>
  <property fmtid="{D5CDD505-2E9C-101B-9397-08002B2CF9AE}" pid="18" name="ContentTypeId">
    <vt:lpwstr>0x010100E4F93C8C3BBABA488B15057D292843ED</vt:lpwstr>
  </property>
  <property fmtid="{D5CDD505-2E9C-101B-9397-08002B2CF9AE}" pid="19" name="DQCStatus">
    <vt:lpwstr>Green (DQC version 03)</vt:lpwstr>
  </property>
</Properties>
</file>