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76D6A" w14:textId="31B2DEEF" w:rsidR="00671023" w:rsidRPr="008A49B6" w:rsidRDefault="004B0DD5" w:rsidP="004B0DD5">
      <w:pPr>
        <w:pStyle w:val="Pagedecouverture"/>
        <w:rPr>
          <w:noProof/>
        </w:rPr>
      </w:pPr>
      <w:bookmarkStart w:id="0" w:name="_Toc21600498"/>
      <w:bookmarkStart w:id="1" w:name="_Toc21618407"/>
      <w:bookmarkStart w:id="2" w:name="LW_BM_COVERPAGE"/>
      <w:r>
        <w:rPr>
          <w:noProof/>
        </w:rPr>
        <w:pict w14:anchorId="117B5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DC1D82-9A66-490B-A6B6-A1868CA27E74" style="width:455.25pt;height:438pt">
            <v:imagedata r:id="rId11" o:title=""/>
          </v:shape>
        </w:pict>
      </w:r>
    </w:p>
    <w:bookmarkEnd w:id="2"/>
    <w:p w14:paraId="2F2D2DF0" w14:textId="77777777" w:rsidR="00671023" w:rsidRPr="008A49B6" w:rsidRDefault="00671023" w:rsidP="00671023">
      <w:pPr>
        <w:spacing w:after="120" w:line="23" w:lineRule="atLeast"/>
        <w:rPr>
          <w:noProof/>
        </w:rPr>
        <w:sectPr w:rsidR="00671023" w:rsidRPr="008A49B6" w:rsidSect="004B0DD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5D634EE4" w14:textId="3ACFDA12" w:rsidR="00671023" w:rsidRPr="008A49B6" w:rsidRDefault="00671023" w:rsidP="002B156C">
      <w:pPr>
        <w:pStyle w:val="TOCHeading"/>
        <w:rPr>
          <w:noProof/>
        </w:rPr>
      </w:pPr>
      <w:bookmarkStart w:id="3" w:name="_Toc25854784"/>
      <w:bookmarkStart w:id="4" w:name="_Toc25446676"/>
      <w:bookmarkStart w:id="5" w:name="_Toc25533747"/>
      <w:bookmarkStart w:id="6" w:name="_GoBack"/>
      <w:bookmarkEnd w:id="0"/>
      <w:bookmarkEnd w:id="1"/>
      <w:bookmarkEnd w:id="6"/>
    </w:p>
    <w:p w14:paraId="45D67258" w14:textId="77777777" w:rsidR="00671023" w:rsidRPr="008A49B6" w:rsidRDefault="00671023" w:rsidP="00AD2038">
      <w:pPr>
        <w:pStyle w:val="Heading1"/>
        <w:keepLines w:val="0"/>
        <w:numPr>
          <w:ilvl w:val="0"/>
          <w:numId w:val="40"/>
        </w:numPr>
        <w:tabs>
          <w:tab w:val="num" w:pos="482"/>
        </w:tabs>
        <w:spacing w:before="240" w:after="120" w:line="23" w:lineRule="atLeast"/>
        <w:ind w:left="482" w:hanging="482"/>
        <w:rPr>
          <w:rFonts w:ascii="Times New Roman" w:eastAsia="Times New Roman" w:hAnsi="Times New Roman" w:cs="Times New Roman"/>
          <w:b/>
          <w:smallCaps/>
          <w:noProof/>
          <w:color w:val="000000" w:themeColor="text1"/>
          <w:sz w:val="24"/>
          <w:szCs w:val="20"/>
          <w14:ligatures w14:val="none"/>
        </w:rPr>
      </w:pPr>
      <w:bookmarkStart w:id="7" w:name="_Toc206610415"/>
      <w:r>
        <w:rPr>
          <w:rFonts w:ascii="Times New Roman" w:hAnsi="Times New Roman"/>
          <w:b/>
          <w:smallCaps/>
          <w:noProof/>
          <w:color w:val="000000" w:themeColor="text1"/>
          <w:sz w:val="24"/>
        </w:rPr>
        <w:t>Introduction</w:t>
      </w:r>
      <w:bookmarkEnd w:id="7"/>
      <w:r>
        <w:rPr>
          <w:rFonts w:ascii="Times New Roman" w:hAnsi="Times New Roman"/>
          <w:b/>
          <w:smallCaps/>
          <w:noProof/>
          <w:color w:val="000000" w:themeColor="text1"/>
          <w:sz w:val="24"/>
        </w:rPr>
        <w:t xml:space="preserve"> </w:t>
      </w:r>
      <w:bookmarkEnd w:id="3"/>
      <w:bookmarkEnd w:id="4"/>
      <w:bookmarkEnd w:id="5"/>
    </w:p>
    <w:p w14:paraId="4EED7AED" w14:textId="278D4708" w:rsidR="00671023" w:rsidRPr="008A49B6" w:rsidRDefault="00671023" w:rsidP="2578396B">
      <w:pPr>
        <w:spacing w:after="120" w:line="23" w:lineRule="atLeast"/>
        <w:rPr>
          <w:noProof/>
        </w:rPr>
      </w:pPr>
      <w:bookmarkStart w:id="8" w:name="_Toc21618408"/>
      <w:r>
        <w:rPr>
          <w:noProof/>
        </w:rPr>
        <w:t>Chaque année, les routes de l’Union européenne font près de 20 000 morts, un bilan dévastateur qui n’est pas simplement une statistique, mais une réalité qui déchire des familles, plonge des communautés dans le deuil et gaspille à jamais un potentiel humain incommensurable. Jusqu’à cinq fois plus de personnes, soit 100 000, subissent des blessures sur les routes qui modifient fondamentalement le cours de leur existence. Ces blessures qui bouleversent la vie entraînent souvent une invalidité permanente, des douleurs chroniques et la perte des moyens de subsistance; elles ont de profondes répercussions sur la qualité de vie, qui vont bien au-delà des victimes directes et touchent également les familles, les aidants et les réseaux sociaux au sens large.</w:t>
      </w:r>
    </w:p>
    <w:p w14:paraId="0791B197" w14:textId="43DAD588" w:rsidR="00671023" w:rsidRPr="008A49B6" w:rsidRDefault="00671023" w:rsidP="534C8FBB">
      <w:pPr>
        <w:rPr>
          <w:noProof/>
        </w:rPr>
      </w:pPr>
      <w:r>
        <w:rPr>
          <w:noProof/>
        </w:rPr>
        <w:t>Le coût humain des accidents de la route est la dimension la plus visible et la plus tragique. S’y ajoute leur lourd impact économique; en termes monétaires, le coût des accidents de la route dans l’Union a été estimé à 2 % du PIB annuel</w:t>
      </w:r>
      <w:r>
        <w:rPr>
          <w:rStyle w:val="FootnoteReference"/>
          <w:rFonts w:eastAsia="Verdana"/>
          <w:noProof/>
        </w:rPr>
        <w:footnoteReference w:id="2"/>
      </w:r>
      <w:r>
        <w:rPr>
          <w:noProof/>
        </w:rPr>
        <w:t xml:space="preserve">. Ces ressources pourraient, autrement, financer l’innovation, l’éducation, les soins de santé et d’autres investissements publics essentiels. La sécurité routière devrait être un pilier de la compétitivité économique de l’Union, car elle a une incidence directe sur l’efficacité des flux de marchandises et de main-d’œuvre, ainsi que sur les coûts d’exploitation des entreprises dans tous les secteurs. </w:t>
      </w:r>
    </w:p>
    <w:p w14:paraId="126B488D" w14:textId="3D6B7D75" w:rsidR="00BC21BD" w:rsidRPr="008A49B6" w:rsidRDefault="00574E56" w:rsidP="00BC21BD">
      <w:pPr>
        <w:spacing w:after="120" w:line="23" w:lineRule="atLeast"/>
        <w:rPr>
          <w:noProof/>
        </w:rPr>
      </w:pPr>
      <w:r>
        <w:rPr>
          <w:noProof/>
        </w:rPr>
        <w:t>Une transition vers une mobilité plus sûre et plus durable est également essentielle pour maintenir la primauté industrielle et la compétitivité de l’Union sur les marchés mondiaux</w:t>
      </w:r>
      <w:r>
        <w:rPr>
          <w:rStyle w:val="FootnoteReference"/>
          <w:noProof/>
        </w:rPr>
        <w:footnoteReference w:id="3"/>
      </w:r>
      <w:r>
        <w:rPr>
          <w:noProof/>
        </w:rPr>
        <w:t xml:space="preserve">. Les constructeurs automobiles européens et leurs réseaux de fournisseurs sont à l’avant-garde du développement de technologies de sécurité avancées, allant des systèmes autonomes de freinage d’urgence à la connectivité des véhicules, positionnant ainsi l’Union en tant que chef de file mondial en matière d’innovation dans le domaine de la sécurité automobile. Les engagements en faveur de la sécurité routière permettent non seulement de sauver des vies, mais aussi de stimuler le progrès technologique, de créer des emplois hautement qualifiés et de maintenir l’avantage concurrentiel de l’Union sur un marché automobile mondial en pleine évolution. Les investissements dans la sécurité routière contribuent également à la préparation et à la résilience de l’Union en préservant la continuité et la fiabilité des infrastructures routières critiques et des services connexes, en particulier lorsque les corridors et les nœuds routiers répondent à la fois aux besoins civils et aux besoins en matière de défense. </w:t>
      </w:r>
    </w:p>
    <w:p w14:paraId="4438F9E8" w14:textId="5AF6A1D2" w:rsidR="00671023" w:rsidRPr="008A49B6" w:rsidRDefault="00671023" w:rsidP="00671023">
      <w:pPr>
        <w:spacing w:after="120" w:line="23" w:lineRule="atLeast"/>
        <w:rPr>
          <w:noProof/>
        </w:rPr>
      </w:pPr>
      <w:r>
        <w:rPr>
          <w:noProof/>
        </w:rPr>
        <w:t>L’Union et ses États membres sont fermement engagés en faveur de la sécurité routière. Au niveau de l’Union, cet engagement s’est récemment traduit par l’adoption du cadre politique de l’UE en matière de sécurité routière pour la décennie d’action 2021-2030</w:t>
      </w:r>
      <w:r>
        <w:rPr>
          <w:rStyle w:val="FootnoteReference"/>
          <w:noProof/>
        </w:rPr>
        <w:footnoteReference w:id="4"/>
      </w:r>
      <w:r>
        <w:rPr>
          <w:noProof/>
        </w:rPr>
        <w:t>, qui réaffirme les objectifs communs visant à réduire de moitié le nombre de décès et de blessures graves sur les routes d’ici à 2030</w:t>
      </w:r>
      <w:r>
        <w:rPr>
          <w:rStyle w:val="FootnoteReference"/>
          <w:noProof/>
        </w:rPr>
        <w:footnoteReference w:id="5"/>
      </w:r>
      <w:r>
        <w:rPr>
          <w:noProof/>
        </w:rPr>
        <w:t xml:space="preserve"> et à atteindre la «Vision zéro», c’est-à-dire à tendre vers l’élimination totale des décès sur les routes d’ici à 2050. Pour atteindre ces objectifs, les États membres ont adopté et mis en œuvre des stratégies nationales, des plans d’action et d’autres formes d’engagement, telles que des accords interministériels et des structures de coopération fédérales. </w:t>
      </w:r>
    </w:p>
    <w:p w14:paraId="58D80FD2" w14:textId="7D92BFD7" w:rsidR="00671023" w:rsidRPr="008A49B6" w:rsidRDefault="00671023" w:rsidP="00671023">
      <w:pPr>
        <w:spacing w:after="120" w:line="23" w:lineRule="atLeast"/>
        <w:rPr>
          <w:bCs/>
          <w:noProof/>
        </w:rPr>
      </w:pPr>
      <w:r>
        <w:rPr>
          <w:noProof/>
        </w:rPr>
        <w:t>Le cadre politique de l’UE en matière de sécurité routière pour la décennie d’action 2021-2030 a suivi les principaux domaines prioritaires de la philosophie dite du «système sûr», notamment des routes et des bords de route plus sûrs, des véhicules plus sûrs, une utilisation plus sûre des routes, une meilleure réaction après un accident et une meilleure collecte et analyse des données. Il a souligné l’importance cruciale de s’attaquer aux principaux facteurs de risque – excès de vitesse, conduite en état d’ivresse, distraction et non-utilisation des équipements de protection – tout en accordant une attention particulière aux usagers vulnérables de la route tels que les piétons, les cyclistes et les motocyclistes.</w:t>
      </w:r>
    </w:p>
    <w:p w14:paraId="73E3E39F" w14:textId="47626FD2" w:rsidR="00671023" w:rsidRPr="008A49B6" w:rsidRDefault="00671023" w:rsidP="00671023">
      <w:pPr>
        <w:spacing w:after="120" w:line="23" w:lineRule="atLeast"/>
        <w:rPr>
          <w:bCs/>
          <w:noProof/>
        </w:rPr>
      </w:pPr>
      <w:r>
        <w:rPr>
          <w:noProof/>
        </w:rPr>
        <w:t>La présente communication est un rapport à mi-parcours sur les progrès accomplis dans la réalisation des objectifs de l’Union en matière de sécurité routière, qui fait le point sur l’évolution de la situation depuis 2019, recense les défis émergents qui n’ont pas été pleinement anticipés par le cadre initial et propose des ajustements pour faire en sorte que l’Union reste sur la bonne voie pour atteindre ses objectifs pour 2030. L’analyse qui en ressort révèle des progrès encourageants dans certains domaines, mais met également en évidence certaines lacunes importantes qui nécessitent une attention immédiate et une action renforcée pour sauver des vies, réduire la charge économique et renforcer la compétitivité de l’Union.</w:t>
      </w:r>
    </w:p>
    <w:p w14:paraId="06C50A5D" w14:textId="77777777" w:rsidR="00671023" w:rsidRPr="008A49B6" w:rsidRDefault="00671023" w:rsidP="00AD203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9" w:name="_Toc25673410"/>
      <w:bookmarkStart w:id="10" w:name="_Toc25673458"/>
      <w:bookmarkStart w:id="11" w:name="_Toc25673411"/>
      <w:bookmarkStart w:id="12" w:name="_Toc25673459"/>
      <w:bookmarkStart w:id="13" w:name="_Toc25673412"/>
      <w:bookmarkStart w:id="14" w:name="_Toc25673460"/>
      <w:bookmarkStart w:id="15" w:name="_Toc25673414"/>
      <w:bookmarkStart w:id="16" w:name="_Toc25673462"/>
      <w:bookmarkStart w:id="17" w:name="_Toc25673415"/>
      <w:bookmarkStart w:id="18" w:name="_Toc25673463"/>
      <w:bookmarkStart w:id="19" w:name="_Toc25673416"/>
      <w:bookmarkStart w:id="20" w:name="_Toc25673464"/>
      <w:bookmarkStart w:id="21" w:name="_Toc25673417"/>
      <w:bookmarkStart w:id="22" w:name="_Toc25673465"/>
      <w:bookmarkStart w:id="23" w:name="_Toc25673418"/>
      <w:bookmarkStart w:id="24" w:name="_Toc25673466"/>
      <w:bookmarkStart w:id="25" w:name="_Toc25673419"/>
      <w:bookmarkStart w:id="26" w:name="_Toc25673467"/>
      <w:bookmarkStart w:id="27" w:name="_Toc25527645"/>
      <w:bookmarkStart w:id="28" w:name="_Toc25531517"/>
      <w:bookmarkStart w:id="29" w:name="_Toc25533748"/>
      <w:bookmarkStart w:id="30" w:name="_Toc25533799"/>
      <w:bookmarkStart w:id="31" w:name="_Toc25535152"/>
      <w:bookmarkStart w:id="32" w:name="_Toc23855508"/>
      <w:bookmarkStart w:id="33" w:name="_Toc23855545"/>
      <w:bookmarkStart w:id="34" w:name="_Toc23855581"/>
      <w:bookmarkStart w:id="35" w:name="_Toc25673422"/>
      <w:bookmarkStart w:id="36" w:name="_Toc25673470"/>
      <w:bookmarkStart w:id="37" w:name="_Toc25673575"/>
      <w:bookmarkStart w:id="38" w:name="_Toc24475290"/>
      <w:bookmarkStart w:id="39" w:name="_Toc206610416"/>
      <w:bookmarkStart w:id="40" w:name="_Toc24044210"/>
      <w:bookmarkStart w:id="41" w:name="_Toc25446678"/>
      <w:bookmarkStart w:id="42" w:name="_Toc25533750"/>
      <w:bookmarkStart w:id="43" w:name="_Toc25685794"/>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Fonts w:ascii="Times New Roman" w:hAnsi="Times New Roman"/>
          <w:b/>
          <w:smallCaps/>
          <w:noProof/>
          <w:color w:val="000000" w:themeColor="text1"/>
          <w:sz w:val="24"/>
        </w:rPr>
        <w:t>Progrès accomplis dans la réalisation des objectifs en matière de sécurité routière</w:t>
      </w:r>
      <w:bookmarkEnd w:id="39"/>
      <w:r>
        <w:rPr>
          <w:rFonts w:ascii="Times New Roman" w:hAnsi="Times New Roman"/>
          <w:b/>
          <w:smallCaps/>
          <w:noProof/>
          <w:color w:val="000000" w:themeColor="text1"/>
          <w:sz w:val="24"/>
        </w:rPr>
        <w:t xml:space="preserve"> </w:t>
      </w:r>
    </w:p>
    <w:p w14:paraId="502B3FA4" w14:textId="2668940C" w:rsidR="00671023" w:rsidRPr="008A49B6" w:rsidRDefault="00671023" w:rsidP="00671023">
      <w:pPr>
        <w:spacing w:after="120" w:line="23" w:lineRule="atLeast"/>
        <w:rPr>
          <w:noProof/>
        </w:rPr>
      </w:pPr>
      <w:bookmarkStart w:id="44" w:name="_Toc24027064"/>
      <w:bookmarkStart w:id="45" w:name="_Toc24044211"/>
      <w:bookmarkStart w:id="46" w:name="_Toc25446679"/>
      <w:bookmarkStart w:id="47" w:name="_Toc25533751"/>
      <w:bookmarkStart w:id="48" w:name="_Toc25685795"/>
      <w:bookmarkStart w:id="49" w:name="_Toc25854787"/>
      <w:bookmarkEnd w:id="44"/>
      <w:r>
        <w:rPr>
          <w:noProof/>
          <w:shd w:val="clear" w:color="auto" w:fill="FFFFFF" w:themeFill="background1"/>
        </w:rPr>
        <w:t xml:space="preserve">Les données les plus récentes montrent que 19 900 personnes ont perdu la vie lors d’accidents de la route dans l’Union en 2024, </w:t>
      </w:r>
      <w:r>
        <w:rPr>
          <w:noProof/>
        </w:rPr>
        <w:t>ce qui représente 440 décès de moins qu’en 2023, soit une baisse de 2 %</w:t>
      </w:r>
      <w:r>
        <w:rPr>
          <w:rStyle w:val="FootnoteReference"/>
          <w:noProof/>
        </w:rPr>
        <w:footnoteReference w:id="6"/>
      </w:r>
      <w:r>
        <w:rPr>
          <w:noProof/>
        </w:rPr>
        <w:t xml:space="preserve">. Compte tenu de l’augmentation du nombre de véhicules par personne et du nombre de kilomètres parcourus, il s’agit d’une évolution significative, mais qui montre également la nécessité de déployer des efforts soutenus à tous les niveaux. </w:t>
      </w:r>
    </w:p>
    <w:p w14:paraId="2376CC85" w14:textId="77777777" w:rsidR="0091139A" w:rsidRPr="008A49B6" w:rsidRDefault="0091139A" w:rsidP="00671023">
      <w:pPr>
        <w:spacing w:after="120" w:line="23" w:lineRule="atLeast"/>
        <w:rPr>
          <w:noProof/>
        </w:rPr>
      </w:pPr>
    </w:p>
    <w:p w14:paraId="7FD8CEAE" w14:textId="2990806A" w:rsidR="00617833" w:rsidRPr="008A49B6" w:rsidRDefault="0062721A" w:rsidP="00671023">
      <w:pPr>
        <w:spacing w:after="120" w:line="23" w:lineRule="atLeast"/>
        <w:rPr>
          <w:noProof/>
        </w:rPr>
      </w:pPr>
      <w:r w:rsidRPr="0062721A">
        <w:rPr>
          <w:noProof/>
          <w:lang w:val="en-GB"/>
        </w:rPr>
        <w:drawing>
          <wp:inline distT="0" distB="0" distL="0" distR="0" wp14:anchorId="33D2A04F" wp14:editId="55EE1460">
            <wp:extent cx="4667250" cy="2762250"/>
            <wp:effectExtent l="0" t="0" r="0" b="0"/>
            <wp:docPr id="862094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7250" cy="2762250"/>
                    </a:xfrm>
                    <a:prstGeom prst="rect">
                      <a:avLst/>
                    </a:prstGeom>
                    <a:noFill/>
                    <a:ln>
                      <a:noFill/>
                    </a:ln>
                  </pic:spPr>
                </pic:pic>
              </a:graphicData>
            </a:graphic>
          </wp:inline>
        </w:drawing>
      </w:r>
    </w:p>
    <w:p w14:paraId="0AA392D8" w14:textId="5E2A3DF2" w:rsidR="00855C16" w:rsidRPr="008A49B6" w:rsidRDefault="00934C54" w:rsidP="00BB60D9">
      <w:pPr>
        <w:rPr>
          <w:i/>
          <w:iCs/>
          <w:noProof/>
          <w:sz w:val="22"/>
          <w:szCs w:val="22"/>
        </w:rPr>
      </w:pPr>
      <w:r>
        <w:rPr>
          <w:i/>
          <w:noProof/>
          <w:sz w:val="22"/>
        </w:rPr>
        <w:t>Figure </w:t>
      </w:r>
      <w:r>
        <w:rPr>
          <w:i/>
          <w:noProof/>
          <w:sz w:val="22"/>
        </w:rPr>
        <w:fldChar w:fldCharType="begin"/>
      </w:r>
      <w:r>
        <w:rPr>
          <w:i/>
          <w:noProof/>
          <w:sz w:val="22"/>
        </w:rPr>
        <w:instrText xml:space="preserve"> SEQ Figure \* ARABIC </w:instrText>
      </w:r>
      <w:r>
        <w:rPr>
          <w:i/>
          <w:noProof/>
          <w:sz w:val="22"/>
        </w:rPr>
        <w:fldChar w:fldCharType="separate"/>
      </w:r>
      <w:r>
        <w:rPr>
          <w:i/>
          <w:noProof/>
          <w:sz w:val="22"/>
        </w:rPr>
        <w:t>1</w:t>
      </w:r>
      <w:r>
        <w:rPr>
          <w:i/>
          <w:noProof/>
          <w:sz w:val="22"/>
        </w:rPr>
        <w:fldChar w:fldCharType="end"/>
      </w:r>
      <w:r>
        <w:rPr>
          <w:noProof/>
        </w:rPr>
        <w:t xml:space="preserve">. </w:t>
      </w:r>
      <w:r>
        <w:rPr>
          <w:i/>
          <w:noProof/>
          <w:sz w:val="22"/>
        </w:rPr>
        <w:t>Évolution du nombre de décès et de millions de voitures particulières dans l’UE entre 2010 et 2023</w:t>
      </w:r>
      <w:r>
        <w:rPr>
          <w:noProof/>
        </w:rPr>
        <w:t>.</w:t>
      </w:r>
      <w:r>
        <w:rPr>
          <w:i/>
          <w:noProof/>
          <w:sz w:val="22"/>
        </w:rPr>
        <w:t xml:space="preserve"> Source: EU CARE (base de données de l’UE sur les accidents de la route); pour les données relatives aux voitures particulières, Eurostat (code des données en ligne</w:t>
      </w:r>
      <w:r>
        <w:rPr>
          <w:noProof/>
        </w:rPr>
        <w:t xml:space="preserve"> </w:t>
      </w:r>
      <w:hyperlink r:id="rId19" w:history="1">
        <w:r>
          <w:rPr>
            <w:rStyle w:val="Hyperlink"/>
            <w:i/>
            <w:noProof/>
            <w:sz w:val="22"/>
          </w:rPr>
          <w:t>road_eqs_carage</w:t>
        </w:r>
      </w:hyperlink>
      <w:r>
        <w:rPr>
          <w:i/>
          <w:noProof/>
          <w:sz w:val="22"/>
        </w:rPr>
        <w:t>)</w:t>
      </w:r>
    </w:p>
    <w:p w14:paraId="7642FB2E" w14:textId="77777777" w:rsidR="00855C16" w:rsidRPr="008A49B6" w:rsidRDefault="00855C16">
      <w:pPr>
        <w:spacing w:after="160" w:line="259" w:lineRule="auto"/>
        <w:jc w:val="left"/>
        <w:rPr>
          <w:i/>
          <w:noProof/>
          <w:sz w:val="22"/>
        </w:rPr>
      </w:pPr>
      <w:r>
        <w:rPr>
          <w:noProof/>
        </w:rPr>
        <w:br w:type="page"/>
      </w:r>
    </w:p>
    <w:p w14:paraId="363405C0" w14:textId="1837B8CA" w:rsidR="00FA53E7" w:rsidRPr="008A49B6" w:rsidRDefault="005E69AA" w:rsidP="00FA53E7">
      <w:pPr>
        <w:spacing w:after="120" w:line="23" w:lineRule="atLeast"/>
        <w:rPr>
          <w:noProof/>
        </w:rPr>
      </w:pPr>
      <w:r w:rsidRPr="005E69AA">
        <w:rPr>
          <w:noProof/>
          <w:lang w:val="en-GB"/>
        </w:rPr>
        <w:drawing>
          <wp:inline distT="0" distB="0" distL="0" distR="0" wp14:anchorId="5D10945C" wp14:editId="44309E5A">
            <wp:extent cx="4686300" cy="2733675"/>
            <wp:effectExtent l="0" t="0" r="0" b="0"/>
            <wp:docPr id="23413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6300" cy="2733675"/>
                    </a:xfrm>
                    <a:prstGeom prst="rect">
                      <a:avLst/>
                    </a:prstGeom>
                    <a:noFill/>
                    <a:ln>
                      <a:noFill/>
                    </a:ln>
                  </pic:spPr>
                </pic:pic>
              </a:graphicData>
            </a:graphic>
          </wp:inline>
        </w:drawing>
      </w:r>
    </w:p>
    <w:p w14:paraId="3FAA6371" w14:textId="3418E3C0" w:rsidR="00E50D42" w:rsidRPr="008A49B6" w:rsidRDefault="00DF6AA0" w:rsidP="009F68F9">
      <w:pPr>
        <w:pStyle w:val="Caption"/>
        <w:spacing w:after="360"/>
        <w:rPr>
          <w:noProof/>
        </w:rPr>
      </w:pPr>
      <w:r>
        <w:rPr>
          <w:noProof/>
        </w:rPr>
        <w:t>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xml:space="preserve">. Évolution du nombre de décès et de milliards de kilomètres parcourus en voiture particulière dans l’UE entre 2010 et 2023. Source: EU CARE (base de données de l’UE sur les accidents de la route); pour les données sur les voyageurs-kilomètres, Eurostat (code des données en ligne </w:t>
      </w:r>
      <w:hyperlink r:id="rId21" w:history="1">
        <w:r>
          <w:rPr>
            <w:rStyle w:val="Hyperlink"/>
            <w:noProof/>
          </w:rPr>
          <w:t>road_pa_mov</w:t>
        </w:r>
      </w:hyperlink>
      <w:r>
        <w:rPr>
          <w:noProof/>
        </w:rPr>
        <w:t>)</w:t>
      </w:r>
    </w:p>
    <w:p w14:paraId="263556B7" w14:textId="05C78DE6" w:rsidR="00671023" w:rsidRPr="008A49B6" w:rsidRDefault="00671023" w:rsidP="00671023">
      <w:pPr>
        <w:spacing w:after="120" w:line="23" w:lineRule="atLeast"/>
        <w:rPr>
          <w:noProof/>
        </w:rPr>
      </w:pPr>
      <w:r>
        <w:rPr>
          <w:noProof/>
        </w:rPr>
        <w:t>Depuis l’année de référence 2019, le nombre de tués sur les routes a diminué de 12 % à l’échelle de l’Union, mais cette amélioration masque des disparités considérables entre les États membres. Seuls quelques États membres – la Belgique, la Bulgarie, le Danemark, la Lituanie, Malte, la Pologne et la Slovénie – sont actuellement en bonne voie pour atteindre l’objectif de réduction de 50 % fixé pour 2030. Certains États membres, dont l’Irlande et l’Estonie, ont enregistré une augmentation du nombre de tués sur les routes, tandis que d’autres, comme la France, l’Italie et les Pays-Bas, n’ont enregistré que des améliorations marginales. En 2024, le taux de mortalité allait de 20 décès par million d’habitants en Suède à 78 par million en Roumanie.</w:t>
      </w:r>
    </w:p>
    <w:p w14:paraId="790DF033" w14:textId="475A1A6E" w:rsidR="00AE3BC4" w:rsidRPr="008A49B6" w:rsidRDefault="00671023" w:rsidP="00671023">
      <w:pPr>
        <w:spacing w:after="120" w:line="23" w:lineRule="atLeast"/>
        <w:rPr>
          <w:noProof/>
        </w:rPr>
      </w:pPr>
      <w:r>
        <w:rPr>
          <w:noProof/>
        </w:rPr>
        <w:t>Afin de mieux comprendre ces tendances, la Commission a collaboré avec les États membres pour suivre leurs performances en ce qui concerne les indicateurs de performance clés liés à la sécurité routière. Ces projets, Baseline</w:t>
      </w:r>
      <w:r>
        <w:rPr>
          <w:rStyle w:val="FootnoteReference"/>
          <w:noProof/>
        </w:rPr>
        <w:footnoteReference w:id="7"/>
      </w:r>
      <w:r>
        <w:rPr>
          <w:noProof/>
        </w:rPr>
        <w:t xml:space="preserve"> et Trendline</w:t>
      </w:r>
      <w:r>
        <w:rPr>
          <w:rStyle w:val="FootnoteReference"/>
          <w:noProof/>
        </w:rPr>
        <w:footnoteReference w:id="8"/>
      </w:r>
      <w:r>
        <w:rPr>
          <w:noProof/>
        </w:rPr>
        <w:t>, ont produit des informations sur les facteurs associés aux risques d’accident et de blessure et ont révélé des différences significatives entre les pays. Voir section </w:t>
      </w:r>
      <w:r>
        <w:rPr>
          <w:noProof/>
        </w:rPr>
        <w:fldChar w:fldCharType="begin"/>
      </w:r>
      <w:r>
        <w:rPr>
          <w:noProof/>
        </w:rPr>
        <w:instrText xml:space="preserve"> REF _Ref212126400 \r \h </w:instrText>
      </w:r>
      <w:r>
        <w:rPr>
          <w:noProof/>
        </w:rPr>
      </w:r>
      <w:r>
        <w:rPr>
          <w:noProof/>
        </w:rPr>
        <w:fldChar w:fldCharType="separate"/>
      </w:r>
      <w:r>
        <w:rPr>
          <w:noProof/>
        </w:rPr>
        <w:t>2</w:t>
      </w:r>
      <w:r>
        <w:rPr>
          <w:noProof/>
        </w:rPr>
        <w:fldChar w:fldCharType="end"/>
      </w:r>
      <w:r>
        <w:rPr>
          <w:noProof/>
        </w:rPr>
        <w:t xml:space="preserve"> ci-dessous.</w:t>
      </w:r>
    </w:p>
    <w:p w14:paraId="7BD56026" w14:textId="77777777" w:rsidR="00AE3BC4" w:rsidRPr="008A49B6" w:rsidRDefault="00AE3BC4">
      <w:pPr>
        <w:spacing w:after="160" w:line="259" w:lineRule="auto"/>
        <w:jc w:val="left"/>
        <w:rPr>
          <w:noProof/>
        </w:rPr>
      </w:pPr>
      <w:r>
        <w:rPr>
          <w:noProof/>
        </w:rPr>
        <w:br w:type="page"/>
      </w:r>
    </w:p>
    <w:tbl>
      <w:tblPr>
        <w:tblStyle w:val="TableGrid"/>
        <w:tblW w:w="0" w:type="auto"/>
        <w:tblLook w:val="04A0" w:firstRow="1" w:lastRow="0" w:firstColumn="1" w:lastColumn="0" w:noHBand="0" w:noVBand="1"/>
      </w:tblPr>
      <w:tblGrid>
        <w:gridCol w:w="4498"/>
        <w:gridCol w:w="4336"/>
      </w:tblGrid>
      <w:tr w:rsidR="0053556D" w:rsidRPr="008A49B6" w14:paraId="3501F4FD" w14:textId="77777777" w:rsidTr="00AE3BC4">
        <w:tc>
          <w:tcPr>
            <w:tcW w:w="4388" w:type="dxa"/>
          </w:tcPr>
          <w:p w14:paraId="2B51ACE5" w14:textId="11EE5141" w:rsidR="0053556D" w:rsidRPr="008A49B6" w:rsidRDefault="00667C29" w:rsidP="00565444">
            <w:pPr>
              <w:spacing w:after="120" w:line="23" w:lineRule="atLeast"/>
              <w:rPr>
                <w:noProof/>
              </w:rPr>
            </w:pPr>
            <w:r w:rsidRPr="00667C29">
              <w:rPr>
                <w:noProof/>
                <w:lang w:val="en-GB"/>
              </w:rPr>
              <w:drawing>
                <wp:inline distT="0" distB="0" distL="0" distR="0" wp14:anchorId="65A3F68E" wp14:editId="501A0994">
                  <wp:extent cx="2781300" cy="1733550"/>
                  <wp:effectExtent l="0" t="0" r="0" b="0"/>
                  <wp:docPr id="10939626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1300" cy="1733550"/>
                          </a:xfrm>
                          <a:prstGeom prst="rect">
                            <a:avLst/>
                          </a:prstGeom>
                          <a:noFill/>
                          <a:ln>
                            <a:noFill/>
                          </a:ln>
                        </pic:spPr>
                      </pic:pic>
                    </a:graphicData>
                  </a:graphic>
                </wp:inline>
              </w:drawing>
            </w:r>
          </w:p>
        </w:tc>
        <w:tc>
          <w:tcPr>
            <w:tcW w:w="4446" w:type="dxa"/>
          </w:tcPr>
          <w:p w14:paraId="1B84140D" w14:textId="2763BC75" w:rsidR="0053556D" w:rsidRPr="008A49B6" w:rsidRDefault="00667C29" w:rsidP="00565444">
            <w:pPr>
              <w:spacing w:after="120" w:line="23" w:lineRule="atLeast"/>
              <w:rPr>
                <w:noProof/>
              </w:rPr>
            </w:pPr>
            <w:r w:rsidRPr="00667C29">
              <w:rPr>
                <w:noProof/>
                <w:lang w:val="en-GB"/>
              </w:rPr>
              <w:drawing>
                <wp:inline distT="0" distB="0" distL="0" distR="0" wp14:anchorId="21EEE06A" wp14:editId="1D8464EC">
                  <wp:extent cx="2676525" cy="1733550"/>
                  <wp:effectExtent l="0" t="0" r="0" b="0"/>
                  <wp:docPr id="1541520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6525" cy="1733550"/>
                          </a:xfrm>
                          <a:prstGeom prst="rect">
                            <a:avLst/>
                          </a:prstGeom>
                          <a:noFill/>
                          <a:ln>
                            <a:noFill/>
                          </a:ln>
                        </pic:spPr>
                      </pic:pic>
                    </a:graphicData>
                  </a:graphic>
                </wp:inline>
              </w:drawing>
            </w:r>
          </w:p>
        </w:tc>
      </w:tr>
    </w:tbl>
    <w:p w14:paraId="746094C8" w14:textId="002B151D" w:rsidR="00970C23" w:rsidRPr="008A49B6" w:rsidRDefault="00DF6AA0" w:rsidP="009F68F9">
      <w:pPr>
        <w:pStyle w:val="Caption"/>
        <w:spacing w:after="360"/>
        <w:rPr>
          <w:noProof/>
        </w:rPr>
      </w:pPr>
      <w:r>
        <w:rPr>
          <w:noProof/>
        </w:rPr>
        <w:t>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Ventilation des décès dus aux accidents de la route dans l’UE par sexe et par tranche d’âge, 2023. Source: EU CARE (base de données de l’UE sur les accidents de la route); pour les données sur la population, Eurostat (code de données en ligne </w:t>
      </w:r>
      <w:hyperlink r:id="rId24" w:history="1">
        <w:r>
          <w:rPr>
            <w:rStyle w:val="Hyperlink"/>
            <w:noProof/>
          </w:rPr>
          <w:t>demo_pjan</w:t>
        </w:r>
      </w:hyperlink>
      <w:r>
        <w:rPr>
          <w:noProof/>
        </w:rPr>
        <w:t>)</w:t>
      </w:r>
    </w:p>
    <w:p w14:paraId="05E1473F" w14:textId="752FD8F7" w:rsidR="00E202A4" w:rsidRPr="008A49B6" w:rsidRDefault="00E202A4" w:rsidP="00E202A4">
      <w:pPr>
        <w:spacing w:after="120" w:line="23" w:lineRule="atLeast"/>
        <w:rPr>
          <w:noProof/>
        </w:rPr>
      </w:pPr>
      <w:r>
        <w:rPr>
          <w:noProof/>
        </w:rPr>
        <w:t>En ce qui concerne la répartition géographique et démographique des victimes de la route, certaines tendances claires se dégagent. Les routes rurales restent le type de route le plus dangereux. Les hommes sont nettement plus nombreux que les femmes parmi les victimes de la route. La proportion disproportionnée de jeunes et de personnes âgées parmi les victimes d’accidents mortels sur la route – en particulier parmi les piétons et les cyclistes – est également une source de préoccupation croissante.</w:t>
      </w:r>
    </w:p>
    <w:p w14:paraId="654697F6" w14:textId="77777777" w:rsidR="00671023" w:rsidRPr="008A49B6" w:rsidRDefault="00671023" w:rsidP="00671023">
      <w:pPr>
        <w:spacing w:after="120" w:line="23" w:lineRule="atLeast"/>
        <w:rPr>
          <w:noProof/>
        </w:rPr>
      </w:pPr>
      <w:bookmarkStart w:id="50" w:name="_Toc25445059"/>
      <w:bookmarkStart w:id="51" w:name="_Toc25447040"/>
      <w:bookmarkStart w:id="52" w:name="_Toc25527649"/>
      <w:bookmarkStart w:id="53" w:name="_Toc25531521"/>
      <w:bookmarkStart w:id="54" w:name="_Toc25533752"/>
      <w:bookmarkStart w:id="55" w:name="_Toc25533803"/>
      <w:bookmarkStart w:id="56" w:name="_Toc25535156"/>
      <w:bookmarkStart w:id="57" w:name="_Toc25330846"/>
      <w:bookmarkStart w:id="58" w:name="_Toc25330847"/>
      <w:bookmarkStart w:id="59" w:name="_Toc25330848"/>
      <w:bookmarkStart w:id="60" w:name="_Toc25330849"/>
      <w:bookmarkStart w:id="61" w:name="_Toc25330850"/>
      <w:bookmarkStart w:id="62" w:name="_Toc24027066"/>
      <w:bookmarkStart w:id="63" w:name="_Toc25330852"/>
      <w:bookmarkStart w:id="64" w:name="_Toc25854796"/>
      <w:bookmarkStart w:id="65" w:name="_Toc24044212"/>
      <w:bookmarkStart w:id="66" w:name="_Toc25446680"/>
      <w:bookmarkStart w:id="67" w:name="_Toc25533753"/>
      <w:bookmarkStart w:id="68" w:name="_Toc25685796"/>
      <w:bookmarkStart w:id="69" w:name="_Toc25854797"/>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noProof/>
          <w:lang w:val="en-GB"/>
        </w:rPr>
        <w:drawing>
          <wp:inline distT="0" distB="0" distL="0" distR="0" wp14:anchorId="6D7D3D50" wp14:editId="1656003F">
            <wp:extent cx="5472430" cy="3076575"/>
            <wp:effectExtent l="0" t="0" r="0" b="9525"/>
            <wp:docPr id="961434310" name="Picture 1" descr="Tableau d’un accident de la circul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34310" name="Picture 1" descr="A chart of a traffic accident&#10;&#10;AI-generated content may be incorrect."/>
                    <pic:cNvPicPr/>
                  </pic:nvPicPr>
                  <pic:blipFill>
                    <a:blip r:embed="rId25"/>
                    <a:stretch>
                      <a:fillRect/>
                    </a:stretch>
                  </pic:blipFill>
                  <pic:spPr>
                    <a:xfrm>
                      <a:off x="0" y="0"/>
                      <a:ext cx="5472430" cy="3076575"/>
                    </a:xfrm>
                    <a:prstGeom prst="rect">
                      <a:avLst/>
                    </a:prstGeom>
                  </pic:spPr>
                </pic:pic>
              </a:graphicData>
            </a:graphic>
          </wp:inline>
        </w:drawing>
      </w:r>
    </w:p>
    <w:p w14:paraId="6040B4AC" w14:textId="206873DF" w:rsidR="00671023" w:rsidRPr="008A49B6" w:rsidRDefault="00DF6AA0" w:rsidP="000D0200">
      <w:pPr>
        <w:pStyle w:val="Caption"/>
        <w:spacing w:after="360"/>
        <w:rPr>
          <w:noProof/>
        </w:rPr>
      </w:pPr>
      <w:r>
        <w:rPr>
          <w:noProof/>
        </w:rPr>
        <w:t>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Matrice de collision des accidents mortels sur les routes de l’UE par usager de la route et autre véhicule principal impliqué dans l’accident, 2023. Source: EU CARE (base de données de l’UE sur les accidents de la route)</w:t>
      </w:r>
    </w:p>
    <w:p w14:paraId="2D601170" w14:textId="5C92F444" w:rsidR="00671023" w:rsidRPr="008A49B6" w:rsidRDefault="00EF3C2E" w:rsidP="00671023">
      <w:pPr>
        <w:spacing w:after="120" w:line="23" w:lineRule="atLeast"/>
        <w:rPr>
          <w:noProof/>
        </w:rPr>
      </w:pPr>
      <w:r>
        <w:rPr>
          <w:noProof/>
        </w:rPr>
        <w:t>En termes absolus, les occupants de voitures sont les plus susceptibles de mourir en cas d’accident de la route. Ils représentent environ 44 % de l’ensemble des décès, suivis par les piétons, les motocyclistes et les cyclistes. Par rapport au nombre de véhicules sur la route, les motocyclistes courent toutefois un risque bien plus élevé de mourir dans un accident de la route. Les travailleurs routiers et le personnel d’entretien constituent un groupe à risque spécifique. Une analyse plus approfondie de ces répartitions géographiques et démographiques des accidents de la route mortels figure dans les rapports de l’Observatoire européen de la sécurité routière</w:t>
      </w:r>
      <w:r>
        <w:rPr>
          <w:rStyle w:val="FootnoteReference"/>
          <w:noProof/>
        </w:rPr>
        <w:footnoteReference w:id="9"/>
      </w:r>
      <w:r>
        <w:rPr>
          <w:noProof/>
        </w:rPr>
        <w:t>.</w:t>
      </w:r>
    </w:p>
    <w:p w14:paraId="5989BF31" w14:textId="382AC6FE" w:rsidR="00671023" w:rsidRPr="008A49B6" w:rsidRDefault="00913975" w:rsidP="00671023">
      <w:pPr>
        <w:spacing w:after="120" w:line="23" w:lineRule="atLeast"/>
        <w:rPr>
          <w:noProof/>
        </w:rPr>
      </w:pPr>
      <w:r>
        <w:rPr>
          <w:noProof/>
        </w:rPr>
        <w:t>Les rapports montrent qu’un grand nombre d’occupants de voitures et de motocyclistes meurent d’accidents impliquant un seul véhicule, tandis que les piétons et les cyclistes sont particulièrement vulnérables lorsqu’ils sont impliqués dans une collision avec une voiture.</w:t>
      </w:r>
    </w:p>
    <w:p w14:paraId="51487508" w14:textId="0CB1C240" w:rsidR="00671023" w:rsidRPr="008A49B6" w:rsidRDefault="00671023" w:rsidP="00671023">
      <w:pPr>
        <w:spacing w:after="120" w:line="23" w:lineRule="atLeast"/>
        <w:rPr>
          <w:noProof/>
        </w:rPr>
      </w:pPr>
      <w:bookmarkStart w:id="70" w:name="_Toc25446681"/>
      <w:bookmarkStart w:id="71" w:name="_Toc25533754"/>
      <w:bookmarkStart w:id="72" w:name="_Toc25685797"/>
      <w:bookmarkStart w:id="73" w:name="_Toc25854798"/>
      <w:bookmarkEnd w:id="65"/>
      <w:bookmarkEnd w:id="66"/>
      <w:bookmarkEnd w:id="67"/>
      <w:bookmarkEnd w:id="68"/>
      <w:bookmarkEnd w:id="69"/>
      <w:r>
        <w:rPr>
          <w:noProof/>
        </w:rPr>
        <w:t xml:space="preserve">Les progrès en matière de protection des usagers vulnérables de la route tels que les piétons, les cyclistes et les utilisateurs de dispositifs de mobilité électrique légère ont été mitigés. Entre 2019 et 2023, environ 900 piétons de moins ont été tués. Toutefois, la baisse du nombre de décès parmi les cyclistes et les motocyclistes a été beaucoup plus faible, avec des diminutions d’environ 100 dans chaque catégorie dans l’ensemble de l’Union. Dans les villes, près de 70 % des personnes tuées lors d’accidents de la route étaient des usagers vulnérables. Ce pourcentage est resté obstinément élevé, ce qui met en évidence la nécessité impérieuse de prendre des mesures pour améliorer la sécurité routière dans les villes. </w:t>
      </w:r>
    </w:p>
    <w:p w14:paraId="63BEA69F" w14:textId="2696C351" w:rsidR="00671023" w:rsidRPr="008A49B6" w:rsidRDefault="00671023" w:rsidP="00671023">
      <w:pPr>
        <w:spacing w:after="120" w:line="23" w:lineRule="atLeast"/>
        <w:rPr>
          <w:noProof/>
        </w:rPr>
      </w:pPr>
      <w:r>
        <w:rPr>
          <w:noProof/>
        </w:rPr>
        <w:t>Dans le même temps, d’autres dispositifs de mobilité individuelle tels que les trottinettes électriques ont connu une forte augmentation sur les routes de l’Union et une augmentation proportionnelle du nombre de blessés et de décès dans cette catégorie. La collecte de données dans la base de données CARE</w:t>
      </w:r>
      <w:r>
        <w:rPr>
          <w:rStyle w:val="FootnoteReference"/>
          <w:noProof/>
        </w:rPr>
        <w:footnoteReference w:id="10"/>
      </w:r>
      <w:r>
        <w:rPr>
          <w:noProof/>
        </w:rPr>
        <w:t xml:space="preserve"> pour cette catégorie spécifique d’usagers de la route a débuté en 2023. Une réflexion est actuellement menée sur la manière de relever les défis que présente cette catégorie en matière de sécurité. En 2024, une étude de la Commission</w:t>
      </w:r>
      <w:r>
        <w:rPr>
          <w:rStyle w:val="FootnoteReference"/>
          <w:noProof/>
        </w:rPr>
        <w:footnoteReference w:id="11"/>
      </w:r>
      <w:r>
        <w:rPr>
          <w:noProof/>
        </w:rPr>
        <w:t xml:space="preserve"> a examiné les défis et les possibilités liés à la réglementation des dispositifs de mobilité individuelle et a recommandé des règles harmonisées pour remédier à la fragmentation actuelle au sein de l’Union. </w:t>
      </w:r>
    </w:p>
    <w:p w14:paraId="54EA2E8A" w14:textId="059E6A96" w:rsidR="00050BA5" w:rsidRPr="008A49B6" w:rsidRDefault="00671023" w:rsidP="00492039">
      <w:pPr>
        <w:spacing w:after="120" w:line="23" w:lineRule="atLeast"/>
        <w:rPr>
          <w:noProof/>
        </w:rPr>
      </w:pPr>
      <w:r>
        <w:rPr>
          <w:noProof/>
        </w:rPr>
        <w:t>Le groupe d’experts sur la mobilité urbaine</w:t>
      </w:r>
      <w:r>
        <w:rPr>
          <w:rStyle w:val="FootnoteReference"/>
          <w:noProof/>
        </w:rPr>
        <w:footnoteReference w:id="12"/>
      </w:r>
      <w:r>
        <w:rPr>
          <w:noProof/>
        </w:rPr>
        <w:t xml:space="preserve"> a publié une série de recommandations</w:t>
      </w:r>
      <w:r>
        <w:rPr>
          <w:rStyle w:val="FootnoteReference"/>
          <w:noProof/>
        </w:rPr>
        <w:footnoteReference w:id="13"/>
      </w:r>
      <w:r>
        <w:rPr>
          <w:noProof/>
        </w:rPr>
        <w:t xml:space="preserve"> axées sur la protection des usagers vulnérables de la route. Les experts préconisent la mise en place d’une limitation de vitesse à 30 km/h dans les zones urbaines comme mesure ayant le plus grand impact, suivie par l’élaboration d’exigences de qualité pour les infrastructures routières destinées à ces groupes d’usagers, telles que des passages piétons sécurisés et des pistes cyclables et piétonnes séparées.</w:t>
      </w:r>
    </w:p>
    <w:p w14:paraId="7A237625" w14:textId="77777777" w:rsidR="00050BA5" w:rsidRPr="008A49B6" w:rsidRDefault="00050BA5">
      <w:pPr>
        <w:spacing w:after="160" w:line="259" w:lineRule="auto"/>
        <w:jc w:val="left"/>
        <w:rPr>
          <w:noProof/>
        </w:rPr>
      </w:pPr>
      <w:r>
        <w:rPr>
          <w:noProof/>
        </w:rPr>
        <w:br w:type="page"/>
      </w:r>
    </w:p>
    <w:p w14:paraId="51E52F23" w14:textId="43B46ACB" w:rsidR="00671023" w:rsidRPr="008A49B6" w:rsidRDefault="00671023" w:rsidP="00AD2038">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75" w:name="_Toc206610420"/>
      <w:bookmarkStart w:id="76" w:name="_Ref212126400"/>
      <w:r>
        <w:rPr>
          <w:rFonts w:ascii="Times New Roman" w:hAnsi="Times New Roman"/>
          <w:b/>
          <w:smallCaps/>
          <w:noProof/>
          <w:color w:val="000000" w:themeColor="text1"/>
          <w:sz w:val="24"/>
        </w:rPr>
        <w:t xml:space="preserve">Principaux facteurs de risque comportementaux </w:t>
      </w:r>
      <w:bookmarkEnd w:id="75"/>
      <w:bookmarkEnd w:id="76"/>
    </w:p>
    <w:p w14:paraId="6C5F0EA5" w14:textId="5DFDD2A1" w:rsidR="003E4003" w:rsidRPr="008A49B6" w:rsidRDefault="00671023" w:rsidP="00213F79">
      <w:pPr>
        <w:spacing w:after="120" w:line="23" w:lineRule="atLeast"/>
        <w:rPr>
          <w:noProof/>
        </w:rPr>
      </w:pPr>
      <w:r>
        <w:rPr>
          <w:noProof/>
        </w:rPr>
        <w:t>Malgré des décennies d’investissements dans la sécurité routière, de campagnes de sensibilisation et de mesures législatives, les facteurs de risque comportementaux continuent de faire des victimes. Les principaux sont la vitesse excessive ou inappropriée, la conduite sous l’influence de l’alcool et/ou de drogues, la distraction et le défaut de port de la ceinture de sécurité. De plus amples informations sur chacun de ces facteurs de risque sont disponibles dans l’analyse publiée sur l’Observatoire européen de la sécurité routière</w:t>
      </w:r>
      <w:r>
        <w:rPr>
          <w:rStyle w:val="FootnoteReference"/>
          <w:noProof/>
        </w:rPr>
        <w:footnoteReference w:id="14"/>
      </w:r>
      <w:r>
        <w:rPr>
          <w:noProof/>
        </w:rPr>
        <w:t>. Voici quelques exemples:</w:t>
      </w:r>
    </w:p>
    <w:p w14:paraId="4553E49E" w14:textId="46671288" w:rsidR="00DC3613" w:rsidRPr="008A49B6" w:rsidRDefault="00DC3613" w:rsidP="00C9652D">
      <w:pPr>
        <w:spacing w:after="120" w:line="23" w:lineRule="atLeast"/>
        <w:rPr>
          <w:noProof/>
        </w:rPr>
      </w:pPr>
      <w:r>
        <w:rPr>
          <w:b/>
          <w:noProof/>
        </w:rPr>
        <w:t xml:space="preserve">Conduite en état d’ivresse: </w:t>
      </w:r>
      <w:r>
        <w:rPr>
          <w:noProof/>
        </w:rPr>
        <w:t>environ 25 % des accidents mortels sur les routes de l’Union sont liés à l’alcool. Les contrôles aléatoires d’alcoolémie effectués sur le bord de la route montrent un taux global élevé de respect des limites d’alcoolémie, soit environ 98 %. Pourtant, même ce taux de non-respect apparemment faible de 2 % correspond à environ cinq millions de conducteurs en état d’ivresse sur les routes de l’Union.</w:t>
      </w:r>
    </w:p>
    <w:p w14:paraId="5D57C7AD" w14:textId="7B3EC817" w:rsidR="00DC3613" w:rsidRPr="008A49B6" w:rsidRDefault="00DC3613" w:rsidP="00C9652D">
      <w:pPr>
        <w:spacing w:after="120" w:line="23" w:lineRule="atLeast"/>
        <w:rPr>
          <w:noProof/>
        </w:rPr>
      </w:pPr>
      <w:r>
        <w:rPr>
          <w:b/>
          <w:noProof/>
        </w:rPr>
        <w:t xml:space="preserve">Excès de vitesse: </w:t>
      </w:r>
      <w:r>
        <w:rPr>
          <w:noProof/>
        </w:rPr>
        <w:t>on estime qu’une vitesse excessive ou inappropriée est directement responsable d’environ 30 % de tous les accidents de la route mortels dans l’Union. Dans de nombreux pays, le respect des limitations de vitesse est inférieur à 50 % sur les routes urbaines.</w:t>
      </w:r>
    </w:p>
    <w:p w14:paraId="2D994E99" w14:textId="18620C61" w:rsidR="00B92B84" w:rsidRPr="008A49B6" w:rsidRDefault="00B92B84" w:rsidP="00C9652D">
      <w:pPr>
        <w:spacing w:after="120" w:line="23" w:lineRule="atLeast"/>
        <w:rPr>
          <w:noProof/>
        </w:rPr>
      </w:pPr>
      <w:r>
        <w:rPr>
          <w:b/>
          <w:noProof/>
        </w:rPr>
        <w:t xml:space="preserve">Distraction: </w:t>
      </w:r>
      <w:r>
        <w:rPr>
          <w:noProof/>
        </w:rPr>
        <w:t>des analyses approfondies des accidents dans l’Union indiquent que la distraction du conducteur est un facteur contributif dans 10 à 30 % des accidents mortels, en fonction du pays et de la source de données.</w:t>
      </w:r>
    </w:p>
    <w:p w14:paraId="69F7D461" w14:textId="0481A9CD" w:rsidR="00DC3613" w:rsidRPr="008A49B6" w:rsidRDefault="00DC3613" w:rsidP="00B92B84">
      <w:pPr>
        <w:spacing w:after="120" w:line="23" w:lineRule="atLeast"/>
        <w:rPr>
          <w:noProof/>
        </w:rPr>
      </w:pPr>
      <w:r>
        <w:rPr>
          <w:b/>
          <w:noProof/>
        </w:rPr>
        <w:t>Ceinture de sécurité non attachée</w:t>
      </w:r>
      <w:r>
        <w:rPr>
          <w:noProof/>
        </w:rPr>
        <w:t>: plus d’un quart des occupants de voitures tués dans des accidents ne portaient pas de ceinture de sécurité au moment de l’accident. Des enquêtes d’observation montrent que certains pays font état de taux de conformité des sièges arrière inférieurs à 50 %, ce qui représente un écart de sécurité important.</w:t>
      </w:r>
    </w:p>
    <w:p w14:paraId="1754365C" w14:textId="7D5BD8AA" w:rsidR="00EF06D8" w:rsidRPr="008A49B6" w:rsidRDefault="007D0159" w:rsidP="00C9652D">
      <w:pPr>
        <w:spacing w:after="120" w:line="23" w:lineRule="atLeast"/>
        <w:rPr>
          <w:noProof/>
        </w:rPr>
      </w:pPr>
      <w:r>
        <w:rPr>
          <w:noProof/>
        </w:rPr>
        <w:t xml:space="preserve">Les mesures visant à améliorer la sécurité routière doivent appliquer l’approche dite du «système sûr» pour traiter ces problèmes de comportement, parallèlement à d’autres mesures visant à améliorer les infrastructures routières et la sécurité des véhicules, et à fournir des soins efficaces après un accident. </w:t>
      </w:r>
    </w:p>
    <w:p w14:paraId="44C64D12" w14:textId="0EE9A7AB" w:rsidR="00DC3613" w:rsidRPr="008A49B6" w:rsidRDefault="00DC3613" w:rsidP="00DC3613">
      <w:pPr>
        <w:spacing w:after="120" w:line="23" w:lineRule="atLeast"/>
        <w:rPr>
          <w:noProof/>
        </w:rPr>
      </w:pPr>
    </w:p>
    <w:p w14:paraId="6A27C4F0" w14:textId="4793DEA1" w:rsidR="00210F90" w:rsidRPr="008A49B6" w:rsidRDefault="00210F90" w:rsidP="00BE282E">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Principaux défis systémiques</w:t>
      </w:r>
    </w:p>
    <w:p w14:paraId="3DDAC21B" w14:textId="0C8B9F0F" w:rsidR="00671023" w:rsidRPr="008A49B6" w:rsidRDefault="00671023" w:rsidP="00671023">
      <w:pPr>
        <w:spacing w:after="120" w:line="23" w:lineRule="atLeast"/>
        <w:rPr>
          <w:noProof/>
        </w:rPr>
      </w:pPr>
      <w:r>
        <w:rPr>
          <w:noProof/>
        </w:rPr>
        <w:t>Il ressort de la mise en œuvre des stratégies, plans d’action et autres documents stratégiques de l’Union et des États membres, ainsi que des retours d’information des représentants des États membres, qu’un certain nombre de défis systémiques continuent d’entraver les progrès vers la réalisation des objectifs à l’horizon 2030.</w:t>
      </w:r>
    </w:p>
    <w:p w14:paraId="6950AF4D" w14:textId="0492F9FC" w:rsidR="00574238" w:rsidRPr="008A49B6" w:rsidRDefault="00574238" w:rsidP="00574238">
      <w:pPr>
        <w:pStyle w:val="ListParagraph"/>
        <w:numPr>
          <w:ilvl w:val="0"/>
          <w:numId w:val="23"/>
        </w:numPr>
        <w:spacing w:after="120" w:line="23" w:lineRule="atLeast"/>
        <w:rPr>
          <w:noProof/>
        </w:rPr>
      </w:pPr>
      <w:r>
        <w:rPr>
          <w:b/>
          <w:noProof/>
        </w:rPr>
        <w:t>L’application</w:t>
      </w:r>
      <w:r>
        <w:rPr>
          <w:noProof/>
        </w:rPr>
        <w:t xml:space="preserve"> des règles de circulation routière reste un défi, en raison des pénuries structurelles d’agents de police de la route et du manque de systèmes de caméras automatiques.</w:t>
      </w:r>
    </w:p>
    <w:p w14:paraId="5761FD8E" w14:textId="665CAF9F" w:rsidR="00574238" w:rsidRPr="008A49B6" w:rsidRDefault="00574238" w:rsidP="00574238">
      <w:pPr>
        <w:pStyle w:val="ListParagraph"/>
        <w:numPr>
          <w:ilvl w:val="0"/>
          <w:numId w:val="23"/>
        </w:numPr>
        <w:spacing w:after="120" w:line="23" w:lineRule="atLeast"/>
        <w:rPr>
          <w:noProof/>
        </w:rPr>
      </w:pPr>
      <w:r>
        <w:rPr>
          <w:b/>
          <w:noProof/>
        </w:rPr>
        <w:t>Acceptation limitée par la société</w:t>
      </w:r>
      <w:r>
        <w:rPr>
          <w:noProof/>
        </w:rPr>
        <w:t xml:space="preserve">, en particulier en ce qui concerne les mesures coercitives. La résistance du public à l’application automatisée, à des limitations de vitesse plus basses et à des sanctions plus strictes reflète une indifférence culturelle plus large à la nécessité de donner la priorité à la sécurité plutôt qu’à la commodité de la mobilité. On peut citer comme exemples l’incendie de radars automatiques et le démantèlement par des manifestants de dispositifs visant à modérer la circulation. </w:t>
      </w:r>
    </w:p>
    <w:p w14:paraId="6E0D6041" w14:textId="5F4E8B61" w:rsidR="00CE4505" w:rsidRPr="008A49B6" w:rsidRDefault="00CE4505" w:rsidP="00CE4505">
      <w:pPr>
        <w:pStyle w:val="ListParagraph"/>
        <w:numPr>
          <w:ilvl w:val="0"/>
          <w:numId w:val="23"/>
        </w:numPr>
        <w:spacing w:after="120" w:line="23" w:lineRule="atLeast"/>
        <w:rPr>
          <w:noProof/>
        </w:rPr>
      </w:pPr>
      <w:r>
        <w:rPr>
          <w:b/>
          <w:noProof/>
        </w:rPr>
        <w:t>Manque de capacité:</w:t>
      </w:r>
      <w:r>
        <w:rPr>
          <w:noProof/>
        </w:rPr>
        <w:t xml:space="preserve"> les autorités responsables des infrastructures de sécurité routière, de l’adaptation de la circulation et de l’application de la loi, en particulier au niveau municipal, manquent souvent de personnel qualifié. De nombreux États membres de l’Union connaissent des pénuries persistantes de moniteurs et d’examinateurs d’auto-école, ainsi que de personnes chargées de l’inspection technique des véhicules.</w:t>
      </w:r>
    </w:p>
    <w:p w14:paraId="42575412" w14:textId="2DFCDF64" w:rsidR="00671023" w:rsidRPr="008A49B6" w:rsidRDefault="00671023" w:rsidP="00671023">
      <w:pPr>
        <w:pStyle w:val="ListParagraph"/>
        <w:numPr>
          <w:ilvl w:val="0"/>
          <w:numId w:val="23"/>
        </w:numPr>
        <w:spacing w:after="120" w:line="23" w:lineRule="atLeast"/>
        <w:rPr>
          <w:noProof/>
        </w:rPr>
      </w:pPr>
      <w:r>
        <w:rPr>
          <w:b/>
          <w:noProof/>
        </w:rPr>
        <w:t xml:space="preserve">Financements insuffisants: </w:t>
      </w:r>
      <w:r>
        <w:rPr>
          <w:noProof/>
        </w:rPr>
        <w:t>de nombreux États membres ne disposent pas de budgets consacrés à la sécurité routière aux niveaux national et local et ne peuvent donc pas recruter du personnel qualifié pour concevoir et mettre en œuvre des projets de sécurité des infrastructures routières ou pour maintenir un nombre suffisant d’agents chargés de faire respecter la loi.</w:t>
      </w:r>
    </w:p>
    <w:p w14:paraId="2B411972" w14:textId="4DD20B3F" w:rsidR="00671023" w:rsidRPr="008A49B6" w:rsidRDefault="00671023" w:rsidP="00671023">
      <w:pPr>
        <w:pStyle w:val="ListParagraph"/>
        <w:numPr>
          <w:ilvl w:val="0"/>
          <w:numId w:val="23"/>
        </w:numPr>
        <w:spacing w:after="120" w:line="23" w:lineRule="atLeast"/>
        <w:rPr>
          <w:noProof/>
        </w:rPr>
      </w:pPr>
      <w:r>
        <w:rPr>
          <w:noProof/>
        </w:rPr>
        <w:t xml:space="preserve">La </w:t>
      </w:r>
      <w:r>
        <w:rPr>
          <w:b/>
          <w:noProof/>
        </w:rPr>
        <w:t>volonté politique</w:t>
      </w:r>
      <w:r>
        <w:rPr>
          <w:noProof/>
        </w:rPr>
        <w:t xml:space="preserve"> à tous les niveaux reste incohérente, la sécurité routière étant souvent traitée comme une question technique plutôt que politique. Une mauvaise compréhension des conséquences économiques, sociales et environnementales des traumatismes routiers peut être à l’origine de l’hésitation à agir.</w:t>
      </w:r>
    </w:p>
    <w:p w14:paraId="3A7EE99F" w14:textId="0E063EB7" w:rsidR="00C647C0" w:rsidRPr="008A49B6" w:rsidRDefault="00C647C0" w:rsidP="00882D00">
      <w:pPr>
        <w:pStyle w:val="ListParagraph"/>
        <w:numPr>
          <w:ilvl w:val="0"/>
          <w:numId w:val="23"/>
        </w:numPr>
        <w:spacing w:after="120" w:line="23" w:lineRule="atLeast"/>
        <w:ind w:left="714" w:hanging="357"/>
        <w:rPr>
          <w:i/>
          <w:iCs/>
          <w:noProof/>
        </w:rPr>
      </w:pPr>
      <w:r>
        <w:rPr>
          <w:noProof/>
        </w:rPr>
        <w:t xml:space="preserve">Les </w:t>
      </w:r>
      <w:r>
        <w:rPr>
          <w:b/>
          <w:noProof/>
        </w:rPr>
        <w:t>défis en matière de gouvernance</w:t>
      </w:r>
      <w:r>
        <w:rPr>
          <w:noProof/>
        </w:rPr>
        <w:t xml:space="preserve"> persistent, les responsabilités étant fragmentées entre les différents niveaux administratifs et secteurs. </w:t>
      </w:r>
    </w:p>
    <w:p w14:paraId="31D538D4" w14:textId="3B0662F4" w:rsidR="00C647C0" w:rsidRPr="008A49B6" w:rsidRDefault="00C647C0" w:rsidP="00C647C0">
      <w:pPr>
        <w:pStyle w:val="ListParagraph"/>
        <w:numPr>
          <w:ilvl w:val="1"/>
          <w:numId w:val="23"/>
        </w:numPr>
        <w:spacing w:after="120" w:line="23" w:lineRule="atLeast"/>
        <w:rPr>
          <w:i/>
          <w:iCs/>
          <w:noProof/>
        </w:rPr>
      </w:pPr>
      <w:r>
        <w:rPr>
          <w:noProof/>
        </w:rPr>
        <w:t xml:space="preserve">Au </w:t>
      </w:r>
      <w:r>
        <w:rPr>
          <w:b/>
          <w:noProof/>
        </w:rPr>
        <w:t>niveau de l’Union</w:t>
      </w:r>
      <w:r>
        <w:rPr>
          <w:noProof/>
        </w:rPr>
        <w:t>, le mandat renforcé confié au groupe de haut niveau sur la sécurité routière</w:t>
      </w:r>
      <w:r>
        <w:rPr>
          <w:rStyle w:val="FootnoteReference"/>
          <w:noProof/>
        </w:rPr>
        <w:footnoteReference w:id="15"/>
      </w:r>
      <w:r>
        <w:rPr>
          <w:noProof/>
        </w:rPr>
        <w:t>, qui lui permet d’inclure des conseils stratégiques et des retours d’information plus fréquents, n’a pas toujours permis d’assurer un suivi adéquat par l’Union des questions soulevées par les représentants des États membres dans tous les domaines politiques liés à la sécurité routière.</w:t>
      </w:r>
    </w:p>
    <w:p w14:paraId="5BF1DC1B" w14:textId="0C3120B7" w:rsidR="00C647C0" w:rsidRPr="008A49B6" w:rsidRDefault="008E6FB1" w:rsidP="00C647C0">
      <w:pPr>
        <w:pStyle w:val="ListParagraph"/>
        <w:numPr>
          <w:ilvl w:val="1"/>
          <w:numId w:val="23"/>
        </w:numPr>
        <w:spacing w:after="120" w:line="23" w:lineRule="atLeast"/>
        <w:rPr>
          <w:i/>
          <w:iCs/>
          <w:noProof/>
        </w:rPr>
      </w:pPr>
      <w:r>
        <w:rPr>
          <w:noProof/>
        </w:rPr>
        <w:t xml:space="preserve">Le cadre de gouvernance de la sécurité routière de l’Union </w:t>
      </w:r>
      <w:r>
        <w:rPr>
          <w:noProof/>
          <w:u w:val="single"/>
        </w:rPr>
        <w:t>n’est pas</w:t>
      </w:r>
      <w:r>
        <w:rPr>
          <w:noProof/>
        </w:rPr>
        <w:t xml:space="preserve"> suffisamment structuré pour permettre le déploiement plus large de véhicules automatisés dans la circulation routière ni pour exploiter les mégadonnées aux fins de l’action en matière de sécurité routière. Des agences exécutives dotées de mandats de sécurité ont été créées pour d’autres modes de transport, mais il n’existe pas de cadre commun pour soutenir le suivi, la coordination et les travaux techniques nécessaires au déploiement en toute sécurité de véhicules automatisés sur les routes de l’Union. Cela pourrait représenter une occasion manquée tant pour la sécurité routière que pour l’économie de l’Union.</w:t>
      </w:r>
      <w:r>
        <w:rPr>
          <w:i/>
          <w:noProof/>
        </w:rPr>
        <w:t xml:space="preserve"> </w:t>
      </w:r>
    </w:p>
    <w:p w14:paraId="6895CF66" w14:textId="6D85AC64" w:rsidR="00C647C0" w:rsidRPr="008A49B6" w:rsidRDefault="00C647C0" w:rsidP="00C647C0">
      <w:pPr>
        <w:pStyle w:val="ListParagraph"/>
        <w:numPr>
          <w:ilvl w:val="1"/>
          <w:numId w:val="23"/>
        </w:numPr>
        <w:spacing w:after="120" w:line="23" w:lineRule="atLeast"/>
        <w:rPr>
          <w:noProof/>
        </w:rPr>
      </w:pPr>
      <w:r>
        <w:rPr>
          <w:noProof/>
        </w:rPr>
        <w:t xml:space="preserve">Dans le même temps, au </w:t>
      </w:r>
      <w:r>
        <w:rPr>
          <w:b/>
          <w:noProof/>
        </w:rPr>
        <w:t>niveau national</w:t>
      </w:r>
      <w:r>
        <w:rPr>
          <w:noProof/>
        </w:rPr>
        <w:t>, malgré de nombreux exemples positifs, le manque de coordination entre les autorités chargées des transports, de l’économie, de la santé, de la justice et de l’éducation entrave souvent l’approche globale de la sécurité routière qui est nécessaire</w:t>
      </w:r>
      <w:r>
        <w:rPr>
          <w:rStyle w:val="FootnoteReference"/>
          <w:noProof/>
        </w:rPr>
        <w:footnoteReference w:id="16"/>
      </w:r>
      <w:r>
        <w:rPr>
          <w:noProof/>
        </w:rPr>
        <w:t xml:space="preserve">. </w:t>
      </w:r>
    </w:p>
    <w:p w14:paraId="1E433E2F" w14:textId="79947756" w:rsidR="00671023" w:rsidRPr="008A49B6" w:rsidRDefault="00671023" w:rsidP="00047836">
      <w:pPr>
        <w:spacing w:after="120" w:line="23" w:lineRule="atLeast"/>
        <w:rPr>
          <w:noProof/>
        </w:rPr>
      </w:pPr>
    </w:p>
    <w:p w14:paraId="3B7EDECC" w14:textId="41E748E3" w:rsidR="00050BA5" w:rsidRPr="008A49B6" w:rsidRDefault="00050BA5">
      <w:pPr>
        <w:spacing w:after="160" w:line="259" w:lineRule="auto"/>
        <w:jc w:val="left"/>
        <w:rPr>
          <w:noProof/>
        </w:rPr>
      </w:pPr>
      <w:r>
        <w:rPr>
          <w:noProof/>
        </w:rPr>
        <w:br w:type="page"/>
      </w:r>
    </w:p>
    <w:p w14:paraId="0D360CC8" w14:textId="77777777" w:rsidR="00671023" w:rsidRPr="008A49B6" w:rsidRDefault="00671023" w:rsidP="00AD2038">
      <w:pPr>
        <w:pStyle w:val="Heading1"/>
        <w:keepLines w:val="0"/>
        <w:numPr>
          <w:ilvl w:val="0"/>
          <w:numId w:val="41"/>
        </w:numPr>
        <w:tabs>
          <w:tab w:val="num" w:pos="482"/>
        </w:tabs>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77" w:name="_Toc25673427"/>
      <w:bookmarkStart w:id="78" w:name="_Toc25673475"/>
      <w:bookmarkStart w:id="79" w:name="_Toc25673580"/>
      <w:bookmarkStart w:id="80" w:name="_Toc206602953"/>
      <w:bookmarkStart w:id="81" w:name="_Toc206603011"/>
      <w:bookmarkStart w:id="82" w:name="_Toc206602954"/>
      <w:bookmarkStart w:id="83" w:name="_Toc206603012"/>
      <w:bookmarkStart w:id="84" w:name="_Toc206602955"/>
      <w:bookmarkStart w:id="85" w:name="_Toc206603013"/>
      <w:bookmarkStart w:id="86" w:name="_Toc206602956"/>
      <w:bookmarkStart w:id="87" w:name="_Toc206603014"/>
      <w:bookmarkStart w:id="88" w:name="_Toc206602957"/>
      <w:bookmarkStart w:id="89" w:name="_Toc206603015"/>
      <w:bookmarkStart w:id="90" w:name="_Toc206602958"/>
      <w:bookmarkStart w:id="91" w:name="_Toc206603016"/>
      <w:bookmarkStart w:id="92" w:name="_Toc206602959"/>
      <w:bookmarkStart w:id="93" w:name="_Toc206603017"/>
      <w:bookmarkStart w:id="94" w:name="_Toc206602960"/>
      <w:bookmarkStart w:id="95" w:name="_Toc206603018"/>
      <w:bookmarkStart w:id="96" w:name="_Toc206610421"/>
      <w:bookmarkEnd w:id="70"/>
      <w:bookmarkEnd w:id="71"/>
      <w:bookmarkEnd w:id="72"/>
      <w:bookmarkEnd w:id="73"/>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Fonts w:ascii="Times New Roman" w:hAnsi="Times New Roman"/>
          <w:b/>
          <w:smallCaps/>
          <w:noProof/>
          <w:color w:val="000000" w:themeColor="text1"/>
          <w:sz w:val="24"/>
        </w:rPr>
        <w:t>Qu’est-ce qui a été fait jusqu’à présent?</w:t>
      </w:r>
      <w:bookmarkEnd w:id="96"/>
    </w:p>
    <w:p w14:paraId="62471450" w14:textId="17437297" w:rsidR="00FA58E8" w:rsidRPr="008A49B6" w:rsidRDefault="00671023" w:rsidP="000A33DA">
      <w:pPr>
        <w:spacing w:after="120" w:line="23" w:lineRule="atLeast"/>
        <w:rPr>
          <w:noProof/>
        </w:rPr>
      </w:pPr>
      <w:r>
        <w:rPr>
          <w:noProof/>
        </w:rPr>
        <w:t>Le cadre politique de l’UE en matière de sécurité routière pour la décennie d’action 2021-2030</w:t>
      </w:r>
      <w:r>
        <w:rPr>
          <w:rStyle w:val="FootnoteReference"/>
          <w:noProof/>
        </w:rPr>
        <w:footnoteReference w:id="17"/>
      </w:r>
      <w:r>
        <w:rPr>
          <w:noProof/>
        </w:rPr>
        <w:t xml:space="preserve"> est le document stratégique pour la décennie actuelle. Quatre grands domaines d’action («domaines d’intervention») y sont recensés, correspondant aux quatre piliers de l’approche pour un «système sûr»: des routes et bords de route sûrs; des véhicules sûrs; une utilisation sûre de la route; et des interventions d’urgence efficaces. La Commission a pris des mesures dans chacun de ces domaines sous la forme de dispositions législatives, de financements, d’actions de sensibilisation et d’un renforcement des capacités. </w:t>
      </w:r>
    </w:p>
    <w:p w14:paraId="05F86FFA" w14:textId="77777777" w:rsidR="000B3041" w:rsidRPr="008A49B6" w:rsidRDefault="000B3041" w:rsidP="000A33DA">
      <w:pPr>
        <w:spacing w:after="120" w:line="23" w:lineRule="atLeast"/>
        <w:rPr>
          <w:noProof/>
        </w:rPr>
      </w:pPr>
    </w:p>
    <w:p w14:paraId="504782D2" w14:textId="77777777" w:rsidR="00FA58E8" w:rsidRPr="008A49B6" w:rsidRDefault="00FA58E8" w:rsidP="001E5A65">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Sécurité des infrastructures </w:t>
      </w:r>
    </w:p>
    <w:p w14:paraId="6272805D" w14:textId="62D10E49" w:rsidR="00FA58E8" w:rsidRPr="008A49B6" w:rsidRDefault="00960E28" w:rsidP="00FA58E8">
      <w:pPr>
        <w:spacing w:after="120" w:line="23" w:lineRule="atLeast"/>
        <w:rPr>
          <w:noProof/>
        </w:rPr>
      </w:pPr>
      <w:r>
        <w:rPr>
          <w:noProof/>
        </w:rPr>
        <w:t>La construction de routes et de bords de route de qualité est essentielle pour accroître la sécurité des usagers de la route. En octobre 2019, l’Union a adopté une directive modifiant la directive 2008/96/CE concernant la gestion de la sécurité des infrastructures routières (la directive GSIR)</w:t>
      </w:r>
      <w:r>
        <w:rPr>
          <w:rStyle w:val="FootnoteReference"/>
          <w:noProof/>
        </w:rPr>
        <w:footnoteReference w:id="18"/>
      </w:r>
      <w:r>
        <w:rPr>
          <w:noProof/>
        </w:rPr>
        <w:t xml:space="preserve"> en vue de réduire à la fois le nombre et la gravité des accidents. Les règles révisées ont étendu le champ d’application de la directive au-delà du réseau transeuropéen de transport (RTE-T), aux autoroutes et aux routes principales, ainsi qu’à toutes les routes situées en dehors des zones urbaines qui sont construites grâce à des fonds de l’Union. Cela signifie que les routes rurales, où surviennent plus de la moitié des décès sur les routes, relèvent désormais du champ d’application de la directive, ce qui garantit que la sécurité est intégrée dans toutes les phases de la planification, de la conception et de l’exploitation des routes.</w:t>
      </w:r>
    </w:p>
    <w:p w14:paraId="43A8FEF3" w14:textId="00680E23" w:rsidR="00FA58E8" w:rsidRPr="008A49B6" w:rsidRDefault="2D49CE45" w:rsidP="00FA58E8">
      <w:pPr>
        <w:spacing w:after="120" w:line="23" w:lineRule="atLeast"/>
        <w:rPr>
          <w:noProof/>
        </w:rPr>
      </w:pPr>
      <w:r>
        <w:rPr>
          <w:noProof/>
        </w:rPr>
        <w:t>Dans le cadre de cet exercice majeur, les États membres doivent procéder régulièrement à des évaluations de l’ensemble du réseau routier, sur la base d’une méthode d’échelle des risques qui permet de mieux cerner les risques d’accident sur des tronçons routiers spécifiques. Ainsi, les inspections de sécurité routière cibleront les tronçons les plus dangereux et contribueront ainsi à orienter les investissements là où ils sont le plus nécessaires. La Commission a mis à disposition des orientations</w:t>
      </w:r>
      <w:r>
        <w:rPr>
          <w:rStyle w:val="FootnoteReference"/>
          <w:noProof/>
        </w:rPr>
        <w:footnoteReference w:id="19"/>
      </w:r>
      <w:r>
        <w:rPr>
          <w:noProof/>
        </w:rPr>
        <w:t xml:space="preserve"> pour aider les autorités nationales à s’acquitter de leur mission, ainsi qu’une carte de l’Europe</w:t>
      </w:r>
      <w:r>
        <w:rPr>
          <w:rStyle w:val="FootnoteReference"/>
          <w:noProof/>
        </w:rPr>
        <w:footnoteReference w:id="20"/>
      </w:r>
      <w:r>
        <w:rPr>
          <w:noProof/>
        </w:rPr>
        <w:t xml:space="preserve"> montrant l’ensemble du réseau routier couvert par la directive.</w:t>
      </w:r>
    </w:p>
    <w:p w14:paraId="45499069" w14:textId="1CDADDEA" w:rsidR="00FA58E8" w:rsidRPr="008A49B6" w:rsidRDefault="2D49CE45" w:rsidP="00FA58E8">
      <w:pPr>
        <w:spacing w:after="120" w:line="23" w:lineRule="atLeast"/>
        <w:rPr>
          <w:noProof/>
        </w:rPr>
      </w:pPr>
      <w:r>
        <w:rPr>
          <w:noProof/>
        </w:rPr>
        <w:t>La Commission prépare actuellement des orientations sur la conception de routes sûres et d’infrastructures adaptées aux usagers vulnérables, dans le prolongement de la déclaration européenne sur l’utilisation du vélo</w:t>
      </w:r>
      <w:r>
        <w:rPr>
          <w:rStyle w:val="FootnoteReference"/>
          <w:noProof/>
        </w:rPr>
        <w:footnoteReference w:id="21"/>
      </w:r>
      <w:r>
        <w:rPr>
          <w:noProof/>
        </w:rPr>
        <w:t xml:space="preserve"> et de l’exigence de la directive GSIR selon laquelle les usagers vulnérables doivent être systématiquement pris en compte dans toutes les procédures de gestion de la sécurité routière.</w:t>
      </w:r>
    </w:p>
    <w:p w14:paraId="5906E33E" w14:textId="0B7C1AF1" w:rsidR="00FA58E8" w:rsidRPr="008A49B6" w:rsidRDefault="37D994B7" w:rsidP="00FA58E8">
      <w:pPr>
        <w:spacing w:after="120" w:line="23" w:lineRule="atLeast"/>
        <w:rPr>
          <w:noProof/>
        </w:rPr>
      </w:pPr>
      <w:r>
        <w:rPr>
          <w:noProof/>
        </w:rPr>
        <w:t>La directive relative aux systèmes de transport intelligents</w:t>
      </w:r>
      <w:r>
        <w:rPr>
          <w:rStyle w:val="FootnoteReference"/>
          <w:noProof/>
        </w:rPr>
        <w:footnoteReference w:id="22"/>
      </w:r>
      <w:r>
        <w:rPr>
          <w:noProof/>
        </w:rPr>
        <w:t xml:space="preserve"> prévoit des règles de circulation statiques et dynamiques, telles que des limitations de vitesse sur le réseau RTE-T global, les autoroutes, les routes principales et les nœuds urbains. Elle améliorera le respect des règles par les conducteurs et rendra la circulation plus sûre et plus intelligente, en fournissant un soutien à l’assistance intelligente à la vitesse ainsi qu’à la mobilité coopérative, connectée et automatisée.</w:t>
      </w:r>
    </w:p>
    <w:p w14:paraId="7848AF37" w14:textId="497EF5B1" w:rsidR="00FA58E8" w:rsidRPr="008A49B6" w:rsidRDefault="00FA58E8" w:rsidP="0010489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Sécurité des véhicules </w:t>
      </w:r>
    </w:p>
    <w:p w14:paraId="1776CE30" w14:textId="33223F6E" w:rsidR="00FA58E8" w:rsidRPr="008A49B6" w:rsidRDefault="00FA58E8" w:rsidP="00FA58E8">
      <w:pPr>
        <w:spacing w:after="120" w:line="23" w:lineRule="atLeast"/>
        <w:rPr>
          <w:noProof/>
        </w:rPr>
      </w:pPr>
      <w:r>
        <w:rPr>
          <w:noProof/>
        </w:rPr>
        <w:t>Les véhicules sûrs constituent le deuxième pilier du «système sûr». Les véhicules ont une incidence significative sur la sécurité routière et, en raison de l’évolution rapide de la technologie, ils doivent faire l’objet d’une attention réglementaire constante.</w:t>
      </w:r>
    </w:p>
    <w:p w14:paraId="43D0CEFE" w14:textId="0EABF902" w:rsidR="00FA58E8" w:rsidRPr="008A49B6" w:rsidRDefault="2D49CE45" w:rsidP="00FA58E8">
      <w:pPr>
        <w:spacing w:after="120" w:line="23" w:lineRule="atLeast"/>
        <w:rPr>
          <w:noProof/>
        </w:rPr>
      </w:pPr>
      <w:r>
        <w:rPr>
          <w:noProof/>
        </w:rPr>
        <w:t>Le règlement relatif à la sécurité générale des véhicules</w:t>
      </w:r>
      <w:r>
        <w:rPr>
          <w:rStyle w:val="FootnoteReference"/>
          <w:noProof/>
        </w:rPr>
        <w:footnoteReference w:id="23"/>
      </w:r>
      <w:r>
        <w:rPr>
          <w:noProof/>
        </w:rPr>
        <w:t>, qui fixe des normes de sécurité minimales pour tous les véhicules neufs vendus sur le marché de l’Union, est entré pleinement en vigueur en juillet 2024. Il a introduit des exigences susceptibles d’améliorer considérablement la sécurité, telles que l’assistance intelligente à la vitesse, l’assistance au maintien de la trajectoire, les systèmes d’information concernant les angles morts et de détection en marche arrière, ainsi que des zones élargies de protection contre les chocs de la tête, permettant d’atténuer les blessures en cas de collision avec des usagers vulnérables de la route, tels que les piétons et les cyclistes. La Commission travaille en permanence avec les États membres et les parties prenantes à la mise en œuvre du règlement et du cadre réglementaire pour les véhicules automatisés.</w:t>
      </w:r>
    </w:p>
    <w:p w14:paraId="3CA1D205" w14:textId="611FB504" w:rsidR="00FA58E8" w:rsidRPr="008A49B6" w:rsidRDefault="5E55F97D" w:rsidP="00FA58E8">
      <w:pPr>
        <w:spacing w:after="120" w:line="23" w:lineRule="atLeast"/>
        <w:rPr>
          <w:noProof/>
        </w:rPr>
      </w:pPr>
      <w:r>
        <w:rPr>
          <w:noProof/>
        </w:rPr>
        <w:t>En avril 2025, la Commission a proposé de réviser les règles de l’Union relatives au contrôle technique des véhicules</w:t>
      </w:r>
      <w:r>
        <w:rPr>
          <w:rStyle w:val="FootnoteReference"/>
          <w:noProof/>
        </w:rPr>
        <w:footnoteReference w:id="24"/>
      </w:r>
      <w:r>
        <w:rPr>
          <w:noProof/>
        </w:rPr>
        <w:t>. L’objectif est d’assurer la sécurité des véhicules tout au long de leur durée de vie et de réduire les émissions de polluants atmosphériques et sonores, en particulier dans le contexte des évolutions technologiques et du vieillissement du parc automobile de l’Union. Les nouvelles règles proposées visent à adapter les contrôles techniques périodiques auxquels sont soumis les véhicules électriques et les systèmes avancés d’aide à la conduite, à introduire un contrôle technique périodique obligatoire pour les motocycles et des contrôles annuels pour les voitures et les camionnettes plus anciennes, à mettre en place des méthodes avancées de contrôle des émissions afin de détecter les véhicules à fortes émissions et à rendre obligatoires les contrôles de l’arrimage des marchandises lors des contrôles routiers. On estime que, si elles étaient mises en œuvre, toutes ces mesures permettraient de sauver environ 7 000 vies et d’éviter environ 65 000 blessures graves entre 2026 et 2050. </w:t>
      </w:r>
    </w:p>
    <w:p w14:paraId="5AD996B1" w14:textId="77777777" w:rsidR="000B3041" w:rsidRPr="008A49B6" w:rsidRDefault="000B3041" w:rsidP="00FA58E8">
      <w:pPr>
        <w:spacing w:after="120" w:line="23" w:lineRule="atLeast"/>
        <w:rPr>
          <w:noProof/>
        </w:rPr>
      </w:pPr>
    </w:p>
    <w:p w14:paraId="2702EB4D" w14:textId="77777777" w:rsidR="00FA58E8" w:rsidRPr="008A49B6" w:rsidRDefault="00FA58E8" w:rsidP="0083115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Utilisation sûre de la route </w:t>
      </w:r>
    </w:p>
    <w:p w14:paraId="3609A883" w14:textId="1C715872" w:rsidR="00FA58E8" w:rsidRPr="008A49B6" w:rsidRDefault="00FA58E8" w:rsidP="00FA58E8">
      <w:pPr>
        <w:spacing w:after="120" w:line="23" w:lineRule="atLeast"/>
        <w:rPr>
          <w:noProof/>
        </w:rPr>
      </w:pPr>
      <w:r>
        <w:rPr>
          <w:noProof/>
        </w:rPr>
        <w:t>L’utilisation sûre de la route, qui comprend des vitesses appropriées, une conduite sobre et sans distraction et l’utilisation d’équipements de sécurité, est le troisième domaine d’action de l’actuel cadre politique de l’UE en matière de sécurité routière pour la décennie d’action 2021-2030 et le troisième pilier de l’approche pour un «système sûr». Le permis de conduire, les programmes éducatifs et de sensibilisation ciblés et les régimes de contrôle stricts sont des éléments importants d’une structure incitative favorisant la sécurité d’utilisation des routes et des véhicules.</w:t>
      </w:r>
    </w:p>
    <w:p w14:paraId="2B9284A1" w14:textId="175A7610" w:rsidR="00FA58E8" w:rsidRPr="008A49B6" w:rsidRDefault="2D49CE45" w:rsidP="00FA58E8">
      <w:pPr>
        <w:spacing w:after="120" w:line="23" w:lineRule="atLeast"/>
        <w:rPr>
          <w:noProof/>
        </w:rPr>
      </w:pPr>
      <w:r>
        <w:rPr>
          <w:noProof/>
        </w:rPr>
        <w:t xml:space="preserve">En octobre 2025, l’Union a adopté une révision de la </w:t>
      </w:r>
      <w:r>
        <w:rPr>
          <w:b/>
          <w:noProof/>
        </w:rPr>
        <w:t>directive relative au permis de conduire</w:t>
      </w:r>
      <w:r>
        <w:rPr>
          <w:rStyle w:val="FootnoteReference"/>
          <w:noProof/>
        </w:rPr>
        <w:footnoteReference w:id="25"/>
      </w:r>
      <w:r>
        <w:rPr>
          <w:noProof/>
        </w:rPr>
        <w:t xml:space="preserve">. Outre l’introduction de permis de conduire mobiles, les nouvelles règles prévoient la conduite accompagnée pour les jeunes apprenants, des règles et/ou des sanctions plus strictes pour les conducteurs novices pris en flagrant délit de conduite sous l’emprise de l’alcool ou de stupéfiants, une meilleure sensibilisation aux risques, une meilleure protection des usagers vulnérables de la route et un nouveau cadre permettant aux États membres de vérifier l’aptitude mentale et physique des conducteurs à conduire tout au long de leur vie. </w:t>
      </w:r>
    </w:p>
    <w:p w14:paraId="505E927E" w14:textId="01C07D5E" w:rsidR="00FA58E8" w:rsidRPr="008A49B6" w:rsidRDefault="2D49CE45" w:rsidP="000D459D">
      <w:pPr>
        <w:spacing w:line="23" w:lineRule="atLeast"/>
        <w:rPr>
          <w:noProof/>
        </w:rPr>
      </w:pPr>
      <w:r>
        <w:rPr>
          <w:noProof/>
        </w:rPr>
        <w:t xml:space="preserve">Si les règles antérieures de l’Union ont amélioré le respect des règles de sécurité routière par les conducteurs non résidents, une lacune importante subsistait: environ 40 % des infractions commises hors frontière restaient impunies en raison des difficultés rencontrées pour identifier les contrevenants et faire appliquer les amendes et les retraits de permis. La nouvelle directive relative au permis de conduire a remédié à ces faiblesses. Pour les infractions graves, telles que la conduite sous l’emprise de l’alcool ou de stupéfiants, les excès de vitesse supérieurs à 50 km/h au-dessus de la limite autorisée ou les infractions au code de la route ayant entraîné la mort ou des blessures graves d’autrui, l’État membre qui a délivré le permis de conduire sera tenu d’imposer une </w:t>
      </w:r>
      <w:r>
        <w:rPr>
          <w:b/>
          <w:noProof/>
        </w:rPr>
        <w:t>décision de déchéance du droit de conduire</w:t>
      </w:r>
      <w:r>
        <w:rPr>
          <w:noProof/>
        </w:rPr>
        <w:t xml:space="preserve"> similaire à la sanction prononcée par l’État membre dans lequel l’infraction a été commise. La sanction aura ainsi un effet à l’échelle de l’Union. En outre, la </w:t>
      </w:r>
      <w:r>
        <w:rPr>
          <w:b/>
          <w:noProof/>
        </w:rPr>
        <w:t>directive relative à l’application transfrontalière des règles de sécurité routière</w:t>
      </w:r>
      <w:r>
        <w:rPr>
          <w:rStyle w:val="FootnoteReference"/>
          <w:bCs/>
          <w:noProof/>
        </w:rPr>
        <w:footnoteReference w:id="26"/>
      </w:r>
      <w:r>
        <w:rPr>
          <w:noProof/>
        </w:rPr>
        <w:t xml:space="preserve">, qui a récemment été adoptée, renforce la coopération entre les États membres en instaurant une assistance mutuelle afin d’appliquer efficacement des sanctions financières pour un plus large éventail d’infractions liées à la sécurité routière.  </w:t>
      </w:r>
    </w:p>
    <w:p w14:paraId="45698637" w14:textId="02C65769" w:rsidR="006D00F6" w:rsidRPr="008A49B6" w:rsidRDefault="7E3053E6" w:rsidP="00744F8F">
      <w:pPr>
        <w:pBdr>
          <w:top w:val="single" w:sz="4" w:space="1" w:color="auto"/>
          <w:left w:val="single" w:sz="4" w:space="4" w:color="auto"/>
          <w:bottom w:val="single" w:sz="4" w:space="1" w:color="auto"/>
          <w:right w:val="single" w:sz="4" w:space="4" w:color="auto"/>
        </w:pBdr>
        <w:spacing w:after="120" w:line="23" w:lineRule="atLeast"/>
        <w:rPr>
          <w:noProof/>
        </w:rPr>
      </w:pPr>
      <w:r>
        <w:rPr>
          <w:noProof/>
        </w:rPr>
        <w:t xml:space="preserve">La </w:t>
      </w:r>
      <w:r>
        <w:rPr>
          <w:b/>
          <w:noProof/>
        </w:rPr>
        <w:t>vitesse</w:t>
      </w:r>
      <w:r>
        <w:rPr>
          <w:noProof/>
        </w:rPr>
        <w:t xml:space="preserve"> reste le principal facteur contribuant aux accidents de la route. Une vitesse excessive ou inappropriée est en cause dans 10 à 15 % de tous les accidents et dans environ 30 % des accidents mortels, et elle aggrave les conséquences de tous les accidents. Si un piéton est heurté par une voiture à 30 km/h, il a 90 % de chances de survie; à 50 km/h, ses chances tombent à 20 %</w:t>
      </w:r>
      <w:r>
        <w:rPr>
          <w:rStyle w:val="FootnoteReference"/>
          <w:noProof/>
        </w:rPr>
        <w:footnoteReference w:id="27"/>
      </w:r>
      <w:r>
        <w:rPr>
          <w:noProof/>
        </w:rPr>
        <w:t>. Bien que la vitesse reste une question sensible sur les plans politique et culturel, les initiatives visant à la réduire apportent des avantages considérables, non seulement en ce qui concerne la diminution du nombre d’accidents, de décès et de blessés sur les routes, mais aussi sur le plan de l’environnement, avec une baisse des émissions, des niveaux de pollution sonore et de la consommation de carburant.</w:t>
      </w:r>
    </w:p>
    <w:p w14:paraId="76700CA7" w14:textId="137B23DA" w:rsidR="003E678C" w:rsidRPr="008A49B6" w:rsidRDefault="077AF82E" w:rsidP="55381787">
      <w:pPr>
        <w:pBdr>
          <w:top w:val="single" w:sz="4" w:space="1" w:color="auto"/>
          <w:left w:val="single" w:sz="4" w:space="4" w:color="auto"/>
          <w:bottom w:val="single" w:sz="4" w:space="1" w:color="auto"/>
          <w:right w:val="single" w:sz="4" w:space="4" w:color="auto"/>
        </w:pBdr>
        <w:spacing w:after="120" w:line="23" w:lineRule="atLeast"/>
        <w:rPr>
          <w:noProof/>
        </w:rPr>
      </w:pPr>
      <w:r>
        <w:rPr>
          <w:noProof/>
        </w:rPr>
        <w:t>De nombreuses initiatives promues au niveau de l’Union traitent déjà intrinsèquement de la vitesse. Il s’agit notamment du règlement de l’UE relatif à la sécurité générale des véhicules et de la directive susmentionnée relative à l’application transfrontalière des règles de sécurité routière. De nombreuses autorités nationales, régionales et locales ont déjà mis en place ou prévoient de mettre en place de nouvelles initiatives de gestion de la vitesse, telles que des zones limitées à 30 km/h dans les villes, en particulier dans les zones où les usagers actifs et vulnérables de la route et les véhicules se côtoient fréquemment de manière planifiée</w:t>
      </w:r>
      <w:r>
        <w:rPr>
          <w:rStyle w:val="FootnoteReference"/>
          <w:noProof/>
        </w:rPr>
        <w:footnoteReference w:id="28"/>
      </w:r>
      <w:r>
        <w:rPr>
          <w:noProof/>
        </w:rPr>
        <w:t xml:space="preserve">. </w:t>
      </w:r>
    </w:p>
    <w:p w14:paraId="7C4ED21B" w14:textId="61B582F2" w:rsidR="006D00F6" w:rsidRPr="008A49B6" w:rsidRDefault="006D00F6" w:rsidP="55381787">
      <w:pPr>
        <w:pBdr>
          <w:top w:val="single" w:sz="4" w:space="1" w:color="auto"/>
          <w:left w:val="single" w:sz="4" w:space="4" w:color="auto"/>
          <w:bottom w:val="single" w:sz="4" w:space="1" w:color="auto"/>
          <w:right w:val="single" w:sz="4" w:space="4" w:color="auto"/>
        </w:pBdr>
        <w:spacing w:after="120" w:line="23" w:lineRule="atLeast"/>
        <w:rPr>
          <w:noProof/>
        </w:rPr>
      </w:pPr>
      <w:r>
        <w:rPr>
          <w:noProof/>
        </w:rPr>
        <w:t>D’autres autorités ont opté pour d’autres mesures: par exemple, elles se sont concentrées sur l’amélioration de la conception des infrastructures afin de protéger les usagers vulnérables de la route, sur une meilleure identification et gestion des risques ou sur la séparation des flux de circulation, sur le respect des limitations de vitesse et sur une meilleure éducation et communication.  </w:t>
      </w:r>
    </w:p>
    <w:p w14:paraId="08A9F56E" w14:textId="77777777" w:rsidR="006D00F6" w:rsidRPr="008A49B6" w:rsidRDefault="006D00F6" w:rsidP="00FA58E8">
      <w:pPr>
        <w:spacing w:after="120" w:line="23" w:lineRule="atLeast"/>
        <w:rPr>
          <w:noProof/>
        </w:rPr>
      </w:pPr>
    </w:p>
    <w:p w14:paraId="5726BFFE" w14:textId="77777777" w:rsidR="00FA58E8" w:rsidRPr="008A49B6" w:rsidRDefault="00FA58E8" w:rsidP="0028238B">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Intervention d’urgence efficace </w:t>
      </w:r>
    </w:p>
    <w:p w14:paraId="04A05369" w14:textId="11AAD65A" w:rsidR="00FA58E8" w:rsidRPr="008A49B6" w:rsidRDefault="19BC8CA7" w:rsidP="00FA58E8">
      <w:pPr>
        <w:spacing w:after="120" w:line="23" w:lineRule="atLeast"/>
        <w:rPr>
          <w:noProof/>
        </w:rPr>
      </w:pPr>
      <w:r>
        <w:rPr>
          <w:noProof/>
        </w:rPr>
        <w:t>Une intervention d’urgence rapide est essentielle pour sauver des vies et atténuer la gravité des blessures. L’action de l’UE en matière de soins post-accident, quatrième pilier du «système sûr», vise à réduire le délai entre l’accident et l’arrivée d’équipes médicales sur les sites d’accident. Des interventions plus rapides des services d’urgence améliorent considérablement les chances de survie: une étude espagnole</w:t>
      </w:r>
      <w:r>
        <w:rPr>
          <w:rStyle w:val="FootnoteReference"/>
          <w:noProof/>
        </w:rPr>
        <w:footnoteReference w:id="29"/>
      </w:r>
      <w:r>
        <w:rPr>
          <w:noProof/>
        </w:rPr>
        <w:t xml:space="preserve"> indique qu’une réduction de 10 minutes du temps de réponse médicale est associée à une diminution d’un tiers de la probabilité de décès. </w:t>
      </w:r>
    </w:p>
    <w:p w14:paraId="15AC9859" w14:textId="6CC17DCF" w:rsidR="00FA58E8" w:rsidRPr="008A49B6" w:rsidRDefault="00FA58E8" w:rsidP="00FA58E8">
      <w:pPr>
        <w:spacing w:after="120" w:line="23" w:lineRule="atLeast"/>
        <w:rPr>
          <w:noProof/>
        </w:rPr>
      </w:pPr>
      <w:r>
        <w:rPr>
          <w:noProof/>
        </w:rPr>
        <w:t>Les résultats de l’étude Trendline indiquent que, dans la plupart des pays européens, le temps d’intervention d’urgence est de 10 minutes ou moins dans la moitié des incidents. Dans 95 % des cas, l’intervention d’urgence dure environ 25 minutes ou moins. Les réponses sont en moyenne 10 minutes plus longues dans les zones rurales que dans les zones urbaines.</w:t>
      </w:r>
    </w:p>
    <w:p w14:paraId="195D4076" w14:textId="7EA90D3B" w:rsidR="00FA58E8" w:rsidRPr="008A49B6" w:rsidRDefault="2D49CE45" w:rsidP="00FA58E8">
      <w:pPr>
        <w:spacing w:after="120" w:line="23" w:lineRule="atLeast"/>
        <w:rPr>
          <w:noProof/>
        </w:rPr>
      </w:pPr>
      <w:r>
        <w:rPr>
          <w:noProof/>
        </w:rPr>
        <w:t>La législation de l’Union relative au système eCall a rendu obligatoires l’installation de systèmes d’appel d’urgence automatisés basés sur le 112 dans toutes les voitures neuves vendues dans l’Union à partir du 1</w:t>
      </w:r>
      <w:r>
        <w:rPr>
          <w:noProof/>
          <w:vertAlign w:val="superscript"/>
        </w:rPr>
        <w:t>er</w:t>
      </w:r>
      <w:r>
        <w:rPr>
          <w:noProof/>
        </w:rPr>
        <w:t> avril 2018. Une analyse menée en Finlande</w:t>
      </w:r>
      <w:r>
        <w:rPr>
          <w:rStyle w:val="FootnoteReference"/>
          <w:noProof/>
        </w:rPr>
        <w:footnoteReference w:id="30"/>
      </w:r>
      <w:r>
        <w:rPr>
          <w:noProof/>
        </w:rPr>
        <w:t xml:space="preserve"> indique que l’utilisation du système eCall réduit le délai entre l’appel initial aux services d’urgence et l’arrivée des équipes médicales sur le lieu de l’accident de 25 à 22 minutes. Ce délai est encore plus court sur les autoroutes: de 20 à 14 minutes.</w:t>
      </w:r>
    </w:p>
    <w:p w14:paraId="297EB633" w14:textId="128300E1" w:rsidR="00FA58E8" w:rsidRPr="008A49B6" w:rsidRDefault="2D49CE45" w:rsidP="00FA58E8">
      <w:pPr>
        <w:spacing w:after="120" w:line="23" w:lineRule="atLeast"/>
        <w:rPr>
          <w:noProof/>
        </w:rPr>
      </w:pPr>
      <w:r>
        <w:rPr>
          <w:noProof/>
        </w:rPr>
        <w:t>En 2024, la Commission a mis à jour la législation relative au système eCall afin de permettre son utilisation avec les technologies de communication</w:t>
      </w:r>
      <w:r>
        <w:rPr>
          <w:rStyle w:val="FootnoteReference"/>
          <w:noProof/>
        </w:rPr>
        <w:footnoteReference w:id="31"/>
      </w:r>
      <w:r>
        <w:rPr>
          <w:noProof/>
        </w:rPr>
        <w:t xml:space="preserve"> les plus récentes à partir du 1</w:t>
      </w:r>
      <w:r>
        <w:rPr>
          <w:noProof/>
          <w:vertAlign w:val="superscript"/>
        </w:rPr>
        <w:t>er</w:t>
      </w:r>
      <w:r>
        <w:rPr>
          <w:noProof/>
        </w:rPr>
        <w:t> janvier 2026 pour les nouveaux types de véhicules et à partir du 1</w:t>
      </w:r>
      <w:r>
        <w:rPr>
          <w:noProof/>
          <w:vertAlign w:val="superscript"/>
        </w:rPr>
        <w:t>er</w:t>
      </w:r>
      <w:r>
        <w:rPr>
          <w:noProof/>
        </w:rPr>
        <w:t> janvier 2027 pour tous les véhicules neufs. En revanche, la suppression progressive des réseaux de communications mobiles 2G et 3G dans l’ensemble de l’Union au cours des prochaines années risque d’empêcher les véhicules existants équipés de dispositifs eCall 2G-3G d’utiliser le service eCall. </w:t>
      </w:r>
    </w:p>
    <w:p w14:paraId="7D20995E" w14:textId="4FB31454" w:rsidR="00FA58E8" w:rsidRPr="008A49B6" w:rsidRDefault="00FA58E8" w:rsidP="00FA58E8">
      <w:pPr>
        <w:spacing w:after="120" w:line="23" w:lineRule="atLeast"/>
        <w:rPr>
          <w:noProof/>
        </w:rPr>
      </w:pPr>
    </w:p>
    <w:p w14:paraId="66A898FE" w14:textId="77777777" w:rsidR="00FA58E8" w:rsidRPr="008A49B6" w:rsidRDefault="00FA58E8" w:rsidP="00606CB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Coordination et sensibilisation au niveau de l’Union </w:t>
      </w:r>
    </w:p>
    <w:p w14:paraId="6D022D33" w14:textId="6B787C43" w:rsidR="00FA58E8" w:rsidRPr="008A49B6" w:rsidRDefault="00F97648" w:rsidP="00FA58E8">
      <w:pPr>
        <w:spacing w:after="120" w:line="23" w:lineRule="atLeast"/>
        <w:rPr>
          <w:noProof/>
        </w:rPr>
      </w:pPr>
      <w:r>
        <w:rPr>
          <w:noProof/>
        </w:rPr>
        <w:t>L’Union et ses États membres ont une responsabilité conjointe et partagent les compétences en matière de politique de sécurité routière. L’amélioration de la sécurité nécessite une action coordonnée de toutes les parties et à tous les niveaux de gouvernance: autorités publiques, industrie, associations d’utilisateurs, ONG, écoles et chercheurs. </w:t>
      </w:r>
    </w:p>
    <w:p w14:paraId="078CF112" w14:textId="192C59A4" w:rsidR="00FA58E8" w:rsidRPr="008A49B6" w:rsidRDefault="00FA58E8" w:rsidP="00FA58E8">
      <w:pPr>
        <w:spacing w:after="120" w:line="23" w:lineRule="atLeast"/>
        <w:rPr>
          <w:noProof/>
        </w:rPr>
      </w:pPr>
      <w:r>
        <w:rPr>
          <w:noProof/>
        </w:rPr>
        <w:t xml:space="preserve">Au niveau de l’Union, le </w:t>
      </w:r>
      <w:r>
        <w:rPr>
          <w:b/>
          <w:noProof/>
        </w:rPr>
        <w:t>groupe de haut niveau sur la sécurité routière</w:t>
      </w:r>
      <w:r>
        <w:rPr>
          <w:noProof/>
        </w:rPr>
        <w:t>, composé de représentants nationaux de haut niveau, est un forum d’échange et de consultation avec les États membres. Les membres du groupe de haut niveau discutent des progrès accomplis au niveau national et soulèvent souvent des questions d’intérêt commun pour lesquelles ils souhaiteraient voir des mesures prises au niveau de l’Union, telles que la réglementation des dispositifs de mobilité individuelle ou l’application des règles de circulation routière aux véhicules automatisés.  </w:t>
      </w:r>
    </w:p>
    <w:p w14:paraId="4508F69D" w14:textId="0AF365A9" w:rsidR="00FA58E8" w:rsidRPr="008A49B6" w:rsidRDefault="00FA58E8" w:rsidP="00FA58E8">
      <w:pPr>
        <w:spacing w:after="120" w:line="23" w:lineRule="atLeast"/>
        <w:rPr>
          <w:noProof/>
        </w:rPr>
      </w:pPr>
      <w:r>
        <w:rPr>
          <w:noProof/>
        </w:rPr>
        <w:t xml:space="preserve">La Commission organise des </w:t>
      </w:r>
      <w:r>
        <w:rPr>
          <w:b/>
          <w:noProof/>
        </w:rPr>
        <w:t>conférences bisannuelles sur les résultats en matière de sécurité routière</w:t>
      </w:r>
      <w:r>
        <w:rPr>
          <w:noProof/>
        </w:rPr>
        <w:t xml:space="preserve"> afin de discuter des progrès accomplis, d’échanger les bonnes pratiques et de mobiliser les parties prenantes. Un </w:t>
      </w:r>
      <w:r>
        <w:rPr>
          <w:b/>
          <w:noProof/>
        </w:rPr>
        <w:t>coordinateur de l’Union européenne pour la sécurité routière</w:t>
      </w:r>
      <w:r>
        <w:rPr>
          <w:noProof/>
        </w:rPr>
        <w:t xml:space="preserve"> coordonne les efforts avec les États membres. </w:t>
      </w:r>
    </w:p>
    <w:p w14:paraId="367529C4" w14:textId="147DD4A5" w:rsidR="00FA58E8" w:rsidRPr="008A49B6" w:rsidRDefault="2D49CE45" w:rsidP="00FA58E8">
      <w:pPr>
        <w:spacing w:after="120" w:line="23" w:lineRule="atLeast"/>
        <w:rPr>
          <w:noProof/>
        </w:rPr>
      </w:pPr>
      <w:r>
        <w:rPr>
          <w:noProof/>
        </w:rPr>
        <w:t xml:space="preserve">La Commission encourage les engagements volontaires au titre de la </w:t>
      </w:r>
      <w:r>
        <w:rPr>
          <w:b/>
          <w:noProof/>
        </w:rPr>
        <w:t>charte européenne de la sécurité routière</w:t>
      </w:r>
      <w:r>
        <w:rPr>
          <w:rStyle w:val="FootnoteReference"/>
          <w:b/>
          <w:bCs/>
          <w:noProof/>
        </w:rPr>
        <w:footnoteReference w:id="32"/>
      </w:r>
      <w:r>
        <w:rPr>
          <w:noProof/>
        </w:rPr>
        <w:t>, la plus grande plateforme de la société civile au monde pour la sécurité routière, qui compte plus de 4 300 membres. Des prix annuels récompensent les initiatives innovantes, notamment celles visant à promouvoir la sécurité dans les villes européennes. </w:t>
      </w:r>
    </w:p>
    <w:p w14:paraId="47D02469" w14:textId="0B6924B7" w:rsidR="00FA58E8" w:rsidRPr="008A49B6" w:rsidRDefault="17B2E09B" w:rsidP="00FA58E8">
      <w:pPr>
        <w:spacing w:after="120" w:line="23" w:lineRule="atLeast"/>
        <w:rPr>
          <w:noProof/>
        </w:rPr>
      </w:pPr>
      <w:r>
        <w:rPr>
          <w:noProof/>
        </w:rPr>
        <w:t>Grâce au financement de l’Union, l’</w:t>
      </w:r>
      <w:r>
        <w:rPr>
          <w:b/>
          <w:noProof/>
        </w:rPr>
        <w:t>EU Road Safety Exchange (projet d’échange de l’UE sur la sécurité routière)</w:t>
      </w:r>
      <w:r>
        <w:rPr>
          <w:rStyle w:val="FootnoteReference"/>
          <w:b/>
          <w:bCs/>
          <w:noProof/>
        </w:rPr>
        <w:footnoteReference w:id="33"/>
      </w:r>
      <w:r>
        <w:rPr>
          <w:noProof/>
        </w:rPr>
        <w:t xml:space="preserve"> propose des activités de renforcement des capacités et de jumelage pour les États membres présentant le plus fort potentiel d’amélioration de leurs performances. Les agents nouent des partenariats avec leurs homologues d’autres pays grâce à l’échange de bonnes pratiques et à la présentation d’initiatives couronnées de succès.   Plusieurs échanges collaboratifs ont permis de réaliser des progrès tangibles dans les stratégies et la planification nationales en matière de sécurité routière. Après avoir échangé avec la Suède, la Lituanie a commencé à travailler à l’élargissement de l’application de l’infrastructure routière 2 + 1</w:t>
      </w:r>
      <w:r>
        <w:rPr>
          <w:rStyle w:val="FootnoteReference"/>
          <w:noProof/>
        </w:rPr>
        <w:footnoteReference w:id="34"/>
      </w:r>
      <w:r>
        <w:rPr>
          <w:noProof/>
        </w:rPr>
        <w:t>. La Roumanie a commencé les préparatifs pour installer un réseau national de radars fixes, inspiré du système espagnol, dont le déploiement est actuellement prévu pour 2026. La Lettonie a commencé à examiner la possibilité de mener des enquêtes approfondies sur les accidents, en s’inspirant de la méthodologie finlandaise. Entre-temps, dans le cadre de sa nouvelle loi sur la circulation routière, la Grèce a réduit les limitations de vitesse dans les zones urbaines à 30 km/h et s’apprête à introduire des mesures supplémentaires visant à améliorer la sécurité des motocyclistes, à la suite d’activités de partage des connaissances avec l’Espagne et le Danemark. </w:t>
      </w:r>
    </w:p>
    <w:p w14:paraId="2329E7C0" w14:textId="757B151B" w:rsidR="00606CB2" w:rsidRPr="008A49B6" w:rsidRDefault="00930790" w:rsidP="00FA58E8">
      <w:pPr>
        <w:spacing w:after="120" w:line="23" w:lineRule="atLeast"/>
        <w:rPr>
          <w:noProof/>
        </w:rPr>
      </w:pPr>
      <w:r>
        <w:rPr>
          <w:noProof/>
        </w:rPr>
        <w:t>Ces efforts de sensibilisation ont permis de rassembler les parties prenantes intéressées dans le domaine de la sécurité routière et de promouvoir un certain niveau d’évaluation et d’apprentissage mutuels entre les États membres. Toutefois, la priorité politique accordée à la sécurité routière et l’intégration des préoccupations en matière de sécurité routière dans d’autres secteurs tels que la politique économique, la santé et la sécurité sur le lieu de travail continuent de relever principalement de la responsabilité nationale.</w:t>
      </w:r>
    </w:p>
    <w:p w14:paraId="1711B2AE" w14:textId="77777777" w:rsidR="00FA58E8" w:rsidRPr="008A49B6" w:rsidRDefault="00FA58E8" w:rsidP="00FA58E8">
      <w:pPr>
        <w:spacing w:after="120" w:line="23" w:lineRule="atLeast"/>
        <w:rPr>
          <w:noProof/>
        </w:rPr>
      </w:pPr>
      <w:r>
        <w:rPr>
          <w:noProof/>
        </w:rPr>
        <w:t xml:space="preserve"> </w:t>
      </w:r>
    </w:p>
    <w:p w14:paraId="1D006B38" w14:textId="77777777" w:rsidR="00FA58E8" w:rsidRPr="008A49B6" w:rsidRDefault="00FA58E8" w:rsidP="00606CB2">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Financement de la sécurité routière </w:t>
      </w:r>
    </w:p>
    <w:p w14:paraId="341E0B0D" w14:textId="50037443" w:rsidR="00FA58E8" w:rsidRPr="008A49B6" w:rsidRDefault="00FA58E8" w:rsidP="00FA58E8">
      <w:pPr>
        <w:spacing w:after="120" w:line="23" w:lineRule="atLeast"/>
        <w:rPr>
          <w:noProof/>
        </w:rPr>
      </w:pPr>
      <w:r>
        <w:rPr>
          <w:noProof/>
        </w:rPr>
        <w:t>Le financement est essentiel pour mettre en œuvre des solutions en matière de sécurité routière et accélérer les progrès dans ce domaine à travers l’Europe, en particulier dans les pays qui accusent un retard en la matière.  </w:t>
      </w:r>
    </w:p>
    <w:p w14:paraId="7F9AC50A" w14:textId="3C11C188" w:rsidR="00FA58E8" w:rsidRPr="008A49B6" w:rsidRDefault="00FA58E8" w:rsidP="00FA58E8">
      <w:pPr>
        <w:spacing w:after="120" w:line="23" w:lineRule="atLeast"/>
        <w:rPr>
          <w:noProof/>
        </w:rPr>
      </w:pPr>
      <w:r>
        <w:rPr>
          <w:noProof/>
        </w:rPr>
        <w:t>L’Union a utilisé trois instruments principaux pour financer des projets nationaux et régionaux d’infrastructures de transport contribuant à la sécurité routière: le Fonds européen de développement régional (FEDER) et le Fonds de cohésion (FC), dont la gestion est partagée entre la Commission et les États membres, et le mécanisme pour l’interconnexion en Europe (MIE), qui est géré directement par la Commission. En outre, la facilité pour la reprise et la résilience a soutenu des projets contribuant à la sécurité routière.</w:t>
      </w:r>
    </w:p>
    <w:p w14:paraId="6F86103C" w14:textId="0E68EFFC" w:rsidR="00FA58E8" w:rsidRPr="008A49B6" w:rsidRDefault="00DE0315" w:rsidP="00FA58E8">
      <w:pPr>
        <w:spacing w:after="120" w:line="23" w:lineRule="atLeast"/>
        <w:rPr>
          <w:noProof/>
        </w:rPr>
      </w:pPr>
      <w:r>
        <w:rPr>
          <w:noProof/>
        </w:rPr>
        <w:t>Dans le cadre du MIE, l’Union a également financé des projets transfrontières de renforcement des capacités, tels que les évaluations à l’échelle du réseau des infrastructures routières, les indicateurs de performance clés, les campagnes de contrôle et la mise en œuvre de services STI transfrontaliers. </w:t>
      </w:r>
    </w:p>
    <w:p w14:paraId="668493FC" w14:textId="40873006" w:rsidR="00A336B3" w:rsidRPr="008A49B6" w:rsidRDefault="00A336B3" w:rsidP="00FA58E8">
      <w:pPr>
        <w:spacing w:after="120" w:line="23" w:lineRule="atLeast"/>
        <w:rPr>
          <w:noProof/>
        </w:rPr>
      </w:pPr>
    </w:p>
    <w:p w14:paraId="0529B487" w14:textId="6995A68E" w:rsidR="00FA58E8" w:rsidRPr="008A49B6" w:rsidRDefault="12E828A2" w:rsidP="00FA58E8">
      <w:pPr>
        <w:spacing w:after="120" w:line="23" w:lineRule="atLeast"/>
        <w:rPr>
          <w:noProof/>
        </w:rPr>
      </w:pPr>
      <w:r>
        <w:rPr>
          <w:noProof/>
        </w:rPr>
        <w:t>Un rapport récent de la Cour des comptes européenne (CCE)</w:t>
      </w:r>
      <w:r>
        <w:rPr>
          <w:rStyle w:val="FootnoteReference"/>
          <w:noProof/>
        </w:rPr>
        <w:footnoteReference w:id="35"/>
      </w:r>
      <w:r>
        <w:rPr>
          <w:noProof/>
        </w:rPr>
        <w:t xml:space="preserve"> estime qu’au cours de la dernière décennie, 6 663 millions</w:t>
      </w:r>
      <w:r>
        <w:rPr>
          <w:rStyle w:val="FootnoteReference"/>
          <w:noProof/>
        </w:rPr>
        <w:footnoteReference w:id="36"/>
      </w:r>
      <w:r>
        <w:rPr>
          <w:noProof/>
        </w:rPr>
        <w:t xml:space="preserve"> d’EUR provenant du FEDER, du FC et du MIE – soit un peu plus de 2 % de la valeur de ces fonds – ont été engagés dans des projets liés à la sécurité routière. Toutefois, ces estimations couvrent également des projets d’infrastructure et d’autres projets pour lesquels la sécurité routière n’est qu’un objectif auxiliaire et non l’objectif principal de l’action. La Cour a recommandé que le cofinancement de l’Union soit accordé en priorité aux initiatives qui auraient la plus grande incidence sur la sécurité routière.</w:t>
      </w:r>
    </w:p>
    <w:p w14:paraId="13CC61AB" w14:textId="1D4A205C" w:rsidR="0024583F" w:rsidRPr="008A49B6" w:rsidRDefault="00FA58E8" w:rsidP="00FA58E8">
      <w:pPr>
        <w:spacing w:after="120" w:line="23" w:lineRule="atLeast"/>
        <w:rPr>
          <w:noProof/>
        </w:rPr>
      </w:pPr>
      <w:r>
        <w:rPr>
          <w:noProof/>
        </w:rPr>
        <w:t>Des fonds ont également été débloqués pour poursuivre les recherches dans le cadre du programme Horizon Europe, notamment dans les domaines des infrastructures sûres, des véhicules sûrs, de la sécurité routière et des soins post-accident. Pour la période 2021-2027, le montant alloué aux projets de recherche en matière de sécurité routière s’élève à environ 123 millions d’EUR, soit environ 0,13 % de la valeur totale du programme Horizon Europe actuel.</w:t>
      </w:r>
    </w:p>
    <w:p w14:paraId="74F9D1C1" w14:textId="164BAE70" w:rsidR="00491FCB" w:rsidRPr="008A49B6" w:rsidRDefault="00FA0C10" w:rsidP="00491FCB">
      <w:pPr>
        <w:spacing w:after="160" w:line="259" w:lineRule="auto"/>
        <w:rPr>
          <w:noProof/>
        </w:rPr>
      </w:pPr>
      <w:r>
        <w:rPr>
          <w:noProof/>
        </w:rPr>
        <w:t>En matière de financement, la Banque européenne d’investissement (BEI) a fait de l’intégration de la sécurité dans tous les investissements routiers une priorité dans sa politique de prêt dans le domaine des transports pour 2022, dont la révision à mi-parcours est prévue en 2026. Les mesures de sécurité routière sont en outre intégrées dans les normes environnementales et sociales qui s’appliquent à toutes les opérations de la BEI. Par l’intermédiaire de la plateforme pour des transports plus sûrs, la BEI a soutenu des investissements ciblés dans la sécurité routière, ainsi que des services de conseil et d’assistance technique, donnant lieu à des projets dans plusieurs États membres de l’Union. Au sein de l’Union, la BEI impose le respect de la directive GSIR et de la directive relative à la sécurité des tunnels</w:t>
      </w:r>
      <w:r>
        <w:rPr>
          <w:rStyle w:val="FootnoteReference"/>
          <w:noProof/>
        </w:rPr>
        <w:footnoteReference w:id="37"/>
      </w:r>
      <w:r>
        <w:rPr>
          <w:noProof/>
        </w:rPr>
        <w:t>, y compris les analyses d’impact sur la sécurité routière et les audits de la sécurité routière.</w:t>
      </w:r>
    </w:p>
    <w:p w14:paraId="2BFF53B8" w14:textId="706FA952" w:rsidR="00FA58E8" w:rsidRPr="008A49B6" w:rsidRDefault="00FA58E8" w:rsidP="00FA58E8">
      <w:pPr>
        <w:spacing w:after="120" w:line="23" w:lineRule="atLeast"/>
        <w:rPr>
          <w:noProof/>
        </w:rPr>
      </w:pPr>
    </w:p>
    <w:p w14:paraId="6FDA268C" w14:textId="1F2115DB" w:rsidR="00FA58E8" w:rsidRPr="008A49B6" w:rsidRDefault="00FA58E8" w:rsidP="00461E25">
      <w:pPr>
        <w:pStyle w:val="Heading1"/>
        <w:keepLines w:val="0"/>
        <w:numPr>
          <w:ilvl w:val="2"/>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 Aperçu des recherches sur la sécurité routière financées par l’UE   </w:t>
      </w:r>
    </w:p>
    <w:p w14:paraId="1F05C385" w14:textId="53502549" w:rsidR="00FA58E8" w:rsidRPr="008A49B6" w:rsidRDefault="00FA58E8" w:rsidP="00FA58E8">
      <w:pPr>
        <w:spacing w:after="120" w:line="23" w:lineRule="atLeast"/>
        <w:rPr>
          <w:noProof/>
        </w:rPr>
      </w:pPr>
      <w:r>
        <w:rPr>
          <w:noProof/>
        </w:rPr>
        <w:t>Entre 2021 et 2025, Horizon Europe a soutenu plus de 20 projets de recherche et d’innovation axés sur la sécurité routière.  </w:t>
      </w:r>
    </w:p>
    <w:p w14:paraId="3B2A8621" w14:textId="42DAA49F" w:rsidR="00FA58E8" w:rsidRPr="008A49B6" w:rsidRDefault="00FA58E8" w:rsidP="00FA58E8">
      <w:pPr>
        <w:spacing w:after="120" w:line="23" w:lineRule="atLeast"/>
        <w:rPr>
          <w:noProof/>
        </w:rPr>
      </w:pPr>
      <w:r>
        <w:rPr>
          <w:noProof/>
        </w:rPr>
        <w:t>Les activités de recherche financées par l’Union dans le domaine de la sécurité routière ont couvert quatre domaines principaux, correspondant aux quatre piliers de l’approche pour un «système sûr»: infrastructures sûres, véhicules sûrs, utilisation sûre de la route et soins rapides et efficaces après un accident.</w:t>
      </w:r>
    </w:p>
    <w:p w14:paraId="69687E65" w14:textId="405D1BFE" w:rsidR="00FA58E8" w:rsidRPr="008A49B6" w:rsidRDefault="2D49CE45" w:rsidP="00FA58E8">
      <w:pPr>
        <w:spacing w:after="120" w:line="23" w:lineRule="atLeast"/>
        <w:rPr>
          <w:noProof/>
        </w:rPr>
      </w:pPr>
      <w:r>
        <w:rPr>
          <w:noProof/>
        </w:rPr>
        <w:t>Les projets liés aux infrastructures, qui se poursuivront jusqu’en 2026-2027, visent à créer un cadre pour l’évaluation de la sécurité basée sur les données (Evoroads</w:t>
      </w:r>
      <w:r>
        <w:rPr>
          <w:rStyle w:val="FootnoteReference"/>
          <w:noProof/>
        </w:rPr>
        <w:footnoteReference w:id="38"/>
      </w:r>
      <w:r>
        <w:rPr>
          <w:noProof/>
        </w:rPr>
        <w:t>), à développer une infrastructure pour une surveillance optimale de la sécurité routière (iDriving</w:t>
      </w:r>
      <w:r>
        <w:rPr>
          <w:rStyle w:val="FootnoteReference"/>
          <w:noProof/>
        </w:rPr>
        <w:footnoteReference w:id="39"/>
      </w:r>
      <w:r>
        <w:rPr>
          <w:noProof/>
        </w:rPr>
        <w:t>) et à mettre au point des solutions de sécurité routière pour les usagers vulnérables de la route en milieu urbain (Soteria</w:t>
      </w:r>
      <w:r>
        <w:rPr>
          <w:rStyle w:val="FootnoteReference"/>
          <w:noProof/>
        </w:rPr>
        <w:footnoteReference w:id="40"/>
      </w:r>
      <w:r>
        <w:rPr>
          <w:noProof/>
        </w:rPr>
        <w:t>).   </w:t>
      </w:r>
    </w:p>
    <w:p w14:paraId="68C5E3CC" w14:textId="3169114C" w:rsidR="00FA58E8" w:rsidRPr="008A49B6" w:rsidRDefault="2D49CE45" w:rsidP="00FA58E8">
      <w:pPr>
        <w:spacing w:after="120" w:line="23" w:lineRule="atLeast"/>
        <w:rPr>
          <w:noProof/>
        </w:rPr>
      </w:pPr>
      <w:r>
        <w:rPr>
          <w:noProof/>
        </w:rPr>
        <w:t>En ce qui concerne la sécurité des véhicules, les projets actuels portent sur des sujets tels que le développement de systèmes de sécurité active et passive pour les futurs véhicules autonomes (SAFE-UP</w:t>
      </w:r>
      <w:r>
        <w:rPr>
          <w:rStyle w:val="FootnoteReference"/>
          <w:noProof/>
        </w:rPr>
        <w:footnoteReference w:id="41"/>
      </w:r>
      <w:r>
        <w:rPr>
          <w:noProof/>
        </w:rPr>
        <w:t>) et la médiation entre la conduite humaine et la conduite automatisée (Mediator</w:t>
      </w:r>
      <w:r>
        <w:rPr>
          <w:rStyle w:val="FootnoteReference"/>
          <w:noProof/>
        </w:rPr>
        <w:footnoteReference w:id="42"/>
      </w:r>
      <w:r>
        <w:rPr>
          <w:noProof/>
        </w:rPr>
        <w:t>).  </w:t>
      </w:r>
    </w:p>
    <w:p w14:paraId="0AC0F3A9" w14:textId="2DAD5A45" w:rsidR="00FA58E8" w:rsidRPr="008A49B6" w:rsidRDefault="25693138" w:rsidP="00FA58E8">
      <w:pPr>
        <w:spacing w:after="120" w:line="23" w:lineRule="atLeast"/>
        <w:rPr>
          <w:noProof/>
        </w:rPr>
      </w:pPr>
      <w:r>
        <w:rPr>
          <w:noProof/>
        </w:rPr>
        <w:t>Les projets récents portant sur l’utilisation sûre de la route vont de l’évaluation de la sécurité des usagers dans les zones urbaines (PHOEBE</w:t>
      </w:r>
      <w:r>
        <w:rPr>
          <w:rStyle w:val="FootnoteReference"/>
          <w:noProof/>
        </w:rPr>
        <w:footnoteReference w:id="43"/>
      </w:r>
      <w:r>
        <w:rPr>
          <w:noProof/>
        </w:rPr>
        <w:t>) à la gestion de l’espace urbain pour favoriser les modes de mobilité actifs (REALLOCATE</w:t>
      </w:r>
      <w:r>
        <w:rPr>
          <w:rStyle w:val="FootnoteReference"/>
          <w:noProof/>
        </w:rPr>
        <w:footnoteReference w:id="44"/>
      </w:r>
      <w:r>
        <w:rPr>
          <w:noProof/>
        </w:rPr>
        <w:t>) et aux moyens de détecter l’alcool, les drogues et la fatigue chez les conducteurs commerciaux (PANACEA</w:t>
      </w:r>
      <w:r>
        <w:rPr>
          <w:rStyle w:val="FootnoteReference"/>
          <w:noProof/>
        </w:rPr>
        <w:footnoteReference w:id="45"/>
      </w:r>
      <w:r>
        <w:rPr>
          <w:noProof/>
        </w:rPr>
        <w:t>).  </w:t>
      </w:r>
    </w:p>
    <w:p w14:paraId="2750591D" w14:textId="59951EBB" w:rsidR="00FA58E8" w:rsidRPr="008A49B6" w:rsidRDefault="2D49CE45" w:rsidP="00FA58E8">
      <w:pPr>
        <w:spacing w:after="120" w:line="23" w:lineRule="atLeast"/>
        <w:rPr>
          <w:noProof/>
        </w:rPr>
      </w:pPr>
      <w:r>
        <w:rPr>
          <w:noProof/>
        </w:rPr>
        <w:t>En ce qui concerne les soins rapides et efficaces après un accident, l’accent est mis sur la mise au point de contre-mesures efficaces et de mesures post-accident pour tous les modes de transport routier, en associant des outils médicaux et d’ingénierie (ProAct_Us</w:t>
      </w:r>
      <w:r>
        <w:rPr>
          <w:rStyle w:val="FootnoteReference"/>
          <w:noProof/>
        </w:rPr>
        <w:footnoteReference w:id="46"/>
      </w:r>
      <w:r>
        <w:rPr>
          <w:noProof/>
        </w:rPr>
        <w:t>) et en évaluant les conséquences à long terme des accidents de la circulation routière (IMPROVA</w:t>
      </w:r>
      <w:r>
        <w:rPr>
          <w:rStyle w:val="FootnoteReference"/>
          <w:noProof/>
        </w:rPr>
        <w:footnoteReference w:id="47"/>
      </w:r>
      <w:r>
        <w:rPr>
          <w:noProof/>
        </w:rPr>
        <w:t>).  </w:t>
      </w:r>
    </w:p>
    <w:p w14:paraId="07A9E252" w14:textId="77777777" w:rsidR="00FA58E8" w:rsidRPr="008A49B6" w:rsidRDefault="00FA58E8" w:rsidP="000A33DA">
      <w:pPr>
        <w:spacing w:after="120" w:line="23" w:lineRule="atLeast"/>
        <w:rPr>
          <w:noProof/>
        </w:rPr>
      </w:pPr>
    </w:p>
    <w:p w14:paraId="0F7C5496" w14:textId="77777777" w:rsidR="00671023" w:rsidRPr="008A49B6" w:rsidRDefault="00671023" w:rsidP="00AD2038">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97" w:name="_Toc204955532"/>
      <w:bookmarkStart w:id="98" w:name="_Toc204955533"/>
      <w:bookmarkStart w:id="99" w:name="_Toc206610428"/>
      <w:bookmarkStart w:id="100" w:name="_Toc24044213"/>
      <w:bookmarkStart w:id="101" w:name="_Toc25446682"/>
      <w:bookmarkStart w:id="102" w:name="_Toc25533755"/>
      <w:bookmarkStart w:id="103" w:name="_Toc25685798"/>
      <w:bookmarkStart w:id="104" w:name="_Toc25854809"/>
      <w:bookmarkEnd w:id="40"/>
      <w:bookmarkEnd w:id="41"/>
      <w:bookmarkEnd w:id="42"/>
      <w:bookmarkEnd w:id="43"/>
      <w:bookmarkEnd w:id="97"/>
      <w:bookmarkEnd w:id="98"/>
      <w:r>
        <w:rPr>
          <w:rFonts w:ascii="Times New Roman" w:hAnsi="Times New Roman"/>
          <w:b/>
          <w:smallCaps/>
          <w:noProof/>
          <w:color w:val="000000" w:themeColor="text1"/>
          <w:sz w:val="24"/>
        </w:rPr>
        <w:t>Mise en œuvre au niveau national des actions de sécurité routière</w:t>
      </w:r>
      <w:bookmarkEnd w:id="99"/>
    </w:p>
    <w:p w14:paraId="2FC5B604" w14:textId="48D67AE6" w:rsidR="00671023" w:rsidRPr="008A49B6" w:rsidRDefault="00671023" w:rsidP="00671023">
      <w:pPr>
        <w:pStyle w:val="Text2"/>
        <w:ind w:left="0"/>
        <w:rPr>
          <w:noProof/>
        </w:rPr>
      </w:pPr>
      <w:r>
        <w:rPr>
          <w:noProof/>
        </w:rPr>
        <w:t xml:space="preserve">Bien que des initiatives importantes soient menées au niveau de l’Union en matière de législation, de financement, de recherche et de sensibilisation, c’est aux niveaux national, régional et municipal qu’incombe la responsabilité principale dans le domaine de la sécurité routière. </w:t>
      </w:r>
    </w:p>
    <w:p w14:paraId="4EE481C8" w14:textId="1E9AE670" w:rsidR="00671023" w:rsidRPr="008A49B6" w:rsidRDefault="00671023" w:rsidP="00671023">
      <w:pPr>
        <w:pStyle w:val="Text2"/>
        <w:ind w:left="0"/>
        <w:rPr>
          <w:noProof/>
        </w:rPr>
      </w:pPr>
      <w:r>
        <w:rPr>
          <w:noProof/>
        </w:rPr>
        <w:t xml:space="preserve">Les rapports par pays publiés conjointement avec le présent rapport décrivent les nombreuses mesures prises au niveau national. Dans la plupart des cas, ces mesures sont encadrées par des stratégies pluriannuelles, des plans d’action ou des programmes d’action au niveau gouvernemental qui définissent des priorités nationales distinctes, allouent des financements et fixent des objectifs spécifiques. </w:t>
      </w:r>
    </w:p>
    <w:p w14:paraId="2F53B6B1" w14:textId="35A40B92" w:rsidR="00671023" w:rsidRPr="008A49B6" w:rsidRDefault="00671023" w:rsidP="00671023">
      <w:pPr>
        <w:pStyle w:val="Text2"/>
        <w:ind w:left="0"/>
        <w:rPr>
          <w:noProof/>
        </w:rPr>
      </w:pPr>
      <w:r>
        <w:rPr>
          <w:noProof/>
        </w:rPr>
        <w:t>Il ressort clairement de ces rapports par pays que, dans de nombreux cas, les mesures soutenues, les investissements et la priorité accordée à la sécurité routière ont porté leurs fruits. Par exemple, bien qu’elles soient toujours confrontées à des difficultés, la Pologne, la Lituanie et la Slovénie ont chacune enregistré une réduction de 33 à 35 % du nombre de tués sur les routes en 2024 par rapport à 2019, ce qui les met en bonne voie pour atteindre l’objectif d’une réduction de 50 % d’ici à 2030.   Dans le même temps, certains pays, dont la Bulgarie, la Roumanie et la Grèce, enregistrent toujours un nombre de décès sur les routes nettement supérieur à la moyenne de l’Union, ce qui montre bien la nécessité de prendre des mesures supplémentaires dans ces États membres. De nouvelles mesures en matière de sécurité routière ont certes été introduites dans certains pays en 2025, mais leur incidence ne se reflète pas encore dans les données relatives à la sécurité routière.</w:t>
      </w:r>
    </w:p>
    <w:p w14:paraId="5CC62043" w14:textId="228895E3" w:rsidR="00C37701" w:rsidRPr="008A49B6" w:rsidRDefault="00916309" w:rsidP="00671023">
      <w:pPr>
        <w:pStyle w:val="Text2"/>
        <w:ind w:left="0"/>
        <w:rPr>
          <w:noProof/>
        </w:rPr>
      </w:pPr>
      <w:r w:rsidRPr="00916309">
        <w:rPr>
          <w:noProof/>
          <w:lang w:val="en-GB"/>
        </w:rPr>
        <w:drawing>
          <wp:inline distT="0" distB="0" distL="0" distR="0" wp14:anchorId="1C65005B" wp14:editId="117694D5">
            <wp:extent cx="5472430" cy="4083050"/>
            <wp:effectExtent l="0" t="0" r="0" b="0"/>
            <wp:docPr id="4440262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72430" cy="4083050"/>
                    </a:xfrm>
                    <a:prstGeom prst="rect">
                      <a:avLst/>
                    </a:prstGeom>
                    <a:noFill/>
                    <a:ln>
                      <a:noFill/>
                    </a:ln>
                  </pic:spPr>
                </pic:pic>
              </a:graphicData>
            </a:graphic>
          </wp:inline>
        </w:drawing>
      </w:r>
    </w:p>
    <w:p w14:paraId="0C42D019" w14:textId="0C861FBC" w:rsidR="00671023" w:rsidRPr="008A49B6" w:rsidRDefault="00DF6AA0" w:rsidP="00D27AF3">
      <w:pPr>
        <w:pStyle w:val="Caption"/>
        <w:spacing w:after="360"/>
        <w:rPr>
          <w:noProof/>
        </w:rPr>
      </w:pPr>
      <w:r>
        <w:rPr>
          <w:noProof/>
        </w:rPr>
        <w:t>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xml:space="preserve"> Nombre de tués sur les routes de l’UE par million d’habitants entre 2019 et 2024. Sources: EU CARE (base de données de l’UE sur les accidents de la route); pour les données sur la population, Eurostat (code de données en ligne </w:t>
      </w:r>
      <w:hyperlink r:id="rId27" w:history="1">
        <w:r>
          <w:rPr>
            <w:rStyle w:val="Hyperlink"/>
            <w:noProof/>
          </w:rPr>
          <w:t>demo_pjan</w:t>
        </w:r>
      </w:hyperlink>
      <w:r>
        <w:rPr>
          <w:noProof/>
        </w:rPr>
        <w:t>)</w:t>
      </w:r>
    </w:p>
    <w:p w14:paraId="648AFD2F" w14:textId="1D8C4599" w:rsidR="00290E62" w:rsidRPr="008A49B6" w:rsidRDefault="00671023" w:rsidP="00671023">
      <w:pPr>
        <w:pStyle w:val="Text2"/>
        <w:ind w:left="0"/>
        <w:rPr>
          <w:noProof/>
        </w:rPr>
      </w:pPr>
      <w:r>
        <w:rPr>
          <w:noProof/>
        </w:rPr>
        <w:t xml:space="preserve">Les mesures efficaces peuvent varier en fonction du contexte national. Parmi les réussites notables figurent des investissements sur mesure dans les infrastructures routières et la sécurité routière urbaine en Pologne; la mise en œuvre d’une limite de vitesse de 30 km/h dans les centres urbains à l’échelle nationale en Espagne; le déploiement d’un vaste réseau de radars automatiques en France; une nouvelle plateforme politique nationale pour la sécurité routière aux niveaux de gouvernance fédéral et régional en Belgique; et des campagnes de sensibilisation à la sécurité routière bien étudiées et bien menées au Danemark. </w:t>
      </w:r>
    </w:p>
    <w:p w14:paraId="7A35F48B" w14:textId="39F21216" w:rsidR="00050BA5" w:rsidRPr="008A49B6" w:rsidRDefault="6A270876" w:rsidP="00671023">
      <w:pPr>
        <w:pStyle w:val="Text2"/>
        <w:ind w:left="0"/>
        <w:rPr>
          <w:noProof/>
        </w:rPr>
      </w:pPr>
      <w:r>
        <w:rPr>
          <w:noProof/>
        </w:rPr>
        <w:t>Des informations détaillées sur les profils de sécurité routière de chaque État membre figurent dans les rapports par pays publiés conjointement avec la présente communication</w:t>
      </w:r>
      <w:r>
        <w:rPr>
          <w:rStyle w:val="FootnoteReference"/>
          <w:noProof/>
        </w:rPr>
        <w:footnoteReference w:id="48"/>
      </w:r>
      <w:r>
        <w:rPr>
          <w:noProof/>
        </w:rPr>
        <w:t xml:space="preserve">. </w:t>
      </w:r>
    </w:p>
    <w:p w14:paraId="3A4D489C" w14:textId="77777777" w:rsidR="00050BA5" w:rsidRPr="008A49B6" w:rsidRDefault="00050BA5">
      <w:pPr>
        <w:spacing w:after="160" w:line="259" w:lineRule="auto"/>
        <w:jc w:val="left"/>
        <w:rPr>
          <w:noProof/>
        </w:rPr>
      </w:pPr>
      <w:r>
        <w:rPr>
          <w:noProof/>
        </w:rPr>
        <w:br w:type="page"/>
      </w:r>
    </w:p>
    <w:p w14:paraId="2E81B67E" w14:textId="77777777" w:rsidR="00671023" w:rsidRPr="008A49B6" w:rsidRDefault="00671023" w:rsidP="00671023">
      <w:pPr>
        <w:pStyle w:val="Text2"/>
        <w:ind w:left="0"/>
        <w:rPr>
          <w:noProof/>
        </w:rPr>
      </w:pPr>
    </w:p>
    <w:p w14:paraId="5B7B4063" w14:textId="5D06233D"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b/>
          <w:noProof/>
        </w:rPr>
        <w:t xml:space="preserve"> </w:t>
      </w:r>
      <w:bookmarkStart w:id="105" w:name="_Toc25673429"/>
      <w:bookmarkStart w:id="106" w:name="_Toc25673477"/>
      <w:bookmarkStart w:id="107" w:name="_Toc25673582"/>
      <w:bookmarkStart w:id="108" w:name="_Toc206610429"/>
      <w:bookmarkEnd w:id="100"/>
      <w:bookmarkEnd w:id="101"/>
      <w:bookmarkEnd w:id="102"/>
      <w:bookmarkEnd w:id="103"/>
      <w:bookmarkEnd w:id="104"/>
      <w:bookmarkEnd w:id="105"/>
      <w:bookmarkEnd w:id="106"/>
      <w:bookmarkEnd w:id="107"/>
      <w:r>
        <w:rPr>
          <w:rFonts w:ascii="Times New Roman" w:hAnsi="Times New Roman"/>
          <w:b/>
          <w:smallCaps/>
          <w:noProof/>
          <w:color w:val="000000" w:themeColor="text1"/>
          <w:sz w:val="24"/>
        </w:rPr>
        <w:t>Tendances sociétales et technologiques ayant une incidence sur la sécurité routière</w:t>
      </w:r>
      <w:bookmarkEnd w:id="108"/>
    </w:p>
    <w:p w14:paraId="2261EF22" w14:textId="5289A17F" w:rsidR="00671023" w:rsidRPr="008A49B6" w:rsidRDefault="00105D96" w:rsidP="00671023">
      <w:pPr>
        <w:pStyle w:val="Text1"/>
        <w:spacing w:after="120" w:line="23" w:lineRule="atLeast"/>
        <w:ind w:left="0"/>
        <w:rPr>
          <w:noProof/>
        </w:rPr>
      </w:pPr>
      <w:r>
        <w:rPr>
          <w:noProof/>
        </w:rPr>
        <w:t xml:space="preserve">Plusieurs questions qui avaient suscité peu d’attention lors de l’adoption du cadre politique de l’UE en matière de sécurité routière pour la décennie d’action 2021-2030 sont, entretemps, apparues comme des domaines nécessitant des mesures ciblées afin de réduire leur incidence sur la sécurité routière. </w:t>
      </w:r>
    </w:p>
    <w:p w14:paraId="37B2A905" w14:textId="77777777" w:rsidR="000B3041" w:rsidRPr="008A49B6" w:rsidRDefault="000B3041" w:rsidP="00671023">
      <w:pPr>
        <w:pStyle w:val="Text1"/>
        <w:spacing w:after="120" w:line="23" w:lineRule="atLeast"/>
        <w:ind w:left="0"/>
        <w:rPr>
          <w:noProof/>
        </w:rPr>
      </w:pPr>
    </w:p>
    <w:p w14:paraId="221FA4AD"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109" w:name="_Toc206602970"/>
      <w:bookmarkStart w:id="110" w:name="_Toc206603028"/>
      <w:bookmarkStart w:id="111" w:name="_Toc25673431"/>
      <w:bookmarkStart w:id="112" w:name="_Toc25673479"/>
      <w:bookmarkStart w:id="113" w:name="_Toc25673584"/>
      <w:bookmarkStart w:id="114" w:name="_Toc25445064"/>
      <w:bookmarkStart w:id="115" w:name="_Toc25447045"/>
      <w:bookmarkStart w:id="116" w:name="_Toc25527654"/>
      <w:bookmarkStart w:id="117" w:name="_Toc25531526"/>
      <w:bookmarkStart w:id="118" w:name="_Toc25533757"/>
      <w:bookmarkStart w:id="119" w:name="_Toc25533808"/>
      <w:bookmarkStart w:id="120" w:name="_Toc25535161"/>
      <w:bookmarkStart w:id="121" w:name="_Toc206610430"/>
      <w:bookmarkStart w:id="122" w:name="_Toc24044216"/>
      <w:bookmarkEnd w:id="109"/>
      <w:bookmarkEnd w:id="110"/>
      <w:bookmarkEnd w:id="111"/>
      <w:bookmarkEnd w:id="112"/>
      <w:bookmarkEnd w:id="113"/>
      <w:bookmarkEnd w:id="114"/>
      <w:bookmarkEnd w:id="115"/>
      <w:bookmarkEnd w:id="116"/>
      <w:bookmarkEnd w:id="117"/>
      <w:bookmarkEnd w:id="118"/>
      <w:bookmarkEnd w:id="119"/>
      <w:bookmarkEnd w:id="120"/>
      <w:r>
        <w:rPr>
          <w:rFonts w:ascii="Times New Roman" w:hAnsi="Times New Roman"/>
          <w:b/>
          <w:smallCaps/>
          <w:noProof/>
          <w:color w:val="000000" w:themeColor="text1"/>
          <w:sz w:val="24"/>
        </w:rPr>
        <w:t>Transformations démographiques</w:t>
      </w:r>
      <w:bookmarkEnd w:id="121"/>
    </w:p>
    <w:bookmarkEnd w:id="122"/>
    <w:p w14:paraId="32FD329A" w14:textId="3DBF513A" w:rsidR="00671023" w:rsidRPr="008A49B6" w:rsidRDefault="6A270876" w:rsidP="00671023">
      <w:pPr>
        <w:spacing w:after="120" w:line="23" w:lineRule="atLeast"/>
        <w:rPr>
          <w:noProof/>
        </w:rPr>
      </w:pPr>
      <w:r>
        <w:rPr>
          <w:noProof/>
        </w:rPr>
        <w:t>La structure démographique de l’Union connaît actuellement des changements importants qui ont des répercussions directes sur la sécurité routière. La population vieillit, la proportion de citoyens âgés de 65 ans et plus devant passer de 22 % en 2024 à 30 % d’ici à 2050</w:t>
      </w:r>
      <w:r>
        <w:rPr>
          <w:rStyle w:val="FootnoteReference"/>
          <w:noProof/>
        </w:rPr>
        <w:footnoteReference w:id="49"/>
      </w:r>
      <w:r>
        <w:rPr>
          <w:noProof/>
        </w:rPr>
        <w:t>. Ce changement démographique pose des défis particuliers, car les usagers de la route âgés deviennent plus vulnérables en raison de leur fragilité physique, de leurs temps de réaction plus lents et des taux de gravité des blessures plus élevés</w:t>
      </w:r>
      <w:r>
        <w:rPr>
          <w:rStyle w:val="FootnoteReference"/>
          <w:noProof/>
        </w:rPr>
        <w:footnoteReference w:id="50"/>
      </w:r>
      <w:r>
        <w:rPr>
          <w:noProof/>
        </w:rPr>
        <w:t>.</w:t>
      </w:r>
    </w:p>
    <w:p w14:paraId="368B08CD" w14:textId="4B0ABF04" w:rsidR="00671023" w:rsidRPr="008A49B6" w:rsidRDefault="00B00E08" w:rsidP="00671023">
      <w:pPr>
        <w:spacing w:after="120" w:line="23" w:lineRule="atLeast"/>
        <w:rPr>
          <w:noProof/>
        </w:rPr>
      </w:pPr>
      <w:r>
        <w:rPr>
          <w:noProof/>
        </w:rPr>
        <w:t>La tendance à une urbanisation accrue se poursuit, plus de 75 % de la population de l’Union vivant désormais dans des zones urbaines</w:t>
      </w:r>
      <w:r>
        <w:rPr>
          <w:rStyle w:val="FootnoteReference"/>
          <w:noProof/>
        </w:rPr>
        <w:footnoteReference w:id="51"/>
      </w:r>
      <w:r>
        <w:rPr>
          <w:noProof/>
        </w:rPr>
        <w:t>. Cette concentration de personnes dans des environnements bâtis crée de nouvelles dynamiques de mobilité, notamment une plus grande variété de modes de mobilité, des volumes accrus de piétons et de cyclistes et une densité de trafic plus élevée.</w:t>
      </w:r>
    </w:p>
    <w:p w14:paraId="2CF50369" w14:textId="77777777" w:rsidR="000B3041" w:rsidRPr="008A49B6" w:rsidRDefault="000B3041" w:rsidP="00671023">
      <w:pPr>
        <w:spacing w:after="120" w:line="23" w:lineRule="atLeast"/>
        <w:rPr>
          <w:noProof/>
        </w:rPr>
      </w:pPr>
    </w:p>
    <w:p w14:paraId="0EDD658F" w14:textId="2132A4AC"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123" w:name="_Toc206610431"/>
      <w:r>
        <w:rPr>
          <w:rFonts w:ascii="Times New Roman" w:hAnsi="Times New Roman"/>
          <w:b/>
          <w:smallCaps/>
          <w:noProof/>
          <w:color w:val="000000" w:themeColor="text1"/>
          <w:sz w:val="24"/>
        </w:rPr>
        <w:t>Progrès technologiques</w:t>
      </w:r>
      <w:r>
        <w:rPr>
          <w:noProof/>
        </w:rPr>
        <w:tab/>
      </w:r>
      <w:bookmarkStart w:id="124" w:name="_Toc25330857"/>
      <w:bookmarkEnd w:id="123"/>
      <w:bookmarkEnd w:id="124"/>
    </w:p>
    <w:p w14:paraId="5E8DE48E" w14:textId="7CADF8E7" w:rsidR="00671023" w:rsidRPr="008A49B6" w:rsidRDefault="00671023" w:rsidP="00671023">
      <w:pPr>
        <w:spacing w:after="120" w:line="23" w:lineRule="atLeast"/>
        <w:rPr>
          <w:noProof/>
        </w:rPr>
      </w:pPr>
      <w:bookmarkStart w:id="125" w:name="_Toc25330874"/>
      <w:bookmarkStart w:id="126" w:name="_Toc25445067"/>
      <w:bookmarkStart w:id="127" w:name="_Toc25447048"/>
      <w:bookmarkStart w:id="128" w:name="_Toc25527657"/>
      <w:bookmarkStart w:id="129" w:name="_Toc25531529"/>
      <w:bookmarkStart w:id="130" w:name="_Toc25533760"/>
      <w:bookmarkStart w:id="131" w:name="_Toc25533811"/>
      <w:bookmarkStart w:id="132" w:name="_Toc25535164"/>
      <w:bookmarkStart w:id="133" w:name="_Toc25445068"/>
      <w:bookmarkStart w:id="134" w:name="_Toc25446686"/>
      <w:bookmarkStart w:id="135" w:name="_Toc25447049"/>
      <w:bookmarkStart w:id="136" w:name="_Toc25527658"/>
      <w:bookmarkStart w:id="137" w:name="_Toc25531530"/>
      <w:bookmarkStart w:id="138" w:name="_Toc25533761"/>
      <w:bookmarkStart w:id="139" w:name="_Toc25533812"/>
      <w:bookmarkStart w:id="140" w:name="_Toc25535165"/>
      <w:bookmarkStart w:id="141" w:name="_Toc25445069"/>
      <w:bookmarkStart w:id="142" w:name="_Toc25447050"/>
      <w:bookmarkStart w:id="143" w:name="_Toc25527659"/>
      <w:bookmarkStart w:id="144" w:name="_Toc25531531"/>
      <w:bookmarkStart w:id="145" w:name="_Toc25533762"/>
      <w:bookmarkStart w:id="146" w:name="_Toc25533813"/>
      <w:bookmarkStart w:id="147" w:name="_Toc25535166"/>
      <w:bookmarkStart w:id="148" w:name="_Toc25445070"/>
      <w:bookmarkStart w:id="149" w:name="_Toc25447051"/>
      <w:bookmarkStart w:id="150" w:name="_Toc25527660"/>
      <w:bookmarkStart w:id="151" w:name="_Toc25531532"/>
      <w:bookmarkStart w:id="152" w:name="_Toc25533763"/>
      <w:bookmarkStart w:id="153" w:name="_Toc25533814"/>
      <w:bookmarkStart w:id="154" w:name="_Toc25535167"/>
      <w:bookmarkStart w:id="155" w:name="_Toc25445071"/>
      <w:bookmarkStart w:id="156" w:name="_Toc25447052"/>
      <w:bookmarkStart w:id="157" w:name="_Toc25527661"/>
      <w:bookmarkStart w:id="158" w:name="_Toc25531533"/>
      <w:bookmarkStart w:id="159" w:name="_Toc25533764"/>
      <w:bookmarkStart w:id="160" w:name="_Toc25533815"/>
      <w:bookmarkStart w:id="161" w:name="_Toc25535168"/>
      <w:bookmarkStart w:id="162" w:name="_Toc25445072"/>
      <w:bookmarkStart w:id="163" w:name="_Toc25447053"/>
      <w:bookmarkStart w:id="164" w:name="_Toc25527662"/>
      <w:bookmarkStart w:id="165" w:name="_Toc25531534"/>
      <w:bookmarkStart w:id="166" w:name="_Toc25533765"/>
      <w:bookmarkStart w:id="167" w:name="_Toc25533816"/>
      <w:bookmarkStart w:id="168" w:name="_Toc25535169"/>
      <w:bookmarkStart w:id="169" w:name="_Toc25445073"/>
      <w:bookmarkStart w:id="170" w:name="_Toc25447054"/>
      <w:bookmarkStart w:id="171" w:name="_Toc25527663"/>
      <w:bookmarkStart w:id="172" w:name="_Toc25531535"/>
      <w:bookmarkStart w:id="173" w:name="_Toc25533766"/>
      <w:bookmarkStart w:id="174" w:name="_Toc25533817"/>
      <w:bookmarkStart w:id="175" w:name="_Toc25535170"/>
      <w:bookmarkStart w:id="176" w:name="_Toc25445074"/>
      <w:bookmarkStart w:id="177" w:name="_Toc25447055"/>
      <w:bookmarkStart w:id="178" w:name="_Toc25527664"/>
      <w:bookmarkStart w:id="179" w:name="_Toc25531536"/>
      <w:bookmarkStart w:id="180" w:name="_Toc25533767"/>
      <w:bookmarkStart w:id="181" w:name="_Toc25533818"/>
      <w:bookmarkStart w:id="182" w:name="_Toc25535171"/>
      <w:bookmarkStart w:id="183" w:name="_Toc25445075"/>
      <w:bookmarkStart w:id="184" w:name="_Toc25447056"/>
      <w:bookmarkStart w:id="185" w:name="_Toc25527665"/>
      <w:bookmarkStart w:id="186" w:name="_Toc25531537"/>
      <w:bookmarkStart w:id="187" w:name="_Toc25533768"/>
      <w:bookmarkStart w:id="188" w:name="_Toc25533819"/>
      <w:bookmarkStart w:id="189" w:name="_Toc25535172"/>
      <w:bookmarkStart w:id="190" w:name="_Toc24027092"/>
      <w:bookmarkStart w:id="191" w:name="_Toc24027093"/>
      <w:bookmarkStart w:id="192" w:name="_Toc24027094"/>
      <w:bookmarkStart w:id="193" w:name="_Toc24027095"/>
      <w:bookmarkStart w:id="194" w:name="_Toc24027096"/>
      <w:bookmarkStart w:id="195" w:name="_Toc24027097"/>
      <w:bookmarkStart w:id="196" w:name="_Toc24027098"/>
      <w:bookmarkStart w:id="197" w:name="_Toc24027099"/>
      <w:bookmarkStart w:id="198" w:name="_Toc24027100"/>
      <w:bookmarkStart w:id="199" w:name="_Toc24027101"/>
      <w:bookmarkStart w:id="200" w:name="_Toc23855519"/>
      <w:bookmarkStart w:id="201" w:name="_Toc23855556"/>
      <w:bookmarkStart w:id="202" w:name="_Toc23855592"/>
      <w:bookmarkStart w:id="203" w:name="_Toc24027106"/>
      <w:bookmarkStart w:id="204" w:name="_Toc24044219"/>
      <w:bookmarkStart w:id="205" w:name="_Toc25533771"/>
      <w:bookmarkStart w:id="206" w:name="_Toc25446688"/>
      <w:bookmarkStart w:id="207" w:name="_Toc2585483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noProof/>
        </w:rPr>
        <w:t xml:space="preserve">Le secteur automobile connaît une transformation technologique sans précédent, qui a des implications importantes en matière de sécurité. Les systèmes avancés d’aide à la conduite (ADAS) deviennent des fonctionnalités standard, avec des technologies telles que le freinage d’urgence automatique, l’aide au maintien de la trajectoire et l’assistance intelligente à la vitesse, qui apportent des avantages mesurables en matière de sécurité. Il est essentiel pour leur succès de veiller à ce que les conducteurs acceptent ces caractéristiques. </w:t>
      </w:r>
    </w:p>
    <w:p w14:paraId="048611FA" w14:textId="3CFE5E69" w:rsidR="00671023" w:rsidRPr="008A49B6" w:rsidRDefault="00671023" w:rsidP="00671023">
      <w:pPr>
        <w:spacing w:after="120" w:line="23" w:lineRule="atLeast"/>
        <w:rPr>
          <w:noProof/>
        </w:rPr>
      </w:pPr>
      <w:r>
        <w:rPr>
          <w:noProof/>
        </w:rPr>
        <w:t xml:space="preserve">Les technologies des véhicules connectés permettent d’émettre des alertes en temps réel en cas de danger et d’optimiser la gestion du trafic. La communication de véhicule à véhicule (VAV) et de véhicule à infrastructure peut alerter les conducteurs en cas de conditions dangereuses ou d’accidents ou leur indiquer les itinéraires optimaux. Leur déploiement dans les États membres a démontré leur valeur ajoutée. Il est prouvé que les services d’urgence atteignent leur destination plus rapidement et en toute sécurité, et les exploitants du réseau routier disposent d’informations précises en temps réel sur les vitesses moyennes et la densité du trafic. Le système gagne en efficacité à mesure que de nouveaux véhicules sont ajoutés, mais une couverture complète à l’échelle de l’Union n’est toujours pas assurée, en particulier pour les services VAV. </w:t>
      </w:r>
    </w:p>
    <w:p w14:paraId="266C5700" w14:textId="171D0551" w:rsidR="00671023" w:rsidRPr="008A49B6" w:rsidRDefault="00671023" w:rsidP="00671023">
      <w:pPr>
        <w:spacing w:after="120" w:line="23" w:lineRule="atLeast"/>
        <w:rPr>
          <w:noProof/>
        </w:rPr>
      </w:pPr>
      <w:r>
        <w:rPr>
          <w:noProof/>
        </w:rPr>
        <w:t xml:space="preserve">L’introduction progressive de véhicules automatisés présente à la fois des possibilités et des défis. Bien qu’il ait été démontré que des niveaux plus élevés d’automatisation réduisent l’incidence des erreurs humaines, la période transitoire posera de nouveaux défis, tels que la gestion de l’interaction sécurisée entre les véhicules autonomes et les véhicules conduits par des humains dans un trafic mixte, la garantie de la sécurité des usagers de la route non motorisés et la détermination de la responsabilité en cas d’accidents de la circulation impliquant des véhicules automatisés. </w:t>
      </w:r>
    </w:p>
    <w:p w14:paraId="255250CD"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208" w:name="_Toc206610432"/>
      <w:r>
        <w:rPr>
          <w:rFonts w:ascii="Times New Roman" w:hAnsi="Times New Roman"/>
          <w:b/>
          <w:smallCaps/>
          <w:noProof/>
          <w:color w:val="000000" w:themeColor="text1"/>
          <w:sz w:val="24"/>
        </w:rPr>
        <w:t>Évolution des modes de mobilité</w:t>
      </w:r>
      <w:bookmarkEnd w:id="208"/>
    </w:p>
    <w:p w14:paraId="61F28BFB" w14:textId="0E7CAB7B" w:rsidR="00671023" w:rsidRPr="008A49B6" w:rsidRDefault="00671023" w:rsidP="00671023">
      <w:pPr>
        <w:pStyle w:val="whitespace-normal"/>
        <w:spacing w:after="120" w:afterAutospacing="0" w:line="23" w:lineRule="atLeast"/>
        <w:jc w:val="both"/>
        <w:rPr>
          <w:noProof/>
          <w:szCs w:val="20"/>
        </w:rPr>
      </w:pPr>
      <w:bookmarkStart w:id="209" w:name="_Toc24044220"/>
      <w:bookmarkEnd w:id="204"/>
      <w:bookmarkEnd w:id="205"/>
      <w:bookmarkEnd w:id="206"/>
      <w:bookmarkEnd w:id="207"/>
      <w:r>
        <w:rPr>
          <w:noProof/>
        </w:rPr>
        <w:t>Le secteur des transports et de la mobilité est en pleine mutation en raison de l’apparition de nouveaux services et de l’évolution des comportements des usagers de la route. La prolifération de solutions de micromobilité telles que les trottinettes électriques, les vélos électriques et d’autres dispositifs de mobilité individuelle a créé de nouvelles catégories d’usagers vulnérables de la route; ces usagers doivent souvent partager un espace routier urbain limité avec les piétons et les cyclistes.</w:t>
      </w:r>
    </w:p>
    <w:p w14:paraId="30F10F46" w14:textId="5FCB4F78" w:rsidR="00671023" w:rsidRPr="008A49B6" w:rsidRDefault="00671023" w:rsidP="00671023">
      <w:pPr>
        <w:pStyle w:val="whitespace-normal"/>
        <w:spacing w:after="120" w:afterAutospacing="0" w:line="23" w:lineRule="atLeast"/>
        <w:jc w:val="both"/>
        <w:rPr>
          <w:noProof/>
          <w:szCs w:val="20"/>
        </w:rPr>
      </w:pPr>
      <w:r>
        <w:rPr>
          <w:noProof/>
        </w:rPr>
        <w:t xml:space="preserve">Les services de course à la demande et de covoiturage ont modifié les habitudes de déplacement, augmentant potentiellement les véhicules-kilomètres urbains tout en concentrant l’activité sur les périodes de pointe. </w:t>
      </w:r>
    </w:p>
    <w:p w14:paraId="2AE3CA45" w14:textId="078B4F18" w:rsidR="00671023" w:rsidRPr="008A49B6" w:rsidRDefault="6A270876" w:rsidP="00671023">
      <w:pPr>
        <w:pStyle w:val="whitespace-normal"/>
        <w:spacing w:after="120" w:afterAutospacing="0" w:line="23" w:lineRule="atLeast"/>
        <w:jc w:val="both"/>
        <w:rPr>
          <w:noProof/>
        </w:rPr>
      </w:pPr>
      <w:r>
        <w:rPr>
          <w:noProof/>
        </w:rPr>
        <w:t>L’économie des petits boulots a favorisé l’expansion des services de livraison à moto et à vélo, dont les prestataires sont soumis à des contraintes de temps et à des difficultés économiques qui les incitent souvent à prendre des risques</w:t>
      </w:r>
      <w:r>
        <w:rPr>
          <w:rStyle w:val="FootnoteReference"/>
          <w:noProof/>
        </w:rPr>
        <w:footnoteReference w:id="52"/>
      </w:r>
      <w:r>
        <w:rPr>
          <w:noProof/>
        </w:rPr>
        <w:t>, tandis que les types de véhicules utilisés par les livreurs, notamment les trottinettes électriques importées illégalement ou les cyclomoteurs non homologués qui dépassent les limites de vitesse applicables, ont accru les risques pour la sécurité routière.</w:t>
      </w:r>
    </w:p>
    <w:p w14:paraId="4E0F5D44" w14:textId="77777777" w:rsidR="0041262B" w:rsidRPr="008A49B6" w:rsidRDefault="0041262B" w:rsidP="00671023">
      <w:pPr>
        <w:pStyle w:val="whitespace-normal"/>
        <w:spacing w:after="120" w:afterAutospacing="0" w:line="23" w:lineRule="atLeast"/>
        <w:jc w:val="both"/>
        <w:rPr>
          <w:noProof/>
          <w:szCs w:val="20"/>
        </w:rPr>
      </w:pPr>
    </w:p>
    <w:p w14:paraId="7FD38ABC"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210" w:name="_Toc206602974"/>
      <w:bookmarkStart w:id="211" w:name="_Toc206603032"/>
      <w:bookmarkStart w:id="212" w:name="_Toc206602975"/>
      <w:bookmarkStart w:id="213" w:name="_Toc206603033"/>
      <w:bookmarkStart w:id="214" w:name="_Toc206602976"/>
      <w:bookmarkStart w:id="215" w:name="_Toc206603034"/>
      <w:bookmarkStart w:id="216" w:name="_Toc24475323"/>
      <w:bookmarkStart w:id="217" w:name="_Toc24475324"/>
      <w:bookmarkStart w:id="218" w:name="_Toc24475325"/>
      <w:bookmarkStart w:id="219" w:name="_Toc24464402"/>
      <w:bookmarkStart w:id="220" w:name="_Toc24469060"/>
      <w:bookmarkStart w:id="221" w:name="_Toc24469903"/>
      <w:bookmarkStart w:id="222" w:name="_Toc24469947"/>
      <w:bookmarkStart w:id="223" w:name="_Toc24469992"/>
      <w:bookmarkStart w:id="224" w:name="_Toc23855510"/>
      <w:bookmarkStart w:id="225" w:name="_Toc23855547"/>
      <w:bookmarkStart w:id="226" w:name="_Toc23855583"/>
      <w:bookmarkStart w:id="227" w:name="_Toc23785217"/>
      <w:bookmarkStart w:id="228" w:name="_Toc23785505"/>
      <w:bookmarkStart w:id="229" w:name="_Toc23785603"/>
      <w:bookmarkStart w:id="230" w:name="_Toc23790496"/>
      <w:bookmarkStart w:id="231" w:name="_Toc23791340"/>
      <w:bookmarkStart w:id="232" w:name="_Toc23785220"/>
      <w:bookmarkStart w:id="233" w:name="_Toc23785461"/>
      <w:bookmarkStart w:id="234" w:name="_Toc23785508"/>
      <w:bookmarkStart w:id="235" w:name="_Toc23785606"/>
      <w:bookmarkStart w:id="236" w:name="_Toc23790499"/>
      <w:bookmarkStart w:id="237" w:name="_Toc23791343"/>
      <w:bookmarkStart w:id="238" w:name="_Toc23785222"/>
      <w:bookmarkStart w:id="239" w:name="_Toc23785463"/>
      <w:bookmarkStart w:id="240" w:name="_Toc23785510"/>
      <w:bookmarkStart w:id="241" w:name="_Toc23785608"/>
      <w:bookmarkStart w:id="242" w:name="_Toc23790501"/>
      <w:bookmarkStart w:id="243" w:name="_Toc23791345"/>
      <w:bookmarkStart w:id="244" w:name="_Toc24464403"/>
      <w:bookmarkStart w:id="245" w:name="_Toc24469061"/>
      <w:bookmarkStart w:id="246" w:name="_Toc24469904"/>
      <w:bookmarkStart w:id="247" w:name="_Toc24469948"/>
      <w:bookmarkStart w:id="248" w:name="_Toc24469993"/>
      <w:bookmarkStart w:id="249" w:name="_Toc24464404"/>
      <w:bookmarkStart w:id="250" w:name="_Toc24469062"/>
      <w:bookmarkStart w:id="251" w:name="_Toc24469905"/>
      <w:bookmarkStart w:id="252" w:name="_Toc24469949"/>
      <w:bookmarkStart w:id="253" w:name="_Toc24469994"/>
      <w:bookmarkStart w:id="254" w:name="_Toc24464405"/>
      <w:bookmarkStart w:id="255" w:name="_Toc24469063"/>
      <w:bookmarkStart w:id="256" w:name="_Toc24469906"/>
      <w:bookmarkStart w:id="257" w:name="_Toc24469950"/>
      <w:bookmarkStart w:id="258" w:name="_Toc24469995"/>
      <w:bookmarkStart w:id="259" w:name="_Toc24464406"/>
      <w:bookmarkStart w:id="260" w:name="_Toc24469064"/>
      <w:bookmarkStart w:id="261" w:name="_Toc24469907"/>
      <w:bookmarkStart w:id="262" w:name="_Toc24469951"/>
      <w:bookmarkStart w:id="263" w:name="_Toc24469996"/>
      <w:bookmarkStart w:id="264" w:name="_Toc24464407"/>
      <w:bookmarkStart w:id="265" w:name="_Toc24469065"/>
      <w:bookmarkStart w:id="266" w:name="_Toc24469908"/>
      <w:bookmarkStart w:id="267" w:name="_Toc24469952"/>
      <w:bookmarkStart w:id="268" w:name="_Toc24469997"/>
      <w:bookmarkStart w:id="269" w:name="_Toc24464408"/>
      <w:bookmarkStart w:id="270" w:name="_Toc24469066"/>
      <w:bookmarkStart w:id="271" w:name="_Toc24469909"/>
      <w:bookmarkStart w:id="272" w:name="_Toc24469953"/>
      <w:bookmarkStart w:id="273" w:name="_Toc24469998"/>
      <w:bookmarkStart w:id="274" w:name="_Toc24464409"/>
      <w:bookmarkStart w:id="275" w:name="_Toc24469067"/>
      <w:bookmarkStart w:id="276" w:name="_Toc24469910"/>
      <w:bookmarkStart w:id="277" w:name="_Toc24469954"/>
      <w:bookmarkStart w:id="278" w:name="_Toc24469999"/>
      <w:bookmarkStart w:id="279" w:name="_Toc24464413"/>
      <w:bookmarkStart w:id="280" w:name="_Toc24469071"/>
      <w:bookmarkStart w:id="281" w:name="_Toc24469914"/>
      <w:bookmarkStart w:id="282" w:name="_Toc24469958"/>
      <w:bookmarkStart w:id="283" w:name="_Toc24470003"/>
      <w:bookmarkStart w:id="284" w:name="_Toc25673437"/>
      <w:bookmarkStart w:id="285" w:name="_Toc25673485"/>
      <w:bookmarkStart w:id="286" w:name="_Toc25673590"/>
      <w:bookmarkStart w:id="287" w:name="_Toc206610433"/>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Fonts w:ascii="Times New Roman" w:hAnsi="Times New Roman"/>
          <w:b/>
          <w:smallCaps/>
          <w:noProof/>
          <w:color w:val="000000" w:themeColor="text1"/>
          <w:sz w:val="24"/>
        </w:rPr>
        <w:t>Effets du changement climatique</w:t>
      </w:r>
      <w:bookmarkEnd w:id="287"/>
    </w:p>
    <w:p w14:paraId="717E4E0C" w14:textId="277304BF" w:rsidR="00671023" w:rsidRPr="008A49B6" w:rsidRDefault="00671023" w:rsidP="00671023">
      <w:pPr>
        <w:spacing w:after="120" w:line="23" w:lineRule="atLeast"/>
        <w:rPr>
          <w:noProof/>
        </w:rPr>
      </w:pPr>
      <w:bookmarkStart w:id="288" w:name="_Toc25445090"/>
      <w:bookmarkStart w:id="289" w:name="_Toc25446691"/>
      <w:bookmarkStart w:id="290" w:name="_Toc25447071"/>
      <w:bookmarkStart w:id="291" w:name="_Toc25527680"/>
      <w:bookmarkStart w:id="292" w:name="_Toc25531552"/>
      <w:bookmarkStart w:id="293" w:name="_Toc25533783"/>
      <w:bookmarkStart w:id="294" w:name="_Toc25533834"/>
      <w:bookmarkStart w:id="295" w:name="_Toc25535187"/>
      <w:bookmarkStart w:id="296" w:name="_Toc25446692"/>
      <w:bookmarkStart w:id="297" w:name="_Toc25533784"/>
      <w:bookmarkStart w:id="298" w:name="_Toc25685806"/>
      <w:bookmarkStart w:id="299" w:name="_Toc25854844"/>
      <w:bookmarkEnd w:id="288"/>
      <w:bookmarkEnd w:id="289"/>
      <w:bookmarkEnd w:id="290"/>
      <w:bookmarkEnd w:id="291"/>
      <w:bookmarkEnd w:id="292"/>
      <w:bookmarkEnd w:id="293"/>
      <w:bookmarkEnd w:id="294"/>
      <w:bookmarkEnd w:id="295"/>
      <w:r>
        <w:rPr>
          <w:noProof/>
        </w:rPr>
        <w:t>Le changement climatique est apparu comme un facteur important mais sous-estimé affectant la sécurité routière. Les phénomènes météorologiques extrêmes deviennent de plus en plus fréquents et graves, créant des conditions de conduite dangereuses. Les vagues de chaleur peuvent détériorer le revêtement routier et affecter les performances des conducteurs, tandis que la fréquence accrue des tempêtes, des inondations et des gelées crée des conditions dangereuses qui nécessitent des infrastructures adaptées et des capacités d’intervention d’urgence.</w:t>
      </w:r>
    </w:p>
    <w:p w14:paraId="15851707" w14:textId="273B937A" w:rsidR="00671023" w:rsidRPr="008A49B6" w:rsidRDefault="00671023" w:rsidP="00671023">
      <w:pPr>
        <w:spacing w:after="120" w:line="23" w:lineRule="atLeast"/>
        <w:rPr>
          <w:noProof/>
        </w:rPr>
      </w:pPr>
      <w:r>
        <w:rPr>
          <w:noProof/>
        </w:rPr>
        <w:t>La hausse des températures a également une incidence sur les performances des véhicules, en particulier celles des véhicules électriques, et peut accroître le risque de défaillance des pneumatiques. L’effet d’îlot thermique urbain exacerbe ces menaces dans les villes, où les températures de surface peuvent dépasser considérablement les températures ambiantes.</w:t>
      </w:r>
    </w:p>
    <w:p w14:paraId="55286711" w14:textId="77777777" w:rsidR="0041262B" w:rsidRPr="008A49B6" w:rsidRDefault="0041262B" w:rsidP="00671023">
      <w:pPr>
        <w:spacing w:after="120" w:line="23" w:lineRule="atLeast"/>
        <w:rPr>
          <w:noProof/>
        </w:rPr>
      </w:pPr>
    </w:p>
    <w:p w14:paraId="2DD113FA" w14:textId="77777777" w:rsidR="00671023" w:rsidRPr="008A49B6" w:rsidRDefault="00671023" w:rsidP="002B156C">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0" w:name="_Toc206602979"/>
      <w:bookmarkStart w:id="301" w:name="_Toc206603037"/>
      <w:bookmarkStart w:id="302" w:name="_Toc206602980"/>
      <w:bookmarkStart w:id="303" w:name="_Toc206603038"/>
      <w:bookmarkStart w:id="304" w:name="_Toc203583261"/>
      <w:bookmarkStart w:id="305" w:name="_Toc203583317"/>
      <w:bookmarkStart w:id="306" w:name="_Toc206610434"/>
      <w:bookmarkEnd w:id="296"/>
      <w:bookmarkEnd w:id="297"/>
      <w:bookmarkEnd w:id="298"/>
      <w:bookmarkEnd w:id="299"/>
      <w:bookmarkEnd w:id="300"/>
      <w:bookmarkEnd w:id="301"/>
      <w:bookmarkEnd w:id="302"/>
      <w:bookmarkEnd w:id="303"/>
      <w:bookmarkEnd w:id="304"/>
      <w:bookmarkEnd w:id="305"/>
      <w:r>
        <w:rPr>
          <w:rFonts w:ascii="Times New Roman" w:hAnsi="Times New Roman"/>
          <w:b/>
          <w:smallCaps/>
          <w:noProof/>
          <w:color w:val="000000" w:themeColor="text1"/>
          <w:sz w:val="24"/>
        </w:rPr>
        <w:t>Cybersécurité et utilisation des données</w:t>
      </w:r>
      <w:bookmarkEnd w:id="306"/>
    </w:p>
    <w:p w14:paraId="48F82CA5" w14:textId="4E70ED3B" w:rsidR="00671023" w:rsidRPr="008A49B6" w:rsidRDefault="00687603" w:rsidP="00203454">
      <w:pPr>
        <w:rPr>
          <w:noProof/>
        </w:rPr>
      </w:pPr>
      <w:r>
        <w:rPr>
          <w:noProof/>
        </w:rPr>
        <w:t>L’augmentation de la connectivité entre les véhicules a entraîné de nouvelles vulnérabilités qui étaient à peine reconnues lorsque le cadre politique de l’UE en matière de sécurité routière pour la décennie d’action 2021-2030 a été élaboré pour la première fois. Les menaces liées à la cybersécurité qui pèsent sur les véhicules connectés et automatisés peuvent provoquer des accidents, désactiver les systèmes de sécurité et compromettre la confidentialité. Le règlement sur la cyberrésilience</w:t>
      </w:r>
      <w:r>
        <w:rPr>
          <w:rStyle w:val="FootnoteReference"/>
          <w:noProof/>
        </w:rPr>
        <w:footnoteReference w:id="53"/>
      </w:r>
      <w:r>
        <w:rPr>
          <w:noProof/>
        </w:rPr>
        <w:t xml:space="preserve"> traitera également ces aspects. </w:t>
      </w:r>
    </w:p>
    <w:p w14:paraId="73D59313" w14:textId="2866F75E" w:rsidR="00671023" w:rsidRPr="008A49B6" w:rsidRDefault="00671023" w:rsidP="00671023">
      <w:pPr>
        <w:spacing w:after="120" w:line="23" w:lineRule="atLeast"/>
        <w:rPr>
          <w:noProof/>
        </w:rPr>
      </w:pPr>
      <w:r>
        <w:rPr>
          <w:noProof/>
        </w:rPr>
        <w:t xml:space="preserve">La collecte de données s’est considérablement développée au cours des cinq dernières années, mais le potentiel des mégadonnées n’a pas encore été transformé en informations exploitables pour la sécurité routière. Il est rare que les données embarquées détenues par les constructeurs automobiles, les données relatives aux sinistres détenues par les assureurs et les données relatives aux incidents de santé détenues par les hôpitaux et les services d’ambulance soient partagées à des fins de sécurité routière. Par exemple, les données provenant des enregistreurs de données électroniques des véhicules ne sont accessibles qu’à des fins de recherche spécifiques, telles que l’étude des événements qui ont précédé un accident particulier, mais elles ne sont pas mises à disposition sous forme désagrégée pour aider à l’élaboration des politiques. </w:t>
      </w:r>
    </w:p>
    <w:p w14:paraId="58C2E102" w14:textId="77777777" w:rsidR="002B156C" w:rsidRPr="008A49B6" w:rsidRDefault="002B156C" w:rsidP="00671023">
      <w:pPr>
        <w:spacing w:after="120" w:line="23" w:lineRule="atLeast"/>
        <w:rPr>
          <w:noProof/>
        </w:rPr>
      </w:pPr>
    </w:p>
    <w:p w14:paraId="637837A3" w14:textId="7777777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7" w:name="_Toc206610435"/>
      <w:r>
        <w:rPr>
          <w:rFonts w:ascii="Times New Roman" w:hAnsi="Times New Roman"/>
          <w:b/>
          <w:smallCaps/>
          <w:noProof/>
          <w:color w:val="000000" w:themeColor="text1"/>
          <w:sz w:val="24"/>
        </w:rPr>
        <w:t>Conséquences économiques du manque d’attention portée à la sécurité routière</w:t>
      </w:r>
      <w:bookmarkEnd w:id="307"/>
    </w:p>
    <w:p w14:paraId="15FB4C3F" w14:textId="7C73D9FB" w:rsidR="00671023" w:rsidRPr="008A49B6" w:rsidRDefault="6A270876" w:rsidP="00671023">
      <w:pPr>
        <w:spacing w:after="120" w:line="23" w:lineRule="atLeast"/>
        <w:rPr>
          <w:noProof/>
        </w:rPr>
      </w:pPr>
      <w:r>
        <w:rPr>
          <w:noProof/>
        </w:rPr>
        <w:t>Les accidents de la route représentent un énorme fardeau social, économique et sanitaire pour l’économie de l’Union. Les coûts socio-économiques externes des blessures mortelles, graves et mineures sont estimés à environ 2 % du PIB des pays de l’Union</w:t>
      </w:r>
      <w:r>
        <w:rPr>
          <w:rStyle w:val="FootnoteReference"/>
          <w:noProof/>
        </w:rPr>
        <w:footnoteReference w:id="54"/>
      </w:r>
      <w:r>
        <w:rPr>
          <w:noProof/>
        </w:rPr>
        <w:t>. Ces coûts restent élevés malgré les progrès accomplis dans la réduction de la fréquence et de la gravité des accidents. Réduire de moitié le nombre de tués sur les routes d’ici à 2030 (par rapport à 2019) permettrait d’éviter environ 11 000 décès et contribuerait à réduire le nombre de blessés graves sur nos routes d’environ 100 000 chaque année.</w:t>
      </w:r>
    </w:p>
    <w:p w14:paraId="64A8D32B" w14:textId="2EA28497" w:rsidR="00671023" w:rsidRPr="008A49B6" w:rsidRDefault="6A270876" w:rsidP="00671023">
      <w:pPr>
        <w:spacing w:after="120" w:line="23" w:lineRule="atLeast"/>
        <w:rPr>
          <w:noProof/>
        </w:rPr>
      </w:pPr>
      <w:r>
        <w:rPr>
          <w:noProof/>
        </w:rPr>
        <w:t xml:space="preserve">Les </w:t>
      </w:r>
      <w:r>
        <w:rPr>
          <w:b/>
          <w:noProof/>
        </w:rPr>
        <w:t>coûts des soins de santé et de la réadaptation</w:t>
      </w:r>
      <w:r>
        <w:rPr>
          <w:noProof/>
        </w:rPr>
        <w:t xml:space="preserve"> constituent l’incidence économique la plus immédiate et la plus visible. Les coûts des services médicaux d’urgence, de l’hospitalisation, de la réadaptation et des soins de longue durée pour les victimes d’accidents pèsent sur les budgets des soins de santé dans les États membres</w:t>
      </w:r>
      <w:r>
        <w:rPr>
          <w:rStyle w:val="FootnoteReference"/>
          <w:noProof/>
        </w:rPr>
        <w:footnoteReference w:id="55"/>
      </w:r>
      <w:r>
        <w:rPr>
          <w:noProof/>
        </w:rPr>
        <w:t xml:space="preserve">. De plus, le taux de blessures graves diminue à un rythme plus lent que celui des décès. Les coûts liés à la prise en charge des répercussions sur la </w:t>
      </w:r>
      <w:r>
        <w:rPr>
          <w:b/>
          <w:noProof/>
        </w:rPr>
        <w:t>santé mentale</w:t>
      </w:r>
      <w:r>
        <w:rPr>
          <w:noProof/>
        </w:rPr>
        <w:t xml:space="preserve"> des survivants d’accidents, des familles et des témoins alourdissent encore la charge économique</w:t>
      </w:r>
      <w:r>
        <w:rPr>
          <w:rStyle w:val="FootnoteReference"/>
          <w:noProof/>
        </w:rPr>
        <w:footnoteReference w:id="56"/>
      </w:r>
      <w:r>
        <w:rPr>
          <w:noProof/>
        </w:rPr>
        <w:t>.</w:t>
      </w:r>
    </w:p>
    <w:p w14:paraId="3BBA00FF" w14:textId="225A69A2" w:rsidR="00671023" w:rsidRPr="008A49B6" w:rsidRDefault="00671023" w:rsidP="00671023">
      <w:pPr>
        <w:spacing w:after="120" w:line="23" w:lineRule="atLeast"/>
        <w:rPr>
          <w:noProof/>
          <w:szCs w:val="24"/>
        </w:rPr>
      </w:pPr>
      <w:r>
        <w:rPr>
          <w:noProof/>
        </w:rPr>
        <w:t xml:space="preserve">La </w:t>
      </w:r>
      <w:r>
        <w:rPr>
          <w:b/>
          <w:noProof/>
        </w:rPr>
        <w:t>perte de productivité et de production économique</w:t>
      </w:r>
      <w:r>
        <w:rPr>
          <w:noProof/>
        </w:rPr>
        <w:t xml:space="preserve"> constitue une deuxième composante majeure de l’incidence des accidents. Chaque décès sur la route équivaut à des décennies de vies perdues, tant à la maison qu’au travail, tandis que les blessures graves entraînent souvent une invalidité permanente ou une diminution de la capacité de travail. Les pertes de productivité résultent de la réduction du temps de travail et des coûts de remplacement du capital humain, mais aussi de l’incapacité des personnes concernées à effectuer des tâches non rémunérées telles que les tâches ménagères ou le bénévolat.</w:t>
      </w:r>
    </w:p>
    <w:p w14:paraId="69C51173" w14:textId="19ED0A97" w:rsidR="00671023" w:rsidRPr="008A49B6" w:rsidRDefault="00671023" w:rsidP="00671023">
      <w:pPr>
        <w:spacing w:after="120" w:line="23" w:lineRule="atLeast"/>
        <w:rPr>
          <w:noProof/>
        </w:rPr>
      </w:pPr>
      <w:r>
        <w:rPr>
          <w:noProof/>
        </w:rPr>
        <w:t xml:space="preserve">Les </w:t>
      </w:r>
      <w:r>
        <w:rPr>
          <w:b/>
          <w:noProof/>
        </w:rPr>
        <w:t>coûts d’infrastructure et d’intervention d’urgence</w:t>
      </w:r>
      <w:r>
        <w:rPr>
          <w:noProof/>
        </w:rPr>
        <w:t xml:space="preserve"> comprennent le déploiement des services d’urgence, la gestion du trafic lors des opérations de dégagement, les dommages matériels et la réparation ou le remplacement des véhicules. Ces coûts directs augmentent à mesure que les véhicules et les infrastructures routières deviennent plus sophistiqués sur le plan technologique et donc plus coûteux à réparer ou à remplacer.</w:t>
      </w:r>
    </w:p>
    <w:p w14:paraId="3B7D19FC" w14:textId="41940672" w:rsidR="00C1206D" w:rsidRPr="008A49B6" w:rsidRDefault="00C1206D" w:rsidP="00671023">
      <w:pPr>
        <w:spacing w:after="120" w:line="23" w:lineRule="atLeast"/>
        <w:rPr>
          <w:noProof/>
          <w:szCs w:val="24"/>
        </w:rPr>
      </w:pPr>
      <w:r>
        <w:rPr>
          <w:noProof/>
        </w:rPr>
        <w:t xml:space="preserve">Les </w:t>
      </w:r>
      <w:r>
        <w:rPr>
          <w:b/>
          <w:noProof/>
        </w:rPr>
        <w:t>coûts administratifs</w:t>
      </w:r>
      <w:r>
        <w:rPr>
          <w:noProof/>
        </w:rPr>
        <w:t xml:space="preserve"> découlent des dépenses liées au déploiement de services de police, d’incendie et d’autres services d’urgence (non médicaux) sur le site des accidents. D’autres coûts sont également liés à l’administration de la justice, tels que les frais de justice, les frais de poursuite des auteurs d’infractions, ainsi que les coûts liés aux procès et aux assurances.</w:t>
      </w:r>
    </w:p>
    <w:p w14:paraId="483B4850" w14:textId="7875C5A1" w:rsidR="00671023" w:rsidRPr="008A49B6" w:rsidRDefault="002A2BC6" w:rsidP="00671023">
      <w:pPr>
        <w:pStyle w:val="whitespace-normal"/>
        <w:spacing w:after="120" w:afterAutospacing="0" w:line="23" w:lineRule="atLeast"/>
        <w:jc w:val="both"/>
        <w:rPr>
          <w:noProof/>
        </w:rPr>
      </w:pPr>
      <w:r>
        <w:rPr>
          <w:noProof/>
        </w:rPr>
        <w:t xml:space="preserve">Outre les coûts directs, les accidents de la route ont des incidences économiques indirectes importantes. À titre d’exemple, on peut citer le temps perdu et l’augmentation de la consommation de carburant engendrée par la </w:t>
      </w:r>
      <w:r>
        <w:rPr>
          <w:b/>
          <w:noProof/>
        </w:rPr>
        <w:t>congestion de la circulation</w:t>
      </w:r>
      <w:r>
        <w:rPr>
          <w:noProof/>
        </w:rPr>
        <w:t xml:space="preserve"> causée par les accidents. </w:t>
      </w:r>
    </w:p>
    <w:p w14:paraId="5353F09E" w14:textId="7BA02CCE" w:rsidR="00671023" w:rsidRPr="008A49B6" w:rsidRDefault="00671023" w:rsidP="00671023">
      <w:pPr>
        <w:spacing w:after="120" w:line="23" w:lineRule="atLeast"/>
        <w:rPr>
          <w:noProof/>
        </w:rPr>
      </w:pPr>
    </w:p>
    <w:p w14:paraId="5642C818" w14:textId="4AE3CC4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08" w:name="_Toc206603041"/>
      <w:bookmarkStart w:id="309" w:name="_Toc206610436"/>
      <w:bookmarkEnd w:id="308"/>
      <w:r>
        <w:rPr>
          <w:rFonts w:ascii="Times New Roman" w:hAnsi="Times New Roman"/>
          <w:b/>
          <w:smallCaps/>
          <w:noProof/>
          <w:color w:val="000000" w:themeColor="text1"/>
          <w:sz w:val="24"/>
        </w:rPr>
        <w:t xml:space="preserve">Besoins </w:t>
      </w:r>
      <w:bookmarkEnd w:id="309"/>
      <w:r>
        <w:rPr>
          <w:rFonts w:ascii="Times New Roman" w:hAnsi="Times New Roman"/>
          <w:b/>
          <w:smallCaps/>
          <w:noProof/>
          <w:color w:val="000000" w:themeColor="text1"/>
          <w:sz w:val="24"/>
        </w:rPr>
        <w:t>d’investissement</w:t>
      </w:r>
    </w:p>
    <w:p w14:paraId="28666940" w14:textId="7B447962" w:rsidR="00461051" w:rsidRPr="008A49B6" w:rsidRDefault="00A31768" w:rsidP="00671023">
      <w:pPr>
        <w:spacing w:after="120" w:line="23" w:lineRule="atLeast"/>
        <w:rPr>
          <w:noProof/>
        </w:rPr>
      </w:pPr>
      <w:r>
        <w:rPr>
          <w:noProof/>
        </w:rPr>
        <w:t xml:space="preserve">Pour tirer parti des avantages économiques potentiels de la prévention des accidents de la route, il est nécessaire de réaliser des investissements substantiels, mais rentables au regard des coûts. Un financement coordonné à tous les niveaux de gouvernance est nécessaire pour mettre en place des améliorations des infrastructures, renforcer l’application de la loi, développer les technologies de sécurité automobile et mettre en place des programmes éducatifs. </w:t>
      </w:r>
    </w:p>
    <w:p w14:paraId="6DB78FBC" w14:textId="465E9CED" w:rsidR="009D5AD9" w:rsidRPr="008A49B6" w:rsidRDefault="6A270876" w:rsidP="00461051">
      <w:pPr>
        <w:pStyle w:val="whitespace-normal"/>
        <w:spacing w:after="120" w:afterAutospacing="0" w:line="23" w:lineRule="atLeast"/>
        <w:jc w:val="both"/>
        <w:rPr>
          <w:noProof/>
        </w:rPr>
      </w:pPr>
      <w:r>
        <w:rPr>
          <w:noProof/>
        </w:rPr>
        <w:t>Toutefois, des études montrent que le rendement économique de ces investissements dépasse largement leur coût, ce qui fait de l’amélioration de la sécurité routière l’une des mesures de politique publique présentant le meilleur rapport coût-efficacité</w:t>
      </w:r>
      <w:r>
        <w:rPr>
          <w:rStyle w:val="FootnoteReference"/>
          <w:noProof/>
        </w:rPr>
        <w:footnoteReference w:id="57"/>
      </w:r>
      <w:r>
        <w:rPr>
          <w:noProof/>
        </w:rPr>
        <w:t>. Les arguments économiques en faveur d’une action accélérée en matière de sécurité routière sont convaincants, le coût de l’inaction dépassant largement les investissements nécessaires à une action efficace.</w:t>
      </w:r>
    </w:p>
    <w:p w14:paraId="6DFBF569" w14:textId="419F241D" w:rsidR="00671023" w:rsidRPr="008A49B6" w:rsidRDefault="6A270876" w:rsidP="00671023">
      <w:pPr>
        <w:spacing w:after="120" w:line="23" w:lineRule="atLeast"/>
        <w:rPr>
          <w:noProof/>
        </w:rPr>
      </w:pPr>
      <w:r>
        <w:rPr>
          <w:noProof/>
        </w:rPr>
        <w:t>Dans son rapport spécial de 2024, la Cour des comptes a noté que la sécurité routière n’était souvent pas un critère de sélection essentiel pour les projets d’infrastructure cofinancés par l’Union; les critères de sélection négligeaient souvent les tronçons routiers présentant des taux d’accidents élevés. La Cour des comptes a recommandé une hiérarchisation plus claire des priorités afin que les futurs efforts de financement se concentrent sur les mesures les plus susceptibles de réduire le nombre de décès et de blessures graves.</w:t>
      </w:r>
    </w:p>
    <w:p w14:paraId="5BE90CDF" w14:textId="1E1083EE" w:rsidR="00776222" w:rsidRPr="008A49B6" w:rsidRDefault="6A270876" w:rsidP="00C429B5">
      <w:pPr>
        <w:spacing w:after="120" w:line="23" w:lineRule="atLeast"/>
        <w:rPr>
          <w:noProof/>
        </w:rPr>
      </w:pPr>
      <w:r>
        <w:rPr>
          <w:noProof/>
        </w:rPr>
        <w:t>Outre la nécessité d’investir dans des infrastructures routières nouvelles et repensées, des fonds doivent également être affectés à l’entretien de ces infrastructures routières. Non seulement davantage de nouveaux véhicules circulent sur les routes de l’Union – depuis 2019, on a enregistré une augmentation de près de 5 millions de voitures particulières et de plus de 270 000 camions</w:t>
      </w:r>
      <w:r>
        <w:rPr>
          <w:rStyle w:val="FootnoteReference"/>
          <w:noProof/>
        </w:rPr>
        <w:footnoteReference w:id="58"/>
      </w:r>
      <w:r>
        <w:rPr>
          <w:noProof/>
        </w:rPr>
        <w:t xml:space="preserve"> –, mais l’incidence du changement climatique se manifeste également par l’augmentation de la fréquence et de l’intensité des incendies, des tempêtes et des inondations, qui ont toutes une incidence sur l’intégrité et la sécurité des routes. Un autre aspect à prendre en considération est le besoin croissant de faciliter la mobilité militaire et les exigences en matière de double usage dans l’ensemble de l’Union, ce qui nécessite de moderniser certains tronçons d’infrastructures routières (y compris les routes, les ponts et les tunnels) afin de garantir la solidité structurelle et la résilience opérationnelle. Ces améliorations doivent être conçues de manière à éviter la création de nouveaux goulets d’étranglement et à maintenir la fonctionnalité en cas d’augmentation des charges et dans des conditions difficiles (par exemple, augmentation du flux de véhicules lourds, déviations liées à des incidents).</w:t>
      </w:r>
    </w:p>
    <w:p w14:paraId="32EF121D" w14:textId="5CA58F8D" w:rsidR="00CB1971" w:rsidRPr="008A49B6" w:rsidRDefault="00CB1971" w:rsidP="00CB1971">
      <w:pPr>
        <w:spacing w:after="120" w:line="23" w:lineRule="atLeast"/>
        <w:rPr>
          <w:noProof/>
        </w:rPr>
      </w:pPr>
      <w:r>
        <w:rPr>
          <w:noProof/>
        </w:rPr>
        <w:t xml:space="preserve">Les facteurs de risque et les défis liés à la sécurité routière mettent également en évidence la nécessité de continuer à investir dans les moyens de détection et de contrôle des excès de vitesse, de la conduite sous l’emprise de l’alcool ou de drogues, de la distraction au volant, du non-respect des feux rouges et du non-port de la ceinture de sécurité. Ces investissements doivent garantir que les services de police disposent de ressources suffisantes pour effectuer et gérer les contrôles routiers et doivent soutenir les systèmes automatisés de détection et de contrôle par caméra. </w:t>
      </w:r>
    </w:p>
    <w:p w14:paraId="1896A2C0" w14:textId="350366F6" w:rsidR="00CB1971" w:rsidRPr="008A49B6" w:rsidRDefault="40FA9506" w:rsidP="00CB1971">
      <w:pPr>
        <w:spacing w:after="120" w:line="23" w:lineRule="atLeast"/>
        <w:rPr>
          <w:noProof/>
        </w:rPr>
      </w:pPr>
      <w:r>
        <w:rPr>
          <w:noProof/>
        </w:rPr>
        <w:t>L’application de la loi devrait s’accompagner du financement de campagnes efficaces de sensibilisation et d’éducation à la sécurité routière. Ces campagnes doivent être adaptées à différents publics cibles (enfants, adolescents, conducteurs apprenants et conducteurs novices, conducteurs plus expérimentés et autres usagers de la route tels que les cyclistes et les utilisateurs d’appareils de mobilité individuelle) et aux différents groupes à risque tels que les jeunes hommes, les personnes âgées et les motocyclistes. Elles sont plus efficaces lorsqu’elles sont menées au niveau national ou régional, mais les autorités des États membres ont demandé à l’Union de soutenir la préparation et la mise en œuvre de ces campagnes</w:t>
      </w:r>
      <w:r>
        <w:rPr>
          <w:rStyle w:val="FootnoteReference"/>
          <w:noProof/>
        </w:rPr>
        <w:footnoteReference w:id="59"/>
      </w:r>
      <w:r>
        <w:rPr>
          <w:noProof/>
        </w:rPr>
        <w:t xml:space="preserve"> et de faciliter l’échange de bonnes pratiques</w:t>
      </w:r>
      <w:r>
        <w:rPr>
          <w:rStyle w:val="FootnoteReference"/>
          <w:noProof/>
        </w:rPr>
        <w:footnoteReference w:id="60"/>
      </w:r>
      <w:r>
        <w:rPr>
          <w:noProof/>
        </w:rPr>
        <w:t>.</w:t>
      </w:r>
    </w:p>
    <w:p w14:paraId="0FF17F32" w14:textId="77777777" w:rsidR="00CB1971" w:rsidRPr="008A49B6" w:rsidRDefault="00CB1971" w:rsidP="00671023">
      <w:pPr>
        <w:spacing w:after="120" w:line="23" w:lineRule="atLeast"/>
        <w:rPr>
          <w:noProof/>
        </w:rPr>
      </w:pPr>
    </w:p>
    <w:p w14:paraId="6207326D" w14:textId="7777777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10" w:name="_Toc206603043"/>
      <w:bookmarkStart w:id="311" w:name="_Toc206610437"/>
      <w:bookmarkEnd w:id="8"/>
      <w:bookmarkEnd w:id="209"/>
      <w:bookmarkEnd w:id="310"/>
      <w:r>
        <w:rPr>
          <w:rFonts w:ascii="Times New Roman" w:hAnsi="Times New Roman"/>
          <w:b/>
          <w:smallCaps/>
          <w:noProof/>
          <w:color w:val="000000" w:themeColor="text1"/>
          <w:sz w:val="24"/>
        </w:rPr>
        <w:t>La voie à suivre</w:t>
      </w:r>
      <w:bookmarkEnd w:id="311"/>
      <w:r>
        <w:rPr>
          <w:rFonts w:ascii="Times New Roman" w:hAnsi="Times New Roman"/>
          <w:b/>
          <w:smallCaps/>
          <w:noProof/>
          <w:color w:val="000000" w:themeColor="text1"/>
          <w:sz w:val="24"/>
        </w:rPr>
        <w:t xml:space="preserve"> </w:t>
      </w:r>
    </w:p>
    <w:p w14:paraId="26A90CC1" w14:textId="7C08DCC8" w:rsidR="00F7636E" w:rsidRPr="008A49B6" w:rsidRDefault="00671023" w:rsidP="00671023">
      <w:pPr>
        <w:spacing w:after="120" w:line="23" w:lineRule="atLeast"/>
        <w:rPr>
          <w:noProof/>
        </w:rPr>
      </w:pPr>
      <w:r>
        <w:rPr>
          <w:noProof/>
        </w:rPr>
        <w:t>Le présent rapport à mi-parcours révèle la nécessité d’une action accélérée et ciblée sur plusieurs fronts. La Commission a défini une série de priorités pour tous les niveaux de gouvernance concernés (de l’UE et nationaux), en poursuivant les actions existantes ou nouvelles qui nécessitent une attention immédiate, un engagement durable et un financement spécifique de la part de toutes les parties prenantes.</w:t>
      </w:r>
    </w:p>
    <w:p w14:paraId="418836F5" w14:textId="77777777" w:rsidR="0041262B" w:rsidRPr="008A49B6" w:rsidRDefault="0041262B" w:rsidP="00671023">
      <w:pPr>
        <w:spacing w:after="120" w:line="23" w:lineRule="atLeast"/>
        <w:rPr>
          <w:noProof/>
        </w:rPr>
      </w:pPr>
    </w:p>
    <w:p w14:paraId="497A36B7" w14:textId="73B050F3" w:rsidR="00DF23B5" w:rsidRPr="008A49B6" w:rsidRDefault="00142E62" w:rsidP="001D3C25">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 xml:space="preserve"> Accélérer l’amélioration de la sécurité des infrastructures et déployer des systèmes de transport intelligents</w:t>
      </w:r>
    </w:p>
    <w:p w14:paraId="7091F567" w14:textId="00CF43B6" w:rsidR="00DF23B5" w:rsidRPr="008A49B6" w:rsidRDefault="00DF23B5" w:rsidP="00DF23B5">
      <w:pPr>
        <w:spacing w:after="120" w:line="23" w:lineRule="atLeast"/>
        <w:rPr>
          <w:noProof/>
        </w:rPr>
      </w:pPr>
      <w:r>
        <w:rPr>
          <w:noProof/>
        </w:rPr>
        <w:t>Le défi permanent que représente la réduction du nombre de décès et de blessés graves sur les routes exige que la priorité soit donnée aux investissements dans la modernisation des infrastructures routières.</w:t>
      </w:r>
    </w:p>
    <w:p w14:paraId="2A8051FA" w14:textId="4026DC40" w:rsidR="00DF23B5" w:rsidRPr="008A49B6" w:rsidRDefault="00EF231D" w:rsidP="00DF23B5">
      <w:pPr>
        <w:spacing w:after="120" w:line="23" w:lineRule="atLeast"/>
        <w:rPr>
          <w:noProof/>
        </w:rPr>
      </w:pPr>
      <w:r>
        <w:rPr>
          <w:noProof/>
        </w:rPr>
        <w:t>La Commission élabore actuellement des orientations à l’intention des autorités responsables des infrastructures routières sur la conception de «bords de route qui pardonnent» et de «routes lisibles et explicites» et sur les exigences de qualité des infrastructures routières pour les usagers vulnérables de la route. Ce document d’orientation sera publié en 2026. </w:t>
      </w:r>
    </w:p>
    <w:p w14:paraId="17D5AA7B" w14:textId="5B3B1865" w:rsidR="00DF23B5" w:rsidRPr="008A49B6" w:rsidRDefault="466A7F78" w:rsidP="00DF23B5">
      <w:pPr>
        <w:spacing w:after="120" w:line="23" w:lineRule="atLeast"/>
        <w:rPr>
          <w:noProof/>
        </w:rPr>
      </w:pPr>
      <w:r>
        <w:rPr>
          <w:noProof/>
        </w:rPr>
        <w:t>Le règlement RTE-T</w:t>
      </w:r>
      <w:r>
        <w:rPr>
          <w:rStyle w:val="FootnoteReference"/>
          <w:noProof/>
        </w:rPr>
        <w:footnoteReference w:id="61"/>
      </w:r>
      <w:r>
        <w:rPr>
          <w:noProof/>
        </w:rPr>
        <w:t xml:space="preserve"> a également été mis à jour en 2024 afin d’y inclure de nouvelles exigences de sécurité pour le réseau européen. Les plans de mobilité urbaine durable (PMUD) doivent désormais également aborder les questions de sécurité routière et les États membres sont tenus de collecter des données sur la sécurité pour chaque nœud urbain. La planification des infrastructures doit répondre aux besoins opérationnels, y compris en matière de sécurité.</w:t>
      </w:r>
    </w:p>
    <w:p w14:paraId="7AF9EF2C" w14:textId="77777777" w:rsidR="00DF23B5" w:rsidRPr="008A49B6" w:rsidRDefault="00DF23B5" w:rsidP="00DF23B5">
      <w:pPr>
        <w:spacing w:after="120" w:line="23" w:lineRule="atLeast"/>
        <w:rPr>
          <w:noProof/>
        </w:rPr>
      </w:pPr>
      <w:r>
        <w:rPr>
          <w:noProof/>
        </w:rPr>
        <w:t>La Commission s’engage à: </w:t>
      </w:r>
    </w:p>
    <w:p w14:paraId="555C6341" w14:textId="041DD76A" w:rsidR="008216AC" w:rsidRPr="008A49B6" w:rsidRDefault="00DC48D4" w:rsidP="0041262B">
      <w:pPr>
        <w:numPr>
          <w:ilvl w:val="0"/>
          <w:numId w:val="53"/>
        </w:numPr>
        <w:spacing w:after="120" w:line="23" w:lineRule="atLeast"/>
        <w:rPr>
          <w:noProof/>
        </w:rPr>
      </w:pPr>
      <w:r>
        <w:rPr>
          <w:noProof/>
        </w:rPr>
        <w:t>continuer à aider les États membres à traiter les problèmes recensés dans les rapports nationaux sur la sécurité routière (</w:t>
      </w:r>
      <w:r w:rsidR="0006344A">
        <w:rPr>
          <w:noProof/>
        </w:rPr>
        <w:t xml:space="preserve">qui accompagnent le </w:t>
      </w:r>
      <w:r>
        <w:rPr>
          <w:noProof/>
        </w:rPr>
        <w:t>présent rapport), y compris lorsque cette aide est mentionnée par les États membres dans leurs plans de partenariat nationaux et régionaux pour les investissements et les réformes pour la période de financement 2028-2034;</w:t>
      </w:r>
    </w:p>
    <w:p w14:paraId="298187DD" w14:textId="00BA8F52" w:rsidR="008216AC" w:rsidRPr="008A49B6" w:rsidRDefault="2C383905" w:rsidP="008216AC">
      <w:pPr>
        <w:pStyle w:val="ListParagraph"/>
        <w:numPr>
          <w:ilvl w:val="0"/>
          <w:numId w:val="53"/>
        </w:numPr>
        <w:rPr>
          <w:noProof/>
        </w:rPr>
      </w:pPr>
      <w:r>
        <w:rPr>
          <w:noProof/>
        </w:rPr>
        <w:t>subordonner les investissements dans les infrastructures routières dans l’Union à l’inclusion d’éléments de sécurité routière dans les tronçons routiers présentant le plus grand potentiel d’amélioration de la sécurité</w:t>
      </w:r>
      <w:r>
        <w:rPr>
          <w:rStyle w:val="FootnoteReference"/>
          <w:noProof/>
        </w:rPr>
        <w:footnoteReference w:id="62"/>
      </w:r>
      <w:r>
        <w:rPr>
          <w:noProof/>
        </w:rPr>
        <w:t xml:space="preserve"> et où une action ciblée peut apporter les améliorations les plus importantes</w:t>
      </w:r>
      <w:r>
        <w:rPr>
          <w:rStyle w:val="FootnoteReference"/>
          <w:noProof/>
        </w:rPr>
        <w:footnoteReference w:id="63"/>
      </w:r>
      <w:r>
        <w:rPr>
          <w:noProof/>
        </w:rPr>
        <w:t>, y compris pour les usagers vulnérables de la route;</w:t>
      </w:r>
    </w:p>
    <w:p w14:paraId="3B80C411" w14:textId="16AA6043" w:rsidR="00DF23B5" w:rsidRPr="008A49B6" w:rsidRDefault="00913501" w:rsidP="00DF23B5">
      <w:pPr>
        <w:numPr>
          <w:ilvl w:val="0"/>
          <w:numId w:val="53"/>
        </w:numPr>
        <w:spacing w:after="120" w:line="23" w:lineRule="atLeast"/>
        <w:rPr>
          <w:noProof/>
        </w:rPr>
      </w:pPr>
      <w:r>
        <w:rPr>
          <w:noProof/>
        </w:rPr>
        <w:t>aider les États membres à mettre en œuvre, dans le cadre de leurs investissements routiers, les prochaines orientations de 2026 sur la conception de «bords de route qui pardonnent», de «routes lisibles et explicites» et d’infrastructures pour les usagers vulnérables de la route;</w:t>
      </w:r>
    </w:p>
    <w:p w14:paraId="55EEA614" w14:textId="59F7A960" w:rsidR="00DF23B5" w:rsidRPr="008A49B6" w:rsidRDefault="00913501" w:rsidP="00DF23B5">
      <w:pPr>
        <w:numPr>
          <w:ilvl w:val="0"/>
          <w:numId w:val="54"/>
        </w:numPr>
        <w:spacing w:after="120" w:line="23" w:lineRule="atLeast"/>
        <w:rPr>
          <w:noProof/>
        </w:rPr>
      </w:pPr>
      <w:r>
        <w:rPr>
          <w:noProof/>
        </w:rPr>
        <w:t xml:space="preserve">aider les États membres à intégrer les exigences en matière de sécurité routière, de résilience et d’opérabilité dans les projets d’entretien et de modernisation des routes entrepris pour faciliter la mobilité militaire ou à double usage, en particulier ceux qui visent à éliminer les goulets d’étranglement tels que les ponts et les tunnels, y compris au moyen d’orientations sur la conception; à cette fin, les procédures de sécurité routière énoncées dans la directive 2008/96/CE devraient être prises en considération pour les tronçons routiers qui ne relèvent pas de son champ d’application mais qui sont importants pour la mobilité militaire; </w:t>
      </w:r>
    </w:p>
    <w:p w14:paraId="4D250669" w14:textId="072DBC3E" w:rsidR="00DF23B5" w:rsidRPr="008A49B6" w:rsidRDefault="2C383905" w:rsidP="00DF23B5">
      <w:pPr>
        <w:numPr>
          <w:ilvl w:val="0"/>
          <w:numId w:val="56"/>
        </w:numPr>
        <w:spacing w:after="120" w:line="23" w:lineRule="atLeast"/>
        <w:rPr>
          <w:noProof/>
        </w:rPr>
      </w:pPr>
      <w:r>
        <w:rPr>
          <w:noProof/>
        </w:rPr>
        <w:t>soutenir la fourniture d’informations minimales universelles sur la circulation liées à la sécurité routière gratuites pour les usagers, pouvant inclure des événements tels que «fin de file» ou «véhicules d’urgence approchant» sur un réseau géographique étendu; à cette fin, une révision des spécifications techniques actuelles</w:t>
      </w:r>
      <w:r>
        <w:rPr>
          <w:rStyle w:val="FootnoteReference"/>
          <w:noProof/>
        </w:rPr>
        <w:footnoteReference w:id="64"/>
      </w:r>
      <w:r>
        <w:rPr>
          <w:noProof/>
        </w:rPr>
        <w:t xml:space="preserve"> est prévue dans le cadre de la directive sur les systèmes de transport intelligents (STI)</w:t>
      </w:r>
      <w:r>
        <w:rPr>
          <w:rStyle w:val="FootnoteReference"/>
          <w:noProof/>
        </w:rPr>
        <w:footnoteReference w:id="65"/>
      </w:r>
      <w:r>
        <w:rPr>
          <w:noProof/>
        </w:rPr>
        <w:t xml:space="preserve">; </w:t>
      </w:r>
    </w:p>
    <w:p w14:paraId="7F981395" w14:textId="498E9416" w:rsidR="00DF23B5" w:rsidRPr="008A49B6" w:rsidRDefault="466A7F78" w:rsidP="7B46F355">
      <w:pPr>
        <w:numPr>
          <w:ilvl w:val="0"/>
          <w:numId w:val="57"/>
        </w:numPr>
        <w:spacing w:after="120" w:line="23" w:lineRule="atLeast"/>
        <w:rPr>
          <w:noProof/>
        </w:rPr>
      </w:pPr>
      <w:r>
        <w:rPr>
          <w:noProof/>
        </w:rPr>
        <w:t>continuer à soutenir les États membres dans le déploiement de solutions intelligentes en matière de gestion du trafic et de contrôle</w:t>
      </w:r>
      <w:r>
        <w:rPr>
          <w:rStyle w:val="FootnoteReference"/>
          <w:noProof/>
        </w:rPr>
        <w:footnoteReference w:id="66"/>
      </w:r>
      <w:r>
        <w:rPr>
          <w:noProof/>
        </w:rPr>
        <w:t xml:space="preserve">; </w:t>
      </w:r>
    </w:p>
    <w:p w14:paraId="15BF1A60" w14:textId="4DF0AD33" w:rsidR="00DF23B5" w:rsidRPr="008A49B6" w:rsidRDefault="00913501" w:rsidP="00DF23B5">
      <w:pPr>
        <w:numPr>
          <w:ilvl w:val="0"/>
          <w:numId w:val="58"/>
        </w:numPr>
        <w:spacing w:after="120" w:line="23" w:lineRule="atLeast"/>
        <w:rPr>
          <w:noProof/>
        </w:rPr>
      </w:pPr>
      <w:r>
        <w:rPr>
          <w:noProof/>
        </w:rPr>
        <w:t>réfléchir à la meilleure manière de promouvoir l’adoption de systèmes de transport intelligents coopératifs (STI-C), y compris au moyen de spécifications techniques;</w:t>
      </w:r>
    </w:p>
    <w:p w14:paraId="0B9881EB" w14:textId="2872D109" w:rsidR="00DF23B5" w:rsidRPr="008A49B6" w:rsidRDefault="00913501" w:rsidP="4E7BDE2D">
      <w:pPr>
        <w:numPr>
          <w:ilvl w:val="0"/>
          <w:numId w:val="59"/>
        </w:numPr>
        <w:spacing w:after="120" w:line="23" w:lineRule="atLeast"/>
        <w:rPr>
          <w:noProof/>
        </w:rPr>
      </w:pPr>
      <w:r>
        <w:rPr>
          <w:noProof/>
        </w:rPr>
        <w:t>publier un document d’orientation à l’intention des États membres sur la continuité du service eCall pour les véhicules équipés du système eCall 2G/3G, y compris sur d’éventuels outils réglementaires au niveau national pour maintenir au moins un réseau à commutation de circuits jusqu’en 2030.</w:t>
      </w:r>
    </w:p>
    <w:p w14:paraId="072D9875" w14:textId="77777777" w:rsidR="00047836" w:rsidRPr="008A49B6" w:rsidRDefault="00047836" w:rsidP="00047836">
      <w:pPr>
        <w:spacing w:after="120" w:line="23" w:lineRule="atLeast"/>
        <w:rPr>
          <w:noProof/>
        </w:rPr>
      </w:pPr>
    </w:p>
    <w:p w14:paraId="09642B82" w14:textId="31E692DE" w:rsidR="00DF23B5" w:rsidRPr="008A49B6" w:rsidRDefault="00DF23B5" w:rsidP="009B3984">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Renforcer l’application de la loi et la dissuasion </w:t>
      </w:r>
    </w:p>
    <w:p w14:paraId="62E5CC5A" w14:textId="759D2E2E" w:rsidR="00DF23B5" w:rsidRPr="008A49B6" w:rsidRDefault="00DF23B5" w:rsidP="00DF23B5">
      <w:pPr>
        <w:spacing w:after="120" w:line="23" w:lineRule="atLeast"/>
        <w:rPr>
          <w:noProof/>
        </w:rPr>
      </w:pPr>
      <w:r>
        <w:rPr>
          <w:noProof/>
        </w:rPr>
        <w:t>L’efficacité des mesures de sécurité routière dépend essentiellement d’une application cohérente et visible.</w:t>
      </w:r>
    </w:p>
    <w:p w14:paraId="24DD8664" w14:textId="2A018B41" w:rsidR="00DF23B5" w:rsidRPr="008A49B6" w:rsidRDefault="00DF23B5" w:rsidP="00DF23B5">
      <w:pPr>
        <w:spacing w:after="120" w:line="23" w:lineRule="atLeast"/>
        <w:rPr>
          <w:noProof/>
        </w:rPr>
      </w:pPr>
      <w:r>
        <w:rPr>
          <w:noProof/>
        </w:rPr>
        <w:t>La Commission:</w:t>
      </w:r>
    </w:p>
    <w:p w14:paraId="6179812B" w14:textId="05AAC995" w:rsidR="00DF23B5" w:rsidRPr="008A49B6" w:rsidRDefault="008B1DA8" w:rsidP="00DF23B5">
      <w:pPr>
        <w:numPr>
          <w:ilvl w:val="0"/>
          <w:numId w:val="61"/>
        </w:numPr>
        <w:spacing w:after="120" w:line="23" w:lineRule="atLeast"/>
        <w:rPr>
          <w:noProof/>
        </w:rPr>
      </w:pPr>
      <w:r>
        <w:rPr>
          <w:noProof/>
        </w:rPr>
        <w:t>continuera d’aider les États membres à élaborer des stratégies d’application rigoureuses pour traiter les problèmes persistants que sont les excès de vitesse, l’alcool au volant et la distraction au volant, en partageant les bonnes pratiques au moyen d’initiatives et de groupes tels que le groupe de haut niveau sur la sécurité routière, le programme d’échange sur la sécurité routière, la charte européenne de la sécurité routière et le groupe d’experts CARE. Cela comprend l’utilisation de technologies de contrôle automatisées et la fourniture de recherches fondées sur des données probantes concernant les approches efficaces;</w:t>
      </w:r>
    </w:p>
    <w:p w14:paraId="0D5D3C78" w14:textId="2BB4B8DA" w:rsidR="00DF23B5" w:rsidRPr="008A49B6" w:rsidRDefault="00963B64" w:rsidP="00DF23B5">
      <w:pPr>
        <w:numPr>
          <w:ilvl w:val="0"/>
          <w:numId w:val="62"/>
        </w:numPr>
        <w:spacing w:after="120" w:line="23" w:lineRule="atLeast"/>
        <w:rPr>
          <w:noProof/>
        </w:rPr>
      </w:pPr>
      <w:r>
        <w:rPr>
          <w:noProof/>
        </w:rPr>
        <w:t>continuera à permettre une coopération efficace entre les autorités compétentes en matière de permis de conduire et d’immatriculation des véhicules, y compris par l’utilisation d’outils informatiques tels que MoveHub; </w:t>
      </w:r>
    </w:p>
    <w:p w14:paraId="4CE58602" w14:textId="59553477" w:rsidR="00DF23B5" w:rsidRPr="008A49B6" w:rsidRDefault="00E80EEF" w:rsidP="00DF23B5">
      <w:pPr>
        <w:numPr>
          <w:ilvl w:val="0"/>
          <w:numId w:val="63"/>
        </w:numPr>
        <w:spacing w:after="120" w:line="23" w:lineRule="atLeast"/>
        <w:rPr>
          <w:noProof/>
        </w:rPr>
      </w:pPr>
      <w:r>
        <w:rPr>
          <w:noProof/>
        </w:rPr>
        <w:t>rendra plus efficace l’assistance mutuelle dans l’application des sanctions relatives aux infractions en matière de sécurité routière grâce à des procédures mieux définies et apportera un soutien financier à cette fin;</w:t>
      </w:r>
    </w:p>
    <w:p w14:paraId="1C52E055" w14:textId="03BA5BBC" w:rsidR="00DF23B5" w:rsidRPr="008A49B6" w:rsidRDefault="002D58CF" w:rsidP="00DF23B5">
      <w:pPr>
        <w:numPr>
          <w:ilvl w:val="0"/>
          <w:numId w:val="64"/>
        </w:numPr>
        <w:spacing w:after="120" w:line="23" w:lineRule="atLeast"/>
        <w:rPr>
          <w:noProof/>
        </w:rPr>
      </w:pPr>
      <w:r>
        <w:rPr>
          <w:noProof/>
        </w:rPr>
        <w:t>publiera des orientations à l’intention des États membres sur la gestion de la vitesse. </w:t>
      </w:r>
    </w:p>
    <w:p w14:paraId="3274DC0B" w14:textId="77777777" w:rsidR="00DF23B5" w:rsidRPr="008A49B6" w:rsidRDefault="00DF23B5" w:rsidP="00DF23B5">
      <w:pPr>
        <w:spacing w:after="120" w:line="23" w:lineRule="atLeast"/>
        <w:rPr>
          <w:noProof/>
        </w:rPr>
      </w:pPr>
      <w:r>
        <w:rPr>
          <w:noProof/>
        </w:rPr>
        <w:t xml:space="preserve"> </w:t>
      </w:r>
    </w:p>
    <w:p w14:paraId="482A708E" w14:textId="423AF58C" w:rsidR="00DF23B5" w:rsidRPr="008A49B6" w:rsidRDefault="00DF23B5" w:rsidP="002E0ADA">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 xml:space="preserve">Faire progresser les technologies en matière de sécurité des véhicules </w:t>
      </w:r>
    </w:p>
    <w:p w14:paraId="1F2CDA45" w14:textId="7B425D43" w:rsidR="00DF23B5" w:rsidRPr="008A49B6" w:rsidRDefault="00333EB1" w:rsidP="00DF23B5">
      <w:pPr>
        <w:spacing w:after="120" w:line="23" w:lineRule="atLeast"/>
        <w:rPr>
          <w:noProof/>
        </w:rPr>
      </w:pPr>
      <w:r>
        <w:rPr>
          <w:noProof/>
        </w:rPr>
        <w:t>S’appuyant sur des décennies de réglementation en matière de sécurité des véhicules, dont le règlement relatif à la sécurité générale des véhicules</w:t>
      </w:r>
      <w:r>
        <w:rPr>
          <w:rStyle w:val="FootnoteReference"/>
          <w:noProof/>
        </w:rPr>
        <w:footnoteReference w:id="67"/>
      </w:r>
      <w:r>
        <w:rPr>
          <w:noProof/>
        </w:rPr>
        <w:t xml:space="preserve"> est l’exemple le plus récent, la Commission:</w:t>
      </w:r>
    </w:p>
    <w:p w14:paraId="1C6A438E" w14:textId="79C0DC1E" w:rsidR="00DF23B5" w:rsidRPr="008A49B6" w:rsidRDefault="00E1269D" w:rsidP="3CB25EAC">
      <w:pPr>
        <w:numPr>
          <w:ilvl w:val="0"/>
          <w:numId w:val="66"/>
        </w:numPr>
        <w:spacing w:after="120" w:line="23" w:lineRule="atLeast"/>
        <w:rPr>
          <w:noProof/>
        </w:rPr>
      </w:pPr>
      <w:r>
        <w:rPr>
          <w:noProof/>
        </w:rPr>
        <w:t>s’efforcera d’accélérer le déploiement de systèmes de sécurité avancés et soutiendra la transition vers des véhicules connectés et automatisés;</w:t>
      </w:r>
    </w:p>
    <w:p w14:paraId="33AE72A8" w14:textId="0BADDBC7" w:rsidR="00DF23B5" w:rsidRPr="008A49B6" w:rsidRDefault="00E1269D" w:rsidP="008C0DDD">
      <w:pPr>
        <w:numPr>
          <w:ilvl w:val="0"/>
          <w:numId w:val="68"/>
        </w:numPr>
        <w:spacing w:line="23" w:lineRule="atLeast"/>
        <w:ind w:left="714" w:hanging="357"/>
        <w:rPr>
          <w:noProof/>
        </w:rPr>
      </w:pPr>
      <w:r>
        <w:rPr>
          <w:noProof/>
        </w:rPr>
        <w:t>procédera à une évaluation des mesures de sécurité prévues par le règlement relatif à la sécurité générale des véhicules en 2027.</w:t>
      </w:r>
    </w:p>
    <w:p w14:paraId="4671693A" w14:textId="19564670" w:rsidR="00DF23B5" w:rsidRPr="008A49B6" w:rsidRDefault="00DF23B5" w:rsidP="00DF23B5">
      <w:pPr>
        <w:spacing w:after="120" w:line="23" w:lineRule="atLeast"/>
        <w:rPr>
          <w:noProof/>
        </w:rPr>
      </w:pPr>
      <w:r>
        <w:rPr>
          <w:noProof/>
        </w:rPr>
        <w:t>En outre, la Commission facilite la création de bancs d’essai transfrontières, permettant le prédéploiement à grande échelle de véhicules autonomes pour le transport de passagers et de marchandises dans le cadre d’un régime d’autorisation transfrontière unique. Ces bancs d’essai devraient contribuer à la maturité commerciale et à la commercialisation des véhicules autonomes et recenser les caractéristiques qui pourraient devoir être affinées à des fins de sécurité. Cette initiative permettra aux États membres de poursuivre le déploiement d’infrastructures connectées [y compris des systèmes de transport intelligents coopératifs (STI-C)] afin de partager plus rapidement les données entre les véhicules et les infrastructures, ce qui améliorera encore la sécurité routière.</w:t>
      </w:r>
    </w:p>
    <w:p w14:paraId="274E2B67" w14:textId="77777777" w:rsidR="00A902C3" w:rsidRPr="008A49B6" w:rsidRDefault="00A902C3" w:rsidP="00DF23B5">
      <w:pPr>
        <w:spacing w:after="120" w:line="23" w:lineRule="atLeast"/>
        <w:rPr>
          <w:noProof/>
        </w:rPr>
      </w:pPr>
    </w:p>
    <w:p w14:paraId="07DEB9E1" w14:textId="4274794B" w:rsidR="00DF23B5" w:rsidRPr="008A49B6" w:rsidRDefault="00DF23B5">
      <w:pPr>
        <w:pStyle w:val="Heading1"/>
        <w:keepLines w:val="0"/>
        <w:numPr>
          <w:ilvl w:val="1"/>
          <w:numId w:val="41"/>
        </w:numPr>
        <w:spacing w:before="240" w:after="120" w:line="23" w:lineRule="atLeast"/>
        <w:rPr>
          <w:rFonts w:ascii="Times New Roman" w:eastAsia="Times New Roman" w:hAnsi="Times New Roman" w:cs="Times New Roman"/>
          <w:b/>
          <w:bCs/>
          <w:smallCaps/>
          <w:noProof/>
          <w:color w:val="000000" w:themeColor="text1"/>
          <w:sz w:val="24"/>
          <w:szCs w:val="24"/>
        </w:rPr>
      </w:pPr>
      <w:r>
        <w:rPr>
          <w:rFonts w:ascii="Times New Roman" w:hAnsi="Times New Roman"/>
          <w:b/>
          <w:smallCaps/>
          <w:noProof/>
          <w:color w:val="000000" w:themeColor="text1"/>
          <w:sz w:val="24"/>
        </w:rPr>
        <w:t>Nouvelles formes de mobilité </w:t>
      </w:r>
    </w:p>
    <w:p w14:paraId="068D9E1F" w14:textId="5682EB11" w:rsidR="00DF23B5" w:rsidRPr="008A49B6" w:rsidRDefault="346473D8" w:rsidP="00DF23B5">
      <w:pPr>
        <w:spacing w:after="120" w:line="23" w:lineRule="atLeast"/>
        <w:rPr>
          <w:noProof/>
        </w:rPr>
      </w:pPr>
      <w:r>
        <w:rPr>
          <w:noProof/>
        </w:rPr>
        <w:t>Sur la base d’une étude</w:t>
      </w:r>
      <w:r>
        <w:rPr>
          <w:rStyle w:val="FootnoteReference"/>
          <w:noProof/>
        </w:rPr>
        <w:footnoteReference w:id="68"/>
      </w:r>
      <w:r>
        <w:rPr>
          <w:noProof/>
        </w:rPr>
        <w:t xml:space="preserve"> examinant les défis et les possibilités liés à la réglementation des dispositifs de mobilité individuelle, la Commission s’engage à:</w:t>
      </w:r>
    </w:p>
    <w:p w14:paraId="47648E93" w14:textId="201CDD74" w:rsidR="003F2027" w:rsidRPr="008A49B6" w:rsidRDefault="7A22645C" w:rsidP="00DF23B5">
      <w:pPr>
        <w:numPr>
          <w:ilvl w:val="0"/>
          <w:numId w:val="71"/>
        </w:numPr>
        <w:spacing w:after="120" w:line="23" w:lineRule="atLeast"/>
        <w:rPr>
          <w:noProof/>
        </w:rPr>
      </w:pPr>
      <w:r>
        <w:rPr>
          <w:noProof/>
        </w:rPr>
        <w:t>tirer des conclusions sur les avantages potentiels de l’harmonisation des spécifications techniques des dispositifs de mobilité individuelle</w:t>
      </w:r>
      <w:r>
        <w:rPr>
          <w:rStyle w:val="FootnoteReference"/>
          <w:noProof/>
        </w:rPr>
        <w:footnoteReference w:id="69"/>
      </w:r>
      <w:r>
        <w:rPr>
          <w:noProof/>
        </w:rPr>
        <w:t>;</w:t>
      </w:r>
    </w:p>
    <w:p w14:paraId="16A55E1F" w14:textId="36B81B1D" w:rsidR="00DF23B5" w:rsidRPr="008A49B6" w:rsidRDefault="00FB7DD8" w:rsidP="00DF23B5">
      <w:pPr>
        <w:numPr>
          <w:ilvl w:val="0"/>
          <w:numId w:val="71"/>
        </w:numPr>
        <w:spacing w:after="120" w:line="23" w:lineRule="atLeast"/>
        <w:rPr>
          <w:noProof/>
        </w:rPr>
      </w:pPr>
      <w:r>
        <w:rPr>
          <w:noProof/>
        </w:rPr>
        <w:t>élaborer des orientations à l’intention des États membres et des administrations régionales et locales sur les aspects à prendre en considération pour garantir la sécurité des conducteurs et des autres usagers de la route lors de l’utilisation de dispositifs de mobilité individuelle; ces orientations compléteront celles énoncées dans le guide thématique du PMUD de 2021 sur l’utilisation sûre de la micromobilité</w:t>
      </w:r>
      <w:r>
        <w:rPr>
          <w:rStyle w:val="FootnoteReference"/>
          <w:noProof/>
        </w:rPr>
        <w:footnoteReference w:id="70"/>
      </w:r>
      <w:r>
        <w:rPr>
          <w:noProof/>
        </w:rPr>
        <w:t>.</w:t>
      </w:r>
    </w:p>
    <w:p w14:paraId="61188EFF" w14:textId="77777777" w:rsidR="00DF23B5" w:rsidRPr="008A49B6" w:rsidRDefault="00DF23B5" w:rsidP="00DF23B5">
      <w:pPr>
        <w:spacing w:after="120" w:line="23" w:lineRule="atLeast"/>
        <w:rPr>
          <w:noProof/>
        </w:rPr>
      </w:pPr>
      <w:r>
        <w:rPr>
          <w:noProof/>
        </w:rPr>
        <w:t xml:space="preserve"> </w:t>
      </w:r>
    </w:p>
    <w:p w14:paraId="0632C546" w14:textId="05651B76" w:rsidR="00DF23B5" w:rsidRPr="008A49B6" w:rsidRDefault="00DF23B5" w:rsidP="00724F11">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Initiatives en matière de recherche et d’innovation  </w:t>
      </w:r>
    </w:p>
    <w:p w14:paraId="64C6D2D6" w14:textId="00D24E2F" w:rsidR="00DF23B5" w:rsidRPr="008A49B6" w:rsidRDefault="00DF23B5" w:rsidP="00DF23B5">
      <w:pPr>
        <w:spacing w:after="120" w:line="23" w:lineRule="atLeast"/>
        <w:rPr>
          <w:noProof/>
        </w:rPr>
      </w:pPr>
      <w:r>
        <w:rPr>
          <w:noProof/>
        </w:rPr>
        <w:t>L’actuel programme Horizon Europe 2021-2027 continuera de donner la priorité à la recherche et à l’innovation en matière de sécurité routière, en mettant particulièrement l’accent sur la compréhension des défis émergents et les réponses à y apporter. Parmi les domaines de recherche prioritaires figurent la sécurité routière et la résilience routière dans les zones rurales, la sécurité des usagers vulnérables de la route tels que les piétons, les cyclistes et les utilisateurs d’engins de micromobilité, ainsi que l’utilisation de l’intelligence artificielle et des mégadonnées pour prévoir et éviter les accidents de la route.</w:t>
      </w:r>
    </w:p>
    <w:p w14:paraId="3A9355BA" w14:textId="7F2DD804" w:rsidR="00DF23B5" w:rsidRPr="008A49B6" w:rsidRDefault="00DF23B5" w:rsidP="00DF23B5">
      <w:pPr>
        <w:spacing w:after="120" w:line="23" w:lineRule="atLeast"/>
        <w:rPr>
          <w:noProof/>
        </w:rPr>
      </w:pPr>
      <w:r>
        <w:rPr>
          <w:noProof/>
        </w:rPr>
        <w:t>La Commission soutiendra également l’innovation dans les technologies de sécurité des véhicules, y compris les interfaces homme/technologie dans les systèmes de véhicules. Elle encouragera davantage la collaboration entre les constructeurs automobiles, les entreprises technologiques et les instituts de recherche dans le cadre du partenariat pour une mobilité connectée, coopérative et automatisée (partenariat CCAM).</w:t>
      </w:r>
    </w:p>
    <w:p w14:paraId="414C8F52" w14:textId="2A52192D" w:rsidR="00DF23B5" w:rsidRPr="008A49B6" w:rsidRDefault="00DF23B5" w:rsidP="00DF23B5">
      <w:pPr>
        <w:spacing w:after="120" w:line="23" w:lineRule="atLeast"/>
        <w:rPr>
          <w:noProof/>
        </w:rPr>
      </w:pPr>
    </w:p>
    <w:p w14:paraId="312312F5" w14:textId="2A9CAEC3" w:rsidR="00DF23B5" w:rsidRPr="008A49B6" w:rsidRDefault="00DF23B5" w:rsidP="00724F11">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Formation et sensibilisation </w:t>
      </w:r>
    </w:p>
    <w:p w14:paraId="299B1680" w14:textId="747AB52C" w:rsidR="00DF23B5" w:rsidRPr="008A49B6" w:rsidRDefault="00DF23B5" w:rsidP="00DF23B5">
      <w:pPr>
        <w:spacing w:after="120" w:line="23" w:lineRule="atLeast"/>
        <w:rPr>
          <w:noProof/>
        </w:rPr>
      </w:pPr>
      <w:r>
        <w:rPr>
          <w:noProof/>
        </w:rPr>
        <w:t>La Commission continuera de soutenir les échanges de bonnes pratiques en matière d’éducation et de sensibilisation à la sécurité routière, notamment dans le cadre de la charte européenne de la sécurité routière</w:t>
      </w:r>
      <w:r>
        <w:rPr>
          <w:rStyle w:val="FootnoteReference"/>
          <w:noProof/>
        </w:rPr>
        <w:footnoteReference w:id="71"/>
      </w:r>
      <w:r>
        <w:rPr>
          <w:noProof/>
        </w:rPr>
        <w:t>, du EU Road Safety Exchange (projet d’échange de l’UE sur la sécurité routière) et de ses conférences bisannuelles.  </w:t>
      </w:r>
    </w:p>
    <w:p w14:paraId="3DBAE9A4" w14:textId="5796A2FE" w:rsidR="00DF23B5" w:rsidRPr="008A49B6" w:rsidRDefault="00DF23B5" w:rsidP="00DF23B5">
      <w:pPr>
        <w:spacing w:after="120" w:line="23" w:lineRule="atLeast"/>
        <w:rPr>
          <w:noProof/>
        </w:rPr>
      </w:pPr>
      <w:r>
        <w:rPr>
          <w:noProof/>
        </w:rPr>
        <w:t>La Commission s’efforcera également d’intégrer l’éducation et la sensibilisation à la sécurité routière dans d’autres instruments de financement et de sensibilisation de l’Union, y compris dans Erasmus+ et lorsque les États membres l’ont indiqué dans leurs plans de partenariat nationaux et régionaux pour la période de financement 2028-2034, en particulier en ce qui concerne la mobilité urbaine et rurale.</w:t>
      </w:r>
    </w:p>
    <w:p w14:paraId="46A21ACF" w14:textId="6B2E0886" w:rsidR="00DF23B5" w:rsidRPr="008A49B6" w:rsidRDefault="00DF23B5" w:rsidP="00DF23B5">
      <w:pPr>
        <w:spacing w:after="120" w:line="23" w:lineRule="atLeast"/>
        <w:rPr>
          <w:noProof/>
        </w:rPr>
      </w:pPr>
    </w:p>
    <w:p w14:paraId="53EB560F" w14:textId="08C25FF0" w:rsidR="00DF23B5" w:rsidRPr="008A49B6" w:rsidRDefault="002510D1"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Le rôle du secteur privé et des employeurs dans la sécurité routière </w:t>
      </w:r>
    </w:p>
    <w:p w14:paraId="065155A5" w14:textId="7C398368" w:rsidR="00DF23B5" w:rsidRPr="008A49B6" w:rsidRDefault="466A7F78" w:rsidP="00DF23B5">
      <w:pPr>
        <w:spacing w:after="120" w:line="23" w:lineRule="atLeast"/>
        <w:rPr>
          <w:noProof/>
        </w:rPr>
      </w:pPr>
      <w:r>
        <w:rPr>
          <w:noProof/>
        </w:rPr>
        <w:t>La Commission invitera les employeurs du secteur privé et du secteur public à adopter des politiques d’entreprise qui accordent la priorité à la sécurité dans les activités commerciales. Celles-ci pourraient s’inspirer des recommandations formulées par le groupe d’experts universitaires lors de la 4</w:t>
      </w:r>
      <w:r>
        <w:rPr>
          <w:noProof/>
          <w:vertAlign w:val="superscript"/>
        </w:rPr>
        <w:t>e</w:t>
      </w:r>
      <w:r>
        <w:rPr>
          <w:noProof/>
        </w:rPr>
        <w:t> conférence ministérielle mondiale sur la sécurité routière</w:t>
      </w:r>
      <w:r>
        <w:rPr>
          <w:rStyle w:val="FootnoteReference"/>
          <w:noProof/>
        </w:rPr>
        <w:footnoteReference w:id="72"/>
      </w:r>
      <w:r>
        <w:rPr>
          <w:noProof/>
        </w:rPr>
        <w:t xml:space="preserve"> qui s’est tenue à Marrakech, au Maroc, en avril 2025.</w:t>
      </w:r>
    </w:p>
    <w:p w14:paraId="794F4666" w14:textId="3D3437B4" w:rsidR="00DF23B5" w:rsidRPr="008A49B6" w:rsidRDefault="00DF23B5" w:rsidP="00DF23B5">
      <w:pPr>
        <w:spacing w:after="120" w:line="23" w:lineRule="atLeast"/>
        <w:rPr>
          <w:noProof/>
        </w:rPr>
      </w:pPr>
      <w:r>
        <w:rPr>
          <w:noProof/>
        </w:rPr>
        <w:t xml:space="preserve">Ces recommandations comprennent notamment la garantie que les dispositifs de sécurité routière soient intégrés dans les réglementations et pratiques en matière de sécurité au travail, les autorités gouvernementales et les organisations montrant l’exemple. Cela pourrait être réalisé en mettant en place une culture de la sécurité interorganisationnelle et en appliquant des systèmes de gestion de la sécurité tels que les normes ISO 45001 ou ISO 39001. </w:t>
      </w:r>
    </w:p>
    <w:p w14:paraId="714C9E61" w14:textId="41D3E0F1" w:rsidR="00DF23B5" w:rsidRPr="008A49B6" w:rsidRDefault="00DF23B5" w:rsidP="00DF23B5">
      <w:pPr>
        <w:spacing w:after="120" w:line="23" w:lineRule="atLeast"/>
        <w:rPr>
          <w:noProof/>
        </w:rPr>
      </w:pPr>
      <w:r>
        <w:rPr>
          <w:noProof/>
        </w:rPr>
        <w:t>Les organisations de la société civile, y compris les groupes de défense de la sécurité routière, les organisations d’aide aux victimes et les associations professionnelles, jouent un rôle crucial dans le maintien de la sensibilisation du public, le soutien à l’élaboration des politiques et la fourniture de services aux victimes et à leurs familles.</w:t>
      </w:r>
    </w:p>
    <w:p w14:paraId="0FECE552" w14:textId="67E24E4E" w:rsidR="00DF23B5" w:rsidRPr="008A49B6" w:rsidRDefault="466A7F78" w:rsidP="00537049">
      <w:pPr>
        <w:spacing w:after="120" w:line="23" w:lineRule="atLeast"/>
        <w:rPr>
          <w:noProof/>
        </w:rPr>
      </w:pPr>
      <w:r>
        <w:rPr>
          <w:noProof/>
        </w:rPr>
        <w:t>La Commission continuera de plaider en faveur d’une telle participation du secteur privé et du secteur tertiaire à la sécurité routière, y compris au moyen de ses conférences bisannuelles, de la charte européenne de la sécurité routière et des Prix d’excellence de l’Union en matière de sécurité routière</w:t>
      </w:r>
      <w:r>
        <w:rPr>
          <w:rStyle w:val="FootnoteReference"/>
          <w:noProof/>
        </w:rPr>
        <w:footnoteReference w:id="73"/>
      </w:r>
      <w:r>
        <w:rPr>
          <w:noProof/>
        </w:rPr>
        <w:t>.</w:t>
      </w:r>
    </w:p>
    <w:p w14:paraId="0E26377C" w14:textId="6FE2F946" w:rsidR="00DF23B5" w:rsidRPr="008A49B6" w:rsidRDefault="00DF23B5" w:rsidP="00DF23B5">
      <w:pPr>
        <w:spacing w:after="120" w:line="23" w:lineRule="atLeast"/>
        <w:rPr>
          <w:noProof/>
        </w:rPr>
      </w:pPr>
    </w:p>
    <w:p w14:paraId="6B2B4877" w14:textId="1F2F5AA8" w:rsidR="00DF23B5" w:rsidRPr="008A49B6" w:rsidRDefault="00DF23B5"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Suivi et responsabilité</w:t>
      </w:r>
    </w:p>
    <w:p w14:paraId="7687F4D0" w14:textId="5C9517F4" w:rsidR="00DF23B5" w:rsidRPr="008A49B6" w:rsidRDefault="00DF23B5" w:rsidP="00DF23B5">
      <w:pPr>
        <w:spacing w:after="120" w:line="23" w:lineRule="atLeast"/>
        <w:rPr>
          <w:noProof/>
        </w:rPr>
      </w:pPr>
      <w:r>
        <w:rPr>
          <w:noProof/>
        </w:rPr>
        <w:t>La Commission continuera de proposer des mécanismes de suivi et de responsabilité aux professionnels de la sécurité routière afin de favoriser les progrès vers la réalisation des objectifs à l’horizon 2030 et, à terme, d’atteindre la «Vision zéro» d’ici à 2050. Cet objectif sera atteint par les moyens suivants:</w:t>
      </w:r>
    </w:p>
    <w:p w14:paraId="58C7CBDE" w14:textId="09CA751B" w:rsidR="00DF23B5" w:rsidRPr="008A49B6" w:rsidRDefault="005C2FC2" w:rsidP="00DF23B5">
      <w:pPr>
        <w:numPr>
          <w:ilvl w:val="0"/>
          <w:numId w:val="79"/>
        </w:numPr>
        <w:spacing w:after="120" w:line="23" w:lineRule="atLeast"/>
        <w:rPr>
          <w:noProof/>
        </w:rPr>
      </w:pPr>
      <w:r>
        <w:rPr>
          <w:noProof/>
        </w:rPr>
        <w:t>la base de données CARE et le groupe d’experts chargés de collecter des données sur les accidents mortels et les blessés sur les routes à l’aide d’outils de notification standardisés, et une collaboration avec les États membres afin d’améliorer la qualité des données collectées sur les blessures graves et de ventiler les données pour certains types de véhicules;</w:t>
      </w:r>
    </w:p>
    <w:p w14:paraId="03E4EAAE" w14:textId="5988B7A0" w:rsidR="00DF23B5" w:rsidRPr="008A49B6" w:rsidRDefault="009A05BF" w:rsidP="00DF23B5">
      <w:pPr>
        <w:numPr>
          <w:ilvl w:val="0"/>
          <w:numId w:val="80"/>
        </w:numPr>
        <w:spacing w:after="120" w:line="23" w:lineRule="atLeast"/>
        <w:rPr>
          <w:noProof/>
        </w:rPr>
      </w:pPr>
      <w:r>
        <w:rPr>
          <w:noProof/>
        </w:rPr>
        <w:t>l’Observatoire européen de la sécurité routière</w:t>
      </w:r>
      <w:r>
        <w:rPr>
          <w:rStyle w:val="FootnoteReference"/>
          <w:noProof/>
        </w:rPr>
        <w:footnoteReference w:id="74"/>
      </w:r>
      <w:r>
        <w:rPr>
          <w:rStyle w:val="FootnoteReference"/>
          <w:noProof/>
        </w:rPr>
        <w:t xml:space="preserve"> </w:t>
      </w:r>
      <w:r>
        <w:rPr>
          <w:noProof/>
        </w:rPr>
        <w:t xml:space="preserve"> et la publication de données fiables et comparables sur les accidents de la route ainsi que d’analyses et d’informations approfondies sur les tendances, les pratiques et les politiques en matière de sécurité routière dans l’Union.</w:t>
      </w:r>
    </w:p>
    <w:p w14:paraId="000BBF53" w14:textId="77777777" w:rsidR="00DF23B5" w:rsidRPr="008A49B6" w:rsidRDefault="00DF23B5" w:rsidP="00DF23B5">
      <w:pPr>
        <w:spacing w:after="120" w:line="23" w:lineRule="atLeast"/>
        <w:rPr>
          <w:noProof/>
        </w:rPr>
      </w:pPr>
      <w:r>
        <w:rPr>
          <w:noProof/>
        </w:rPr>
        <w:t xml:space="preserve"> </w:t>
      </w:r>
    </w:p>
    <w:p w14:paraId="5DB789C6" w14:textId="6CF9660A" w:rsidR="00DF23B5" w:rsidRPr="008A49B6" w:rsidRDefault="00DF23B5" w:rsidP="00537049">
      <w:pPr>
        <w:pStyle w:val="Heading1"/>
        <w:keepLines w:val="0"/>
        <w:numPr>
          <w:ilvl w:val="1"/>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r>
        <w:rPr>
          <w:rFonts w:ascii="Times New Roman" w:hAnsi="Times New Roman"/>
          <w:b/>
          <w:smallCaps/>
          <w:noProof/>
          <w:color w:val="000000" w:themeColor="text1"/>
          <w:sz w:val="24"/>
        </w:rPr>
        <w:t>Aborder les questions de gouvernance </w:t>
      </w:r>
    </w:p>
    <w:p w14:paraId="5FE0966A" w14:textId="5CE04CAD" w:rsidR="00ED33A1" w:rsidRPr="008A49B6" w:rsidRDefault="00071D31" w:rsidP="00537049">
      <w:pPr>
        <w:rPr>
          <w:noProof/>
        </w:rPr>
      </w:pPr>
      <w:r>
        <w:rPr>
          <w:noProof/>
        </w:rPr>
        <w:t xml:space="preserve">La poursuite des échanges de bonnes pratiques entre les États membres et le suivi approprié des questions soulevées par le groupe de haut niveau sur la sécurité routière, facilité par la Commission, devraient conduire à de nouvelles améliorations. </w:t>
      </w:r>
    </w:p>
    <w:p w14:paraId="794A967B" w14:textId="70398D72" w:rsidR="0094081D" w:rsidRPr="008A49B6" w:rsidRDefault="00896FDE" w:rsidP="00537049">
      <w:pPr>
        <w:rPr>
          <w:noProof/>
        </w:rPr>
      </w:pPr>
      <w:r>
        <w:rPr>
          <w:noProof/>
        </w:rPr>
        <w:t>Pour relever les nouveaux défis, il est possible de recourir à la réception par type, à des mesures nationales ou à la législation de l’Union. La construction d’infrastructures de meilleure qualité repose principalement sur des financements nationaux et la sécurité routière doit rivaliser avec d’autres priorités politiques nationales. L’éducation et l’application de la loi resteront une responsabilité nationale, sous réserve de l’allocation de ressources et de la volonté politique. L’entrée en vigueur récente du paquet législatif de l’Union sur la sécurité routière</w:t>
      </w:r>
      <w:r>
        <w:rPr>
          <w:rStyle w:val="FootnoteReference"/>
          <w:noProof/>
        </w:rPr>
        <w:footnoteReference w:id="75"/>
      </w:r>
      <w:r>
        <w:rPr>
          <w:noProof/>
        </w:rPr>
        <w:t xml:space="preserve"> et sous réserve du résultat des propositions relatives au contrôle technique, les mesures liées à la sécurité routière relevant de la compétence de l’Union ont été mises à jour. Dans l’ensemble, les progrès devraient être constants, mais progressifs et largement tributaires de la volonté politique. </w:t>
      </w:r>
    </w:p>
    <w:p w14:paraId="277898C8" w14:textId="4B47F507" w:rsidR="000C26BE" w:rsidRPr="008A49B6" w:rsidRDefault="54B9FB36" w:rsidP="00F01D3B">
      <w:pPr>
        <w:rPr>
          <w:noProof/>
        </w:rPr>
      </w:pPr>
      <w:r>
        <w:rPr>
          <w:noProof/>
        </w:rPr>
        <w:t>Dans le même temps, l’écosystème des acteurs de la sécurité routière de l’Union n’est pas structuré de manière à tirer parti des avantages potentiellement importants en matière de sécurité routière que les progrès des technologies d’automatisation des véhicules promettent. Bien que le plan d’action pour l’automobile</w:t>
      </w:r>
      <w:r>
        <w:rPr>
          <w:rStyle w:val="FootnoteReference"/>
          <w:noProof/>
        </w:rPr>
        <w:footnoteReference w:id="76"/>
      </w:r>
      <w:r>
        <w:rPr>
          <w:noProof/>
        </w:rPr>
        <w:t xml:space="preserve"> considère ce domaine comme un élément essentiel du futur programme de compétitivité de l’Union, le cadre institutionnel au-delà des essais doit encore être mis en place. Il existe toutefois un potentiel important pour que ces structures soient financées en grande partie par des droits d’usage. </w:t>
      </w:r>
    </w:p>
    <w:p w14:paraId="461DC70B" w14:textId="3796F079" w:rsidR="002227FC" w:rsidRPr="008A49B6" w:rsidRDefault="005427E9" w:rsidP="00F01D3B">
      <w:pPr>
        <w:rPr>
          <w:noProof/>
        </w:rPr>
      </w:pPr>
      <w:r>
        <w:rPr>
          <w:noProof/>
        </w:rPr>
        <w:t>Lors de la réflexion sur les questions de gouvernance, il convient de tenir compte des besoins des corridors et nœuds transfrontaliers stratégiques, y compris ceux qui remplissent des fonctions à double usage. Il s’agit notamment d’assurer la cohérence entre les considérations relatives à la sécurité routière, à la mise en œuvre du RTE-T, à la cybersécurité et à la résilience.</w:t>
      </w:r>
    </w:p>
    <w:p w14:paraId="652D5ABA" w14:textId="77777777" w:rsidR="00DF23B5" w:rsidRPr="008A49B6" w:rsidRDefault="00DF23B5" w:rsidP="00DF23B5">
      <w:pPr>
        <w:spacing w:after="120" w:line="23" w:lineRule="atLeast"/>
        <w:rPr>
          <w:noProof/>
        </w:rPr>
      </w:pPr>
      <w:r>
        <w:rPr>
          <w:noProof/>
        </w:rPr>
        <w:t>La Commission s’engage à: </w:t>
      </w:r>
    </w:p>
    <w:p w14:paraId="17FE8B55" w14:textId="06E89E0D" w:rsidR="00DF23B5" w:rsidRPr="008A49B6" w:rsidRDefault="00DF23B5" w:rsidP="00DF23B5">
      <w:pPr>
        <w:numPr>
          <w:ilvl w:val="0"/>
          <w:numId w:val="82"/>
        </w:numPr>
        <w:spacing w:after="120" w:line="23" w:lineRule="atLeast"/>
        <w:rPr>
          <w:noProof/>
        </w:rPr>
      </w:pPr>
      <w:r>
        <w:rPr>
          <w:noProof/>
        </w:rPr>
        <w:t>étendre les projets de renforcement des capacités et les échanges de bonnes pratiques en matière de sécurité routière entre les autorités à tous les niveaux de gouvernance;</w:t>
      </w:r>
    </w:p>
    <w:p w14:paraId="68BD7C6C" w14:textId="64452E4B" w:rsidR="00AC1E3E" w:rsidRPr="008A49B6" w:rsidRDefault="009B1792" w:rsidP="00DF23B5">
      <w:pPr>
        <w:numPr>
          <w:ilvl w:val="0"/>
          <w:numId w:val="82"/>
        </w:numPr>
        <w:spacing w:after="120" w:line="23" w:lineRule="atLeast"/>
        <w:rPr>
          <w:noProof/>
        </w:rPr>
      </w:pPr>
      <w:r>
        <w:rPr>
          <w:noProof/>
        </w:rPr>
        <w:t>fournir une rétroaction plus structurée aux États membres sur les préoccupations communes qu’ils ont soulevées au sein du groupe de haut niveau sur la sécurité routière;</w:t>
      </w:r>
    </w:p>
    <w:p w14:paraId="076D6346" w14:textId="28B4D1CF" w:rsidR="0013585B" w:rsidRPr="008A49B6" w:rsidRDefault="002F515B" w:rsidP="00DF23B5">
      <w:pPr>
        <w:numPr>
          <w:ilvl w:val="0"/>
          <w:numId w:val="82"/>
        </w:numPr>
        <w:spacing w:after="120" w:line="23" w:lineRule="atLeast"/>
        <w:rPr>
          <w:noProof/>
        </w:rPr>
      </w:pPr>
      <w:r>
        <w:rPr>
          <w:noProof/>
        </w:rPr>
        <w:t>réfléchir à la nécessité de modifier les structures de gouvernance de l’Union en ce qui concerne l’introduction en toute sécurité de véhicules connectés et automatisés.</w:t>
      </w:r>
    </w:p>
    <w:p w14:paraId="628F754B" w14:textId="64AF5D62" w:rsidR="00344F92" w:rsidRPr="008A49B6" w:rsidRDefault="00344F92" w:rsidP="00344F92">
      <w:pPr>
        <w:spacing w:after="120" w:line="23" w:lineRule="atLeast"/>
        <w:ind w:left="360"/>
        <w:rPr>
          <w:noProof/>
        </w:rPr>
      </w:pPr>
    </w:p>
    <w:p w14:paraId="1B33F5BA" w14:textId="3BE1B3FD" w:rsidR="00DF23B5" w:rsidRPr="008A49B6" w:rsidRDefault="00DF23B5" w:rsidP="00D32297">
      <w:pPr>
        <w:spacing w:after="120" w:line="23" w:lineRule="atLeast"/>
        <w:rPr>
          <w:noProof/>
        </w:rPr>
      </w:pPr>
      <w:bookmarkStart w:id="312" w:name="_Hlk214562753"/>
      <w:r>
        <w:rPr>
          <w:noProof/>
        </w:rPr>
        <w:t>La Commission invite les États membres à:</w:t>
      </w:r>
    </w:p>
    <w:p w14:paraId="33669CBD" w14:textId="34EC5BD3" w:rsidR="00DF23B5" w:rsidRPr="008A49B6" w:rsidRDefault="00CD31E5" w:rsidP="00DF23B5">
      <w:pPr>
        <w:numPr>
          <w:ilvl w:val="0"/>
          <w:numId w:val="83"/>
        </w:numPr>
        <w:spacing w:after="120" w:line="23" w:lineRule="atLeast"/>
        <w:rPr>
          <w:noProof/>
        </w:rPr>
      </w:pPr>
      <w:r>
        <w:rPr>
          <w:noProof/>
        </w:rPr>
        <w:t>veiller à mettre en place des structures et des entités de gouvernance et de coordination efficaces en matière de sécurité routière;</w:t>
      </w:r>
    </w:p>
    <w:p w14:paraId="0297D309" w14:textId="0FCF4D4C" w:rsidR="00DF23B5" w:rsidRPr="008A49B6" w:rsidRDefault="002F3FD5" w:rsidP="00DF23B5">
      <w:pPr>
        <w:numPr>
          <w:ilvl w:val="0"/>
          <w:numId w:val="84"/>
        </w:numPr>
        <w:spacing w:after="120" w:line="23" w:lineRule="atLeast"/>
        <w:rPr>
          <w:noProof/>
        </w:rPr>
      </w:pPr>
      <w:r>
        <w:rPr>
          <w:noProof/>
        </w:rPr>
        <w:t xml:space="preserve">allouer un financement adéquat aux programmes de sécurité; </w:t>
      </w:r>
    </w:p>
    <w:p w14:paraId="1587A19E" w14:textId="1ED523A5" w:rsidR="00DF23B5" w:rsidRPr="008A49B6" w:rsidRDefault="00B227B1" w:rsidP="00DF23B5">
      <w:pPr>
        <w:numPr>
          <w:ilvl w:val="0"/>
          <w:numId w:val="85"/>
        </w:numPr>
        <w:spacing w:after="120" w:line="23" w:lineRule="atLeast"/>
        <w:rPr>
          <w:noProof/>
        </w:rPr>
      </w:pPr>
      <w:r>
        <w:rPr>
          <w:noProof/>
        </w:rPr>
        <w:t>s’engager à assurer un suivi régulier des progrès accomplis et à en rendre compte. </w:t>
      </w:r>
    </w:p>
    <w:p w14:paraId="0F4FD75C" w14:textId="71C52BE8" w:rsidR="00DF23B5" w:rsidRPr="008A49B6" w:rsidRDefault="00DF23B5" w:rsidP="00DF23B5">
      <w:pPr>
        <w:spacing w:after="120" w:line="23" w:lineRule="atLeast"/>
        <w:rPr>
          <w:noProof/>
        </w:rPr>
      </w:pPr>
      <w:r>
        <w:rPr>
          <w:noProof/>
        </w:rPr>
        <w:t>La Commission invite les collectivités locales et régionales à:</w:t>
      </w:r>
    </w:p>
    <w:p w14:paraId="0505AE4E" w14:textId="31E2031D" w:rsidR="00DF23B5" w:rsidRPr="008A49B6" w:rsidRDefault="003A7465" w:rsidP="00DF23B5">
      <w:pPr>
        <w:numPr>
          <w:ilvl w:val="0"/>
          <w:numId w:val="86"/>
        </w:numPr>
        <w:spacing w:after="120" w:line="23" w:lineRule="atLeast"/>
        <w:rPr>
          <w:noProof/>
        </w:rPr>
      </w:pPr>
      <w:r>
        <w:rPr>
          <w:noProof/>
        </w:rPr>
        <w:t xml:space="preserve">adopter des approches globales en matière de sécurité routière qui intègrent la sécurité dans l’aménagement du territoire et la planification des transports; </w:t>
      </w:r>
    </w:p>
    <w:p w14:paraId="45FC9D8F" w14:textId="40C5414F" w:rsidR="00DF23B5" w:rsidRPr="008A49B6" w:rsidRDefault="007D31AA" w:rsidP="00DF23B5">
      <w:pPr>
        <w:numPr>
          <w:ilvl w:val="0"/>
          <w:numId w:val="87"/>
        </w:numPr>
        <w:spacing w:after="120" w:line="23" w:lineRule="atLeast"/>
        <w:rPr>
          <w:noProof/>
        </w:rPr>
      </w:pPr>
      <w:r>
        <w:rPr>
          <w:noProof/>
        </w:rPr>
        <w:t>mettre en œuvre des stratégies de gestion de la vitesse;</w:t>
      </w:r>
    </w:p>
    <w:p w14:paraId="07354BC6" w14:textId="14D4DE50" w:rsidR="00DF23B5" w:rsidRPr="008A49B6" w:rsidRDefault="007D31AA" w:rsidP="00DF23B5">
      <w:pPr>
        <w:numPr>
          <w:ilvl w:val="0"/>
          <w:numId w:val="88"/>
        </w:numPr>
        <w:spacing w:after="120" w:line="23" w:lineRule="atLeast"/>
        <w:rPr>
          <w:noProof/>
        </w:rPr>
      </w:pPr>
      <w:r>
        <w:rPr>
          <w:noProof/>
        </w:rPr>
        <w:t>fournir des infrastructures adéquates aux usagers vulnérables de la route;</w:t>
      </w:r>
    </w:p>
    <w:p w14:paraId="22A88FB9" w14:textId="45615BEF" w:rsidR="00DF23B5" w:rsidRPr="008A49B6" w:rsidRDefault="007D31AA" w:rsidP="00DF23B5">
      <w:pPr>
        <w:numPr>
          <w:ilvl w:val="0"/>
          <w:numId w:val="89"/>
        </w:numPr>
        <w:spacing w:after="120" w:line="23" w:lineRule="atLeast"/>
        <w:rPr>
          <w:noProof/>
        </w:rPr>
      </w:pPr>
      <w:r>
        <w:rPr>
          <w:noProof/>
        </w:rPr>
        <w:t>développer des capacités de réaction en cas d’urgence. </w:t>
      </w:r>
    </w:p>
    <w:p w14:paraId="58A0F26F" w14:textId="77777777" w:rsidR="00671023" w:rsidRPr="008A49B6" w:rsidRDefault="00671023" w:rsidP="0013585B">
      <w:pPr>
        <w:spacing w:after="120" w:line="23" w:lineRule="atLeast"/>
        <w:rPr>
          <w:noProof/>
        </w:rPr>
      </w:pPr>
      <w:bookmarkStart w:id="313" w:name="_Toc200986955"/>
      <w:bookmarkStart w:id="314" w:name="_Toc203583267"/>
      <w:bookmarkStart w:id="315" w:name="_Toc203583323"/>
      <w:bookmarkStart w:id="316" w:name="_Toc203583270"/>
      <w:bookmarkStart w:id="317" w:name="_Toc203583326"/>
      <w:bookmarkStart w:id="318" w:name="_Toc200986959"/>
      <w:bookmarkStart w:id="319" w:name="_Toc203583271"/>
      <w:bookmarkStart w:id="320" w:name="_Toc203583327"/>
      <w:bookmarkStart w:id="321" w:name="_Toc204955552"/>
      <w:bookmarkStart w:id="322" w:name="_Toc204955553"/>
      <w:bookmarkStart w:id="323" w:name="_Toc204955554"/>
      <w:bookmarkStart w:id="324" w:name="_Toc204955555"/>
      <w:bookmarkStart w:id="325" w:name="_Toc200986961"/>
      <w:bookmarkStart w:id="326" w:name="_Toc203583274"/>
      <w:bookmarkStart w:id="327" w:name="_Toc203583330"/>
      <w:bookmarkStart w:id="328" w:name="_Toc204955556"/>
      <w:bookmarkStart w:id="329" w:name="_Toc204955557"/>
      <w:bookmarkStart w:id="330" w:name="_Toc204955558"/>
      <w:bookmarkStart w:id="331" w:name="_Toc204955559"/>
      <w:bookmarkStart w:id="332" w:name="_Toc204955560"/>
      <w:bookmarkStart w:id="333" w:name="_Toc204955561"/>
      <w:bookmarkStart w:id="334" w:name="_Toc204955562"/>
      <w:bookmarkStart w:id="335" w:name="_Toc204955563"/>
      <w:bookmarkStart w:id="336" w:name="_Toc204955564"/>
      <w:bookmarkStart w:id="337" w:name="_Toc204955565"/>
      <w:bookmarkStart w:id="338" w:name="_Toc204955566"/>
      <w:bookmarkStart w:id="339" w:name="_Toc204955567"/>
      <w:bookmarkStart w:id="340" w:name="_Toc204955568"/>
      <w:bookmarkStart w:id="341" w:name="_Toc204955569"/>
      <w:bookmarkStart w:id="342" w:name="_Toc204955570"/>
      <w:bookmarkStart w:id="343" w:name="_Toc204955571"/>
      <w:bookmarkStart w:id="344" w:name="_Toc204955572"/>
      <w:bookmarkStart w:id="345" w:name="_Toc200986963"/>
      <w:bookmarkStart w:id="346" w:name="_Toc203583276"/>
      <w:bookmarkStart w:id="347" w:name="_Toc203583332"/>
      <w:bookmarkStart w:id="348" w:name="_Toc200986964"/>
      <w:bookmarkStart w:id="349" w:name="_Toc203583277"/>
      <w:bookmarkStart w:id="350" w:name="_Toc203583333"/>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31817A2C" w14:textId="77777777" w:rsidR="00671023" w:rsidRPr="008A49B6" w:rsidRDefault="00671023" w:rsidP="002B156C">
      <w:pPr>
        <w:pStyle w:val="Heading1"/>
        <w:keepLines w:val="0"/>
        <w:numPr>
          <w:ilvl w:val="0"/>
          <w:numId w:val="41"/>
        </w:numPr>
        <w:spacing w:before="240" w:after="120" w:line="23" w:lineRule="atLeast"/>
        <w:rPr>
          <w:rFonts w:ascii="Times New Roman" w:eastAsia="Times New Roman" w:hAnsi="Times New Roman" w:cs="Times New Roman"/>
          <w:b/>
          <w:smallCaps/>
          <w:noProof/>
          <w:color w:val="000000" w:themeColor="text1"/>
          <w:sz w:val="24"/>
          <w:szCs w:val="20"/>
          <w14:ligatures w14:val="none"/>
        </w:rPr>
      </w:pPr>
      <w:bookmarkStart w:id="351" w:name="_Toc206610447"/>
      <w:r>
        <w:rPr>
          <w:rFonts w:ascii="Times New Roman" w:hAnsi="Times New Roman"/>
          <w:b/>
          <w:smallCaps/>
          <w:noProof/>
          <w:color w:val="000000" w:themeColor="text1"/>
          <w:sz w:val="24"/>
        </w:rPr>
        <w:t>Conclusion</w:t>
      </w:r>
      <w:bookmarkEnd w:id="351"/>
    </w:p>
    <w:p w14:paraId="325B948B" w14:textId="36386E8B" w:rsidR="00B652E3" w:rsidRPr="008A49B6" w:rsidRDefault="00671023" w:rsidP="00671023">
      <w:pPr>
        <w:spacing w:after="120" w:line="23" w:lineRule="atLeast"/>
        <w:rPr>
          <w:noProof/>
        </w:rPr>
      </w:pPr>
      <w:r>
        <w:rPr>
          <w:noProof/>
        </w:rPr>
        <w:t>Cet examen de la mise en œuvre du cadre politique de l’UE en matière de sécurité routière pour la décennie d’action 2021-2030 révèle une réalité préoccupante: bien que des progrès aient été accomplis, le rythme des améliorations est insuffisant dans de nombreux États membres pour atteindre l’objectif de l’Union pour 2030. Toutefois, l’examen révèle certains aspects positifs: il met en lumière certaines mesures efficaces qui pourraient être reproduites ou renforcées et rend compte de l’introduction prometteuse de nouvelles technologies et méthodes susceptibles d’améliorer la sécurité routière. En outre, certaines actions et investissements ont besoin de temps pour produire leurs effets et ne sont pas immédiatement pris en compte dans les données relatives à la sécurité routière. Il est important que la Commission et les États membres continuent à prendre des mesures pour obtenir des effets positifs à court et à long terme.</w:t>
      </w:r>
    </w:p>
    <w:p w14:paraId="2A1ABBBC" w14:textId="7AB39DD8" w:rsidR="00537049" w:rsidRPr="008A49B6" w:rsidRDefault="00537049" w:rsidP="00537049">
      <w:pPr>
        <w:rPr>
          <w:noProof/>
        </w:rPr>
      </w:pPr>
      <w:r>
        <w:rPr>
          <w:noProof/>
        </w:rPr>
        <w:t xml:space="preserve">Les résultats résumés dans le présent rapport illustrent la mesure dans laquelle des acteurs à tous les niveaux – des individus aux structures de gouvernance au niveau de l’Union – peuvent contribuer à l’approche pour un «système sûr», dans leurs domaines de compétence respectifs. Cependant, le ralentissement des progrès vers la «Vision zéro», dans un contexte d’augmentation du trafic et de nouvelles tendances sociétales et technologiques, remet en question l’adéquation de la «boîte à outils» actuelle en matière de sécurité routière face aux enjeux futurs. </w:t>
      </w:r>
    </w:p>
    <w:p w14:paraId="4BA136A8" w14:textId="79FE2122" w:rsidR="00671023" w:rsidRPr="008A49B6" w:rsidRDefault="00671023" w:rsidP="00671023">
      <w:pPr>
        <w:spacing w:after="120" w:line="23" w:lineRule="atLeast"/>
        <w:rPr>
          <w:noProof/>
        </w:rPr>
      </w:pPr>
      <w:r>
        <w:rPr>
          <w:noProof/>
        </w:rPr>
        <w:t xml:space="preserve">L’analyse montre que les défis en matière de sécurité routière deviennent plus complexes, sous l’influence des changements démographiques, des transformations technologiques, du changement climatique et de l’évolution des modes de mobilité, qui n’avaient pas été pleinement anticipés lors de l’élaboration du cadre politique de l’UE en matière de sécurité routière pour la décennie d’action 2021-2030. </w:t>
      </w:r>
    </w:p>
    <w:p w14:paraId="062CAA6B" w14:textId="27F74B2D" w:rsidR="00351FD5" w:rsidRPr="008A49B6" w:rsidRDefault="00671023" w:rsidP="00671023">
      <w:pPr>
        <w:spacing w:after="120" w:line="23" w:lineRule="atLeast"/>
        <w:rPr>
          <w:noProof/>
        </w:rPr>
      </w:pPr>
      <w:r>
        <w:rPr>
          <w:noProof/>
        </w:rPr>
        <w:t xml:space="preserve">Le rapport révèle également d’importantes possibilités de progrès. Les avancées technologiques en matière de sécurité des véhicules, la prise de conscience croissante des avantages économiques des investissements dans la sécurité et l’attention politique accrue portée à la mobilité durable créent des conditions favorables à une action accélérée. </w:t>
      </w:r>
    </w:p>
    <w:p w14:paraId="02BAB090" w14:textId="378B32FA" w:rsidR="00671023" w:rsidRPr="008A49B6" w:rsidRDefault="00671023" w:rsidP="00671023">
      <w:pPr>
        <w:spacing w:after="120" w:line="23" w:lineRule="atLeast"/>
        <w:rPr>
          <w:noProof/>
        </w:rPr>
      </w:pPr>
      <w:r>
        <w:rPr>
          <w:noProof/>
        </w:rPr>
        <w:t>La clé est de tirer parti de ces possibilités grâce à des efforts coordonnés, soutenus et assortis de ressources suffisantes dans l’ensemble de l’Union et au sein des États membres, à tous les niveaux de gouvernance et de la société. Les investissements dans la sécurité routière génèrent des bénéfices substantiels, non seulement sous la forme de coûts évités, mais aussi en ce qui concerne l’amélioration de la qualité de vie et de la productivité économique. L’argument en faveur de l’action est convaincant tant du point de vue social qu’économique.</w:t>
      </w:r>
    </w:p>
    <w:p w14:paraId="4F143C82" w14:textId="3A2BF2EC" w:rsidR="00671023" w:rsidRPr="008A49B6" w:rsidRDefault="007C065C" w:rsidP="00671023">
      <w:pPr>
        <w:spacing w:after="120" w:line="23" w:lineRule="atLeast"/>
        <w:rPr>
          <w:noProof/>
        </w:rPr>
      </w:pPr>
      <w:r>
        <w:rPr>
          <w:noProof/>
        </w:rPr>
        <w:t>Le succès dépendra d’un engagement politique renouvelé, d’un financement adéquat, d’une coopération accrue entre les parties prenantes et d’une volonté d’adopter des approches innovantes face aux défis persistants. La Commission est prête à soutenir les États membres et les parties prenantes dans cet effort essentiel, en gardant à l’esprit que la réalisation de la «Vision zéro» nécessitera une action collective et un partage de la responsabilité.</w:t>
      </w:r>
    </w:p>
    <w:p w14:paraId="566229E9" w14:textId="57BB66D9" w:rsidR="00671023" w:rsidRPr="008A49B6" w:rsidRDefault="00671023" w:rsidP="00671023">
      <w:pPr>
        <w:spacing w:after="120" w:line="23" w:lineRule="atLeast"/>
        <w:rPr>
          <w:noProof/>
        </w:rPr>
      </w:pPr>
      <w:r>
        <w:rPr>
          <w:noProof/>
        </w:rPr>
        <w:t xml:space="preserve">Les vies qui peuvent être sauvées, les blessures qui peuvent être évitées et les avantages économiques qui peuvent être obtenus justifient les efforts soutenus qui seront nécessaires pour atteindre les objectifs de l’Union en matière de sécurité routière. </w:t>
      </w:r>
    </w:p>
    <w:p w14:paraId="13F8C6AB" w14:textId="4B656494" w:rsidR="007918E9" w:rsidRPr="008A49B6" w:rsidRDefault="00671023" w:rsidP="007918E9">
      <w:pPr>
        <w:pStyle w:val="Text2"/>
        <w:ind w:left="0"/>
        <w:rPr>
          <w:noProof/>
        </w:rPr>
      </w:pPr>
      <w:r>
        <w:rPr>
          <w:noProof/>
        </w:rPr>
        <w:t xml:space="preserve">La Commission invite les États membres et toutes les parties prenantes à relever d’urgence le défi d’un avenir où l’Union se rapprochera autant que possible de zéro décès dans le transport routier et où la mobilité sera durable et sûre. Sans un engagement, des investissements et une action renouvelés dans tous les États membres et au niveau de l’Union, cette volonté de sauver des vies sur nos routes restera une simple aspiration.  </w:t>
      </w:r>
    </w:p>
    <w:p w14:paraId="3746135B" w14:textId="49EA4245" w:rsidR="00507872" w:rsidRPr="00713E8C" w:rsidRDefault="00507872" w:rsidP="001E2B4E">
      <w:pPr>
        <w:spacing w:after="120" w:line="23" w:lineRule="atLeast"/>
        <w:rPr>
          <w:noProof/>
        </w:rPr>
      </w:pPr>
    </w:p>
    <w:sectPr w:rsidR="00507872" w:rsidRPr="00713E8C" w:rsidSect="00671023">
      <w:headerReference w:type="even" r:id="rId28"/>
      <w:headerReference w:type="default" r:id="rId29"/>
      <w:footerReference w:type="even" r:id="rId30"/>
      <w:footerReference w:type="default" r:id="rId31"/>
      <w:headerReference w:type="first" r:id="rId32"/>
      <w:footerReference w:type="first" r:id="rId33"/>
      <w:pgSz w:w="11906" w:h="16838"/>
      <w:pgMar w:top="1020" w:right="1701" w:bottom="1020" w:left="1587" w:header="601" w:footer="1077"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DB03D" w14:textId="77777777" w:rsidR="00AC5EFF" w:rsidRPr="008A49B6" w:rsidRDefault="00AC5EFF" w:rsidP="00671023">
      <w:pPr>
        <w:spacing w:after="0"/>
      </w:pPr>
      <w:r>
        <w:separator/>
      </w:r>
    </w:p>
  </w:endnote>
  <w:endnote w:type="continuationSeparator" w:id="0">
    <w:p w14:paraId="7351D297" w14:textId="77777777" w:rsidR="00AC5EFF" w:rsidRPr="008A49B6" w:rsidRDefault="00AC5EFF" w:rsidP="00671023">
      <w:pPr>
        <w:spacing w:after="0"/>
      </w:pPr>
      <w:r>
        <w:continuationSeparator/>
      </w:r>
    </w:p>
  </w:endnote>
  <w:endnote w:type="continuationNotice" w:id="1">
    <w:p w14:paraId="5F2EF2A6" w14:textId="77777777" w:rsidR="00AC5EFF" w:rsidRPr="008A49B6" w:rsidRDefault="00AC5EF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75783" w14:textId="638BC13E" w:rsidR="004B0DD5" w:rsidRPr="004B0DD5" w:rsidRDefault="004B0DD5" w:rsidP="004B0DD5">
    <w:pPr>
      <w:pStyle w:val="FooterCoverPage"/>
      <w:rPr>
        <w:rFonts w:ascii="Arial" w:hAnsi="Arial" w:cs="Arial"/>
        <w:b/>
        <w:sz w:val="48"/>
      </w:rPr>
    </w:pPr>
    <w:r w:rsidRPr="004B0DD5">
      <w:rPr>
        <w:rFonts w:ascii="Arial" w:hAnsi="Arial" w:cs="Arial"/>
        <w:b/>
        <w:sz w:val="48"/>
      </w:rPr>
      <w:t>FR</w:t>
    </w:r>
    <w:r w:rsidRPr="004B0DD5">
      <w:rPr>
        <w:rFonts w:ascii="Arial" w:hAnsi="Arial" w:cs="Arial"/>
        <w:b/>
        <w:sz w:val="48"/>
      </w:rPr>
      <w:tab/>
    </w:r>
    <w:r w:rsidRPr="004B0DD5">
      <w:rPr>
        <w:rFonts w:ascii="Arial" w:hAnsi="Arial" w:cs="Arial"/>
        <w:b/>
        <w:sz w:val="48"/>
      </w:rPr>
      <w:tab/>
    </w:r>
    <w:r w:rsidRPr="004B0DD5">
      <w:tab/>
    </w:r>
    <w:r w:rsidRPr="004B0DD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FE603" w14:textId="2FBAF855" w:rsidR="004B0DD5" w:rsidRPr="004B0DD5" w:rsidRDefault="004B0DD5" w:rsidP="004B0DD5">
    <w:pPr>
      <w:pStyle w:val="FooterCoverPage"/>
      <w:rPr>
        <w:rFonts w:ascii="Arial" w:hAnsi="Arial" w:cs="Arial"/>
        <w:b/>
        <w:sz w:val="48"/>
      </w:rPr>
    </w:pPr>
    <w:r w:rsidRPr="004B0DD5">
      <w:rPr>
        <w:rFonts w:ascii="Arial" w:hAnsi="Arial" w:cs="Arial"/>
        <w:b/>
        <w:sz w:val="48"/>
      </w:rPr>
      <w:t>FR</w:t>
    </w:r>
    <w:r w:rsidRPr="004B0DD5">
      <w:rPr>
        <w:rFonts w:ascii="Arial" w:hAnsi="Arial" w:cs="Arial"/>
        <w:b/>
        <w:sz w:val="48"/>
      </w:rPr>
      <w:tab/>
    </w:r>
    <w:r w:rsidRPr="004B0DD5">
      <w:rPr>
        <w:rFonts w:ascii="Arial" w:hAnsi="Arial" w:cs="Arial"/>
        <w:b/>
        <w:sz w:val="48"/>
      </w:rPr>
      <w:tab/>
    </w:r>
    <w:r w:rsidRPr="004B0DD5">
      <w:tab/>
    </w:r>
    <w:r w:rsidRPr="004B0DD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22C5B" w14:textId="77777777" w:rsidR="004B0DD5" w:rsidRPr="004B0DD5" w:rsidRDefault="004B0DD5" w:rsidP="004B0DD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D3C3F" w14:textId="77777777" w:rsidR="00AD2038" w:rsidRPr="008A49B6" w:rsidRDefault="00AD2038">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24AB8" w14:textId="326C72FE" w:rsidR="00AD2038" w:rsidRPr="008A49B6" w:rsidRDefault="00AD2038">
    <w:pPr>
      <w:pStyle w:val="FooterLine"/>
      <w:jc w:val="center"/>
      <w:rPr>
        <w:sz w:val="22"/>
        <w:szCs w:val="22"/>
      </w:rPr>
    </w:pPr>
    <w:r>
      <w:rPr>
        <w:sz w:val="22"/>
      </w:rPr>
      <w:fldChar w:fldCharType="begin"/>
    </w:r>
    <w:r>
      <w:rPr>
        <w:sz w:val="22"/>
      </w:rPr>
      <w:instrText>PAGE   \* MERGEFORMAT</w:instrText>
    </w:r>
    <w:r>
      <w:rPr>
        <w:sz w:val="22"/>
      </w:rPr>
      <w:fldChar w:fldCharType="separate"/>
    </w:r>
    <w:r w:rsidR="004B0DD5">
      <w:rPr>
        <w:noProof/>
        <w:sz w:val="22"/>
      </w:rPr>
      <w:t>11</w:t>
    </w:r>
    <w:r>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588531"/>
      <w:docPartObj>
        <w:docPartGallery w:val="Page Numbers (Bottom of Page)"/>
        <w:docPartUnique/>
      </w:docPartObj>
    </w:sdtPr>
    <w:sdtEndPr>
      <w:rPr>
        <w:sz w:val="22"/>
        <w:szCs w:val="22"/>
      </w:rPr>
    </w:sdtEndPr>
    <w:sdtContent>
      <w:p w14:paraId="33D1BCED" w14:textId="5033D0EA" w:rsidR="00AD2038" w:rsidRPr="00B72122" w:rsidRDefault="00AD2038">
        <w:pPr>
          <w:pStyle w:val="Footer"/>
          <w:jc w:val="center"/>
          <w:rPr>
            <w:sz w:val="22"/>
            <w:szCs w:val="22"/>
          </w:rPr>
        </w:pPr>
        <w:r>
          <w:rPr>
            <w:sz w:val="22"/>
          </w:rPr>
          <w:fldChar w:fldCharType="begin"/>
        </w:r>
        <w:r>
          <w:rPr>
            <w:sz w:val="22"/>
          </w:rPr>
          <w:instrText xml:space="preserve"> PAGE   \* MERGEFORMAT </w:instrText>
        </w:r>
        <w:r>
          <w:rPr>
            <w:sz w:val="22"/>
          </w:rPr>
          <w:fldChar w:fldCharType="separate"/>
        </w:r>
        <w:r w:rsidR="004B0DD5">
          <w:rPr>
            <w:noProof/>
            <w:sz w:val="22"/>
          </w:rPr>
          <w:t>2</w:t>
        </w:r>
        <w:r>
          <w:rPr>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6A2DB" w14:textId="77777777" w:rsidR="00AC5EFF" w:rsidRPr="008A49B6" w:rsidRDefault="00AC5EFF" w:rsidP="00671023">
      <w:pPr>
        <w:spacing w:after="0"/>
      </w:pPr>
      <w:r>
        <w:separator/>
      </w:r>
    </w:p>
  </w:footnote>
  <w:footnote w:type="continuationSeparator" w:id="0">
    <w:p w14:paraId="7D0CA5A9" w14:textId="77777777" w:rsidR="00AC5EFF" w:rsidRPr="008A49B6" w:rsidRDefault="00AC5EFF" w:rsidP="00671023">
      <w:pPr>
        <w:spacing w:after="0"/>
      </w:pPr>
      <w:r>
        <w:continuationSeparator/>
      </w:r>
    </w:p>
  </w:footnote>
  <w:footnote w:type="continuationNotice" w:id="1">
    <w:p w14:paraId="48C72BD4" w14:textId="77777777" w:rsidR="00AC5EFF" w:rsidRPr="008A49B6" w:rsidRDefault="00AC5EFF">
      <w:pPr>
        <w:spacing w:after="0"/>
      </w:pPr>
    </w:p>
  </w:footnote>
  <w:footnote w:id="2">
    <w:p w14:paraId="107CB2CD" w14:textId="66EC712E" w:rsidR="00F90905" w:rsidRPr="008A49B6" w:rsidRDefault="00F90905">
      <w:pPr>
        <w:pStyle w:val="FootnoteText"/>
      </w:pPr>
      <w:r>
        <w:rPr>
          <w:rStyle w:val="FootnoteReference"/>
        </w:rPr>
        <w:footnoteRef/>
      </w:r>
      <w:r>
        <w:t xml:space="preserve"> </w:t>
      </w:r>
      <w:r>
        <w:tab/>
        <w:t>EC Handbook on the external costs of transport 2019 (Manuel de la Commission européenne sur les coûts externes des transports 2019) (nouvelle version à paraître).</w:t>
      </w:r>
    </w:p>
  </w:footnote>
  <w:footnote w:id="3">
    <w:p w14:paraId="79EC2274" w14:textId="1E420CA9" w:rsidR="006052B7" w:rsidRPr="008A49B6" w:rsidRDefault="006052B7" w:rsidP="006052B7">
      <w:pPr>
        <w:pStyle w:val="FootnoteText"/>
      </w:pPr>
      <w:r>
        <w:rPr>
          <w:rStyle w:val="FootnoteReference"/>
        </w:rPr>
        <w:footnoteRef/>
      </w:r>
      <w:r>
        <w:t xml:space="preserve"> </w:t>
      </w:r>
      <w:r>
        <w:tab/>
        <w:t xml:space="preserve">Communication de la Commission au Parlement européen, au Conseil européen, au Conseil, au Comité économique et social européen et au Comité des régions, Plan d’action industriel en faveur du secteur automobile, COM (2025/) 95 final du 5 mars 2025, </w:t>
      </w:r>
      <w:hyperlink r:id="rId1" w:history="1">
        <w:r>
          <w:rPr>
            <w:rStyle w:val="Hyperlink"/>
          </w:rPr>
          <w:t>https://eur-lex.europa.eu/legal-content/FR/TXT/?uri=celex:52025DC0095</w:t>
        </w:r>
      </w:hyperlink>
      <w:r>
        <w:t>.</w:t>
      </w:r>
    </w:p>
  </w:footnote>
  <w:footnote w:id="4">
    <w:p w14:paraId="6E77E966" w14:textId="17BEDDFC" w:rsidR="001E6D4A" w:rsidRPr="008A49B6" w:rsidRDefault="001E6D4A" w:rsidP="0032343E">
      <w:pPr>
        <w:pStyle w:val="FootnoteText"/>
      </w:pPr>
      <w:r>
        <w:rPr>
          <w:rStyle w:val="FootnoteReference"/>
        </w:rPr>
        <w:footnoteRef/>
      </w:r>
      <w:r>
        <w:t xml:space="preserve"> </w:t>
      </w:r>
      <w:r>
        <w:tab/>
        <w:t xml:space="preserve">COM (2018) 293: Communication de la Commission au Parlement européen, au Conseil, au Comité économique et social européen et au Comité des régions – L’Europe en mouvement – Une mobilité durable pour l’Europe: sûre, connectée et propre, annexe I, COM (2018) 293 du 17 mai 2018, </w:t>
      </w:r>
      <w:hyperlink r:id="rId2" w:history="1">
        <w:r>
          <w:rPr>
            <w:rStyle w:val="Hyperlink"/>
          </w:rPr>
          <w:t>https://eur-lex.europa.eu/legal-content/FR/TXT/?uri=celex:52018DC0293</w:t>
        </w:r>
      </w:hyperlink>
      <w:r>
        <w:t>.</w:t>
      </w:r>
    </w:p>
  </w:footnote>
  <w:footnote w:id="5">
    <w:p w14:paraId="62E61961" w14:textId="1056D215" w:rsidR="002F56F5" w:rsidRPr="008A49B6" w:rsidRDefault="002F56F5">
      <w:pPr>
        <w:pStyle w:val="FootnoteText"/>
      </w:pPr>
      <w:r>
        <w:rPr>
          <w:rStyle w:val="FootnoteReference"/>
        </w:rPr>
        <w:footnoteRef/>
      </w:r>
      <w:r>
        <w:t xml:space="preserve"> </w:t>
      </w:r>
      <w:r>
        <w:tab/>
        <w:t>Il a depuis été décidé que l’année de référence, à partir de laquelle les progrès seront mesurés, sera 2019.</w:t>
      </w:r>
    </w:p>
  </w:footnote>
  <w:footnote w:id="6">
    <w:p w14:paraId="2B47CD31" w14:textId="05EDDDD2" w:rsidR="00713E8C" w:rsidRPr="008A49B6" w:rsidRDefault="00713E8C">
      <w:pPr>
        <w:pStyle w:val="FootnoteText"/>
      </w:pPr>
      <w:r>
        <w:rPr>
          <w:rStyle w:val="FootnoteReference"/>
        </w:rPr>
        <w:footnoteRef/>
      </w:r>
      <w:r>
        <w:t xml:space="preserve"> </w:t>
      </w:r>
      <w:r>
        <w:tab/>
        <w:t>Bien que représentant un progrès, la trajectoire globale est nettement inférieure à la réduction annuelle de 4,6 % requise pour atteindre l’objectif de réduction de moitié du nombre de tués sur les routes à l’horizon 2030.</w:t>
      </w:r>
    </w:p>
  </w:footnote>
  <w:footnote w:id="7">
    <w:p w14:paraId="03C80ABE" w14:textId="1745FE27" w:rsidR="00483FF5" w:rsidRPr="008A49B6" w:rsidRDefault="00713E8C" w:rsidP="00AE3BC4">
      <w:pPr>
        <w:pStyle w:val="FootnoteText"/>
      </w:pPr>
      <w:r>
        <w:rPr>
          <w:rStyle w:val="FootnoteReference"/>
        </w:rPr>
        <w:footnoteRef/>
      </w:r>
      <w:r>
        <w:t xml:space="preserve"> </w:t>
      </w:r>
      <w:r>
        <w:tab/>
      </w:r>
      <w:hyperlink r:id="rId3" w:history="1">
        <w:r>
          <w:rPr>
            <w:rStyle w:val="Hyperlink"/>
          </w:rPr>
          <w:t>https://baseline.vias.be/en/about-the-project</w:t>
        </w:r>
      </w:hyperlink>
      <w:r>
        <w:t>.</w:t>
      </w:r>
    </w:p>
  </w:footnote>
  <w:footnote w:id="8">
    <w:p w14:paraId="5C2D202A" w14:textId="1CAC6265" w:rsidR="00483FF5" w:rsidRPr="008A49B6" w:rsidRDefault="00713E8C" w:rsidP="00AE3BC4">
      <w:pPr>
        <w:pStyle w:val="FootnoteText"/>
      </w:pPr>
      <w:r>
        <w:rPr>
          <w:rStyle w:val="FootnoteReference"/>
        </w:rPr>
        <w:footnoteRef/>
      </w:r>
      <w:r>
        <w:t xml:space="preserve"> </w:t>
      </w:r>
      <w:r>
        <w:tab/>
      </w:r>
      <w:hyperlink r:id="rId4" w:history="1">
        <w:r>
          <w:rPr>
            <w:rStyle w:val="Hyperlink"/>
          </w:rPr>
          <w:t>https://trendlineproject.eu/</w:t>
        </w:r>
      </w:hyperlink>
      <w:r>
        <w:t>.</w:t>
      </w:r>
    </w:p>
  </w:footnote>
  <w:footnote w:id="9">
    <w:p w14:paraId="0CE0D3A2" w14:textId="54EDBBF8" w:rsidR="00483FF5" w:rsidRPr="008A49B6" w:rsidRDefault="00AF28CF" w:rsidP="00814302">
      <w:pPr>
        <w:pStyle w:val="FootnoteText"/>
      </w:pPr>
      <w:r>
        <w:rPr>
          <w:rStyle w:val="FootnoteReference"/>
        </w:rPr>
        <w:footnoteRef/>
      </w:r>
      <w:r>
        <w:t xml:space="preserve"> </w:t>
      </w:r>
      <w:r>
        <w:tab/>
      </w:r>
      <w:hyperlink r:id="rId5" w:history="1">
        <w:r>
          <w:rPr>
            <w:rStyle w:val="Hyperlink"/>
          </w:rPr>
          <w:t>https://road-safety.transport.ec.europa.eu/european-road-safety-observatory/data-and-analysis/thematic-reports_en?prefLang=fr</w:t>
        </w:r>
      </w:hyperlink>
      <w:r>
        <w:t>.</w:t>
      </w:r>
    </w:p>
  </w:footnote>
  <w:footnote w:id="10">
    <w:p w14:paraId="6F75C655" w14:textId="209F6713" w:rsidR="00483FF5" w:rsidRPr="008A49B6" w:rsidRDefault="00AB732B" w:rsidP="00483FF5">
      <w:pPr>
        <w:pStyle w:val="FootnoteText"/>
      </w:pPr>
      <w:r>
        <w:rPr>
          <w:rStyle w:val="FootnoteReference"/>
        </w:rPr>
        <w:footnoteRef/>
      </w:r>
      <w:r>
        <w:t xml:space="preserve"> </w:t>
      </w:r>
      <w:r>
        <w:tab/>
        <w:t xml:space="preserve">Base de données de l’UE contenant des données désagrégées sur les accidents de la route entraînant la mort ou des blessures: </w:t>
      </w:r>
      <w:hyperlink r:id="rId6" w:history="1">
        <w:r>
          <w:rPr>
            <w:rStyle w:val="Hyperlink"/>
          </w:rPr>
          <w:t>https://road-safety.transport.ec.europa.eu/european-road-safety-observatory/methodology-and-research/care-database_en?prefLang=fr</w:t>
        </w:r>
      </w:hyperlink>
      <w:r>
        <w:t>.</w:t>
      </w:r>
    </w:p>
  </w:footnote>
  <w:footnote w:id="11">
    <w:p w14:paraId="6AF1E46B" w14:textId="75D6658D" w:rsidR="00483FF5" w:rsidRPr="008A49B6" w:rsidRDefault="004E39E0">
      <w:pPr>
        <w:pStyle w:val="FootnoteText"/>
        <w:rPr>
          <w:sz w:val="18"/>
          <w:szCs w:val="18"/>
        </w:rPr>
      </w:pPr>
      <w:r>
        <w:rPr>
          <w:rStyle w:val="FootnoteReference"/>
        </w:rPr>
        <w:footnoteRef/>
      </w:r>
      <w:r>
        <w:t xml:space="preserve"> </w:t>
      </w:r>
      <w:bookmarkStart w:id="74" w:name="_Hlk214023519"/>
      <w:r>
        <w:tab/>
        <w:t xml:space="preserve">Study on the need for harmonised rules to support the rise of micro mobility and increased road safety for personal mobility devices (Étude sur la nécessité de règles harmonisées pour soutenir l’essor de la micromobilité et renforcer la sécurité routière des dispositifs de mobilité individuelle) – Rapport final (1.0), Office des publications de l’Union européenne, 2024, </w:t>
      </w:r>
      <w:bookmarkEnd w:id="74"/>
      <w:r>
        <w:fldChar w:fldCharType="begin"/>
      </w:r>
      <w:r>
        <w:instrText>HYPERLINK "https://op.europa.eu/fr/publication-detail/-/publication/4286a092-a55f-11ef-85f0-01aa75ed71a1"</w:instrText>
      </w:r>
      <w:r>
        <w:fldChar w:fldCharType="separate"/>
      </w:r>
      <w:r>
        <w:rPr>
          <w:rStyle w:val="Hyperlink"/>
        </w:rPr>
        <w:t>https://op.europa.eu/fr/publication-detail/-/publication/4286a092-a55f-11ef-85f0-01aa75ed71a1</w:t>
      </w:r>
      <w:r>
        <w:fldChar w:fldCharType="end"/>
      </w:r>
      <w:r>
        <w:t>.</w:t>
      </w:r>
    </w:p>
  </w:footnote>
  <w:footnote w:id="12">
    <w:p w14:paraId="64123698" w14:textId="7E07F005" w:rsidR="00B23E2C" w:rsidRPr="008A49B6" w:rsidRDefault="00B23E2C">
      <w:pPr>
        <w:pStyle w:val="FootnoteText"/>
      </w:pPr>
      <w:r>
        <w:rPr>
          <w:rStyle w:val="FootnoteReference"/>
        </w:rPr>
        <w:footnoteRef/>
      </w:r>
      <w:r>
        <w:t xml:space="preserve"> </w:t>
      </w:r>
      <w:r>
        <w:tab/>
        <w:t>Groupe d’experts sur la mobilité urbaine (E03863) institué par la décision C (2022) 5320 final de la Commission.</w:t>
      </w:r>
    </w:p>
  </w:footnote>
  <w:footnote w:id="13">
    <w:p w14:paraId="51CC0DBF" w14:textId="13A70560" w:rsidR="00826A20" w:rsidRPr="008A49B6" w:rsidRDefault="0082678E">
      <w:pPr>
        <w:pStyle w:val="FootnoteText"/>
      </w:pPr>
      <w:r>
        <w:rPr>
          <w:rStyle w:val="FootnoteReference"/>
        </w:rPr>
        <w:footnoteRef/>
      </w:r>
      <w:r>
        <w:t xml:space="preserve">  </w:t>
      </w:r>
      <w:r>
        <w:tab/>
      </w:r>
      <w:hyperlink r:id="rId7" w:history="1">
        <w:r>
          <w:rPr>
            <w:rStyle w:val="Hyperlink"/>
          </w:rPr>
          <w:t>https://transport.ec.europa.eu/transport-themes/urban-transport/expert-group-urban-mobility_en?prefLang=fr</w:t>
        </w:r>
      </w:hyperlink>
      <w:r>
        <w:t>.</w:t>
      </w:r>
    </w:p>
  </w:footnote>
  <w:footnote w:id="14">
    <w:p w14:paraId="51E17BEE" w14:textId="166AF756" w:rsidR="001C486D" w:rsidRPr="008A49B6" w:rsidRDefault="001C486D" w:rsidP="001C486D">
      <w:pPr>
        <w:pStyle w:val="FootnoteText"/>
      </w:pPr>
      <w:r>
        <w:rPr>
          <w:rStyle w:val="FootnoteReference"/>
        </w:rPr>
        <w:footnoteRef/>
      </w:r>
      <w:r>
        <w:t xml:space="preserve"> </w:t>
      </w:r>
      <w:r>
        <w:tab/>
        <w:t xml:space="preserve">Voir </w:t>
      </w:r>
      <w:hyperlink r:id="rId8" w:history="1">
        <w:r>
          <w:rPr>
            <w:rStyle w:val="Hyperlink"/>
          </w:rPr>
          <w:t>https://road-safety.transport.ec.europa.eu/european-road-safety-observatory/data-and-analysis/thematic-reports_en?prefLang=fr</w:t>
        </w:r>
      </w:hyperlink>
      <w:r>
        <w:t xml:space="preserve"> pour des rapports détaillés sur la conduite sous l’influence de l’alcool et de drogues, les équipements de protection tels que les ceintures de sécurité, la distraction et la vitesse. Voir également </w:t>
      </w:r>
      <w:hyperlink r:id="rId9" w:history="1">
        <w:r>
          <w:rPr>
            <w:rStyle w:val="Hyperlink"/>
          </w:rPr>
          <w:t>https://road-safety.transport.ec.europa.eu/eu-road-safety-policy/priorities/safe-road-use/alcohol_en?prefLang=fr</w:t>
        </w:r>
      </w:hyperlink>
      <w:r>
        <w:t xml:space="preserve"> pour une étude de 2022 sur la </w:t>
      </w:r>
      <w:r>
        <w:rPr>
          <w:rStyle w:val="Hyperlink"/>
        </w:rPr>
        <w:t>prévention de la conduite sous l’influence de l’alcool et de la drogue).</w:t>
      </w:r>
    </w:p>
  </w:footnote>
  <w:footnote w:id="15">
    <w:p w14:paraId="33AFAA76" w14:textId="3C94F145" w:rsidR="00826A20" w:rsidRPr="008A49B6" w:rsidRDefault="00C647C0" w:rsidP="00C647C0">
      <w:pPr>
        <w:pStyle w:val="FootnoteText"/>
      </w:pPr>
      <w:r>
        <w:rPr>
          <w:rStyle w:val="FootnoteReference"/>
        </w:rPr>
        <w:footnoteRef/>
      </w:r>
      <w:r>
        <w:t xml:space="preserve">  </w:t>
      </w:r>
      <w:r>
        <w:tab/>
      </w:r>
      <w:hyperlink r:id="rId10" w:history="1">
        <w:r>
          <w:rPr>
            <w:rStyle w:val="Hyperlink"/>
          </w:rPr>
          <w:t>https://road-safety.transport.ec.europa.eu/what-we-do/high-level-group-road-safety_en?prefLang=fr</w:t>
        </w:r>
      </w:hyperlink>
      <w:r>
        <w:t>.</w:t>
      </w:r>
    </w:p>
  </w:footnote>
  <w:footnote w:id="16">
    <w:p w14:paraId="4BD74D7D" w14:textId="541CBC69" w:rsidR="00C647C0" w:rsidRPr="008A49B6" w:rsidRDefault="00C647C0" w:rsidP="00C647C0">
      <w:pPr>
        <w:pStyle w:val="FootnoteText"/>
      </w:pPr>
      <w:r>
        <w:rPr>
          <w:rStyle w:val="FootnoteReference"/>
        </w:rPr>
        <w:footnoteRef/>
      </w:r>
      <w:r>
        <w:t xml:space="preserve"> </w:t>
      </w:r>
      <w:r>
        <w:tab/>
        <w:t xml:space="preserve">L’OMS recommande de désigner une «agence chef de file», d’élaborer des stratégies nationales et de fixer des objectifs nationaux quantifiés. Voir Belin M-Å, Khayesi M, Tran N., «“Road safety is no accident”: building efficient road safety lead agencies, strategies and targets in the world, 2009-2023» («La sécurité routière n’est pas un accident»: construire des agences, des stratégies et des objectifs efficaces en matière de sécurité routière dans le monde, 2009-2023), </w:t>
      </w:r>
      <w:r>
        <w:rPr>
          <w:i/>
        </w:rPr>
        <w:t>Injury Prevention</w:t>
      </w:r>
      <w:r>
        <w:t xml:space="preserve">, 15 juillet 2025, </w:t>
      </w:r>
      <w:r>
        <w:rPr>
          <w:rStyle w:val="Hyperlink"/>
        </w:rPr>
        <w:t>http://doi:10.1136/ip-2024-045601</w:t>
      </w:r>
      <w:r>
        <w:t>.</w:t>
      </w:r>
    </w:p>
    <w:p w14:paraId="6B5C7856" w14:textId="77777777" w:rsidR="00826A20" w:rsidRPr="008A49B6" w:rsidRDefault="00826A20" w:rsidP="00E91CEC">
      <w:pPr>
        <w:pStyle w:val="FootnoteText"/>
        <w:ind w:left="0" w:firstLine="0"/>
      </w:pPr>
    </w:p>
  </w:footnote>
  <w:footnote w:id="17">
    <w:p w14:paraId="61BB4991" w14:textId="3652C70E" w:rsidR="00713E8C" w:rsidRPr="008A49B6" w:rsidRDefault="00713E8C">
      <w:pPr>
        <w:pStyle w:val="FootnoteText"/>
      </w:pPr>
      <w:r>
        <w:rPr>
          <w:rStyle w:val="FootnoteReference"/>
        </w:rPr>
        <w:footnoteRef/>
      </w:r>
      <w:r>
        <w:t xml:space="preserve"> </w:t>
      </w:r>
      <w:r>
        <w:tab/>
        <w:t>COM (2018) 293, annexe I.</w:t>
      </w:r>
    </w:p>
  </w:footnote>
  <w:footnote w:id="18">
    <w:p w14:paraId="012921BD" w14:textId="60BCED34" w:rsidR="00713E8C" w:rsidRPr="008A49B6" w:rsidRDefault="00713E8C">
      <w:pPr>
        <w:pStyle w:val="FootnoteText"/>
      </w:pPr>
      <w:r>
        <w:rPr>
          <w:rStyle w:val="FootnoteReference"/>
        </w:rPr>
        <w:footnoteRef/>
      </w:r>
      <w:r>
        <w:t xml:space="preserve"> </w:t>
      </w:r>
      <w:r>
        <w:tab/>
        <w:t xml:space="preserve">Directive (UE) 2019/1936 du Parlement européen et du Conseil du 23 octobre 2019 modifiant la directive 2008/96/CE concernant la gestion de la sécurité des infrastructures routières </w:t>
      </w:r>
      <w:hyperlink r:id="rId11" w:history="1">
        <w:r>
          <w:t>(JO L 305/1 du 26.11.2019</w:t>
        </w:r>
      </w:hyperlink>
      <w:r>
        <w:t>, ELI: </w:t>
      </w:r>
      <w:hyperlink r:id="rId12" w:tooltip="Donne accès à ce document par l’intermédiaire de son URI ELI." w:history="1">
        <w:r>
          <w:rPr>
            <w:rStyle w:val="Hyperlink"/>
          </w:rPr>
          <w:t>http://data.europa.eu/eli/dir/2019/1936/oj</w:t>
        </w:r>
      </w:hyperlink>
      <w:r>
        <w:t>).</w:t>
      </w:r>
    </w:p>
  </w:footnote>
  <w:footnote w:id="19">
    <w:p w14:paraId="20397447" w14:textId="481554A0" w:rsidR="00713E8C" w:rsidRPr="008A49B6" w:rsidRDefault="00713E8C">
      <w:pPr>
        <w:pStyle w:val="FootnoteText"/>
      </w:pPr>
      <w:r>
        <w:rPr>
          <w:rStyle w:val="FootnoteReference"/>
        </w:rPr>
        <w:footnoteRef/>
      </w:r>
      <w:r>
        <w:t xml:space="preserve"> </w:t>
      </w:r>
      <w:r>
        <w:tab/>
        <w:t xml:space="preserve">Network Wide Road Safety Assessment Methodology and Implementation Handbook (Manuel de méthodologie et de mise en œuvre de l’évaluation de la sécurité routière à l’échelle du réseau), </w:t>
      </w:r>
      <w:hyperlink r:id="rId13">
        <w:r>
          <w:t>93e39cd2-9e71-4ee0-8a8e-4de4fddaf068_en</w:t>
        </w:r>
      </w:hyperlink>
      <w:r>
        <w:t>.</w:t>
      </w:r>
    </w:p>
  </w:footnote>
  <w:footnote w:id="20">
    <w:p w14:paraId="74FB7B03" w14:textId="5E8AB17F" w:rsidR="008A49B6" w:rsidRPr="008A49B6" w:rsidRDefault="008538CF" w:rsidP="008A49B6">
      <w:pPr>
        <w:pStyle w:val="FootnoteText"/>
      </w:pPr>
      <w:r>
        <w:rPr>
          <w:rStyle w:val="FootnoteReference"/>
        </w:rPr>
        <w:footnoteRef/>
      </w:r>
      <w:r>
        <w:t xml:space="preserve"> </w:t>
      </w:r>
      <w:r>
        <w:tab/>
        <w:t xml:space="preserve"> </w:t>
      </w:r>
      <w:hyperlink r:id="rId14" w:history="1">
        <w:r>
          <w:rPr>
            <w:rStyle w:val="Hyperlink"/>
          </w:rPr>
          <w:t>TENtec Map Viewers - Explore the TEN-T Network |</w:t>
        </w:r>
      </w:hyperlink>
      <w:hyperlink r:id="rId15" w:history="1">
        <w:r>
          <w:rPr>
            <w:rStyle w:val="Hyperlink"/>
          </w:rPr>
          <w:t xml:space="preserve"> European Transport Infrastructure</w:t>
        </w:r>
      </w:hyperlink>
    </w:p>
    <w:p w14:paraId="781E9D9C" w14:textId="6EAB1EFE" w:rsidR="008538CF" w:rsidRPr="008A49B6" w:rsidRDefault="008538CF">
      <w:pPr>
        <w:pStyle w:val="FootnoteText"/>
      </w:pPr>
    </w:p>
  </w:footnote>
  <w:footnote w:id="21">
    <w:p w14:paraId="20936CD1" w14:textId="53F01424" w:rsidR="68834290" w:rsidRPr="008A49B6" w:rsidRDefault="68834290">
      <w:pPr>
        <w:pStyle w:val="FootnoteText"/>
      </w:pPr>
      <w:r>
        <w:rPr>
          <w:rStyle w:val="FootnoteReference"/>
        </w:rPr>
        <w:footnoteRef/>
      </w:r>
      <w:r>
        <w:t xml:space="preserve"> </w:t>
      </w:r>
      <w:r>
        <w:tab/>
      </w:r>
      <w:hyperlink r:id="rId16" w:history="1">
        <w:r>
          <w:rPr>
            <w:rStyle w:val="Hyperlink"/>
          </w:rPr>
          <w:t>Déclaration européenne sur l’utilisation du vélo, JO C/2024/2377 du 3.4.2024</w:t>
        </w:r>
      </w:hyperlink>
      <w:r>
        <w:t>.</w:t>
      </w:r>
    </w:p>
  </w:footnote>
  <w:footnote w:id="22">
    <w:p w14:paraId="5795E53B" w14:textId="08EB780B" w:rsidR="00104898" w:rsidRPr="008A49B6" w:rsidRDefault="00104898">
      <w:pPr>
        <w:pStyle w:val="FootnoteText"/>
      </w:pPr>
      <w:r>
        <w:rPr>
          <w:rStyle w:val="FootnoteReference"/>
        </w:rPr>
        <w:footnoteRef/>
      </w:r>
      <w:r>
        <w:t xml:space="preserve"> </w:t>
      </w:r>
      <w:r>
        <w:tab/>
        <w:t xml:space="preserve">Directive (UE) 2023/2661 du Parlement européen et du Conseil du 22 novembre 2023 modifiant la directive 2010/40/UE concernant le cadre pour le déploiement de systèmes de transport intelligents dans le domaine du transport routier et d’interfaces avec d’autres modes de transport (JO L, 2023/2661, 30.11.2023, ELI: </w:t>
      </w:r>
      <w:hyperlink r:id="rId17" w:tgtFrame="_blank" w:tooltip="Donne accès à ce document par l’intermédiaire de son URI ELI." w:history="1">
        <w:r>
          <w:t>http://data.europa.eu/eli/dir/2023/2661/oj</w:t>
        </w:r>
      </w:hyperlink>
      <w:r>
        <w:t>).</w:t>
      </w:r>
    </w:p>
  </w:footnote>
  <w:footnote w:id="23">
    <w:p w14:paraId="1149DF2D" w14:textId="09EF6C1E" w:rsidR="00890EFC" w:rsidRPr="008A49B6" w:rsidRDefault="00890EFC">
      <w:pPr>
        <w:pStyle w:val="FootnoteText"/>
      </w:pPr>
      <w:r>
        <w:rPr>
          <w:rStyle w:val="FootnoteReference"/>
        </w:rPr>
        <w:footnoteRef/>
      </w:r>
      <w:r>
        <w:t xml:space="preserve"> </w:t>
      </w:r>
      <w:r>
        <w:tab/>
      </w:r>
      <w:hyperlink r:id="rId18" w:history="1">
        <w:r>
          <w:rPr>
            <w:rStyle w:val="Hyperlink"/>
          </w:rPr>
          <w:t>Règlement (UE) 2019/2144 du Parlement européen et du Conseil du 27 novembre 2019</w:t>
        </w:r>
      </w:hyperlink>
      <w:r>
        <w:t xml:space="preserve"> relatif aux prescriptions applicables à la réception par type des véhicules à moteur et de leurs remorques, ainsi que des systèmes, composants et entités techniques distinctes destinés à ces véhicules, en ce qui concerne leur sécurité générale et la protection des occupants des véhicules et des usagers vulnérables de la route.</w:t>
      </w:r>
    </w:p>
  </w:footnote>
  <w:footnote w:id="24">
    <w:p w14:paraId="1BE38A79" w14:textId="1EBC2620" w:rsidR="007F484A" w:rsidRPr="008A49B6" w:rsidRDefault="00104898">
      <w:pPr>
        <w:pStyle w:val="FootnoteText"/>
      </w:pPr>
      <w:r>
        <w:rPr>
          <w:rStyle w:val="FootnoteReference"/>
        </w:rPr>
        <w:footnoteRef/>
      </w:r>
      <w:r>
        <w:t xml:space="preserve"> </w:t>
      </w:r>
      <w:r>
        <w:tab/>
        <w:t>Proposition de directive du Parlement européen et du Conseil modifiant la directive 2014/45/UE relative au contrôle technique périodique des véhicules à moteur et de leurs remorques et la directive 2014/47/UE relative au contrôle technique routier des véhicules utilitaires circulant dans l’Union, COM(2025) 180, et proposition de directive du Parlement européen et du Conseil concernant les documents d’immatriculation des véhicules et les données relatives à l’immatriculation consignées dans les registres nationaux des véhicules, abrogeant la directive 1999/37/CE du Conseil, COM(2025) 179.</w:t>
      </w:r>
    </w:p>
  </w:footnote>
  <w:footnote w:id="25">
    <w:p w14:paraId="4439B72F" w14:textId="1CE6920B" w:rsidR="00890EFC" w:rsidRPr="008A49B6" w:rsidRDefault="00890EFC">
      <w:pPr>
        <w:pStyle w:val="FootnoteText"/>
      </w:pPr>
      <w:r>
        <w:rPr>
          <w:rStyle w:val="FootnoteReference"/>
        </w:rPr>
        <w:footnoteRef/>
      </w:r>
      <w:r>
        <w:t xml:space="preserve"> </w:t>
      </w:r>
      <w:r>
        <w:tab/>
      </w:r>
      <w:hyperlink r:id="rId19" w:history="1">
        <w:r>
          <w:rPr>
            <w:rStyle w:val="Hyperlink"/>
          </w:rPr>
          <w:t>Directive (UE) 2025/2205 du Parlement européen et du Conseil du 22 octobre 2025 relative au permis de conduire</w:t>
        </w:r>
      </w:hyperlink>
      <w:r>
        <w:t>, modifiant le règlement (UE) 2018/1724 du Parlement européen et du Conseil et la directive (UE) 2022/2561 du Parlement européen et du Conseil, et abrogeant la directive 2006/126/CE du Parlement européen et du Conseil et le règlement (UE) n° 383/2012 de la Commission.</w:t>
      </w:r>
    </w:p>
  </w:footnote>
  <w:footnote w:id="26">
    <w:p w14:paraId="6D3B1752" w14:textId="77777777" w:rsidR="005E78D5" w:rsidRPr="008A49B6" w:rsidRDefault="005E78D5" w:rsidP="005E78D5">
      <w:pPr>
        <w:pStyle w:val="FootnoteText"/>
      </w:pPr>
      <w:r>
        <w:rPr>
          <w:vertAlign w:val="superscript"/>
        </w:rPr>
        <w:footnoteRef/>
      </w:r>
      <w:r>
        <w:t xml:space="preserve"> </w:t>
      </w:r>
      <w:r>
        <w:tab/>
        <w:t>Directive (UE) 2024/3237 du Parlement européen et du Conseil du 19 décembre 2024 modifiant la directive (UE) 2015/413 facilitant l’échange transfrontalier d’informations concernant les infractions en matière de sécurité routière.</w:t>
      </w:r>
    </w:p>
  </w:footnote>
  <w:footnote w:id="27">
    <w:p w14:paraId="4F7596A8" w14:textId="38C7B9BA" w:rsidR="00D070D1" w:rsidRPr="008A49B6" w:rsidRDefault="00453E8C" w:rsidP="000D459D">
      <w:pPr>
        <w:pStyle w:val="FootnoteText"/>
      </w:pPr>
      <w:r>
        <w:rPr>
          <w:rStyle w:val="FootnoteReference"/>
        </w:rPr>
        <w:footnoteRef/>
      </w:r>
      <w:r>
        <w:t xml:space="preserve"> </w:t>
      </w:r>
      <w:r>
        <w:tab/>
      </w:r>
      <w:hyperlink r:id="rId20" w:history="1">
        <w:r>
          <w:rPr>
            <w:rStyle w:val="Hyperlink"/>
          </w:rPr>
          <w:t>https://www.who.int/publications/m/item/speed-management--a-road-safety-manual-for-decision-makers-and-practitioners.-2nd-edition</w:t>
        </w:r>
      </w:hyperlink>
      <w:r>
        <w:t>.</w:t>
      </w:r>
    </w:p>
  </w:footnote>
  <w:footnote w:id="28">
    <w:p w14:paraId="1576590E" w14:textId="1062D98F" w:rsidR="0032343E" w:rsidRPr="008A49B6" w:rsidRDefault="0032343E">
      <w:pPr>
        <w:pStyle w:val="FootnoteText"/>
      </w:pPr>
      <w:r>
        <w:rPr>
          <w:vertAlign w:val="superscript"/>
        </w:rPr>
        <w:footnoteRef/>
      </w:r>
      <w:r>
        <w:t xml:space="preserve"> </w:t>
      </w:r>
      <w:r>
        <w:tab/>
        <w:t>Voir G. Yannis et E. Michelaraki, «Effectiveness of 30 km/h speed limit – A literature review», Journal of Safety Research 92 (2025) 490-503, qui indique que «les données scientifiques actuelles montrent que l’introduction de limitations de vitesse à 30 km/h dans les villes peut sauver plus de 40 % de vies, tout en ayant des effets positifs significatifs sur l’environnement, la consommation d’énergie et la santé publique, notamment une réduction de la consommation de carburant et une augmentation de la marche et du vélo».</w:t>
      </w:r>
    </w:p>
  </w:footnote>
  <w:footnote w:id="29">
    <w:p w14:paraId="52BB9209" w14:textId="3EF98D4A" w:rsidR="0032343E" w:rsidRPr="008A49B6" w:rsidRDefault="0032343E">
      <w:pPr>
        <w:pStyle w:val="FootnoteText"/>
      </w:pPr>
      <w:r>
        <w:rPr>
          <w:vertAlign w:val="superscript"/>
        </w:rPr>
        <w:footnoteRef/>
      </w:r>
      <w:r w:rsidRPr="00761735">
        <w:rPr>
          <w:lang w:val="en-IE"/>
        </w:rPr>
        <w:t xml:space="preserve"> </w:t>
      </w:r>
      <w:r w:rsidRPr="00761735">
        <w:rPr>
          <w:lang w:val="en-IE"/>
        </w:rPr>
        <w:tab/>
        <w:t xml:space="preserve">Sánchez-Mangas R, García-Ferrrer A, de Juan A, Martín Arroyo A, «The likely of death in road traffic accidents. </w:t>
      </w:r>
      <w:r>
        <w:t xml:space="preserve">How important is a quick medical response?» (Probabilité de décès dans les accidents de la route. Quelle est l’importance d’une intervention médicale rapide?), Accident Analysis &amp; Prevention 2010, volume 42, numéro 4, juillet 2010, pages 1048 à 1056, </w:t>
      </w:r>
      <w:hyperlink r:id="rId21" w:tgtFrame="_blank" w:tooltip="Lien permanent utilisant un identifiant d’objet numérique" w:history="1">
        <w:r>
          <w:t>https://doi.org/10.1016/j.aap.2009.12.012</w:t>
        </w:r>
      </w:hyperlink>
      <w:r>
        <w:t>.</w:t>
      </w:r>
    </w:p>
  </w:footnote>
  <w:footnote w:id="30">
    <w:p w14:paraId="485D91D4" w14:textId="26FD1552" w:rsidR="00B52970" w:rsidRPr="008A49B6" w:rsidRDefault="00606CB2" w:rsidP="00B52970">
      <w:pPr>
        <w:pStyle w:val="FootnoteText"/>
      </w:pPr>
      <w:r>
        <w:rPr>
          <w:rStyle w:val="FootnoteReference"/>
        </w:rPr>
        <w:footnoteRef/>
      </w:r>
      <w:r>
        <w:t xml:space="preserve"> </w:t>
      </w:r>
      <w:r>
        <w:tab/>
      </w:r>
      <w:hyperlink r:id="rId22" w:history="1">
        <w:r>
          <w:rPr>
            <w:rStyle w:val="Hyperlink"/>
          </w:rPr>
          <w:t>https://trendlineproject.eu/media/pages/trendline-results/c0a640421f-1764252485/kpi-post-crash-care-report.pdf</w:t>
        </w:r>
      </w:hyperlink>
      <w:r>
        <w:t>.</w:t>
      </w:r>
    </w:p>
  </w:footnote>
  <w:footnote w:id="31">
    <w:p w14:paraId="2181B103" w14:textId="51886C29" w:rsidR="0032343E" w:rsidRPr="008A49B6" w:rsidRDefault="0032343E">
      <w:pPr>
        <w:pStyle w:val="FootnoteText"/>
      </w:pPr>
      <w:r>
        <w:rPr>
          <w:rStyle w:val="FootnoteReference"/>
        </w:rPr>
        <w:footnoteRef/>
      </w:r>
      <w:r>
        <w:t xml:space="preserve"> </w:t>
      </w:r>
      <w:r>
        <w:tab/>
        <w:t>Réseaux à commutation de paquets IMS tels que 4G et 5G.</w:t>
      </w:r>
    </w:p>
  </w:footnote>
  <w:footnote w:id="32">
    <w:p w14:paraId="3A5379D0" w14:textId="0A3FE2D9" w:rsidR="00D8636D" w:rsidRPr="008A49B6" w:rsidRDefault="00D8636D">
      <w:pPr>
        <w:pStyle w:val="FootnoteText"/>
      </w:pPr>
      <w:r>
        <w:rPr>
          <w:rStyle w:val="FootnoteReference"/>
        </w:rPr>
        <w:footnoteRef/>
      </w:r>
      <w:r>
        <w:t xml:space="preserve"> </w:t>
      </w:r>
      <w:r>
        <w:tab/>
      </w:r>
      <w:hyperlink r:id="rId23" w:history="1">
        <w:r>
          <w:rPr>
            <w:rStyle w:val="Hyperlink"/>
          </w:rPr>
          <w:t>https://road-safety-charter.ec.europa.eu/</w:t>
        </w:r>
      </w:hyperlink>
      <w:r>
        <w:t>.</w:t>
      </w:r>
    </w:p>
  </w:footnote>
  <w:footnote w:id="33">
    <w:p w14:paraId="5BB24663" w14:textId="0938BF0F" w:rsidR="00D8636D" w:rsidRPr="008A49B6" w:rsidRDefault="00D8636D">
      <w:pPr>
        <w:pStyle w:val="FootnoteText"/>
      </w:pPr>
      <w:r>
        <w:rPr>
          <w:rStyle w:val="FootnoteReference"/>
        </w:rPr>
        <w:footnoteRef/>
      </w:r>
      <w:r>
        <w:t xml:space="preserve"> </w:t>
      </w:r>
      <w:r>
        <w:tab/>
      </w:r>
      <w:hyperlink r:id="rId24" w:history="1">
        <w:r>
          <w:rPr>
            <w:rStyle w:val="Hyperlink"/>
          </w:rPr>
          <w:t>https://etsc.eu/projects/eu-road-safety-exchange/</w:t>
        </w:r>
      </w:hyperlink>
      <w:r>
        <w:t>.</w:t>
      </w:r>
    </w:p>
  </w:footnote>
  <w:footnote w:id="34">
    <w:p w14:paraId="2FFA3E7E" w14:textId="5AAACAF1" w:rsidR="0024583F" w:rsidRPr="008A49B6" w:rsidRDefault="0024583F">
      <w:pPr>
        <w:pStyle w:val="FootnoteText"/>
      </w:pPr>
      <w:r>
        <w:rPr>
          <w:rStyle w:val="FootnoteReference"/>
        </w:rPr>
        <w:footnoteRef/>
      </w:r>
      <w:r>
        <w:t xml:space="preserve"> </w:t>
      </w:r>
      <w:r>
        <w:tab/>
        <w:t>Une route 2 + 1 est un type de route avec deux voies dans un sens et une voie dans le sens opposé, séparées par un terre-plein central ou une barrière, la voie supplémentaire alternant tous les quelques kilomètres. Cette conception permet de dépasser en toute sécurité tout en réduisant les coûts de construction par rapport à la construction d’une route à double voie.</w:t>
      </w:r>
    </w:p>
  </w:footnote>
  <w:footnote w:id="35">
    <w:p w14:paraId="2D237EA3" w14:textId="4E1AB43D" w:rsidR="00D75EAC" w:rsidRPr="008A49B6" w:rsidRDefault="00D75EAC">
      <w:pPr>
        <w:pStyle w:val="FootnoteText"/>
      </w:pPr>
      <w:r>
        <w:rPr>
          <w:rStyle w:val="FootnoteReference"/>
        </w:rPr>
        <w:footnoteRef/>
      </w:r>
      <w:r>
        <w:t xml:space="preserve"> </w:t>
      </w:r>
      <w:r>
        <w:tab/>
        <w:t xml:space="preserve">Cour des comptes européenne, rapport spécial 2024/04, L’UE doit mettre les bouchées doubles pour atteindre ses objectifs, </w:t>
      </w:r>
      <w:hyperlink r:id="rId25" w:history="1">
        <w:r>
          <w:rPr>
            <w:rStyle w:val="Hyperlink"/>
          </w:rPr>
          <w:t>https://www.eca.europa.eu/ECAPublications/SR-2024-04/SR-2024-04_fr.pdf</w:t>
        </w:r>
      </w:hyperlink>
      <w:r>
        <w:t>.</w:t>
      </w:r>
    </w:p>
  </w:footnote>
  <w:footnote w:id="36">
    <w:p w14:paraId="537407CE" w14:textId="71816DC3" w:rsidR="00A336B3" w:rsidRPr="008A49B6" w:rsidRDefault="00A336B3" w:rsidP="00A336B3">
      <w:pPr>
        <w:pStyle w:val="FootnoteText"/>
      </w:pPr>
      <w:r>
        <w:rPr>
          <w:rStyle w:val="FootnoteReference"/>
        </w:rPr>
        <w:footnoteRef/>
      </w:r>
      <w:r>
        <w:t xml:space="preserve"> </w:t>
      </w:r>
      <w:r>
        <w:tab/>
        <w:t>MIE: 1 477 millions d’EUR; FEDER et FC: 5 186 millions d’EUR.</w:t>
      </w:r>
    </w:p>
  </w:footnote>
  <w:footnote w:id="37">
    <w:p w14:paraId="770052CA" w14:textId="0D5CB75F" w:rsidR="00F54667" w:rsidRPr="008A49B6" w:rsidRDefault="00F54667" w:rsidP="00F54667">
      <w:pPr>
        <w:pStyle w:val="FootnoteText"/>
      </w:pPr>
      <w:r>
        <w:rPr>
          <w:rStyle w:val="FootnoteReference"/>
        </w:rPr>
        <w:footnoteRef/>
      </w:r>
      <w:r>
        <w:t xml:space="preserve"> </w:t>
      </w:r>
      <w:r>
        <w:tab/>
        <w:t>Directive 2004/54/CE du Parlement européen et du Conseil du 29 avril 2004 concernant les exigences de sécurité minimales applicables aux tunnels du réseau routier transeuropéen.</w:t>
      </w:r>
    </w:p>
  </w:footnote>
  <w:footnote w:id="38">
    <w:p w14:paraId="0DA2BB61" w14:textId="1FD2178A" w:rsidR="00527B5A" w:rsidRPr="008A49B6" w:rsidRDefault="00527B5A">
      <w:pPr>
        <w:pStyle w:val="FootnoteText"/>
      </w:pPr>
      <w:r>
        <w:rPr>
          <w:rStyle w:val="FootnoteReference"/>
        </w:rPr>
        <w:footnoteRef/>
      </w:r>
      <w:r>
        <w:t xml:space="preserve"> </w:t>
      </w:r>
      <w:r>
        <w:tab/>
      </w:r>
      <w:hyperlink r:id="rId26" w:history="1">
        <w:r>
          <w:rPr>
            <w:rStyle w:val="Hyperlink"/>
          </w:rPr>
          <w:t>https://evoroads-project.eu/</w:t>
        </w:r>
      </w:hyperlink>
      <w:r>
        <w:t>.</w:t>
      </w:r>
    </w:p>
  </w:footnote>
  <w:footnote w:id="39">
    <w:p w14:paraId="2D91E4E6" w14:textId="5FB250F3" w:rsidR="00527B5A" w:rsidRPr="008A49B6" w:rsidRDefault="00527B5A">
      <w:pPr>
        <w:pStyle w:val="FootnoteText"/>
      </w:pPr>
      <w:r>
        <w:rPr>
          <w:rStyle w:val="FootnoteReference"/>
        </w:rPr>
        <w:footnoteRef/>
      </w:r>
      <w:r>
        <w:t xml:space="preserve"> </w:t>
      </w:r>
      <w:r>
        <w:tab/>
      </w:r>
      <w:hyperlink r:id="rId27" w:history="1">
        <w:r>
          <w:rPr>
            <w:rStyle w:val="Hyperlink"/>
          </w:rPr>
          <w:t>https://idriving-project.eu/</w:t>
        </w:r>
      </w:hyperlink>
      <w:r>
        <w:t>.</w:t>
      </w:r>
    </w:p>
  </w:footnote>
  <w:footnote w:id="40">
    <w:p w14:paraId="4F07B391" w14:textId="64BD0114" w:rsidR="00527B5A" w:rsidRPr="008A49B6" w:rsidRDefault="00527B5A">
      <w:pPr>
        <w:pStyle w:val="FootnoteText"/>
      </w:pPr>
      <w:r>
        <w:rPr>
          <w:rStyle w:val="FootnoteReference"/>
        </w:rPr>
        <w:footnoteRef/>
      </w:r>
      <w:r>
        <w:t xml:space="preserve"> </w:t>
      </w:r>
      <w:r>
        <w:tab/>
      </w:r>
      <w:hyperlink r:id="rId28" w:history="1">
        <w:r>
          <w:rPr>
            <w:rStyle w:val="Hyperlink"/>
          </w:rPr>
          <w:t>https://soteriaproject.eu/</w:t>
        </w:r>
      </w:hyperlink>
      <w:r>
        <w:t>.</w:t>
      </w:r>
    </w:p>
  </w:footnote>
  <w:footnote w:id="41">
    <w:p w14:paraId="06178F80" w14:textId="3CF294DD" w:rsidR="001659BB" w:rsidRPr="008A49B6" w:rsidRDefault="001659BB">
      <w:pPr>
        <w:pStyle w:val="FootnoteText"/>
      </w:pPr>
      <w:r>
        <w:rPr>
          <w:rStyle w:val="FootnoteReference"/>
        </w:rPr>
        <w:footnoteRef/>
      </w:r>
      <w:r>
        <w:t xml:space="preserve"> </w:t>
      </w:r>
      <w:r>
        <w:tab/>
      </w:r>
      <w:hyperlink r:id="rId29" w:history="1">
        <w:r>
          <w:rPr>
            <w:rStyle w:val="Hyperlink"/>
          </w:rPr>
          <w:t>https://www.safe-up.eu/</w:t>
        </w:r>
      </w:hyperlink>
      <w:r>
        <w:t>.</w:t>
      </w:r>
    </w:p>
  </w:footnote>
  <w:footnote w:id="42">
    <w:p w14:paraId="26C95D0A" w14:textId="4DC73ADD" w:rsidR="001659BB" w:rsidRPr="008A49B6" w:rsidRDefault="001659BB">
      <w:pPr>
        <w:pStyle w:val="FootnoteText"/>
      </w:pPr>
      <w:r>
        <w:rPr>
          <w:rStyle w:val="FootnoteReference"/>
        </w:rPr>
        <w:footnoteRef/>
      </w:r>
      <w:r>
        <w:t xml:space="preserve"> </w:t>
      </w:r>
      <w:r>
        <w:tab/>
      </w:r>
      <w:hyperlink r:id="rId30" w:history="1">
        <w:r>
          <w:rPr>
            <w:rStyle w:val="Hyperlink"/>
          </w:rPr>
          <w:t>https://mediatorproject.eu/</w:t>
        </w:r>
      </w:hyperlink>
      <w:r>
        <w:t>.</w:t>
      </w:r>
    </w:p>
  </w:footnote>
  <w:footnote w:id="43">
    <w:p w14:paraId="0201E48A" w14:textId="1825479E" w:rsidR="001659BB" w:rsidRPr="008A49B6" w:rsidRDefault="001659BB">
      <w:pPr>
        <w:pStyle w:val="FootnoteText"/>
      </w:pPr>
      <w:r>
        <w:rPr>
          <w:rStyle w:val="FootnoteReference"/>
        </w:rPr>
        <w:footnoteRef/>
      </w:r>
      <w:r>
        <w:t xml:space="preserve"> </w:t>
      </w:r>
      <w:r>
        <w:tab/>
      </w:r>
      <w:hyperlink r:id="rId31" w:history="1">
        <w:r>
          <w:rPr>
            <w:rStyle w:val="Hyperlink"/>
          </w:rPr>
          <w:t>https://phoebe-project.eu/</w:t>
        </w:r>
      </w:hyperlink>
      <w:r>
        <w:t>.</w:t>
      </w:r>
    </w:p>
  </w:footnote>
  <w:footnote w:id="44">
    <w:p w14:paraId="7C8156C3" w14:textId="6CDDB08C" w:rsidR="00192E59" w:rsidRPr="008A49B6" w:rsidRDefault="00192E59">
      <w:pPr>
        <w:pStyle w:val="FootnoteText"/>
      </w:pPr>
      <w:r>
        <w:rPr>
          <w:rStyle w:val="FootnoteReference"/>
        </w:rPr>
        <w:footnoteRef/>
      </w:r>
      <w:r>
        <w:t xml:space="preserve"> </w:t>
      </w:r>
      <w:r>
        <w:tab/>
      </w:r>
      <w:hyperlink r:id="rId32" w:history="1">
        <w:r>
          <w:rPr>
            <w:rStyle w:val="Hyperlink"/>
          </w:rPr>
          <w:t>https://reallocatemobility.eu/</w:t>
        </w:r>
      </w:hyperlink>
      <w:r>
        <w:t>.</w:t>
      </w:r>
    </w:p>
  </w:footnote>
  <w:footnote w:id="45">
    <w:p w14:paraId="6E6CC17C" w14:textId="64FF67DE" w:rsidR="00192E59" w:rsidRPr="008A49B6" w:rsidRDefault="00192E59">
      <w:pPr>
        <w:pStyle w:val="FootnoteText"/>
      </w:pPr>
      <w:r>
        <w:rPr>
          <w:rStyle w:val="FootnoteReference"/>
        </w:rPr>
        <w:footnoteRef/>
      </w:r>
      <w:r>
        <w:t xml:space="preserve"> </w:t>
      </w:r>
      <w:r>
        <w:tab/>
      </w:r>
      <w:hyperlink r:id="rId33" w:history="1">
        <w:r>
          <w:rPr>
            <w:rStyle w:val="Hyperlink"/>
          </w:rPr>
          <w:t>https://panacea-project.eu/</w:t>
        </w:r>
      </w:hyperlink>
      <w:r>
        <w:t>.</w:t>
      </w:r>
    </w:p>
  </w:footnote>
  <w:footnote w:id="46">
    <w:p w14:paraId="1B4DAF89" w14:textId="50A633AE" w:rsidR="00192E59" w:rsidRPr="008A49B6" w:rsidRDefault="00192E59">
      <w:pPr>
        <w:pStyle w:val="FootnoteText"/>
      </w:pPr>
      <w:r>
        <w:rPr>
          <w:rStyle w:val="FootnoteReference"/>
        </w:rPr>
        <w:footnoteRef/>
      </w:r>
      <w:r>
        <w:t xml:space="preserve"> </w:t>
      </w:r>
      <w:r>
        <w:tab/>
      </w:r>
      <w:hyperlink r:id="rId34" w:history="1">
        <w:r>
          <w:rPr>
            <w:rStyle w:val="Hyperlink"/>
          </w:rPr>
          <w:t>https://protact-us.eu/</w:t>
        </w:r>
      </w:hyperlink>
      <w:r>
        <w:t>.</w:t>
      </w:r>
    </w:p>
  </w:footnote>
  <w:footnote w:id="47">
    <w:p w14:paraId="48C8DE80" w14:textId="62E7E8C2" w:rsidR="00192E59" w:rsidRPr="008A49B6" w:rsidRDefault="00192E59">
      <w:pPr>
        <w:pStyle w:val="FootnoteText"/>
      </w:pPr>
      <w:r>
        <w:rPr>
          <w:rStyle w:val="FootnoteReference"/>
        </w:rPr>
        <w:footnoteRef/>
      </w:r>
      <w:r>
        <w:t xml:space="preserve">  </w:t>
      </w:r>
      <w:r>
        <w:tab/>
      </w:r>
      <w:hyperlink r:id="rId35" w:history="1">
        <w:r>
          <w:rPr>
            <w:rStyle w:val="Hyperlink"/>
          </w:rPr>
          <w:t>https://improva-roadsafety.eu/</w:t>
        </w:r>
      </w:hyperlink>
      <w:r>
        <w:t>.</w:t>
      </w:r>
    </w:p>
  </w:footnote>
  <w:footnote w:id="48">
    <w:p w14:paraId="2CDA352C" w14:textId="785BC88F" w:rsidR="0024583F" w:rsidRPr="008A49B6" w:rsidRDefault="0024583F">
      <w:pPr>
        <w:pStyle w:val="FootnoteText"/>
      </w:pPr>
      <w:r>
        <w:rPr>
          <w:rStyle w:val="FootnoteReference"/>
        </w:rPr>
        <w:footnoteRef/>
      </w:r>
      <w:r>
        <w:t xml:space="preserve"> </w:t>
      </w:r>
      <w:r>
        <w:tab/>
      </w:r>
      <w:hyperlink r:id="rId36" w:history="1">
        <w:r>
          <w:rPr>
            <w:rStyle w:val="Hyperlink"/>
          </w:rPr>
          <w:t>https://road-safety.transport.ec.europa.eu/index_fr</w:t>
        </w:r>
      </w:hyperlink>
      <w:r>
        <w:t xml:space="preserve">; </w:t>
      </w:r>
      <w:hyperlink r:id="rId37" w:history="1">
        <w:r>
          <w:rPr>
            <w:rStyle w:val="Hyperlink"/>
          </w:rPr>
          <w:t>https://eur-lex.europa.eu/homepage.html?locale=fr</w:t>
        </w:r>
      </w:hyperlink>
    </w:p>
  </w:footnote>
  <w:footnote w:id="49">
    <w:p w14:paraId="7CB1FB62" w14:textId="63A48A6B" w:rsidR="0024583F" w:rsidRPr="008A49B6" w:rsidRDefault="0024583F">
      <w:pPr>
        <w:pStyle w:val="FootnoteText"/>
      </w:pPr>
      <w:r>
        <w:rPr>
          <w:rStyle w:val="FootnoteReference"/>
        </w:rPr>
        <w:footnoteRef/>
      </w:r>
      <w:r>
        <w:t xml:space="preserve"> </w:t>
      </w:r>
      <w:r>
        <w:tab/>
        <w:t xml:space="preserve">Source: Eurostat (codes de données en ligne </w:t>
      </w:r>
      <w:hyperlink r:id="rId38" w:history="1">
        <w:r>
          <w:rPr>
            <w:rStyle w:val="Hyperlink"/>
          </w:rPr>
          <w:t>proj_23np</w:t>
        </w:r>
      </w:hyperlink>
      <w:r>
        <w:t xml:space="preserve"> et </w:t>
      </w:r>
      <w:hyperlink r:id="rId39" w:history="1">
        <w:r>
          <w:rPr>
            <w:rStyle w:val="Hyperlink"/>
          </w:rPr>
          <w:t>demo_pjanbroad</w:t>
        </w:r>
      </w:hyperlink>
      <w:r>
        <w:t xml:space="preserve">), article pertinent de Statistics Explained: </w:t>
      </w:r>
      <w:hyperlink r:id="rId40" w:anchor="#Past_and_future_population_ageing_trends_in_the_EU" w:history="1">
        <w:r>
          <w:rPr>
            <w:rStyle w:val="Hyperlink"/>
          </w:rPr>
          <w:t>https://ec.europa.eu/eurostat/statistics-explained/index.php?title=Population_structure_and_ageing&amp;action=statexp-seat&amp;lang=fr</w:t>
        </w:r>
      </w:hyperlink>
      <w:r>
        <w:t>.</w:t>
      </w:r>
    </w:p>
  </w:footnote>
  <w:footnote w:id="50">
    <w:p w14:paraId="24034CEF" w14:textId="6DBCC3D3" w:rsidR="0024583F" w:rsidRPr="008A49B6" w:rsidRDefault="0024583F">
      <w:pPr>
        <w:pStyle w:val="FootnoteText"/>
      </w:pPr>
      <w:r>
        <w:rPr>
          <w:rStyle w:val="FootnoteReference"/>
        </w:rPr>
        <w:footnoteRef/>
      </w:r>
      <w:r>
        <w:t xml:space="preserve"> </w:t>
      </w:r>
      <w:r>
        <w:tab/>
        <w:t xml:space="preserve">Voir le rapport thématique sur les personnes âgées aux adresses suivantes: </w:t>
      </w:r>
      <w:hyperlink r:id="rId41" w:history="1">
        <w:r>
          <w:rPr>
            <w:rStyle w:val="Hyperlink"/>
          </w:rPr>
          <w:t>https://road-safety.transport.ec.europa.eu/european-road-safety-observatory/data-and-analysis/thematic-reports_en?prefLang=fr</w:t>
        </w:r>
      </w:hyperlink>
      <w:r>
        <w:t xml:space="preserve"> et </w:t>
      </w:r>
      <w:hyperlink r:id="rId42" w:history="1">
        <w:r>
          <w:rPr>
            <w:rStyle w:val="Hyperlink"/>
          </w:rPr>
          <w:t>https://etsc.eu/reducing-older-peoples-deaths-on-european-roads-pin-flash-45/</w:t>
        </w:r>
      </w:hyperlink>
      <w:r>
        <w:t>.</w:t>
      </w:r>
    </w:p>
  </w:footnote>
  <w:footnote w:id="51">
    <w:p w14:paraId="2AD8CA2D" w14:textId="05AB999F" w:rsidR="0024583F" w:rsidRPr="008A49B6" w:rsidRDefault="0024583F">
      <w:pPr>
        <w:pStyle w:val="FootnoteText"/>
      </w:pPr>
      <w:r>
        <w:rPr>
          <w:rStyle w:val="FootnoteReference"/>
        </w:rPr>
        <w:footnoteRef/>
      </w:r>
      <w:r>
        <w:t xml:space="preserve"> </w:t>
      </w:r>
      <w:r>
        <w:tab/>
        <w:t xml:space="preserve">Source: Eurostat (code de données en ligne </w:t>
      </w:r>
      <w:hyperlink r:id="rId43" w:history="1">
        <w:r>
          <w:rPr>
            <w:rStyle w:val="Hyperlink"/>
          </w:rPr>
          <w:t>cens_21urb01</w:t>
        </w:r>
      </w:hyperlink>
      <w:r>
        <w:t xml:space="preserve">), voir également: </w:t>
      </w:r>
      <w:hyperlink r:id="rId44" w:history="1">
        <w:r>
          <w:rPr>
            <w:rStyle w:val="Hyperlink"/>
          </w:rPr>
          <w:t>https://ec.europa.eu/eurostat/web/degree-of-urbanisation/publications</w:t>
        </w:r>
      </w:hyperlink>
      <w:r>
        <w:t>.</w:t>
      </w:r>
    </w:p>
  </w:footnote>
  <w:footnote w:id="52">
    <w:p w14:paraId="36B37326" w14:textId="1AD551F6" w:rsidR="0024583F" w:rsidRPr="008A49B6" w:rsidRDefault="0024583F">
      <w:pPr>
        <w:pStyle w:val="FootnoteText"/>
      </w:pPr>
      <w:r>
        <w:rPr>
          <w:rStyle w:val="FootnoteReference"/>
        </w:rPr>
        <w:footnoteRef/>
      </w:r>
      <w:r>
        <w:t xml:space="preserve"> </w:t>
      </w:r>
      <w:r>
        <w:tab/>
        <w:t>Voir: The human cost of fast deliveries: A systematic literature review of occupational risks and safety outcomes in last-mile delivery workers (Le coût humain des livraisons rapides: revue systématique de la littérature sur les risques professionnels et les résultats en matière de sécurité chez les travailleurs de la livraison du dernier kilomètre)</w:t>
      </w:r>
      <w:r>
        <w:rPr>
          <w:b/>
        </w:rPr>
        <w:t xml:space="preserve"> - </w:t>
      </w:r>
      <w:hyperlink r:id="rId45" w:history="1">
        <w:r>
          <w:rPr>
            <w:rStyle w:val="Hyperlink"/>
          </w:rPr>
          <w:t>https://www.sciencedirect.com/science/article/pii/S2214140525001537</w:t>
        </w:r>
      </w:hyperlink>
      <w:r>
        <w:t>.</w:t>
      </w:r>
    </w:p>
  </w:footnote>
  <w:footnote w:id="53">
    <w:p w14:paraId="74867CEE" w14:textId="77777777" w:rsidR="00203454" w:rsidRPr="00124234" w:rsidRDefault="00203454" w:rsidP="00203454">
      <w:pPr>
        <w:pStyle w:val="FootnoteText"/>
      </w:pPr>
      <w:r>
        <w:rPr>
          <w:rStyle w:val="FootnoteReference"/>
        </w:rPr>
        <w:footnoteRef/>
      </w:r>
      <w:r>
        <w:tab/>
      </w:r>
      <w:hyperlink r:id="rId46" w:history="1">
        <w:r>
          <w:rPr>
            <w:rStyle w:val="Hyperlink"/>
          </w:rPr>
          <w:t>Règlement - 2024/2847 - FR - EUR-Lex</w:t>
        </w:r>
      </w:hyperlink>
      <w:r>
        <w:t>.</w:t>
      </w:r>
    </w:p>
  </w:footnote>
  <w:footnote w:id="54">
    <w:p w14:paraId="0264FC0D" w14:textId="1903A1EF" w:rsidR="006D08CC" w:rsidRPr="008A49B6" w:rsidRDefault="006D08CC">
      <w:pPr>
        <w:pStyle w:val="FootnoteText"/>
      </w:pPr>
      <w:r>
        <w:rPr>
          <w:rStyle w:val="FootnoteReference"/>
        </w:rPr>
        <w:footnoteRef/>
      </w:r>
      <w:r>
        <w:t xml:space="preserve"> </w:t>
      </w:r>
      <w:r>
        <w:tab/>
        <w:t>European Commission Handbook on the external costs of transport 2019 (Manuel de la Commission européenne sur les coûts externes des transports 2019) (nouvelle version à paraître).</w:t>
      </w:r>
    </w:p>
  </w:footnote>
  <w:footnote w:id="55">
    <w:p w14:paraId="16E158E4" w14:textId="09DCDA25" w:rsidR="006D08CC" w:rsidRPr="008A49B6" w:rsidRDefault="006D08CC">
      <w:pPr>
        <w:pStyle w:val="FootnoteText"/>
      </w:pPr>
      <w:r>
        <w:rPr>
          <w:rStyle w:val="FootnoteReference"/>
        </w:rPr>
        <w:footnoteRef/>
      </w:r>
      <w:r>
        <w:t xml:space="preserve"> </w:t>
      </w:r>
      <w:r>
        <w:tab/>
        <w:t xml:space="preserve">Voir: Étude à l’appui de l’évaluation à mi-parcours du cadre politique de l’UE en matière de sécurité routière pour la décennie d’action 2021-2030 </w:t>
      </w:r>
      <w:hyperlink r:id="rId47" w:history="1">
        <w:r>
          <w:rPr>
            <w:rStyle w:val="Hyperlink"/>
          </w:rPr>
          <w:t>https://data.europa.eu/doi/10.2832/2974277</w:t>
        </w:r>
      </w:hyperlink>
      <w:r>
        <w:t xml:space="preserve">; </w:t>
      </w:r>
      <w:hyperlink r:id="rId48" w:history="1">
        <w:r>
          <w:rPr>
            <w:rStyle w:val="Hyperlink"/>
          </w:rPr>
          <w:t>https://op.europa.eu/en/</w:t>
        </w:r>
      </w:hyperlink>
      <w:r>
        <w:t xml:space="preserve"> </w:t>
      </w:r>
    </w:p>
  </w:footnote>
  <w:footnote w:id="56">
    <w:p w14:paraId="62E12461" w14:textId="47538488" w:rsidR="006D08CC" w:rsidRPr="008A49B6" w:rsidRDefault="006D08CC">
      <w:pPr>
        <w:pStyle w:val="FootnoteText"/>
      </w:pPr>
      <w:r>
        <w:rPr>
          <w:rStyle w:val="FootnoteReference"/>
        </w:rPr>
        <w:footnoteRef/>
      </w:r>
      <w:r>
        <w:t xml:space="preserve"> </w:t>
      </w:r>
      <w:r>
        <w:tab/>
        <w:t>À titre d’exemple, le projet IMPROVA financé par Horizon Europe a réalisé un examen systémique de plus de 1 400 études sur les effets psychologiques des accidents de la route et a mis au jour une série de conséquences à long terme, notamment des troubles liés au stress (tels que des troubles du stress post-traumatique et des troubles de l’ajustement), des troubles anxieux et des phobies, des troubles affectifs de l’humeur (tels que la dépression) et d’autres troubles fonctionnels.</w:t>
      </w:r>
    </w:p>
  </w:footnote>
  <w:footnote w:id="57">
    <w:p w14:paraId="2ED18851" w14:textId="792A7C2D" w:rsidR="006D08CC" w:rsidRPr="008A49B6" w:rsidRDefault="006D08CC">
      <w:pPr>
        <w:pStyle w:val="FootnoteText"/>
      </w:pPr>
      <w:r>
        <w:rPr>
          <w:rStyle w:val="FootnoteReference"/>
        </w:rPr>
        <w:footnoteRef/>
      </w:r>
      <w:r>
        <w:t xml:space="preserve"> </w:t>
      </w:r>
      <w:r>
        <w:tab/>
        <w:t>Une étude néerlandaise récente (</w:t>
      </w:r>
      <w:hyperlink r:id="rId49" w:history="1">
        <w:r>
          <w:rPr>
            <w:rStyle w:val="Hyperlink"/>
          </w:rPr>
          <w:t>https://swov.nl/nl/publicatie/verkeersveiligheidseffecten-van-2e-tranchemaatregelen</w:t>
        </w:r>
      </w:hyperlink>
      <w:r>
        <w:t xml:space="preserve">) a estimé que le rapport entre les coûts et les avantages des investissements dans les infrastructures routières nationales se situait entre 1:7 et 1:2,5. Un rapport plus ancien de la Conférence européenne des directeurs des routes résumait les rapports coûts-avantages d’une série de mesures de sécurité routière: </w:t>
      </w:r>
      <w:hyperlink r:id="rId50" w:history="1">
        <w:r>
          <w:rPr>
            <w:rStyle w:val="Hyperlink"/>
          </w:rPr>
          <w:t>https://www.cedr.eu/download/Publications/2008/e_Road_Safety_Investments_Report.pdf</w:t>
        </w:r>
      </w:hyperlink>
      <w:r>
        <w:t xml:space="preserve">. </w:t>
      </w:r>
    </w:p>
  </w:footnote>
  <w:footnote w:id="58">
    <w:p w14:paraId="1A64C56C" w14:textId="38F35C19" w:rsidR="006D08CC" w:rsidRPr="008A49B6" w:rsidRDefault="006D08CC">
      <w:pPr>
        <w:pStyle w:val="FootnoteText"/>
      </w:pPr>
      <w:r>
        <w:rPr>
          <w:rStyle w:val="FootnoteReference"/>
        </w:rPr>
        <w:footnoteRef/>
      </w:r>
      <w:r>
        <w:t xml:space="preserve"> </w:t>
      </w:r>
      <w:r>
        <w:tab/>
      </w:r>
      <w:hyperlink r:id="rId51" w:history="1">
        <w:r>
          <w:rPr>
            <w:rStyle w:val="Hyperlink"/>
          </w:rPr>
          <w:t>https://www.acea.auto/publication/report-vehicles-on-european-roads-2025/</w:t>
        </w:r>
      </w:hyperlink>
      <w:r>
        <w:t>.</w:t>
      </w:r>
    </w:p>
    <w:p w14:paraId="314D13EC" w14:textId="77777777" w:rsidR="006D08CC" w:rsidRPr="008A49B6" w:rsidRDefault="006D08CC" w:rsidP="00454B76">
      <w:pPr>
        <w:pStyle w:val="FootnoteText"/>
        <w:ind w:left="0" w:firstLine="0"/>
      </w:pPr>
    </w:p>
  </w:footnote>
  <w:footnote w:id="59">
    <w:p w14:paraId="7EBD97C3" w14:textId="5F76054B" w:rsidR="006D08CC" w:rsidRPr="008A49B6" w:rsidRDefault="006D08CC">
      <w:pPr>
        <w:pStyle w:val="FootnoteText"/>
      </w:pPr>
      <w:r>
        <w:rPr>
          <w:rStyle w:val="FootnoteReference"/>
        </w:rPr>
        <w:footnoteRef/>
      </w:r>
      <w:r>
        <w:t xml:space="preserve"> </w:t>
      </w:r>
      <w:r>
        <w:tab/>
        <w:t>Par exemple, l’Union a cofinancé, dans le cadre d’Erasmus+, le programme «Knights for Road Safety» (Chevaliers pour la sécurité routière) destiné à sensibiliser les écoliers à la sécurité routière.</w:t>
      </w:r>
    </w:p>
  </w:footnote>
  <w:footnote w:id="60">
    <w:p w14:paraId="5A6D93BC" w14:textId="4DB601A3" w:rsidR="006D08CC" w:rsidRPr="008A49B6" w:rsidRDefault="006D08CC">
      <w:pPr>
        <w:pStyle w:val="FootnoteText"/>
      </w:pPr>
      <w:r>
        <w:rPr>
          <w:rStyle w:val="FootnoteReference"/>
        </w:rPr>
        <w:footnoteRef/>
      </w:r>
      <w:r>
        <w:t xml:space="preserve"> </w:t>
      </w:r>
      <w:r>
        <w:tab/>
        <w:t>Les campagnes d’éducation à la sécurité routière sont souvent mises à l’honneur lors de la cérémonie annuelle des Prix d’excellence de l’Union en matière de sécurité routière.</w:t>
      </w:r>
    </w:p>
  </w:footnote>
  <w:footnote w:id="61">
    <w:p w14:paraId="70E42CBE" w14:textId="203510DE" w:rsidR="00191C31" w:rsidRPr="008A49B6" w:rsidRDefault="00191C31">
      <w:pPr>
        <w:pStyle w:val="FootnoteText"/>
      </w:pPr>
      <w:r>
        <w:rPr>
          <w:rStyle w:val="FootnoteReference"/>
        </w:rPr>
        <w:footnoteRef/>
      </w:r>
      <w:r>
        <w:t xml:space="preserve"> </w:t>
      </w:r>
      <w:r>
        <w:tab/>
        <w:t>Règlement (UE) 2024/1679 du Parlement européen et du Conseil du 13 juin 2024 sur les orientations de l’Union pour le développement du réseau transeuropéen de transport, modifiant les règlements (UE) 2021/1153 et (UE) n° 913/2010 et abrogeant le règlement (UE) n° 1315/2013.</w:t>
      </w:r>
    </w:p>
  </w:footnote>
  <w:footnote w:id="62">
    <w:p w14:paraId="7A45172A" w14:textId="09A1545D" w:rsidR="00AE74F6" w:rsidRPr="008A49B6" w:rsidRDefault="00AE74F6" w:rsidP="00243214">
      <w:pPr>
        <w:pStyle w:val="FootnoteText"/>
      </w:pPr>
      <w:r>
        <w:rPr>
          <w:rStyle w:val="FootnoteReference"/>
        </w:rPr>
        <w:footnoteRef/>
      </w:r>
      <w:r>
        <w:t xml:space="preserve"> </w:t>
      </w:r>
      <w:r>
        <w:tab/>
        <w:t xml:space="preserve">Sur la base de l’article 5 et de l’article 6, points a) et d), de la directive GSIR établissant la carte de l’UE de classification des risques routiers qui couvre le réseau routier RTE-T, toutes les autoroutes, toutes les routes principales reliant les grandes villes ou régions et toutes les routes interurbaines financées par l’Union. </w:t>
      </w:r>
    </w:p>
  </w:footnote>
  <w:footnote w:id="63">
    <w:p w14:paraId="4ED1A765" w14:textId="29E6E23F" w:rsidR="00B5595C" w:rsidRPr="008A49B6" w:rsidRDefault="00B5595C">
      <w:pPr>
        <w:pStyle w:val="FootnoteText"/>
        <w:rPr>
          <w:rFonts w:eastAsiaTheme="minorEastAsia"/>
        </w:rPr>
      </w:pPr>
      <w:r>
        <w:rPr>
          <w:rStyle w:val="FootnoteReference"/>
        </w:rPr>
        <w:footnoteRef/>
      </w:r>
      <w:r>
        <w:t xml:space="preserve"> </w:t>
      </w:r>
      <w:r>
        <w:tab/>
        <w:t>La priorité devrait être accordée aux tronçons routiers les plus problématiques recensés dans le «</w:t>
      </w:r>
      <w:hyperlink r:id="rId52" w:history="1">
        <w:r>
          <w:rPr>
            <w:color w:val="0000FF"/>
            <w:u w:val="single"/>
          </w:rPr>
          <w:t>Network Wide Road Safety Assessment Methodology and Implementation Handbook</w:t>
        </w:r>
      </w:hyperlink>
      <w:r>
        <w:t>» (Manuel de méthodologie et de mise en œuvre de l’évaluation de la sécurité routière à l’échelle du réseau) (Commission européenne, 2023), ou conformément aux méthodologies nationales conformes à l’article 5 de la directive 2008/96/CE (directive GSIR).</w:t>
      </w:r>
    </w:p>
  </w:footnote>
  <w:footnote w:id="64">
    <w:p w14:paraId="782E3A57" w14:textId="16C63989" w:rsidR="00191C31" w:rsidRPr="008A49B6" w:rsidRDefault="00191C31">
      <w:pPr>
        <w:pStyle w:val="FootnoteText"/>
      </w:pPr>
      <w:r>
        <w:rPr>
          <w:rStyle w:val="FootnoteReference"/>
        </w:rPr>
        <w:footnoteRef/>
      </w:r>
      <w:r>
        <w:t xml:space="preserve"> </w:t>
      </w:r>
      <w:r>
        <w:tab/>
        <w:t>Règlement délégué (UE) n° 886/2013 de la Commission du 15 mai 2013 complétant la directive 2010/40/UE du Parlement européen et du Conseil en ce qui concerne les données et procédures pour la fourniture, dans la mesure du possible, d’informations minimales universelles sur la circulation liées à la sécurité routière gratuites pour les usagers.</w:t>
      </w:r>
    </w:p>
  </w:footnote>
  <w:footnote w:id="65">
    <w:p w14:paraId="71282A47" w14:textId="421DDC58" w:rsidR="00191C31" w:rsidRPr="008A49B6" w:rsidRDefault="00191C31">
      <w:pPr>
        <w:pStyle w:val="FootnoteText"/>
      </w:pPr>
      <w:r>
        <w:rPr>
          <w:rStyle w:val="FootnoteReference"/>
        </w:rPr>
        <w:footnoteRef/>
      </w:r>
      <w:r>
        <w:t xml:space="preserve"> </w:t>
      </w:r>
      <w:r>
        <w:tab/>
      </w:r>
      <w:hyperlink r:id="rId53" w:history="1">
        <w:r>
          <w:rPr>
            <w:rStyle w:val="Hyperlink"/>
          </w:rPr>
          <w:t>Directive (UE) 2023/2661 du Parlement européen et du Conseil du 22 novembre 2023 modifiant la directive 2010/40/UE concernant le cadre pour le déploiement de systèmes de transport intelligents dans le domaine du transport routier et d’interfaces avec d’autres modes de transport</w:t>
        </w:r>
      </w:hyperlink>
      <w:r>
        <w:t>.</w:t>
      </w:r>
    </w:p>
  </w:footnote>
  <w:footnote w:id="66">
    <w:p w14:paraId="1229C0AB" w14:textId="44DA35D3" w:rsidR="008E74EA" w:rsidRPr="008A49B6" w:rsidRDefault="003B7B8D" w:rsidP="008E74EA">
      <w:pPr>
        <w:pStyle w:val="FootnoteText"/>
      </w:pPr>
      <w:r>
        <w:rPr>
          <w:rStyle w:val="FootnoteReference"/>
        </w:rPr>
        <w:footnoteRef/>
      </w:r>
      <w:r>
        <w:t xml:space="preserve"> </w:t>
      </w:r>
      <w:r>
        <w:tab/>
      </w:r>
      <w:hyperlink r:id="rId54" w:history="1">
        <w:r>
          <w:rPr>
            <w:rStyle w:val="Hyperlink"/>
          </w:rPr>
          <w:t>https://transport.ec.europa.eu/transport-themes/urban-transport/expert-group-urban-mobility_en?prefLang=fr</w:t>
        </w:r>
      </w:hyperlink>
      <w:r>
        <w:t>.</w:t>
      </w:r>
    </w:p>
  </w:footnote>
  <w:footnote w:id="67">
    <w:p w14:paraId="37E654C4" w14:textId="5EB261F6" w:rsidR="00C417D8" w:rsidRPr="008A49B6" w:rsidRDefault="00C417D8">
      <w:pPr>
        <w:pStyle w:val="FootnoteText"/>
      </w:pPr>
      <w:r>
        <w:rPr>
          <w:rStyle w:val="FootnoteReference"/>
        </w:rPr>
        <w:footnoteRef/>
      </w:r>
      <w:r>
        <w:t xml:space="preserve"> </w:t>
      </w:r>
      <w:r>
        <w:tab/>
        <w:t>Règlement (UE) 2019/2144.</w:t>
      </w:r>
    </w:p>
  </w:footnote>
  <w:footnote w:id="68">
    <w:p w14:paraId="70CF544E" w14:textId="39CF9BBC" w:rsidR="00724F11" w:rsidRPr="008A49B6" w:rsidRDefault="00724F11">
      <w:pPr>
        <w:pStyle w:val="FootnoteText"/>
      </w:pPr>
      <w:r>
        <w:rPr>
          <w:rStyle w:val="FootnoteReference"/>
        </w:rPr>
        <w:footnoteRef/>
      </w:r>
      <w:r>
        <w:t xml:space="preserve"> </w:t>
      </w:r>
      <w:r>
        <w:tab/>
        <w:t xml:space="preserve">Study on the need for harmonised rules to support the rise of micro mobility and increased road safety for personal mobility devices (Étude sur la nécessité de règles harmonisées pour soutenir l’essor de la micromobilité et renforcer la sécurité routière des dispositifs de mobilité individuelle) – Rapport final (1.0), Office des publications de l’Union européenne, 2024 </w:t>
      </w:r>
      <w:hyperlink r:id="rId55" w:history="1">
        <w:r>
          <w:rPr>
            <w:rStyle w:val="Hyperlink"/>
          </w:rPr>
          <w:t>https://data.europa.eu/doi/10.2873/8572224</w:t>
        </w:r>
      </w:hyperlink>
      <w:r>
        <w:t>.</w:t>
      </w:r>
    </w:p>
  </w:footnote>
  <w:footnote w:id="69">
    <w:p w14:paraId="6245C946" w14:textId="7C64FA1F" w:rsidR="00CE07C7" w:rsidRPr="008A49B6" w:rsidRDefault="00CE07C7">
      <w:pPr>
        <w:pStyle w:val="FootnoteText"/>
      </w:pPr>
      <w:r>
        <w:rPr>
          <w:rStyle w:val="FootnoteReference"/>
        </w:rPr>
        <w:footnoteRef/>
      </w:r>
      <w:r>
        <w:t xml:space="preserve"> </w:t>
      </w:r>
      <w:r>
        <w:tab/>
        <w:t>Comme demandé par les ministres des transports lors de la réunion du Conseil «Transports, télécommunications et énergie» en décembre 2025.</w:t>
      </w:r>
    </w:p>
  </w:footnote>
  <w:footnote w:id="70">
    <w:p w14:paraId="0CA5FB70" w14:textId="06203CEF" w:rsidR="00191C31" w:rsidRPr="008A49B6" w:rsidRDefault="00191C31" w:rsidP="00191C31">
      <w:pPr>
        <w:pStyle w:val="FootnoteText"/>
      </w:pPr>
      <w:r>
        <w:rPr>
          <w:rStyle w:val="FootnoteReference"/>
        </w:rPr>
        <w:footnoteRef/>
      </w:r>
      <w:r>
        <w:t xml:space="preserve"> </w:t>
      </w:r>
      <w:r>
        <w:tab/>
      </w:r>
      <w:hyperlink r:id="rId56" w:history="1">
        <w:r>
          <w:rPr>
            <w:rStyle w:val="Hyperlink"/>
          </w:rPr>
          <w:t>https://urban-mobility-observatory.transport.ec.europa.eu/sustainable-urban-mobility-plans/expert-corner-sump-reference-materials_en?prefLang=fr</w:t>
        </w:r>
      </w:hyperlink>
      <w:r>
        <w:t>.</w:t>
      </w:r>
    </w:p>
  </w:footnote>
  <w:footnote w:id="71">
    <w:p w14:paraId="120959C9" w14:textId="23B9B8EB" w:rsidR="00B00887" w:rsidRPr="008A49B6" w:rsidRDefault="00B00887" w:rsidP="00D611AD">
      <w:pPr>
        <w:pStyle w:val="FootnoteText"/>
      </w:pPr>
      <w:r>
        <w:rPr>
          <w:rStyle w:val="FootnoteReference"/>
        </w:rPr>
        <w:footnoteRef/>
      </w:r>
      <w:r>
        <w:t xml:space="preserve"> </w:t>
      </w:r>
      <w:r>
        <w:tab/>
      </w:r>
      <w:hyperlink r:id="rId57" w:history="1">
        <w:r>
          <w:rPr>
            <w:rStyle w:val="Hyperlink"/>
          </w:rPr>
          <w:t>https://road-safety-charter.ec.europa.eu/</w:t>
        </w:r>
      </w:hyperlink>
      <w:r>
        <w:t>.</w:t>
      </w:r>
    </w:p>
  </w:footnote>
  <w:footnote w:id="72">
    <w:p w14:paraId="711A4F45" w14:textId="2623FB35" w:rsidR="00191C31" w:rsidRPr="008A49B6" w:rsidRDefault="00191C31">
      <w:pPr>
        <w:pStyle w:val="FootnoteText"/>
      </w:pPr>
      <w:r>
        <w:rPr>
          <w:rStyle w:val="FootnoteReference"/>
        </w:rPr>
        <w:footnoteRef/>
      </w:r>
      <w:r>
        <w:t xml:space="preserve"> </w:t>
      </w:r>
      <w:r>
        <w:tab/>
        <w:t>Saving Lives Beyond 2025: Taking Further Steps: Recommendations of the Academic Expert Group for the 4th Global Ministerial Conference on Road Safety (Sauver des vies au-delà de 2025: aller plus loin: recommandations du groupe d’experts universitaires pour la 4</w:t>
      </w:r>
      <w:r>
        <w:rPr>
          <w:vertAlign w:val="superscript"/>
        </w:rPr>
        <w:t>e</w:t>
      </w:r>
      <w:r>
        <w:t> Conférence ministérielle mondiale sur la sécurité routière), Administration suédoise des transports, 2025.</w:t>
      </w:r>
    </w:p>
  </w:footnote>
  <w:footnote w:id="73">
    <w:p w14:paraId="5D0ABB88" w14:textId="3F0B82B1" w:rsidR="00191C31" w:rsidRPr="008A49B6" w:rsidRDefault="00191C31">
      <w:pPr>
        <w:pStyle w:val="FootnoteText"/>
      </w:pPr>
      <w:r>
        <w:rPr>
          <w:rStyle w:val="FootnoteReference"/>
        </w:rPr>
        <w:footnoteRef/>
      </w:r>
      <w:r>
        <w:t xml:space="preserve"> </w:t>
      </w:r>
      <w:r>
        <w:tab/>
      </w:r>
      <w:hyperlink r:id="rId58" w:history="1">
        <w:r>
          <w:rPr>
            <w:rStyle w:val="Hyperlink"/>
          </w:rPr>
          <w:t>https://road-safety-charter.ec.europa.eu/content/excellence-road-safety-awards</w:t>
        </w:r>
      </w:hyperlink>
      <w:r>
        <w:t>.</w:t>
      </w:r>
    </w:p>
  </w:footnote>
  <w:footnote w:id="74">
    <w:p w14:paraId="076FEA04" w14:textId="7D0DF7F6" w:rsidR="00F52AA9" w:rsidRPr="008A49B6" w:rsidRDefault="00F52AA9">
      <w:pPr>
        <w:pStyle w:val="FootnoteText"/>
      </w:pPr>
      <w:r>
        <w:rPr>
          <w:rStyle w:val="FootnoteReference"/>
        </w:rPr>
        <w:footnoteRef/>
      </w:r>
      <w:r>
        <w:t xml:space="preserve"> </w:t>
      </w:r>
      <w:r>
        <w:tab/>
      </w:r>
      <w:hyperlink r:id="rId59" w:history="1">
        <w:r>
          <w:rPr>
            <w:rStyle w:val="Hyperlink"/>
          </w:rPr>
          <w:t>https://road-safety.transport.ec.europa.eu/european-road-safety-observatory_en?prefLang=fr</w:t>
        </w:r>
      </w:hyperlink>
      <w:r>
        <w:t>.</w:t>
      </w:r>
    </w:p>
  </w:footnote>
  <w:footnote w:id="75">
    <w:p w14:paraId="08623695" w14:textId="1A328C67" w:rsidR="00FB0AE3" w:rsidRPr="008A49B6" w:rsidRDefault="00FB0AE3" w:rsidP="00034FDC">
      <w:pPr>
        <w:pStyle w:val="FootnoteText"/>
      </w:pPr>
      <w:r>
        <w:rPr>
          <w:rStyle w:val="FootnoteReference"/>
        </w:rPr>
        <w:footnoteRef/>
      </w:r>
      <w:r>
        <w:t xml:space="preserve"> </w:t>
      </w:r>
      <w:r>
        <w:tab/>
        <w:t xml:space="preserve">Ce paquet comprenait trois directives: </w:t>
      </w:r>
      <w:hyperlink r:id="rId60" w:history="1">
        <w:r>
          <w:rPr>
            <w:rStyle w:val="Hyperlink"/>
          </w:rPr>
          <w:t>la directive (UE) 2025/2205 du Parlement européen et du Conseil du 22 octobre 2025 relative au permis de conduire</w:t>
        </w:r>
      </w:hyperlink>
      <w:r>
        <w:t xml:space="preserve">; </w:t>
      </w:r>
      <w:hyperlink r:id="rId61" w:history="1">
        <w:r>
          <w:rPr>
            <w:rStyle w:val="Hyperlink"/>
          </w:rPr>
          <w:t>la directive (UE) 2025/2206 du Parlement européen et du Conseil du 22 octobre 2025 modifiant la directive (UE) 2025/2205 en ce qui concerne certaines interdictions de conduire</w:t>
        </w:r>
      </w:hyperlink>
      <w:r>
        <w:t xml:space="preserve">; </w:t>
      </w:r>
      <w:hyperlink r:id="rId62" w:history="1">
        <w:r>
          <w:rPr>
            <w:rStyle w:val="Hyperlink"/>
          </w:rPr>
          <w:t>la directive (UE) 2024/3237 du Parlement européen et du Conseil du 19 décembre 2024 modifiant la directive (UE) 2015/413 facilitant l’échange transfrontalier d’informations concernant les infractions en matière de sécurité routière</w:t>
        </w:r>
      </w:hyperlink>
      <w:r>
        <w:t>.</w:t>
      </w:r>
    </w:p>
  </w:footnote>
  <w:footnote w:id="76">
    <w:p w14:paraId="67C78525" w14:textId="5BD56CB7" w:rsidR="0013585B" w:rsidRPr="00D73E07" w:rsidRDefault="0013585B" w:rsidP="0095435B">
      <w:pPr>
        <w:pStyle w:val="FootnoteText"/>
      </w:pPr>
      <w:r>
        <w:rPr>
          <w:rStyle w:val="FootnoteReference"/>
        </w:rPr>
        <w:footnoteRef/>
      </w:r>
      <w:r>
        <w:t xml:space="preserve"> </w:t>
      </w:r>
      <w:r>
        <w:tab/>
        <w:t xml:space="preserve">Communication de la Commission au Parlement européen, au Conseil européen, au Conseil, au Comité économique et social européen et au Comité des régions, Plan d’action industriel en faveur du secteur automobile, COM (2025/) 95 final du 5 mars 2025, </w:t>
      </w:r>
      <w:hyperlink r:id="rId63" w:history="1">
        <w:r>
          <w:rPr>
            <w:rStyle w:val="Hyperlink"/>
          </w:rPr>
          <w:t>https://eur-lex.europa.eu/legal-content/FR/TXT/?uri=celex:52025DC0095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3DCFB" w14:textId="77777777" w:rsidR="004B0DD5" w:rsidRPr="004B0DD5" w:rsidRDefault="004B0DD5" w:rsidP="004B0DD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8DC7D" w14:textId="77777777" w:rsidR="004B0DD5" w:rsidRPr="004B0DD5" w:rsidRDefault="004B0DD5" w:rsidP="004B0DD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6C963" w14:textId="77777777" w:rsidR="004B0DD5" w:rsidRPr="004B0DD5" w:rsidRDefault="004B0DD5" w:rsidP="004B0DD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230AF" w14:textId="77777777" w:rsidR="00AD2038" w:rsidRPr="008A49B6" w:rsidRDefault="00AD20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75A7" w14:textId="77777777" w:rsidR="00AD2038" w:rsidRPr="008A49B6" w:rsidRDefault="00AD20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CF454" w14:textId="77777777" w:rsidR="00AD2038" w:rsidRPr="008A49B6" w:rsidRDefault="00AD2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0CB"/>
    <w:multiLevelType w:val="multilevel"/>
    <w:tmpl w:val="7D9AFE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D3F12"/>
    <w:multiLevelType w:val="multilevel"/>
    <w:tmpl w:val="C21C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02399F"/>
    <w:multiLevelType w:val="multilevel"/>
    <w:tmpl w:val="6BC2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23D58"/>
    <w:multiLevelType w:val="multilevel"/>
    <w:tmpl w:val="336C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B4B57"/>
    <w:multiLevelType w:val="multilevel"/>
    <w:tmpl w:val="F7B2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512C3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2900F7"/>
    <w:multiLevelType w:val="multilevel"/>
    <w:tmpl w:val="746AA9A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3F549A"/>
    <w:multiLevelType w:val="multilevel"/>
    <w:tmpl w:val="D6C6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055EC4"/>
    <w:multiLevelType w:val="hybridMultilevel"/>
    <w:tmpl w:val="7E9807EA"/>
    <w:lvl w:ilvl="0" w:tplc="94C4AF0E">
      <w:start w:val="1"/>
      <w:numFmt w:val="bullet"/>
      <w:lvlText w:val=""/>
      <w:lvlJc w:val="left"/>
      <w:pPr>
        <w:ind w:left="720" w:hanging="360"/>
      </w:pPr>
      <w:rPr>
        <w:rFonts w:ascii="Symbol" w:hAnsi="Symbol" w:hint="default"/>
      </w:rPr>
    </w:lvl>
    <w:lvl w:ilvl="1" w:tplc="34BEAE70" w:tentative="1">
      <w:start w:val="1"/>
      <w:numFmt w:val="bullet"/>
      <w:lvlText w:val="o"/>
      <w:lvlJc w:val="left"/>
      <w:pPr>
        <w:ind w:left="1440" w:hanging="360"/>
      </w:pPr>
      <w:rPr>
        <w:rFonts w:ascii="Courier New" w:hAnsi="Courier New" w:hint="default"/>
      </w:rPr>
    </w:lvl>
    <w:lvl w:ilvl="2" w:tplc="B3D0DFA0" w:tentative="1">
      <w:start w:val="1"/>
      <w:numFmt w:val="bullet"/>
      <w:lvlText w:val=""/>
      <w:lvlJc w:val="left"/>
      <w:pPr>
        <w:ind w:left="2160" w:hanging="360"/>
      </w:pPr>
      <w:rPr>
        <w:rFonts w:ascii="Wingdings" w:hAnsi="Wingdings" w:hint="default"/>
      </w:rPr>
    </w:lvl>
    <w:lvl w:ilvl="3" w:tplc="7E5284A2" w:tentative="1">
      <w:start w:val="1"/>
      <w:numFmt w:val="bullet"/>
      <w:lvlText w:val=""/>
      <w:lvlJc w:val="left"/>
      <w:pPr>
        <w:ind w:left="2880" w:hanging="360"/>
      </w:pPr>
      <w:rPr>
        <w:rFonts w:ascii="Symbol" w:hAnsi="Symbol" w:hint="default"/>
      </w:rPr>
    </w:lvl>
    <w:lvl w:ilvl="4" w:tplc="A57ACC76" w:tentative="1">
      <w:start w:val="1"/>
      <w:numFmt w:val="bullet"/>
      <w:lvlText w:val="o"/>
      <w:lvlJc w:val="left"/>
      <w:pPr>
        <w:ind w:left="3600" w:hanging="360"/>
      </w:pPr>
      <w:rPr>
        <w:rFonts w:ascii="Courier New" w:hAnsi="Courier New" w:hint="default"/>
      </w:rPr>
    </w:lvl>
    <w:lvl w:ilvl="5" w:tplc="76367FE2" w:tentative="1">
      <w:start w:val="1"/>
      <w:numFmt w:val="bullet"/>
      <w:lvlText w:val=""/>
      <w:lvlJc w:val="left"/>
      <w:pPr>
        <w:ind w:left="4320" w:hanging="360"/>
      </w:pPr>
      <w:rPr>
        <w:rFonts w:ascii="Wingdings" w:hAnsi="Wingdings" w:hint="default"/>
      </w:rPr>
    </w:lvl>
    <w:lvl w:ilvl="6" w:tplc="9D729ABA" w:tentative="1">
      <w:start w:val="1"/>
      <w:numFmt w:val="bullet"/>
      <w:lvlText w:val=""/>
      <w:lvlJc w:val="left"/>
      <w:pPr>
        <w:ind w:left="5040" w:hanging="360"/>
      </w:pPr>
      <w:rPr>
        <w:rFonts w:ascii="Symbol" w:hAnsi="Symbol" w:hint="default"/>
      </w:rPr>
    </w:lvl>
    <w:lvl w:ilvl="7" w:tplc="6BFC3F2A" w:tentative="1">
      <w:start w:val="1"/>
      <w:numFmt w:val="bullet"/>
      <w:lvlText w:val="o"/>
      <w:lvlJc w:val="left"/>
      <w:pPr>
        <w:ind w:left="5760" w:hanging="360"/>
      </w:pPr>
      <w:rPr>
        <w:rFonts w:ascii="Courier New" w:hAnsi="Courier New" w:hint="default"/>
      </w:rPr>
    </w:lvl>
    <w:lvl w:ilvl="8" w:tplc="965CDBB0" w:tentative="1">
      <w:start w:val="1"/>
      <w:numFmt w:val="bullet"/>
      <w:lvlText w:val=""/>
      <w:lvlJc w:val="left"/>
      <w:pPr>
        <w:ind w:left="6480" w:hanging="360"/>
      </w:pPr>
      <w:rPr>
        <w:rFonts w:ascii="Wingdings" w:hAnsi="Wingdings" w:hint="default"/>
      </w:rPr>
    </w:lvl>
  </w:abstractNum>
  <w:abstractNum w:abstractNumId="9" w15:restartNumberingAfterBreak="0">
    <w:nsid w:val="0C5C6692"/>
    <w:multiLevelType w:val="hybridMultilevel"/>
    <w:tmpl w:val="8BF24884"/>
    <w:lvl w:ilvl="0" w:tplc="7A84BCCE">
      <w:start w:val="1"/>
      <w:numFmt w:val="bullet"/>
      <w:lvlText w:val=""/>
      <w:lvlJc w:val="left"/>
      <w:pPr>
        <w:ind w:left="720" w:hanging="360"/>
      </w:pPr>
      <w:rPr>
        <w:rFonts w:ascii="Symbol" w:hAnsi="Symbol" w:hint="default"/>
      </w:rPr>
    </w:lvl>
    <w:lvl w:ilvl="1" w:tplc="DF8A2D0C" w:tentative="1">
      <w:start w:val="1"/>
      <w:numFmt w:val="bullet"/>
      <w:lvlText w:val="o"/>
      <w:lvlJc w:val="left"/>
      <w:pPr>
        <w:ind w:left="1440" w:hanging="360"/>
      </w:pPr>
      <w:rPr>
        <w:rFonts w:ascii="Courier New" w:hAnsi="Courier New" w:hint="default"/>
      </w:rPr>
    </w:lvl>
    <w:lvl w:ilvl="2" w:tplc="A184DE3E" w:tentative="1">
      <w:start w:val="1"/>
      <w:numFmt w:val="bullet"/>
      <w:lvlText w:val=""/>
      <w:lvlJc w:val="left"/>
      <w:pPr>
        <w:ind w:left="2160" w:hanging="360"/>
      </w:pPr>
      <w:rPr>
        <w:rFonts w:ascii="Wingdings" w:hAnsi="Wingdings" w:hint="default"/>
      </w:rPr>
    </w:lvl>
    <w:lvl w:ilvl="3" w:tplc="A3C8D3E6" w:tentative="1">
      <w:start w:val="1"/>
      <w:numFmt w:val="bullet"/>
      <w:lvlText w:val=""/>
      <w:lvlJc w:val="left"/>
      <w:pPr>
        <w:ind w:left="2880" w:hanging="360"/>
      </w:pPr>
      <w:rPr>
        <w:rFonts w:ascii="Symbol" w:hAnsi="Symbol" w:hint="default"/>
      </w:rPr>
    </w:lvl>
    <w:lvl w:ilvl="4" w:tplc="D6562CC6" w:tentative="1">
      <w:start w:val="1"/>
      <w:numFmt w:val="bullet"/>
      <w:lvlText w:val="o"/>
      <w:lvlJc w:val="left"/>
      <w:pPr>
        <w:ind w:left="3600" w:hanging="360"/>
      </w:pPr>
      <w:rPr>
        <w:rFonts w:ascii="Courier New" w:hAnsi="Courier New" w:hint="default"/>
      </w:rPr>
    </w:lvl>
    <w:lvl w:ilvl="5" w:tplc="2C447D3A" w:tentative="1">
      <w:start w:val="1"/>
      <w:numFmt w:val="bullet"/>
      <w:lvlText w:val=""/>
      <w:lvlJc w:val="left"/>
      <w:pPr>
        <w:ind w:left="4320" w:hanging="360"/>
      </w:pPr>
      <w:rPr>
        <w:rFonts w:ascii="Wingdings" w:hAnsi="Wingdings" w:hint="default"/>
      </w:rPr>
    </w:lvl>
    <w:lvl w:ilvl="6" w:tplc="8224FF2E" w:tentative="1">
      <w:start w:val="1"/>
      <w:numFmt w:val="bullet"/>
      <w:lvlText w:val=""/>
      <w:lvlJc w:val="left"/>
      <w:pPr>
        <w:ind w:left="5040" w:hanging="360"/>
      </w:pPr>
      <w:rPr>
        <w:rFonts w:ascii="Symbol" w:hAnsi="Symbol" w:hint="default"/>
      </w:rPr>
    </w:lvl>
    <w:lvl w:ilvl="7" w:tplc="40601A2E" w:tentative="1">
      <w:start w:val="1"/>
      <w:numFmt w:val="bullet"/>
      <w:lvlText w:val="o"/>
      <w:lvlJc w:val="left"/>
      <w:pPr>
        <w:ind w:left="5760" w:hanging="360"/>
      </w:pPr>
      <w:rPr>
        <w:rFonts w:ascii="Courier New" w:hAnsi="Courier New" w:hint="default"/>
      </w:rPr>
    </w:lvl>
    <w:lvl w:ilvl="8" w:tplc="B7F839F2" w:tentative="1">
      <w:start w:val="1"/>
      <w:numFmt w:val="bullet"/>
      <w:lvlText w:val=""/>
      <w:lvlJc w:val="left"/>
      <w:pPr>
        <w:ind w:left="6480" w:hanging="360"/>
      </w:pPr>
      <w:rPr>
        <w:rFonts w:ascii="Wingdings" w:hAnsi="Wingdings" w:hint="default"/>
      </w:rPr>
    </w:lvl>
  </w:abstractNum>
  <w:abstractNum w:abstractNumId="10" w15:restartNumberingAfterBreak="0">
    <w:nsid w:val="0EFB7115"/>
    <w:multiLevelType w:val="multilevel"/>
    <w:tmpl w:val="2F5C2CC2"/>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751"/>
        </w:tabs>
        <w:ind w:left="4751"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DD199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912BD6"/>
    <w:multiLevelType w:val="multilevel"/>
    <w:tmpl w:val="FAF0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CC745B"/>
    <w:multiLevelType w:val="multilevel"/>
    <w:tmpl w:val="35CAED8A"/>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E23677"/>
    <w:multiLevelType w:val="multilevel"/>
    <w:tmpl w:val="8652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0B7201"/>
    <w:multiLevelType w:val="multilevel"/>
    <w:tmpl w:val="3ED8670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43D0A16"/>
    <w:multiLevelType w:val="multilevel"/>
    <w:tmpl w:val="D45EC4D6"/>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4404691"/>
    <w:multiLevelType w:val="hybridMultilevel"/>
    <w:tmpl w:val="FFFFFFFF"/>
    <w:lvl w:ilvl="0" w:tplc="79149332">
      <w:start w:val="1"/>
      <w:numFmt w:val="bullet"/>
      <w:lvlText w:val=""/>
      <w:lvlJc w:val="left"/>
      <w:pPr>
        <w:ind w:left="720" w:hanging="360"/>
      </w:pPr>
      <w:rPr>
        <w:rFonts w:ascii="Symbol" w:hAnsi="Symbol" w:hint="default"/>
      </w:rPr>
    </w:lvl>
    <w:lvl w:ilvl="1" w:tplc="7220C250">
      <w:start w:val="1"/>
      <w:numFmt w:val="bullet"/>
      <w:lvlText w:val="o"/>
      <w:lvlJc w:val="left"/>
      <w:pPr>
        <w:ind w:left="1440" w:hanging="360"/>
      </w:pPr>
      <w:rPr>
        <w:rFonts w:ascii="Courier New" w:hAnsi="Courier New" w:hint="default"/>
      </w:rPr>
    </w:lvl>
    <w:lvl w:ilvl="2" w:tplc="FDA41060">
      <w:start w:val="1"/>
      <w:numFmt w:val="bullet"/>
      <w:lvlText w:val=""/>
      <w:lvlJc w:val="left"/>
      <w:pPr>
        <w:ind w:left="2160" w:hanging="360"/>
      </w:pPr>
      <w:rPr>
        <w:rFonts w:ascii="Wingdings" w:hAnsi="Wingdings" w:hint="default"/>
      </w:rPr>
    </w:lvl>
    <w:lvl w:ilvl="3" w:tplc="A49C66F4">
      <w:start w:val="1"/>
      <w:numFmt w:val="bullet"/>
      <w:lvlText w:val=""/>
      <w:lvlJc w:val="left"/>
      <w:pPr>
        <w:ind w:left="2880" w:hanging="360"/>
      </w:pPr>
      <w:rPr>
        <w:rFonts w:ascii="Symbol" w:hAnsi="Symbol" w:hint="default"/>
      </w:rPr>
    </w:lvl>
    <w:lvl w:ilvl="4" w:tplc="33A0CB48">
      <w:start w:val="1"/>
      <w:numFmt w:val="bullet"/>
      <w:lvlText w:val="o"/>
      <w:lvlJc w:val="left"/>
      <w:pPr>
        <w:ind w:left="3600" w:hanging="360"/>
      </w:pPr>
      <w:rPr>
        <w:rFonts w:ascii="Courier New" w:hAnsi="Courier New" w:hint="default"/>
      </w:rPr>
    </w:lvl>
    <w:lvl w:ilvl="5" w:tplc="1B340C8E">
      <w:start w:val="1"/>
      <w:numFmt w:val="bullet"/>
      <w:lvlText w:val=""/>
      <w:lvlJc w:val="left"/>
      <w:pPr>
        <w:ind w:left="4320" w:hanging="360"/>
      </w:pPr>
      <w:rPr>
        <w:rFonts w:ascii="Wingdings" w:hAnsi="Wingdings" w:hint="default"/>
      </w:rPr>
    </w:lvl>
    <w:lvl w:ilvl="6" w:tplc="274AA434">
      <w:start w:val="1"/>
      <w:numFmt w:val="bullet"/>
      <w:lvlText w:val=""/>
      <w:lvlJc w:val="left"/>
      <w:pPr>
        <w:ind w:left="5040" w:hanging="360"/>
      </w:pPr>
      <w:rPr>
        <w:rFonts w:ascii="Symbol" w:hAnsi="Symbol" w:hint="default"/>
      </w:rPr>
    </w:lvl>
    <w:lvl w:ilvl="7" w:tplc="E60CDF8C">
      <w:start w:val="1"/>
      <w:numFmt w:val="bullet"/>
      <w:lvlText w:val="o"/>
      <w:lvlJc w:val="left"/>
      <w:pPr>
        <w:ind w:left="5760" w:hanging="360"/>
      </w:pPr>
      <w:rPr>
        <w:rFonts w:ascii="Courier New" w:hAnsi="Courier New" w:hint="default"/>
      </w:rPr>
    </w:lvl>
    <w:lvl w:ilvl="8" w:tplc="8AD24610">
      <w:start w:val="1"/>
      <w:numFmt w:val="bullet"/>
      <w:lvlText w:val=""/>
      <w:lvlJc w:val="left"/>
      <w:pPr>
        <w:ind w:left="6480" w:hanging="360"/>
      </w:pPr>
      <w:rPr>
        <w:rFonts w:ascii="Wingdings" w:hAnsi="Wingdings" w:hint="default"/>
      </w:rPr>
    </w:lvl>
  </w:abstractNum>
  <w:abstractNum w:abstractNumId="19" w15:restartNumberingAfterBreak="0">
    <w:nsid w:val="14844403"/>
    <w:multiLevelType w:val="multilevel"/>
    <w:tmpl w:val="BAB8B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56A303D"/>
    <w:multiLevelType w:val="multilevel"/>
    <w:tmpl w:val="8A98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6B37999"/>
    <w:multiLevelType w:val="multilevel"/>
    <w:tmpl w:val="788A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72F0AC5"/>
    <w:multiLevelType w:val="multilevel"/>
    <w:tmpl w:val="8884CB1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8483943"/>
    <w:multiLevelType w:val="hybridMultilevel"/>
    <w:tmpl w:val="0FA82090"/>
    <w:lvl w:ilvl="0" w:tplc="6A48C232">
      <w:start w:val="1"/>
      <w:numFmt w:val="bullet"/>
      <w:lvlText w:val=""/>
      <w:lvlJc w:val="left"/>
      <w:pPr>
        <w:ind w:left="720" w:hanging="360"/>
      </w:pPr>
      <w:rPr>
        <w:rFonts w:ascii="Symbol" w:hAnsi="Symbol" w:hint="default"/>
      </w:rPr>
    </w:lvl>
    <w:lvl w:ilvl="1" w:tplc="9FCCE752" w:tentative="1">
      <w:start w:val="1"/>
      <w:numFmt w:val="bullet"/>
      <w:lvlText w:val="o"/>
      <w:lvlJc w:val="left"/>
      <w:pPr>
        <w:ind w:left="1440" w:hanging="360"/>
      </w:pPr>
      <w:rPr>
        <w:rFonts w:ascii="Courier New" w:hAnsi="Courier New" w:hint="default"/>
      </w:rPr>
    </w:lvl>
    <w:lvl w:ilvl="2" w:tplc="B2F6011E" w:tentative="1">
      <w:start w:val="1"/>
      <w:numFmt w:val="bullet"/>
      <w:lvlText w:val=""/>
      <w:lvlJc w:val="left"/>
      <w:pPr>
        <w:ind w:left="2160" w:hanging="360"/>
      </w:pPr>
      <w:rPr>
        <w:rFonts w:ascii="Wingdings" w:hAnsi="Wingdings" w:hint="default"/>
      </w:rPr>
    </w:lvl>
    <w:lvl w:ilvl="3" w:tplc="27D45DFE" w:tentative="1">
      <w:start w:val="1"/>
      <w:numFmt w:val="bullet"/>
      <w:lvlText w:val=""/>
      <w:lvlJc w:val="left"/>
      <w:pPr>
        <w:ind w:left="2880" w:hanging="360"/>
      </w:pPr>
      <w:rPr>
        <w:rFonts w:ascii="Symbol" w:hAnsi="Symbol" w:hint="default"/>
      </w:rPr>
    </w:lvl>
    <w:lvl w:ilvl="4" w:tplc="3990D6E2" w:tentative="1">
      <w:start w:val="1"/>
      <w:numFmt w:val="bullet"/>
      <w:lvlText w:val="o"/>
      <w:lvlJc w:val="left"/>
      <w:pPr>
        <w:ind w:left="3600" w:hanging="360"/>
      </w:pPr>
      <w:rPr>
        <w:rFonts w:ascii="Courier New" w:hAnsi="Courier New" w:hint="default"/>
      </w:rPr>
    </w:lvl>
    <w:lvl w:ilvl="5" w:tplc="1BB2C720" w:tentative="1">
      <w:start w:val="1"/>
      <w:numFmt w:val="bullet"/>
      <w:lvlText w:val=""/>
      <w:lvlJc w:val="left"/>
      <w:pPr>
        <w:ind w:left="4320" w:hanging="360"/>
      </w:pPr>
      <w:rPr>
        <w:rFonts w:ascii="Wingdings" w:hAnsi="Wingdings" w:hint="default"/>
      </w:rPr>
    </w:lvl>
    <w:lvl w:ilvl="6" w:tplc="C9ECF2FE" w:tentative="1">
      <w:start w:val="1"/>
      <w:numFmt w:val="bullet"/>
      <w:lvlText w:val=""/>
      <w:lvlJc w:val="left"/>
      <w:pPr>
        <w:ind w:left="5040" w:hanging="360"/>
      </w:pPr>
      <w:rPr>
        <w:rFonts w:ascii="Symbol" w:hAnsi="Symbol" w:hint="default"/>
      </w:rPr>
    </w:lvl>
    <w:lvl w:ilvl="7" w:tplc="9A9A9AF6" w:tentative="1">
      <w:start w:val="1"/>
      <w:numFmt w:val="bullet"/>
      <w:lvlText w:val="o"/>
      <w:lvlJc w:val="left"/>
      <w:pPr>
        <w:ind w:left="5760" w:hanging="360"/>
      </w:pPr>
      <w:rPr>
        <w:rFonts w:ascii="Courier New" w:hAnsi="Courier New" w:hint="default"/>
      </w:rPr>
    </w:lvl>
    <w:lvl w:ilvl="8" w:tplc="3E9E9FFA" w:tentative="1">
      <w:start w:val="1"/>
      <w:numFmt w:val="bullet"/>
      <w:lvlText w:val=""/>
      <w:lvlJc w:val="left"/>
      <w:pPr>
        <w:ind w:left="6480" w:hanging="360"/>
      </w:pPr>
      <w:rPr>
        <w:rFonts w:ascii="Wingdings" w:hAnsi="Wingdings" w:hint="default"/>
      </w:rPr>
    </w:lvl>
  </w:abstractNum>
  <w:abstractNum w:abstractNumId="24" w15:restartNumberingAfterBreak="0">
    <w:nsid w:val="1A5326D5"/>
    <w:multiLevelType w:val="multilevel"/>
    <w:tmpl w:val="F93E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E20423"/>
    <w:multiLevelType w:val="multilevel"/>
    <w:tmpl w:val="DA046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BF24E87"/>
    <w:multiLevelType w:val="multilevel"/>
    <w:tmpl w:val="C50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C7B624F"/>
    <w:multiLevelType w:val="multilevel"/>
    <w:tmpl w:val="23421EE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7500DE"/>
    <w:multiLevelType w:val="multilevel"/>
    <w:tmpl w:val="ED92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B20503"/>
    <w:multiLevelType w:val="hybridMultilevel"/>
    <w:tmpl w:val="08DAF664"/>
    <w:lvl w:ilvl="0" w:tplc="22DEE01C">
      <w:start w:val="1"/>
      <w:numFmt w:val="bullet"/>
      <w:lvlText w:val=""/>
      <w:lvlJc w:val="left"/>
      <w:pPr>
        <w:ind w:left="720" w:hanging="360"/>
      </w:pPr>
      <w:rPr>
        <w:rFonts w:ascii="Symbol" w:hAnsi="Symbol" w:hint="default"/>
      </w:rPr>
    </w:lvl>
    <w:lvl w:ilvl="1" w:tplc="4AD40984">
      <w:start w:val="1"/>
      <w:numFmt w:val="bullet"/>
      <w:lvlText w:val="o"/>
      <w:lvlJc w:val="left"/>
      <w:pPr>
        <w:ind w:left="1440" w:hanging="360"/>
      </w:pPr>
      <w:rPr>
        <w:rFonts w:ascii="Courier New" w:hAnsi="Courier New" w:hint="default"/>
      </w:rPr>
    </w:lvl>
    <w:lvl w:ilvl="2" w:tplc="73889382" w:tentative="1">
      <w:start w:val="1"/>
      <w:numFmt w:val="bullet"/>
      <w:lvlText w:val=""/>
      <w:lvlJc w:val="left"/>
      <w:pPr>
        <w:ind w:left="2160" w:hanging="360"/>
      </w:pPr>
      <w:rPr>
        <w:rFonts w:ascii="Wingdings" w:hAnsi="Wingdings" w:hint="default"/>
      </w:rPr>
    </w:lvl>
    <w:lvl w:ilvl="3" w:tplc="77CEA178" w:tentative="1">
      <w:start w:val="1"/>
      <w:numFmt w:val="bullet"/>
      <w:lvlText w:val=""/>
      <w:lvlJc w:val="left"/>
      <w:pPr>
        <w:ind w:left="2880" w:hanging="360"/>
      </w:pPr>
      <w:rPr>
        <w:rFonts w:ascii="Symbol" w:hAnsi="Symbol" w:hint="default"/>
      </w:rPr>
    </w:lvl>
    <w:lvl w:ilvl="4" w:tplc="E960A222" w:tentative="1">
      <w:start w:val="1"/>
      <w:numFmt w:val="bullet"/>
      <w:lvlText w:val="o"/>
      <w:lvlJc w:val="left"/>
      <w:pPr>
        <w:ind w:left="3600" w:hanging="360"/>
      </w:pPr>
      <w:rPr>
        <w:rFonts w:ascii="Courier New" w:hAnsi="Courier New" w:hint="default"/>
      </w:rPr>
    </w:lvl>
    <w:lvl w:ilvl="5" w:tplc="9E20B112" w:tentative="1">
      <w:start w:val="1"/>
      <w:numFmt w:val="bullet"/>
      <w:lvlText w:val=""/>
      <w:lvlJc w:val="left"/>
      <w:pPr>
        <w:ind w:left="4320" w:hanging="360"/>
      </w:pPr>
      <w:rPr>
        <w:rFonts w:ascii="Wingdings" w:hAnsi="Wingdings" w:hint="default"/>
      </w:rPr>
    </w:lvl>
    <w:lvl w:ilvl="6" w:tplc="70D2AC10" w:tentative="1">
      <w:start w:val="1"/>
      <w:numFmt w:val="bullet"/>
      <w:lvlText w:val=""/>
      <w:lvlJc w:val="left"/>
      <w:pPr>
        <w:ind w:left="5040" w:hanging="360"/>
      </w:pPr>
      <w:rPr>
        <w:rFonts w:ascii="Symbol" w:hAnsi="Symbol" w:hint="default"/>
      </w:rPr>
    </w:lvl>
    <w:lvl w:ilvl="7" w:tplc="60DEBABC" w:tentative="1">
      <w:start w:val="1"/>
      <w:numFmt w:val="bullet"/>
      <w:lvlText w:val="o"/>
      <w:lvlJc w:val="left"/>
      <w:pPr>
        <w:ind w:left="5760" w:hanging="360"/>
      </w:pPr>
      <w:rPr>
        <w:rFonts w:ascii="Courier New" w:hAnsi="Courier New" w:hint="default"/>
      </w:rPr>
    </w:lvl>
    <w:lvl w:ilvl="8" w:tplc="5CAEE08A" w:tentative="1">
      <w:start w:val="1"/>
      <w:numFmt w:val="bullet"/>
      <w:lvlText w:val=""/>
      <w:lvlJc w:val="left"/>
      <w:pPr>
        <w:ind w:left="6480" w:hanging="360"/>
      </w:pPr>
      <w:rPr>
        <w:rFonts w:ascii="Wingdings" w:hAnsi="Wingdings" w:hint="default"/>
      </w:rPr>
    </w:lvl>
  </w:abstractNum>
  <w:abstractNum w:abstractNumId="30" w15:restartNumberingAfterBreak="0">
    <w:nsid w:val="24D52C22"/>
    <w:multiLevelType w:val="hybridMultilevel"/>
    <w:tmpl w:val="79CAAD78"/>
    <w:lvl w:ilvl="0" w:tplc="22DEE0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7642AF"/>
    <w:multiLevelType w:val="multilevel"/>
    <w:tmpl w:val="E20C98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8113EC5"/>
    <w:multiLevelType w:val="hybridMultilevel"/>
    <w:tmpl w:val="73A04500"/>
    <w:lvl w:ilvl="0" w:tplc="F7006BBA">
      <w:start w:val="1"/>
      <w:numFmt w:val="bullet"/>
      <w:lvlText w:val=""/>
      <w:lvlJc w:val="left"/>
      <w:pPr>
        <w:ind w:left="720" w:hanging="360"/>
      </w:pPr>
      <w:rPr>
        <w:rFonts w:ascii="Symbol" w:hAnsi="Symbol" w:hint="default"/>
      </w:rPr>
    </w:lvl>
    <w:lvl w:ilvl="1" w:tplc="23D27EB4">
      <w:start w:val="1"/>
      <w:numFmt w:val="bullet"/>
      <w:lvlText w:val="o"/>
      <w:lvlJc w:val="left"/>
      <w:pPr>
        <w:ind w:left="1440" w:hanging="360"/>
      </w:pPr>
      <w:rPr>
        <w:rFonts w:ascii="Courier New" w:hAnsi="Courier New" w:hint="default"/>
      </w:rPr>
    </w:lvl>
    <w:lvl w:ilvl="2" w:tplc="4E9C13C4" w:tentative="1">
      <w:start w:val="1"/>
      <w:numFmt w:val="bullet"/>
      <w:lvlText w:val=""/>
      <w:lvlJc w:val="left"/>
      <w:pPr>
        <w:ind w:left="2160" w:hanging="360"/>
      </w:pPr>
      <w:rPr>
        <w:rFonts w:ascii="Wingdings" w:hAnsi="Wingdings" w:hint="default"/>
      </w:rPr>
    </w:lvl>
    <w:lvl w:ilvl="3" w:tplc="A70AB3E0" w:tentative="1">
      <w:start w:val="1"/>
      <w:numFmt w:val="bullet"/>
      <w:lvlText w:val=""/>
      <w:lvlJc w:val="left"/>
      <w:pPr>
        <w:ind w:left="2880" w:hanging="360"/>
      </w:pPr>
      <w:rPr>
        <w:rFonts w:ascii="Symbol" w:hAnsi="Symbol" w:hint="default"/>
      </w:rPr>
    </w:lvl>
    <w:lvl w:ilvl="4" w:tplc="453EB9D2" w:tentative="1">
      <w:start w:val="1"/>
      <w:numFmt w:val="bullet"/>
      <w:lvlText w:val="o"/>
      <w:lvlJc w:val="left"/>
      <w:pPr>
        <w:ind w:left="3600" w:hanging="360"/>
      </w:pPr>
      <w:rPr>
        <w:rFonts w:ascii="Courier New" w:hAnsi="Courier New" w:hint="default"/>
      </w:rPr>
    </w:lvl>
    <w:lvl w:ilvl="5" w:tplc="26BC41D0" w:tentative="1">
      <w:start w:val="1"/>
      <w:numFmt w:val="bullet"/>
      <w:lvlText w:val=""/>
      <w:lvlJc w:val="left"/>
      <w:pPr>
        <w:ind w:left="4320" w:hanging="360"/>
      </w:pPr>
      <w:rPr>
        <w:rFonts w:ascii="Wingdings" w:hAnsi="Wingdings" w:hint="default"/>
      </w:rPr>
    </w:lvl>
    <w:lvl w:ilvl="6" w:tplc="2FE0F82E" w:tentative="1">
      <w:start w:val="1"/>
      <w:numFmt w:val="bullet"/>
      <w:lvlText w:val=""/>
      <w:lvlJc w:val="left"/>
      <w:pPr>
        <w:ind w:left="5040" w:hanging="360"/>
      </w:pPr>
      <w:rPr>
        <w:rFonts w:ascii="Symbol" w:hAnsi="Symbol" w:hint="default"/>
      </w:rPr>
    </w:lvl>
    <w:lvl w:ilvl="7" w:tplc="8B0A9614" w:tentative="1">
      <w:start w:val="1"/>
      <w:numFmt w:val="bullet"/>
      <w:lvlText w:val="o"/>
      <w:lvlJc w:val="left"/>
      <w:pPr>
        <w:ind w:left="5760" w:hanging="360"/>
      </w:pPr>
      <w:rPr>
        <w:rFonts w:ascii="Courier New" w:hAnsi="Courier New" w:hint="default"/>
      </w:rPr>
    </w:lvl>
    <w:lvl w:ilvl="8" w:tplc="ED86F5C2" w:tentative="1">
      <w:start w:val="1"/>
      <w:numFmt w:val="bullet"/>
      <w:lvlText w:val=""/>
      <w:lvlJc w:val="left"/>
      <w:pPr>
        <w:ind w:left="6480" w:hanging="360"/>
      </w:pPr>
      <w:rPr>
        <w:rFonts w:ascii="Wingdings" w:hAnsi="Wingdings" w:hint="default"/>
      </w:rPr>
    </w:lvl>
  </w:abstractNum>
  <w:abstractNum w:abstractNumId="33" w15:restartNumberingAfterBreak="0">
    <w:nsid w:val="2A720581"/>
    <w:multiLevelType w:val="multilevel"/>
    <w:tmpl w:val="8744D0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820814"/>
    <w:multiLevelType w:val="multilevel"/>
    <w:tmpl w:val="52BC80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8DFDF8"/>
    <w:multiLevelType w:val="multilevel"/>
    <w:tmpl w:val="F2880138"/>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CB71408"/>
    <w:multiLevelType w:val="multilevel"/>
    <w:tmpl w:val="7748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293CE3"/>
    <w:multiLevelType w:val="multilevel"/>
    <w:tmpl w:val="5CD4C4EA"/>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E5939EF"/>
    <w:multiLevelType w:val="multilevel"/>
    <w:tmpl w:val="9A82DC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F5D3351"/>
    <w:multiLevelType w:val="hybridMultilevel"/>
    <w:tmpl w:val="D212A6D6"/>
    <w:styleLink w:val="ImportedStyle2"/>
    <w:lvl w:ilvl="0" w:tplc="4E60232C">
      <w:start w:val="1"/>
      <w:numFmt w:val="bullet"/>
      <w:lvlText w:val="·"/>
      <w:lvlJc w:val="left"/>
      <w:pPr>
        <w:ind w:left="72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1" w:tplc="C7465E5C">
      <w:start w:val="1"/>
      <w:numFmt w:val="bullet"/>
      <w:lvlText w:val="o"/>
      <w:lvlJc w:val="left"/>
      <w:pPr>
        <w:ind w:left="144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2" w:tplc="6E623518">
      <w:start w:val="1"/>
      <w:numFmt w:val="bullet"/>
      <w:lvlText w:val="▪"/>
      <w:lvlJc w:val="left"/>
      <w:pPr>
        <w:ind w:left="216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3" w:tplc="509E0BCE">
      <w:start w:val="1"/>
      <w:numFmt w:val="bullet"/>
      <w:lvlText w:val="·"/>
      <w:lvlJc w:val="left"/>
      <w:pPr>
        <w:ind w:left="288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4" w:tplc="29E0C354">
      <w:start w:val="1"/>
      <w:numFmt w:val="bullet"/>
      <w:lvlText w:val="o"/>
      <w:lvlJc w:val="left"/>
      <w:pPr>
        <w:ind w:left="360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5" w:tplc="E70AF208">
      <w:start w:val="1"/>
      <w:numFmt w:val="bullet"/>
      <w:lvlText w:val="▪"/>
      <w:lvlJc w:val="left"/>
      <w:pPr>
        <w:ind w:left="432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6" w:tplc="CB66AD34">
      <w:start w:val="1"/>
      <w:numFmt w:val="bullet"/>
      <w:lvlText w:val="·"/>
      <w:lvlJc w:val="left"/>
      <w:pPr>
        <w:ind w:left="504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7" w:tplc="3BFA37A2">
      <w:start w:val="1"/>
      <w:numFmt w:val="bullet"/>
      <w:lvlText w:val="o"/>
      <w:lvlJc w:val="left"/>
      <w:pPr>
        <w:ind w:left="576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lvl w:ilvl="8" w:tplc="99083890">
      <w:start w:val="1"/>
      <w:numFmt w:val="bullet"/>
      <w:lvlText w:val="▪"/>
      <w:lvlJc w:val="left"/>
      <w:pPr>
        <w:ind w:left="6480" w:hanging="360"/>
      </w:pPr>
      <w:rPr>
        <w:rFonts w:ascii="Arial Unicode MS" w:hAnsi="Arial Unicode MS" w:hint="default"/>
        <w:b w:val="0"/>
        <w:bCs w:val="0"/>
        <w:i w:val="0"/>
        <w:iCs w:val="0"/>
        <w:caps w:val="0"/>
        <w:smallCaps w:val="0"/>
        <w:strike w:val="0"/>
        <w:dstrike w:val="0"/>
        <w:color w:val="000000"/>
        <w:spacing w:val="0"/>
        <w:w w:val="100"/>
        <w:kern w:val="0"/>
        <w:position w:val="0"/>
        <w:highlight w:val="none"/>
        <w:vertAlign w:val="baseline"/>
      </w:rPr>
    </w:lvl>
  </w:abstractNum>
  <w:abstractNum w:abstractNumId="40" w15:restartNumberingAfterBreak="0">
    <w:nsid w:val="35500192"/>
    <w:multiLevelType w:val="hybridMultilevel"/>
    <w:tmpl w:val="CB3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02233E"/>
    <w:multiLevelType w:val="hybridMultilevel"/>
    <w:tmpl w:val="708655A6"/>
    <w:lvl w:ilvl="0" w:tplc="4482A772">
      <w:start w:val="1"/>
      <w:numFmt w:val="bullet"/>
      <w:lvlText w:val=""/>
      <w:lvlJc w:val="left"/>
      <w:pPr>
        <w:ind w:left="720" w:hanging="360"/>
      </w:pPr>
      <w:rPr>
        <w:rFonts w:ascii="Symbol" w:hAnsi="Symbol" w:hint="default"/>
      </w:rPr>
    </w:lvl>
    <w:lvl w:ilvl="1" w:tplc="41108C56" w:tentative="1">
      <w:start w:val="1"/>
      <w:numFmt w:val="bullet"/>
      <w:lvlText w:val="o"/>
      <w:lvlJc w:val="left"/>
      <w:pPr>
        <w:ind w:left="1440" w:hanging="360"/>
      </w:pPr>
      <w:rPr>
        <w:rFonts w:ascii="Courier New" w:hAnsi="Courier New" w:hint="default"/>
      </w:rPr>
    </w:lvl>
    <w:lvl w:ilvl="2" w:tplc="4EA2F3A6" w:tentative="1">
      <w:start w:val="1"/>
      <w:numFmt w:val="bullet"/>
      <w:lvlText w:val=""/>
      <w:lvlJc w:val="left"/>
      <w:pPr>
        <w:ind w:left="2160" w:hanging="360"/>
      </w:pPr>
      <w:rPr>
        <w:rFonts w:ascii="Wingdings" w:hAnsi="Wingdings" w:hint="default"/>
      </w:rPr>
    </w:lvl>
    <w:lvl w:ilvl="3" w:tplc="B1EE8764" w:tentative="1">
      <w:start w:val="1"/>
      <w:numFmt w:val="bullet"/>
      <w:lvlText w:val=""/>
      <w:lvlJc w:val="left"/>
      <w:pPr>
        <w:ind w:left="2880" w:hanging="360"/>
      </w:pPr>
      <w:rPr>
        <w:rFonts w:ascii="Symbol" w:hAnsi="Symbol" w:hint="default"/>
      </w:rPr>
    </w:lvl>
    <w:lvl w:ilvl="4" w:tplc="AAA63188" w:tentative="1">
      <w:start w:val="1"/>
      <w:numFmt w:val="bullet"/>
      <w:lvlText w:val="o"/>
      <w:lvlJc w:val="left"/>
      <w:pPr>
        <w:ind w:left="3600" w:hanging="360"/>
      </w:pPr>
      <w:rPr>
        <w:rFonts w:ascii="Courier New" w:hAnsi="Courier New" w:hint="default"/>
      </w:rPr>
    </w:lvl>
    <w:lvl w:ilvl="5" w:tplc="7CEE4576" w:tentative="1">
      <w:start w:val="1"/>
      <w:numFmt w:val="bullet"/>
      <w:lvlText w:val=""/>
      <w:lvlJc w:val="left"/>
      <w:pPr>
        <w:ind w:left="4320" w:hanging="360"/>
      </w:pPr>
      <w:rPr>
        <w:rFonts w:ascii="Wingdings" w:hAnsi="Wingdings" w:hint="default"/>
      </w:rPr>
    </w:lvl>
    <w:lvl w:ilvl="6" w:tplc="44BA027A" w:tentative="1">
      <w:start w:val="1"/>
      <w:numFmt w:val="bullet"/>
      <w:lvlText w:val=""/>
      <w:lvlJc w:val="left"/>
      <w:pPr>
        <w:ind w:left="5040" w:hanging="360"/>
      </w:pPr>
      <w:rPr>
        <w:rFonts w:ascii="Symbol" w:hAnsi="Symbol" w:hint="default"/>
      </w:rPr>
    </w:lvl>
    <w:lvl w:ilvl="7" w:tplc="47DC1050" w:tentative="1">
      <w:start w:val="1"/>
      <w:numFmt w:val="bullet"/>
      <w:lvlText w:val="o"/>
      <w:lvlJc w:val="left"/>
      <w:pPr>
        <w:ind w:left="5760" w:hanging="360"/>
      </w:pPr>
      <w:rPr>
        <w:rFonts w:ascii="Courier New" w:hAnsi="Courier New" w:hint="default"/>
      </w:rPr>
    </w:lvl>
    <w:lvl w:ilvl="8" w:tplc="47FE3166" w:tentative="1">
      <w:start w:val="1"/>
      <w:numFmt w:val="bullet"/>
      <w:lvlText w:val=""/>
      <w:lvlJc w:val="left"/>
      <w:pPr>
        <w:ind w:left="6480" w:hanging="360"/>
      </w:pPr>
      <w:rPr>
        <w:rFonts w:ascii="Wingdings" w:hAnsi="Wingdings" w:hint="default"/>
      </w:rPr>
    </w:lvl>
  </w:abstractNum>
  <w:abstractNum w:abstractNumId="42" w15:restartNumberingAfterBreak="0">
    <w:nsid w:val="36324F1E"/>
    <w:multiLevelType w:val="multilevel"/>
    <w:tmpl w:val="1E5C3A54"/>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7173AAC"/>
    <w:multiLevelType w:val="multilevel"/>
    <w:tmpl w:val="325AFE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76A2266"/>
    <w:multiLevelType w:val="multilevel"/>
    <w:tmpl w:val="92B6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7CB1E1C"/>
    <w:multiLevelType w:val="multilevel"/>
    <w:tmpl w:val="2E6A1122"/>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8FD114B"/>
    <w:multiLevelType w:val="multilevel"/>
    <w:tmpl w:val="60A4D1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7730C4"/>
    <w:multiLevelType w:val="multilevel"/>
    <w:tmpl w:val="345C285E"/>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A9642B8"/>
    <w:multiLevelType w:val="multilevel"/>
    <w:tmpl w:val="860A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BB669EF"/>
    <w:multiLevelType w:val="multilevel"/>
    <w:tmpl w:val="999C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EDF2881"/>
    <w:multiLevelType w:val="multilevel"/>
    <w:tmpl w:val="1540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6B3343"/>
    <w:multiLevelType w:val="hybridMultilevel"/>
    <w:tmpl w:val="8B70D9E0"/>
    <w:styleLink w:val="ImportedStyle3"/>
    <w:lvl w:ilvl="0" w:tplc="7C727FC4">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rPr>
    </w:lvl>
    <w:lvl w:ilvl="1" w:tplc="03E8349E">
      <w:start w:val="1"/>
      <w:numFmt w:val="decimal"/>
      <w:lvlText w:val="%2."/>
      <w:lvlJc w:val="left"/>
      <w:pPr>
        <w:ind w:left="1080" w:hanging="360"/>
      </w:pPr>
      <w:rPr>
        <w:caps w:val="0"/>
        <w:smallCaps w:val="0"/>
        <w:strike w:val="0"/>
        <w:dstrike w:val="0"/>
        <w:color w:val="000000"/>
        <w:spacing w:val="0"/>
        <w:w w:val="100"/>
        <w:kern w:val="0"/>
        <w:position w:val="0"/>
        <w:highlight w:val="none"/>
        <w:vertAlign w:val="baseline"/>
      </w:rPr>
    </w:lvl>
    <w:lvl w:ilvl="2" w:tplc="E362C5EE">
      <w:start w:val="1"/>
      <w:numFmt w:val="decimal"/>
      <w:lvlText w:val="%3."/>
      <w:lvlJc w:val="left"/>
      <w:pPr>
        <w:ind w:left="1800" w:hanging="360"/>
      </w:pPr>
      <w:rPr>
        <w:caps w:val="0"/>
        <w:smallCaps w:val="0"/>
        <w:strike w:val="0"/>
        <w:dstrike w:val="0"/>
        <w:color w:val="000000"/>
        <w:spacing w:val="0"/>
        <w:w w:val="100"/>
        <w:kern w:val="0"/>
        <w:position w:val="0"/>
        <w:highlight w:val="none"/>
        <w:vertAlign w:val="baseline"/>
      </w:rPr>
    </w:lvl>
    <w:lvl w:ilvl="3" w:tplc="BEE86F06">
      <w:start w:val="1"/>
      <w:numFmt w:val="decimal"/>
      <w:lvlText w:val="%4."/>
      <w:lvlJc w:val="left"/>
      <w:pPr>
        <w:ind w:left="2520" w:hanging="360"/>
      </w:pPr>
      <w:rPr>
        <w:caps w:val="0"/>
        <w:smallCaps w:val="0"/>
        <w:strike w:val="0"/>
        <w:dstrike w:val="0"/>
        <w:color w:val="000000"/>
        <w:spacing w:val="0"/>
        <w:w w:val="100"/>
        <w:kern w:val="0"/>
        <w:position w:val="0"/>
        <w:highlight w:val="none"/>
        <w:vertAlign w:val="baseline"/>
      </w:rPr>
    </w:lvl>
    <w:lvl w:ilvl="4" w:tplc="D0BAF262">
      <w:start w:val="1"/>
      <w:numFmt w:val="decimal"/>
      <w:lvlText w:val="%5."/>
      <w:lvlJc w:val="left"/>
      <w:pPr>
        <w:ind w:left="3240" w:hanging="360"/>
      </w:pPr>
      <w:rPr>
        <w:caps w:val="0"/>
        <w:smallCaps w:val="0"/>
        <w:strike w:val="0"/>
        <w:dstrike w:val="0"/>
        <w:color w:val="000000"/>
        <w:spacing w:val="0"/>
        <w:w w:val="100"/>
        <w:kern w:val="0"/>
        <w:position w:val="0"/>
        <w:highlight w:val="none"/>
        <w:vertAlign w:val="baseline"/>
      </w:rPr>
    </w:lvl>
    <w:lvl w:ilvl="5" w:tplc="599ADF4E">
      <w:start w:val="1"/>
      <w:numFmt w:val="decimal"/>
      <w:lvlText w:val="%6."/>
      <w:lvlJc w:val="left"/>
      <w:pPr>
        <w:ind w:left="3960" w:hanging="360"/>
      </w:pPr>
      <w:rPr>
        <w:caps w:val="0"/>
        <w:smallCaps w:val="0"/>
        <w:strike w:val="0"/>
        <w:dstrike w:val="0"/>
        <w:color w:val="000000"/>
        <w:spacing w:val="0"/>
        <w:w w:val="100"/>
        <w:kern w:val="0"/>
        <w:position w:val="0"/>
        <w:highlight w:val="none"/>
        <w:vertAlign w:val="baseline"/>
      </w:rPr>
    </w:lvl>
    <w:lvl w:ilvl="6" w:tplc="660A1054">
      <w:start w:val="1"/>
      <w:numFmt w:val="decimal"/>
      <w:lvlText w:val="%7."/>
      <w:lvlJc w:val="left"/>
      <w:pPr>
        <w:ind w:left="4680" w:hanging="360"/>
      </w:pPr>
      <w:rPr>
        <w:caps w:val="0"/>
        <w:smallCaps w:val="0"/>
        <w:strike w:val="0"/>
        <w:dstrike w:val="0"/>
        <w:color w:val="000000"/>
        <w:spacing w:val="0"/>
        <w:w w:val="100"/>
        <w:kern w:val="0"/>
        <w:position w:val="0"/>
        <w:highlight w:val="none"/>
        <w:vertAlign w:val="baseline"/>
      </w:rPr>
    </w:lvl>
    <w:lvl w:ilvl="7" w:tplc="A58675A6">
      <w:start w:val="1"/>
      <w:numFmt w:val="decimal"/>
      <w:lvlText w:val="%8."/>
      <w:lvlJc w:val="left"/>
      <w:pPr>
        <w:ind w:left="5400" w:hanging="360"/>
      </w:pPr>
      <w:rPr>
        <w:caps w:val="0"/>
        <w:smallCaps w:val="0"/>
        <w:strike w:val="0"/>
        <w:dstrike w:val="0"/>
        <w:color w:val="000000"/>
        <w:spacing w:val="0"/>
        <w:w w:val="100"/>
        <w:kern w:val="0"/>
        <w:position w:val="0"/>
        <w:highlight w:val="none"/>
        <w:vertAlign w:val="baseline"/>
      </w:rPr>
    </w:lvl>
    <w:lvl w:ilvl="8" w:tplc="FB3CE2FE">
      <w:start w:val="1"/>
      <w:numFmt w:val="decimal"/>
      <w:lvlText w:val="%9."/>
      <w:lvlJc w:val="left"/>
      <w:pPr>
        <w:ind w:left="6120" w:hanging="360"/>
      </w:pPr>
      <w:rPr>
        <w:caps w:val="0"/>
        <w:smallCaps w:val="0"/>
        <w:strike w:val="0"/>
        <w:dstrike w:val="0"/>
        <w:color w:val="000000"/>
        <w:spacing w:val="0"/>
        <w:w w:val="100"/>
        <w:kern w:val="0"/>
        <w:position w:val="0"/>
        <w:highlight w:val="none"/>
        <w:vertAlign w:val="baseline"/>
      </w:rPr>
    </w:lvl>
  </w:abstractNum>
  <w:abstractNum w:abstractNumId="52" w15:restartNumberingAfterBreak="0">
    <w:nsid w:val="3FE210EE"/>
    <w:multiLevelType w:val="hybridMultilevel"/>
    <w:tmpl w:val="61C40534"/>
    <w:lvl w:ilvl="0" w:tplc="07825A20">
      <w:start w:val="1"/>
      <w:numFmt w:val="bullet"/>
      <w:lvlText w:val=""/>
      <w:lvlJc w:val="left"/>
      <w:pPr>
        <w:ind w:left="1440" w:hanging="360"/>
      </w:pPr>
      <w:rPr>
        <w:rFonts w:ascii="Symbol" w:hAnsi="Symbol" w:hint="default"/>
      </w:rPr>
    </w:lvl>
    <w:lvl w:ilvl="1" w:tplc="FFDE7A1A" w:tentative="1">
      <w:start w:val="1"/>
      <w:numFmt w:val="bullet"/>
      <w:lvlText w:val="o"/>
      <w:lvlJc w:val="left"/>
      <w:pPr>
        <w:ind w:left="2160" w:hanging="360"/>
      </w:pPr>
      <w:rPr>
        <w:rFonts w:ascii="Courier New" w:hAnsi="Courier New" w:hint="default"/>
      </w:rPr>
    </w:lvl>
    <w:lvl w:ilvl="2" w:tplc="AF84E862" w:tentative="1">
      <w:start w:val="1"/>
      <w:numFmt w:val="bullet"/>
      <w:lvlText w:val=""/>
      <w:lvlJc w:val="left"/>
      <w:pPr>
        <w:ind w:left="2880" w:hanging="360"/>
      </w:pPr>
      <w:rPr>
        <w:rFonts w:ascii="Wingdings" w:hAnsi="Wingdings" w:hint="default"/>
      </w:rPr>
    </w:lvl>
    <w:lvl w:ilvl="3" w:tplc="BB2640CC" w:tentative="1">
      <w:start w:val="1"/>
      <w:numFmt w:val="bullet"/>
      <w:lvlText w:val=""/>
      <w:lvlJc w:val="left"/>
      <w:pPr>
        <w:ind w:left="3600" w:hanging="360"/>
      </w:pPr>
      <w:rPr>
        <w:rFonts w:ascii="Symbol" w:hAnsi="Symbol" w:hint="default"/>
      </w:rPr>
    </w:lvl>
    <w:lvl w:ilvl="4" w:tplc="21FADB38" w:tentative="1">
      <w:start w:val="1"/>
      <w:numFmt w:val="bullet"/>
      <w:lvlText w:val="o"/>
      <w:lvlJc w:val="left"/>
      <w:pPr>
        <w:ind w:left="4320" w:hanging="360"/>
      </w:pPr>
      <w:rPr>
        <w:rFonts w:ascii="Courier New" w:hAnsi="Courier New" w:hint="default"/>
      </w:rPr>
    </w:lvl>
    <w:lvl w:ilvl="5" w:tplc="A0102864" w:tentative="1">
      <w:start w:val="1"/>
      <w:numFmt w:val="bullet"/>
      <w:lvlText w:val=""/>
      <w:lvlJc w:val="left"/>
      <w:pPr>
        <w:ind w:left="5040" w:hanging="360"/>
      </w:pPr>
      <w:rPr>
        <w:rFonts w:ascii="Wingdings" w:hAnsi="Wingdings" w:hint="default"/>
      </w:rPr>
    </w:lvl>
    <w:lvl w:ilvl="6" w:tplc="E1A63608" w:tentative="1">
      <w:start w:val="1"/>
      <w:numFmt w:val="bullet"/>
      <w:lvlText w:val=""/>
      <w:lvlJc w:val="left"/>
      <w:pPr>
        <w:ind w:left="5760" w:hanging="360"/>
      </w:pPr>
      <w:rPr>
        <w:rFonts w:ascii="Symbol" w:hAnsi="Symbol" w:hint="default"/>
      </w:rPr>
    </w:lvl>
    <w:lvl w:ilvl="7" w:tplc="2F1CA154" w:tentative="1">
      <w:start w:val="1"/>
      <w:numFmt w:val="bullet"/>
      <w:lvlText w:val="o"/>
      <w:lvlJc w:val="left"/>
      <w:pPr>
        <w:ind w:left="6480" w:hanging="360"/>
      </w:pPr>
      <w:rPr>
        <w:rFonts w:ascii="Courier New" w:hAnsi="Courier New" w:hint="default"/>
      </w:rPr>
    </w:lvl>
    <w:lvl w:ilvl="8" w:tplc="BA980BD8" w:tentative="1">
      <w:start w:val="1"/>
      <w:numFmt w:val="bullet"/>
      <w:lvlText w:val=""/>
      <w:lvlJc w:val="left"/>
      <w:pPr>
        <w:ind w:left="7200" w:hanging="360"/>
      </w:pPr>
      <w:rPr>
        <w:rFonts w:ascii="Wingdings" w:hAnsi="Wingdings" w:hint="default"/>
      </w:rPr>
    </w:lvl>
  </w:abstractNum>
  <w:abstractNum w:abstractNumId="53" w15:restartNumberingAfterBreak="0">
    <w:nsid w:val="429E662A"/>
    <w:multiLevelType w:val="multilevel"/>
    <w:tmpl w:val="40EAE0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3C17DF3"/>
    <w:multiLevelType w:val="hybridMultilevel"/>
    <w:tmpl w:val="E9D6546E"/>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5587FC6"/>
    <w:multiLevelType w:val="multilevel"/>
    <w:tmpl w:val="521C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58138DB"/>
    <w:multiLevelType w:val="multilevel"/>
    <w:tmpl w:val="CAA6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71541F4"/>
    <w:multiLevelType w:val="multilevel"/>
    <w:tmpl w:val="E56A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9E34F64"/>
    <w:multiLevelType w:val="multilevel"/>
    <w:tmpl w:val="CDFE4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B0571A5"/>
    <w:multiLevelType w:val="multilevel"/>
    <w:tmpl w:val="FFFFFFFF"/>
    <w:lvl w:ilvl="0">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DC711BB"/>
    <w:multiLevelType w:val="multilevel"/>
    <w:tmpl w:val="E08E4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E1A982C"/>
    <w:multiLevelType w:val="multilevel"/>
    <w:tmpl w:val="F8F8C3D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F397893"/>
    <w:multiLevelType w:val="multilevel"/>
    <w:tmpl w:val="FE26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F4C5DD1"/>
    <w:multiLevelType w:val="multilevel"/>
    <w:tmpl w:val="AAF8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072619B"/>
    <w:multiLevelType w:val="multilevel"/>
    <w:tmpl w:val="983A7E54"/>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2F2D653"/>
    <w:multiLevelType w:val="multilevel"/>
    <w:tmpl w:val="FFFFFFFF"/>
    <w:lvl w:ilvl="0">
      <w:numFmt w:val="decimal"/>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3966D3C"/>
    <w:multiLevelType w:val="hybridMultilevel"/>
    <w:tmpl w:val="BAB68AC8"/>
    <w:lvl w:ilvl="0" w:tplc="E168176A">
      <w:start w:val="1"/>
      <w:numFmt w:val="bullet"/>
      <w:lvlText w:val=""/>
      <w:lvlJc w:val="left"/>
      <w:pPr>
        <w:ind w:left="720" w:hanging="360"/>
      </w:pPr>
      <w:rPr>
        <w:rFonts w:ascii="Symbol" w:hAnsi="Symbol" w:hint="default"/>
      </w:rPr>
    </w:lvl>
    <w:lvl w:ilvl="1" w:tplc="917245E6" w:tentative="1">
      <w:start w:val="1"/>
      <w:numFmt w:val="bullet"/>
      <w:lvlText w:val="o"/>
      <w:lvlJc w:val="left"/>
      <w:pPr>
        <w:ind w:left="1440" w:hanging="360"/>
      </w:pPr>
      <w:rPr>
        <w:rFonts w:ascii="Courier New" w:hAnsi="Courier New" w:hint="default"/>
      </w:rPr>
    </w:lvl>
    <w:lvl w:ilvl="2" w:tplc="D55A998E" w:tentative="1">
      <w:start w:val="1"/>
      <w:numFmt w:val="bullet"/>
      <w:lvlText w:val=""/>
      <w:lvlJc w:val="left"/>
      <w:pPr>
        <w:ind w:left="2160" w:hanging="360"/>
      </w:pPr>
      <w:rPr>
        <w:rFonts w:ascii="Wingdings" w:hAnsi="Wingdings" w:hint="default"/>
      </w:rPr>
    </w:lvl>
    <w:lvl w:ilvl="3" w:tplc="794A8818" w:tentative="1">
      <w:start w:val="1"/>
      <w:numFmt w:val="bullet"/>
      <w:lvlText w:val=""/>
      <w:lvlJc w:val="left"/>
      <w:pPr>
        <w:ind w:left="2880" w:hanging="360"/>
      </w:pPr>
      <w:rPr>
        <w:rFonts w:ascii="Symbol" w:hAnsi="Symbol" w:hint="default"/>
      </w:rPr>
    </w:lvl>
    <w:lvl w:ilvl="4" w:tplc="868AD466" w:tentative="1">
      <w:start w:val="1"/>
      <w:numFmt w:val="bullet"/>
      <w:lvlText w:val="o"/>
      <w:lvlJc w:val="left"/>
      <w:pPr>
        <w:ind w:left="3600" w:hanging="360"/>
      </w:pPr>
      <w:rPr>
        <w:rFonts w:ascii="Courier New" w:hAnsi="Courier New" w:hint="default"/>
      </w:rPr>
    </w:lvl>
    <w:lvl w:ilvl="5" w:tplc="E8468274" w:tentative="1">
      <w:start w:val="1"/>
      <w:numFmt w:val="bullet"/>
      <w:lvlText w:val=""/>
      <w:lvlJc w:val="left"/>
      <w:pPr>
        <w:ind w:left="4320" w:hanging="360"/>
      </w:pPr>
      <w:rPr>
        <w:rFonts w:ascii="Wingdings" w:hAnsi="Wingdings" w:hint="default"/>
      </w:rPr>
    </w:lvl>
    <w:lvl w:ilvl="6" w:tplc="2084C75C" w:tentative="1">
      <w:start w:val="1"/>
      <w:numFmt w:val="bullet"/>
      <w:lvlText w:val=""/>
      <w:lvlJc w:val="left"/>
      <w:pPr>
        <w:ind w:left="5040" w:hanging="360"/>
      </w:pPr>
      <w:rPr>
        <w:rFonts w:ascii="Symbol" w:hAnsi="Symbol" w:hint="default"/>
      </w:rPr>
    </w:lvl>
    <w:lvl w:ilvl="7" w:tplc="B8BA345E" w:tentative="1">
      <w:start w:val="1"/>
      <w:numFmt w:val="bullet"/>
      <w:lvlText w:val="o"/>
      <w:lvlJc w:val="left"/>
      <w:pPr>
        <w:ind w:left="5760" w:hanging="360"/>
      </w:pPr>
      <w:rPr>
        <w:rFonts w:ascii="Courier New" w:hAnsi="Courier New" w:hint="default"/>
      </w:rPr>
    </w:lvl>
    <w:lvl w:ilvl="8" w:tplc="4D9859C0" w:tentative="1">
      <w:start w:val="1"/>
      <w:numFmt w:val="bullet"/>
      <w:lvlText w:val=""/>
      <w:lvlJc w:val="left"/>
      <w:pPr>
        <w:ind w:left="6480" w:hanging="360"/>
      </w:pPr>
      <w:rPr>
        <w:rFonts w:ascii="Wingdings" w:hAnsi="Wingdings" w:hint="default"/>
      </w:rPr>
    </w:lvl>
  </w:abstractNum>
  <w:abstractNum w:abstractNumId="67" w15:restartNumberingAfterBreak="0">
    <w:nsid w:val="53B175BA"/>
    <w:multiLevelType w:val="multilevel"/>
    <w:tmpl w:val="68202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3DE2B50"/>
    <w:multiLevelType w:val="multilevel"/>
    <w:tmpl w:val="D286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3F11931"/>
    <w:multiLevelType w:val="multilevel"/>
    <w:tmpl w:val="3110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6E30B82"/>
    <w:multiLevelType w:val="multilevel"/>
    <w:tmpl w:val="4DE6EF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88A7240"/>
    <w:multiLevelType w:val="multilevel"/>
    <w:tmpl w:val="866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90F68DD"/>
    <w:multiLevelType w:val="hybridMultilevel"/>
    <w:tmpl w:val="5D003F84"/>
    <w:lvl w:ilvl="0" w:tplc="20EC70CE">
      <w:start w:val="1"/>
      <w:numFmt w:val="bullet"/>
      <w:lvlText w:val=""/>
      <w:lvlJc w:val="left"/>
      <w:pPr>
        <w:ind w:left="720" w:hanging="360"/>
      </w:pPr>
      <w:rPr>
        <w:rFonts w:ascii="Symbol" w:hAnsi="Symbol" w:hint="default"/>
      </w:rPr>
    </w:lvl>
    <w:lvl w:ilvl="1" w:tplc="33581A14" w:tentative="1">
      <w:start w:val="1"/>
      <w:numFmt w:val="bullet"/>
      <w:lvlText w:val="o"/>
      <w:lvlJc w:val="left"/>
      <w:pPr>
        <w:ind w:left="1440" w:hanging="360"/>
      </w:pPr>
      <w:rPr>
        <w:rFonts w:ascii="Courier New" w:hAnsi="Courier New" w:hint="default"/>
      </w:rPr>
    </w:lvl>
    <w:lvl w:ilvl="2" w:tplc="FA90F530" w:tentative="1">
      <w:start w:val="1"/>
      <w:numFmt w:val="bullet"/>
      <w:lvlText w:val=""/>
      <w:lvlJc w:val="left"/>
      <w:pPr>
        <w:ind w:left="2160" w:hanging="360"/>
      </w:pPr>
      <w:rPr>
        <w:rFonts w:ascii="Wingdings" w:hAnsi="Wingdings" w:hint="default"/>
      </w:rPr>
    </w:lvl>
    <w:lvl w:ilvl="3" w:tplc="DAF8ECAC" w:tentative="1">
      <w:start w:val="1"/>
      <w:numFmt w:val="bullet"/>
      <w:lvlText w:val=""/>
      <w:lvlJc w:val="left"/>
      <w:pPr>
        <w:ind w:left="2880" w:hanging="360"/>
      </w:pPr>
      <w:rPr>
        <w:rFonts w:ascii="Symbol" w:hAnsi="Symbol" w:hint="default"/>
      </w:rPr>
    </w:lvl>
    <w:lvl w:ilvl="4" w:tplc="25DCBDF4" w:tentative="1">
      <w:start w:val="1"/>
      <w:numFmt w:val="bullet"/>
      <w:lvlText w:val="o"/>
      <w:lvlJc w:val="left"/>
      <w:pPr>
        <w:ind w:left="3600" w:hanging="360"/>
      </w:pPr>
      <w:rPr>
        <w:rFonts w:ascii="Courier New" w:hAnsi="Courier New" w:hint="default"/>
      </w:rPr>
    </w:lvl>
    <w:lvl w:ilvl="5" w:tplc="B66241B6" w:tentative="1">
      <w:start w:val="1"/>
      <w:numFmt w:val="bullet"/>
      <w:lvlText w:val=""/>
      <w:lvlJc w:val="left"/>
      <w:pPr>
        <w:ind w:left="4320" w:hanging="360"/>
      </w:pPr>
      <w:rPr>
        <w:rFonts w:ascii="Wingdings" w:hAnsi="Wingdings" w:hint="default"/>
      </w:rPr>
    </w:lvl>
    <w:lvl w:ilvl="6" w:tplc="376450AA" w:tentative="1">
      <w:start w:val="1"/>
      <w:numFmt w:val="bullet"/>
      <w:lvlText w:val=""/>
      <w:lvlJc w:val="left"/>
      <w:pPr>
        <w:ind w:left="5040" w:hanging="360"/>
      </w:pPr>
      <w:rPr>
        <w:rFonts w:ascii="Symbol" w:hAnsi="Symbol" w:hint="default"/>
      </w:rPr>
    </w:lvl>
    <w:lvl w:ilvl="7" w:tplc="DEA4CA50" w:tentative="1">
      <w:start w:val="1"/>
      <w:numFmt w:val="bullet"/>
      <w:lvlText w:val="o"/>
      <w:lvlJc w:val="left"/>
      <w:pPr>
        <w:ind w:left="5760" w:hanging="360"/>
      </w:pPr>
      <w:rPr>
        <w:rFonts w:ascii="Courier New" w:hAnsi="Courier New" w:hint="default"/>
      </w:rPr>
    </w:lvl>
    <w:lvl w:ilvl="8" w:tplc="F7285A0A" w:tentative="1">
      <w:start w:val="1"/>
      <w:numFmt w:val="bullet"/>
      <w:lvlText w:val=""/>
      <w:lvlJc w:val="left"/>
      <w:pPr>
        <w:ind w:left="6480" w:hanging="360"/>
      </w:pPr>
      <w:rPr>
        <w:rFonts w:ascii="Wingdings" w:hAnsi="Wingdings" w:hint="default"/>
      </w:rPr>
    </w:lvl>
  </w:abstractNum>
  <w:abstractNum w:abstractNumId="73" w15:restartNumberingAfterBreak="0">
    <w:nsid w:val="5A746124"/>
    <w:multiLevelType w:val="multilevel"/>
    <w:tmpl w:val="E1EE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C2E231A"/>
    <w:multiLevelType w:val="hybridMultilevel"/>
    <w:tmpl w:val="C96832F2"/>
    <w:lvl w:ilvl="0" w:tplc="5B1EFCB4">
      <w:start w:val="1"/>
      <w:numFmt w:val="bullet"/>
      <w:lvlText w:val=""/>
      <w:lvlJc w:val="left"/>
      <w:pPr>
        <w:ind w:left="720" w:hanging="360"/>
      </w:pPr>
      <w:rPr>
        <w:rFonts w:ascii="Symbol" w:hAnsi="Symbol" w:hint="default"/>
      </w:rPr>
    </w:lvl>
    <w:lvl w:ilvl="1" w:tplc="53CC2BA2" w:tentative="1">
      <w:start w:val="1"/>
      <w:numFmt w:val="bullet"/>
      <w:lvlText w:val="o"/>
      <w:lvlJc w:val="left"/>
      <w:pPr>
        <w:ind w:left="1440" w:hanging="360"/>
      </w:pPr>
      <w:rPr>
        <w:rFonts w:ascii="Courier New" w:hAnsi="Courier New" w:hint="default"/>
      </w:rPr>
    </w:lvl>
    <w:lvl w:ilvl="2" w:tplc="66C4CFF4" w:tentative="1">
      <w:start w:val="1"/>
      <w:numFmt w:val="bullet"/>
      <w:lvlText w:val=""/>
      <w:lvlJc w:val="left"/>
      <w:pPr>
        <w:ind w:left="2160" w:hanging="360"/>
      </w:pPr>
      <w:rPr>
        <w:rFonts w:ascii="Wingdings" w:hAnsi="Wingdings" w:hint="default"/>
      </w:rPr>
    </w:lvl>
    <w:lvl w:ilvl="3" w:tplc="74A8D67E" w:tentative="1">
      <w:start w:val="1"/>
      <w:numFmt w:val="bullet"/>
      <w:lvlText w:val=""/>
      <w:lvlJc w:val="left"/>
      <w:pPr>
        <w:ind w:left="2880" w:hanging="360"/>
      </w:pPr>
      <w:rPr>
        <w:rFonts w:ascii="Symbol" w:hAnsi="Symbol" w:hint="default"/>
      </w:rPr>
    </w:lvl>
    <w:lvl w:ilvl="4" w:tplc="5204F286" w:tentative="1">
      <w:start w:val="1"/>
      <w:numFmt w:val="bullet"/>
      <w:lvlText w:val="o"/>
      <w:lvlJc w:val="left"/>
      <w:pPr>
        <w:ind w:left="3600" w:hanging="360"/>
      </w:pPr>
      <w:rPr>
        <w:rFonts w:ascii="Courier New" w:hAnsi="Courier New" w:hint="default"/>
      </w:rPr>
    </w:lvl>
    <w:lvl w:ilvl="5" w:tplc="8EA4CF6E" w:tentative="1">
      <w:start w:val="1"/>
      <w:numFmt w:val="bullet"/>
      <w:lvlText w:val=""/>
      <w:lvlJc w:val="left"/>
      <w:pPr>
        <w:ind w:left="4320" w:hanging="360"/>
      </w:pPr>
      <w:rPr>
        <w:rFonts w:ascii="Wingdings" w:hAnsi="Wingdings" w:hint="default"/>
      </w:rPr>
    </w:lvl>
    <w:lvl w:ilvl="6" w:tplc="24762322" w:tentative="1">
      <w:start w:val="1"/>
      <w:numFmt w:val="bullet"/>
      <w:lvlText w:val=""/>
      <w:lvlJc w:val="left"/>
      <w:pPr>
        <w:ind w:left="5040" w:hanging="360"/>
      </w:pPr>
      <w:rPr>
        <w:rFonts w:ascii="Symbol" w:hAnsi="Symbol" w:hint="default"/>
      </w:rPr>
    </w:lvl>
    <w:lvl w:ilvl="7" w:tplc="45B0DE5A" w:tentative="1">
      <w:start w:val="1"/>
      <w:numFmt w:val="bullet"/>
      <w:lvlText w:val="o"/>
      <w:lvlJc w:val="left"/>
      <w:pPr>
        <w:ind w:left="5760" w:hanging="360"/>
      </w:pPr>
      <w:rPr>
        <w:rFonts w:ascii="Courier New" w:hAnsi="Courier New" w:hint="default"/>
      </w:rPr>
    </w:lvl>
    <w:lvl w:ilvl="8" w:tplc="D44E4D36" w:tentative="1">
      <w:start w:val="1"/>
      <w:numFmt w:val="bullet"/>
      <w:lvlText w:val=""/>
      <w:lvlJc w:val="left"/>
      <w:pPr>
        <w:ind w:left="6480" w:hanging="360"/>
      </w:pPr>
      <w:rPr>
        <w:rFonts w:ascii="Wingdings" w:hAnsi="Wingdings" w:hint="default"/>
      </w:rPr>
    </w:lvl>
  </w:abstractNum>
  <w:abstractNum w:abstractNumId="75" w15:restartNumberingAfterBreak="0">
    <w:nsid w:val="5E704AEB"/>
    <w:multiLevelType w:val="hybridMultilevel"/>
    <w:tmpl w:val="BD6A2B18"/>
    <w:lvl w:ilvl="0" w:tplc="CA0A6368">
      <w:start w:val="1"/>
      <w:numFmt w:val="bullet"/>
      <w:lvlText w:val=""/>
      <w:lvlJc w:val="left"/>
      <w:pPr>
        <w:ind w:left="720" w:hanging="360"/>
      </w:pPr>
      <w:rPr>
        <w:rFonts w:ascii="Symbol" w:hAnsi="Symbol" w:hint="default"/>
      </w:rPr>
    </w:lvl>
    <w:lvl w:ilvl="1" w:tplc="1020EF3A" w:tentative="1">
      <w:start w:val="1"/>
      <w:numFmt w:val="bullet"/>
      <w:lvlText w:val="o"/>
      <w:lvlJc w:val="left"/>
      <w:pPr>
        <w:ind w:left="1440" w:hanging="360"/>
      </w:pPr>
      <w:rPr>
        <w:rFonts w:ascii="Courier New" w:hAnsi="Courier New" w:hint="default"/>
      </w:rPr>
    </w:lvl>
    <w:lvl w:ilvl="2" w:tplc="130C1038" w:tentative="1">
      <w:start w:val="1"/>
      <w:numFmt w:val="bullet"/>
      <w:lvlText w:val=""/>
      <w:lvlJc w:val="left"/>
      <w:pPr>
        <w:ind w:left="2160" w:hanging="360"/>
      </w:pPr>
      <w:rPr>
        <w:rFonts w:ascii="Wingdings" w:hAnsi="Wingdings" w:hint="default"/>
      </w:rPr>
    </w:lvl>
    <w:lvl w:ilvl="3" w:tplc="9FA02D0C" w:tentative="1">
      <w:start w:val="1"/>
      <w:numFmt w:val="bullet"/>
      <w:lvlText w:val=""/>
      <w:lvlJc w:val="left"/>
      <w:pPr>
        <w:ind w:left="2880" w:hanging="360"/>
      </w:pPr>
      <w:rPr>
        <w:rFonts w:ascii="Symbol" w:hAnsi="Symbol" w:hint="default"/>
      </w:rPr>
    </w:lvl>
    <w:lvl w:ilvl="4" w:tplc="AED835A4" w:tentative="1">
      <w:start w:val="1"/>
      <w:numFmt w:val="bullet"/>
      <w:lvlText w:val="o"/>
      <w:lvlJc w:val="left"/>
      <w:pPr>
        <w:ind w:left="3600" w:hanging="360"/>
      </w:pPr>
      <w:rPr>
        <w:rFonts w:ascii="Courier New" w:hAnsi="Courier New" w:hint="default"/>
      </w:rPr>
    </w:lvl>
    <w:lvl w:ilvl="5" w:tplc="59CAFC02" w:tentative="1">
      <w:start w:val="1"/>
      <w:numFmt w:val="bullet"/>
      <w:lvlText w:val=""/>
      <w:lvlJc w:val="left"/>
      <w:pPr>
        <w:ind w:left="4320" w:hanging="360"/>
      </w:pPr>
      <w:rPr>
        <w:rFonts w:ascii="Wingdings" w:hAnsi="Wingdings" w:hint="default"/>
      </w:rPr>
    </w:lvl>
    <w:lvl w:ilvl="6" w:tplc="74DEEF1A" w:tentative="1">
      <w:start w:val="1"/>
      <w:numFmt w:val="bullet"/>
      <w:lvlText w:val=""/>
      <w:lvlJc w:val="left"/>
      <w:pPr>
        <w:ind w:left="5040" w:hanging="360"/>
      </w:pPr>
      <w:rPr>
        <w:rFonts w:ascii="Symbol" w:hAnsi="Symbol" w:hint="default"/>
      </w:rPr>
    </w:lvl>
    <w:lvl w:ilvl="7" w:tplc="5E323958" w:tentative="1">
      <w:start w:val="1"/>
      <w:numFmt w:val="bullet"/>
      <w:lvlText w:val="o"/>
      <w:lvlJc w:val="left"/>
      <w:pPr>
        <w:ind w:left="5760" w:hanging="360"/>
      </w:pPr>
      <w:rPr>
        <w:rFonts w:ascii="Courier New" w:hAnsi="Courier New" w:hint="default"/>
      </w:rPr>
    </w:lvl>
    <w:lvl w:ilvl="8" w:tplc="602623A6" w:tentative="1">
      <w:start w:val="1"/>
      <w:numFmt w:val="bullet"/>
      <w:lvlText w:val=""/>
      <w:lvlJc w:val="left"/>
      <w:pPr>
        <w:ind w:left="6480" w:hanging="360"/>
      </w:pPr>
      <w:rPr>
        <w:rFonts w:ascii="Wingdings" w:hAnsi="Wingdings" w:hint="default"/>
      </w:rPr>
    </w:lvl>
  </w:abstractNum>
  <w:abstractNum w:abstractNumId="76" w15:restartNumberingAfterBreak="0">
    <w:nsid w:val="5FE64159"/>
    <w:multiLevelType w:val="multilevel"/>
    <w:tmpl w:val="7F36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2E52BED"/>
    <w:multiLevelType w:val="multilevel"/>
    <w:tmpl w:val="D214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3741621"/>
    <w:multiLevelType w:val="multilevel"/>
    <w:tmpl w:val="55484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4097AA3"/>
    <w:multiLevelType w:val="hybridMultilevel"/>
    <w:tmpl w:val="0B6EB9AE"/>
    <w:lvl w:ilvl="0" w:tplc="68C6FD06">
      <w:start w:val="1"/>
      <w:numFmt w:val="bullet"/>
      <w:lvlText w:val=""/>
      <w:lvlJc w:val="left"/>
      <w:pPr>
        <w:ind w:left="720" w:hanging="360"/>
      </w:pPr>
      <w:rPr>
        <w:rFonts w:ascii="Symbol" w:hAnsi="Symbol" w:hint="default"/>
      </w:rPr>
    </w:lvl>
    <w:lvl w:ilvl="1" w:tplc="65C01212">
      <w:start w:val="1"/>
      <w:numFmt w:val="bullet"/>
      <w:lvlText w:val="o"/>
      <w:lvlJc w:val="left"/>
      <w:pPr>
        <w:ind w:left="1440" w:hanging="360"/>
      </w:pPr>
      <w:rPr>
        <w:rFonts w:ascii="Courier New" w:hAnsi="Courier New" w:hint="default"/>
      </w:rPr>
    </w:lvl>
    <w:lvl w:ilvl="2" w:tplc="BF0A973A" w:tentative="1">
      <w:start w:val="1"/>
      <w:numFmt w:val="bullet"/>
      <w:lvlText w:val=""/>
      <w:lvlJc w:val="left"/>
      <w:pPr>
        <w:ind w:left="2160" w:hanging="360"/>
      </w:pPr>
      <w:rPr>
        <w:rFonts w:ascii="Wingdings" w:hAnsi="Wingdings" w:hint="default"/>
      </w:rPr>
    </w:lvl>
    <w:lvl w:ilvl="3" w:tplc="F2D0B93E" w:tentative="1">
      <w:start w:val="1"/>
      <w:numFmt w:val="bullet"/>
      <w:lvlText w:val=""/>
      <w:lvlJc w:val="left"/>
      <w:pPr>
        <w:ind w:left="2880" w:hanging="360"/>
      </w:pPr>
      <w:rPr>
        <w:rFonts w:ascii="Symbol" w:hAnsi="Symbol" w:hint="default"/>
      </w:rPr>
    </w:lvl>
    <w:lvl w:ilvl="4" w:tplc="13AC2B7C" w:tentative="1">
      <w:start w:val="1"/>
      <w:numFmt w:val="bullet"/>
      <w:lvlText w:val="o"/>
      <w:lvlJc w:val="left"/>
      <w:pPr>
        <w:ind w:left="3600" w:hanging="360"/>
      </w:pPr>
      <w:rPr>
        <w:rFonts w:ascii="Courier New" w:hAnsi="Courier New" w:hint="default"/>
      </w:rPr>
    </w:lvl>
    <w:lvl w:ilvl="5" w:tplc="7A8CE576" w:tentative="1">
      <w:start w:val="1"/>
      <w:numFmt w:val="bullet"/>
      <w:lvlText w:val=""/>
      <w:lvlJc w:val="left"/>
      <w:pPr>
        <w:ind w:left="4320" w:hanging="360"/>
      </w:pPr>
      <w:rPr>
        <w:rFonts w:ascii="Wingdings" w:hAnsi="Wingdings" w:hint="default"/>
      </w:rPr>
    </w:lvl>
    <w:lvl w:ilvl="6" w:tplc="6534E082" w:tentative="1">
      <w:start w:val="1"/>
      <w:numFmt w:val="bullet"/>
      <w:lvlText w:val=""/>
      <w:lvlJc w:val="left"/>
      <w:pPr>
        <w:ind w:left="5040" w:hanging="360"/>
      </w:pPr>
      <w:rPr>
        <w:rFonts w:ascii="Symbol" w:hAnsi="Symbol" w:hint="default"/>
      </w:rPr>
    </w:lvl>
    <w:lvl w:ilvl="7" w:tplc="9948CD22" w:tentative="1">
      <w:start w:val="1"/>
      <w:numFmt w:val="bullet"/>
      <w:lvlText w:val="o"/>
      <w:lvlJc w:val="left"/>
      <w:pPr>
        <w:ind w:left="5760" w:hanging="360"/>
      </w:pPr>
      <w:rPr>
        <w:rFonts w:ascii="Courier New" w:hAnsi="Courier New" w:hint="default"/>
      </w:rPr>
    </w:lvl>
    <w:lvl w:ilvl="8" w:tplc="112285F4" w:tentative="1">
      <w:start w:val="1"/>
      <w:numFmt w:val="bullet"/>
      <w:lvlText w:val=""/>
      <w:lvlJc w:val="left"/>
      <w:pPr>
        <w:ind w:left="6480" w:hanging="360"/>
      </w:pPr>
      <w:rPr>
        <w:rFonts w:ascii="Wingdings" w:hAnsi="Wingdings" w:hint="default"/>
      </w:rPr>
    </w:lvl>
  </w:abstractNum>
  <w:abstractNum w:abstractNumId="80" w15:restartNumberingAfterBreak="0">
    <w:nsid w:val="642C2D3F"/>
    <w:multiLevelType w:val="hybridMultilevel"/>
    <w:tmpl w:val="1646C17C"/>
    <w:lvl w:ilvl="0" w:tplc="2B70EBE2">
      <w:start w:val="1"/>
      <w:numFmt w:val="bullet"/>
      <w:lvlText w:val=""/>
      <w:lvlJc w:val="left"/>
      <w:pPr>
        <w:ind w:left="720" w:hanging="360"/>
      </w:pPr>
      <w:rPr>
        <w:rFonts w:ascii="Symbol" w:hAnsi="Symbol" w:hint="default"/>
      </w:rPr>
    </w:lvl>
    <w:lvl w:ilvl="1" w:tplc="DF122FB2" w:tentative="1">
      <w:start w:val="1"/>
      <w:numFmt w:val="bullet"/>
      <w:lvlText w:val="o"/>
      <w:lvlJc w:val="left"/>
      <w:pPr>
        <w:ind w:left="1440" w:hanging="360"/>
      </w:pPr>
      <w:rPr>
        <w:rFonts w:ascii="Courier New" w:hAnsi="Courier New" w:hint="default"/>
      </w:rPr>
    </w:lvl>
    <w:lvl w:ilvl="2" w:tplc="26D40B6A" w:tentative="1">
      <w:start w:val="1"/>
      <w:numFmt w:val="bullet"/>
      <w:lvlText w:val=""/>
      <w:lvlJc w:val="left"/>
      <w:pPr>
        <w:ind w:left="2160" w:hanging="360"/>
      </w:pPr>
      <w:rPr>
        <w:rFonts w:ascii="Wingdings" w:hAnsi="Wingdings" w:hint="default"/>
      </w:rPr>
    </w:lvl>
    <w:lvl w:ilvl="3" w:tplc="5A6A12A0" w:tentative="1">
      <w:start w:val="1"/>
      <w:numFmt w:val="bullet"/>
      <w:lvlText w:val=""/>
      <w:lvlJc w:val="left"/>
      <w:pPr>
        <w:ind w:left="2880" w:hanging="360"/>
      </w:pPr>
      <w:rPr>
        <w:rFonts w:ascii="Symbol" w:hAnsi="Symbol" w:hint="default"/>
      </w:rPr>
    </w:lvl>
    <w:lvl w:ilvl="4" w:tplc="F4481408" w:tentative="1">
      <w:start w:val="1"/>
      <w:numFmt w:val="bullet"/>
      <w:lvlText w:val="o"/>
      <w:lvlJc w:val="left"/>
      <w:pPr>
        <w:ind w:left="3600" w:hanging="360"/>
      </w:pPr>
      <w:rPr>
        <w:rFonts w:ascii="Courier New" w:hAnsi="Courier New" w:hint="default"/>
      </w:rPr>
    </w:lvl>
    <w:lvl w:ilvl="5" w:tplc="E4CACF7C" w:tentative="1">
      <w:start w:val="1"/>
      <w:numFmt w:val="bullet"/>
      <w:lvlText w:val=""/>
      <w:lvlJc w:val="left"/>
      <w:pPr>
        <w:ind w:left="4320" w:hanging="360"/>
      </w:pPr>
      <w:rPr>
        <w:rFonts w:ascii="Wingdings" w:hAnsi="Wingdings" w:hint="default"/>
      </w:rPr>
    </w:lvl>
    <w:lvl w:ilvl="6" w:tplc="5498AE50" w:tentative="1">
      <w:start w:val="1"/>
      <w:numFmt w:val="bullet"/>
      <w:lvlText w:val=""/>
      <w:lvlJc w:val="left"/>
      <w:pPr>
        <w:ind w:left="5040" w:hanging="360"/>
      </w:pPr>
      <w:rPr>
        <w:rFonts w:ascii="Symbol" w:hAnsi="Symbol" w:hint="default"/>
      </w:rPr>
    </w:lvl>
    <w:lvl w:ilvl="7" w:tplc="B3008F2C" w:tentative="1">
      <w:start w:val="1"/>
      <w:numFmt w:val="bullet"/>
      <w:lvlText w:val="o"/>
      <w:lvlJc w:val="left"/>
      <w:pPr>
        <w:ind w:left="5760" w:hanging="360"/>
      </w:pPr>
      <w:rPr>
        <w:rFonts w:ascii="Courier New" w:hAnsi="Courier New" w:hint="default"/>
      </w:rPr>
    </w:lvl>
    <w:lvl w:ilvl="8" w:tplc="F1C846BC" w:tentative="1">
      <w:start w:val="1"/>
      <w:numFmt w:val="bullet"/>
      <w:lvlText w:val=""/>
      <w:lvlJc w:val="left"/>
      <w:pPr>
        <w:ind w:left="6480" w:hanging="360"/>
      </w:pPr>
      <w:rPr>
        <w:rFonts w:ascii="Wingdings" w:hAnsi="Wingdings" w:hint="default"/>
      </w:rPr>
    </w:lvl>
  </w:abstractNum>
  <w:abstractNum w:abstractNumId="81" w15:restartNumberingAfterBreak="0">
    <w:nsid w:val="6977472E"/>
    <w:multiLevelType w:val="multilevel"/>
    <w:tmpl w:val="D63C58F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A1B661A"/>
    <w:multiLevelType w:val="hybridMultilevel"/>
    <w:tmpl w:val="721CFBF6"/>
    <w:lvl w:ilvl="0" w:tplc="CFC2D172">
      <w:start w:val="1"/>
      <w:numFmt w:val="bullet"/>
      <w:lvlText w:val=""/>
      <w:lvlJc w:val="left"/>
      <w:pPr>
        <w:ind w:left="720" w:hanging="360"/>
      </w:pPr>
      <w:rPr>
        <w:rFonts w:ascii="Symbol" w:hAnsi="Symbol" w:hint="default"/>
      </w:rPr>
    </w:lvl>
    <w:lvl w:ilvl="1" w:tplc="819CCE38" w:tentative="1">
      <w:start w:val="1"/>
      <w:numFmt w:val="bullet"/>
      <w:lvlText w:val="o"/>
      <w:lvlJc w:val="left"/>
      <w:pPr>
        <w:ind w:left="1440" w:hanging="360"/>
      </w:pPr>
      <w:rPr>
        <w:rFonts w:ascii="Courier New" w:hAnsi="Courier New" w:hint="default"/>
      </w:rPr>
    </w:lvl>
    <w:lvl w:ilvl="2" w:tplc="B6B611D8" w:tentative="1">
      <w:start w:val="1"/>
      <w:numFmt w:val="bullet"/>
      <w:lvlText w:val=""/>
      <w:lvlJc w:val="left"/>
      <w:pPr>
        <w:ind w:left="2160" w:hanging="360"/>
      </w:pPr>
      <w:rPr>
        <w:rFonts w:ascii="Wingdings" w:hAnsi="Wingdings" w:hint="default"/>
      </w:rPr>
    </w:lvl>
    <w:lvl w:ilvl="3" w:tplc="00787566" w:tentative="1">
      <w:start w:val="1"/>
      <w:numFmt w:val="bullet"/>
      <w:lvlText w:val=""/>
      <w:lvlJc w:val="left"/>
      <w:pPr>
        <w:ind w:left="2880" w:hanging="360"/>
      </w:pPr>
      <w:rPr>
        <w:rFonts w:ascii="Symbol" w:hAnsi="Symbol" w:hint="default"/>
      </w:rPr>
    </w:lvl>
    <w:lvl w:ilvl="4" w:tplc="67D6E702" w:tentative="1">
      <w:start w:val="1"/>
      <w:numFmt w:val="bullet"/>
      <w:lvlText w:val="o"/>
      <w:lvlJc w:val="left"/>
      <w:pPr>
        <w:ind w:left="3600" w:hanging="360"/>
      </w:pPr>
      <w:rPr>
        <w:rFonts w:ascii="Courier New" w:hAnsi="Courier New" w:hint="default"/>
      </w:rPr>
    </w:lvl>
    <w:lvl w:ilvl="5" w:tplc="F8CEAACE" w:tentative="1">
      <w:start w:val="1"/>
      <w:numFmt w:val="bullet"/>
      <w:lvlText w:val=""/>
      <w:lvlJc w:val="left"/>
      <w:pPr>
        <w:ind w:left="4320" w:hanging="360"/>
      </w:pPr>
      <w:rPr>
        <w:rFonts w:ascii="Wingdings" w:hAnsi="Wingdings" w:hint="default"/>
      </w:rPr>
    </w:lvl>
    <w:lvl w:ilvl="6" w:tplc="14627424" w:tentative="1">
      <w:start w:val="1"/>
      <w:numFmt w:val="bullet"/>
      <w:lvlText w:val=""/>
      <w:lvlJc w:val="left"/>
      <w:pPr>
        <w:ind w:left="5040" w:hanging="360"/>
      </w:pPr>
      <w:rPr>
        <w:rFonts w:ascii="Symbol" w:hAnsi="Symbol" w:hint="default"/>
      </w:rPr>
    </w:lvl>
    <w:lvl w:ilvl="7" w:tplc="F792404C" w:tentative="1">
      <w:start w:val="1"/>
      <w:numFmt w:val="bullet"/>
      <w:lvlText w:val="o"/>
      <w:lvlJc w:val="left"/>
      <w:pPr>
        <w:ind w:left="5760" w:hanging="360"/>
      </w:pPr>
      <w:rPr>
        <w:rFonts w:ascii="Courier New" w:hAnsi="Courier New" w:hint="default"/>
      </w:rPr>
    </w:lvl>
    <w:lvl w:ilvl="8" w:tplc="F8708AE0" w:tentative="1">
      <w:start w:val="1"/>
      <w:numFmt w:val="bullet"/>
      <w:lvlText w:val=""/>
      <w:lvlJc w:val="left"/>
      <w:pPr>
        <w:ind w:left="6480" w:hanging="360"/>
      </w:pPr>
      <w:rPr>
        <w:rFonts w:ascii="Wingdings" w:hAnsi="Wingdings" w:hint="default"/>
      </w:rPr>
    </w:lvl>
  </w:abstractNum>
  <w:abstractNum w:abstractNumId="83" w15:restartNumberingAfterBreak="0">
    <w:nsid w:val="6BF43BF3"/>
    <w:multiLevelType w:val="multilevel"/>
    <w:tmpl w:val="4AE8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D5B0519"/>
    <w:multiLevelType w:val="multilevel"/>
    <w:tmpl w:val="6B62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EE93D55"/>
    <w:multiLevelType w:val="multilevel"/>
    <w:tmpl w:val="526EB7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F7D5D6B"/>
    <w:multiLevelType w:val="multilevel"/>
    <w:tmpl w:val="42B4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45D52C3"/>
    <w:multiLevelType w:val="multilevel"/>
    <w:tmpl w:val="707CD7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4EA774C"/>
    <w:multiLevelType w:val="multilevel"/>
    <w:tmpl w:val="BDB6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6CA65DD"/>
    <w:multiLevelType w:val="multilevel"/>
    <w:tmpl w:val="262265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9DD7652"/>
    <w:multiLevelType w:val="multilevel"/>
    <w:tmpl w:val="D036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B745F28"/>
    <w:multiLevelType w:val="multilevel"/>
    <w:tmpl w:val="AE38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93" w15:restartNumberingAfterBreak="0">
    <w:nsid w:val="7C8D04F4"/>
    <w:multiLevelType w:val="multilevel"/>
    <w:tmpl w:val="842885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CD268C1"/>
    <w:multiLevelType w:val="multilevel"/>
    <w:tmpl w:val="1D28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F967FCC"/>
    <w:multiLevelType w:val="multilevel"/>
    <w:tmpl w:val="2268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6"/>
  </w:num>
  <w:num w:numId="3">
    <w:abstractNumId w:val="42"/>
  </w:num>
  <w:num w:numId="4">
    <w:abstractNumId w:val="27"/>
  </w:num>
  <w:num w:numId="5">
    <w:abstractNumId w:val="45"/>
  </w:num>
  <w:num w:numId="6">
    <w:abstractNumId w:val="64"/>
  </w:num>
  <w:num w:numId="7">
    <w:abstractNumId w:val="81"/>
  </w:num>
  <w:num w:numId="8">
    <w:abstractNumId w:val="10"/>
  </w:num>
  <w:num w:numId="9">
    <w:abstractNumId w:val="22"/>
  </w:num>
  <w:num w:numId="10">
    <w:abstractNumId w:val="53"/>
  </w:num>
  <w:num w:numId="11">
    <w:abstractNumId w:val="15"/>
  </w:num>
  <w:num w:numId="12">
    <w:abstractNumId w:val="16"/>
  </w:num>
  <w:num w:numId="13">
    <w:abstractNumId w:val="17"/>
  </w:num>
  <w:num w:numId="14">
    <w:abstractNumId w:val="35"/>
  </w:num>
  <w:num w:numId="15">
    <w:abstractNumId w:val="47"/>
  </w:num>
  <w:num w:numId="16">
    <w:abstractNumId w:val="61"/>
  </w:num>
  <w:num w:numId="17">
    <w:abstractNumId w:val="37"/>
  </w:num>
  <w:num w:numId="18">
    <w:abstractNumId w:val="92"/>
  </w:num>
  <w:num w:numId="19">
    <w:abstractNumId w:val="39"/>
  </w:num>
  <w:num w:numId="20">
    <w:abstractNumId w:val="51"/>
  </w:num>
  <w:num w:numId="21">
    <w:abstractNumId w:val="23"/>
  </w:num>
  <w:num w:numId="22">
    <w:abstractNumId w:val="80"/>
  </w:num>
  <w:num w:numId="23">
    <w:abstractNumId w:val="79"/>
  </w:num>
  <w:num w:numId="24">
    <w:abstractNumId w:val="75"/>
  </w:num>
  <w:num w:numId="25">
    <w:abstractNumId w:val="66"/>
  </w:num>
  <w:num w:numId="26">
    <w:abstractNumId w:val="41"/>
  </w:num>
  <w:num w:numId="27">
    <w:abstractNumId w:val="32"/>
  </w:num>
  <w:num w:numId="28">
    <w:abstractNumId w:val="74"/>
  </w:num>
  <w:num w:numId="29">
    <w:abstractNumId w:val="8"/>
  </w:num>
  <w:num w:numId="30">
    <w:abstractNumId w:val="72"/>
  </w:num>
  <w:num w:numId="31">
    <w:abstractNumId w:val="82"/>
  </w:num>
  <w:num w:numId="32">
    <w:abstractNumId w:val="9"/>
  </w:num>
  <w:num w:numId="33">
    <w:abstractNumId w:val="29"/>
  </w:num>
  <w:num w:numId="34">
    <w:abstractNumId w:val="52"/>
  </w:num>
  <w:num w:numId="35">
    <w:abstractNumId w:val="59"/>
  </w:num>
  <w:num w:numId="36">
    <w:abstractNumId w:val="18"/>
  </w:num>
  <w:num w:numId="37">
    <w:abstractNumId w:val="43"/>
  </w:num>
  <w:num w:numId="38">
    <w:abstractNumId w:val="30"/>
  </w:num>
  <w:num w:numId="39">
    <w:abstractNumId w:val="40"/>
  </w:num>
  <w:num w:numId="40">
    <w:abstractNumId w:val="54"/>
  </w:num>
  <w:num w:numId="41">
    <w:abstractNumId w:val="13"/>
  </w:num>
  <w:num w:numId="42">
    <w:abstractNumId w:val="5"/>
  </w:num>
  <w:num w:numId="43">
    <w:abstractNumId w:val="11"/>
  </w:num>
  <w:num w:numId="44">
    <w:abstractNumId w:val="60"/>
  </w:num>
  <w:num w:numId="45">
    <w:abstractNumId w:val="85"/>
  </w:num>
  <w:num w:numId="46">
    <w:abstractNumId w:val="19"/>
  </w:num>
  <w:num w:numId="47">
    <w:abstractNumId w:val="46"/>
  </w:num>
  <w:num w:numId="48">
    <w:abstractNumId w:val="58"/>
  </w:num>
  <w:num w:numId="49">
    <w:abstractNumId w:val="33"/>
  </w:num>
  <w:num w:numId="50">
    <w:abstractNumId w:val="67"/>
  </w:num>
  <w:num w:numId="51">
    <w:abstractNumId w:val="25"/>
  </w:num>
  <w:num w:numId="52">
    <w:abstractNumId w:val="63"/>
  </w:num>
  <w:num w:numId="53">
    <w:abstractNumId w:val="55"/>
  </w:num>
  <w:num w:numId="54">
    <w:abstractNumId w:val="69"/>
  </w:num>
  <w:num w:numId="55">
    <w:abstractNumId w:val="94"/>
  </w:num>
  <w:num w:numId="56">
    <w:abstractNumId w:val="84"/>
  </w:num>
  <w:num w:numId="57">
    <w:abstractNumId w:val="91"/>
  </w:num>
  <w:num w:numId="58">
    <w:abstractNumId w:val="14"/>
  </w:num>
  <w:num w:numId="59">
    <w:abstractNumId w:val="48"/>
  </w:num>
  <w:num w:numId="60">
    <w:abstractNumId w:val="34"/>
  </w:num>
  <w:num w:numId="61">
    <w:abstractNumId w:val="83"/>
  </w:num>
  <w:num w:numId="62">
    <w:abstractNumId w:val="68"/>
  </w:num>
  <w:num w:numId="63">
    <w:abstractNumId w:val="78"/>
  </w:num>
  <w:num w:numId="64">
    <w:abstractNumId w:val="1"/>
  </w:num>
  <w:num w:numId="65">
    <w:abstractNumId w:val="38"/>
  </w:num>
  <w:num w:numId="66">
    <w:abstractNumId w:val="90"/>
  </w:num>
  <w:num w:numId="67">
    <w:abstractNumId w:val="7"/>
  </w:num>
  <w:num w:numId="68">
    <w:abstractNumId w:val="57"/>
  </w:num>
  <w:num w:numId="69">
    <w:abstractNumId w:val="0"/>
  </w:num>
  <w:num w:numId="70">
    <w:abstractNumId w:val="26"/>
  </w:num>
  <w:num w:numId="71">
    <w:abstractNumId w:val="76"/>
  </w:num>
  <w:num w:numId="72">
    <w:abstractNumId w:val="93"/>
  </w:num>
  <w:num w:numId="73">
    <w:abstractNumId w:val="70"/>
  </w:num>
  <w:num w:numId="74">
    <w:abstractNumId w:val="31"/>
  </w:num>
  <w:num w:numId="75">
    <w:abstractNumId w:val="36"/>
  </w:num>
  <w:num w:numId="76">
    <w:abstractNumId w:val="44"/>
  </w:num>
  <w:num w:numId="77">
    <w:abstractNumId w:val="88"/>
  </w:num>
  <w:num w:numId="78">
    <w:abstractNumId w:val="89"/>
  </w:num>
  <w:num w:numId="79">
    <w:abstractNumId w:val="49"/>
  </w:num>
  <w:num w:numId="80">
    <w:abstractNumId w:val="2"/>
  </w:num>
  <w:num w:numId="81">
    <w:abstractNumId w:val="87"/>
  </w:num>
  <w:num w:numId="82">
    <w:abstractNumId w:val="20"/>
  </w:num>
  <w:num w:numId="83">
    <w:abstractNumId w:val="77"/>
  </w:num>
  <w:num w:numId="84">
    <w:abstractNumId w:val="71"/>
  </w:num>
  <w:num w:numId="85">
    <w:abstractNumId w:val="12"/>
  </w:num>
  <w:num w:numId="86">
    <w:abstractNumId w:val="21"/>
  </w:num>
  <w:num w:numId="87">
    <w:abstractNumId w:val="56"/>
  </w:num>
  <w:num w:numId="88">
    <w:abstractNumId w:val="28"/>
  </w:num>
  <w:num w:numId="89">
    <w:abstractNumId w:val="4"/>
  </w:num>
  <w:num w:numId="90">
    <w:abstractNumId w:val="3"/>
  </w:num>
  <w:num w:numId="91">
    <w:abstractNumId w:val="95"/>
  </w:num>
  <w:num w:numId="92">
    <w:abstractNumId w:val="86"/>
  </w:num>
  <w:num w:numId="93">
    <w:abstractNumId w:val="24"/>
  </w:num>
  <w:num w:numId="94">
    <w:abstractNumId w:val="62"/>
  </w:num>
  <w:num w:numId="95">
    <w:abstractNumId w:val="50"/>
  </w:num>
  <w:num w:numId="96">
    <w:abstractNumId w:val="7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21DC1D82-9A66-490B-A6B6-A1868CA27E74"/>
    <w:docVar w:name="LW_COVERPAGE_TYPE" w:val="1"/>
    <w:docVar w:name="LW_CROSSREFERENCE" w:val="{SWD(2026) 33 final} - {SWD(2026) 34 final} - {SWD(2026) 35 final} - {SWD(2026) 36 final} - {SWD(2026) 37 final} - {SWD(2026) 38 final} - {SWD(2026) 39 final} - {SWD(2026) 40 final} - {SWD(2026) 41 final} - {SWD(2026) 42 final} - {SWD(2026) 43 final} - {SWD(2026) 44 final} - {SWD(2026) 45 final} - {SWD(2026) 46 final} - {SWD(2026) 47 final} - {SWD(2026) 48 final} - {SWD(2026) 49 final} - {SWD(2026) 50 final} - {SWD(2026) 51 final} - {SWD(2026) 52 final} - {SWD(2026) 53 final} - {SWD(2026) 54 final} - {SWD(2026) 55 final} - {SWD(2026) 56 final} - {SWD(2026) 57 final} - {SWD(2026) 58 final} - {SWD(2026) 59 final}"/>
    <w:docVar w:name="LW_DocType" w:val="NORMAL"/>
    <w:docVar w:name="LW_EMISSION" w:val="13.2.2026"/>
    <w:docVar w:name="LW_EMISSION_ISODATE" w:val="2026-02-13"/>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à mi-parcours sur la mise en \u339?uvre du cadre politique de l\u8217?UE en matière de sécurité routièr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671023"/>
    <w:rsid w:val="00000A25"/>
    <w:rsid w:val="0000107D"/>
    <w:rsid w:val="00001436"/>
    <w:rsid w:val="0000173B"/>
    <w:rsid w:val="000028D6"/>
    <w:rsid w:val="0000295B"/>
    <w:rsid w:val="00003195"/>
    <w:rsid w:val="000036F5"/>
    <w:rsid w:val="00004668"/>
    <w:rsid w:val="00005695"/>
    <w:rsid w:val="00005A42"/>
    <w:rsid w:val="00005ED6"/>
    <w:rsid w:val="0000656F"/>
    <w:rsid w:val="000068F2"/>
    <w:rsid w:val="00006A75"/>
    <w:rsid w:val="00006B58"/>
    <w:rsid w:val="00006CB9"/>
    <w:rsid w:val="000077F5"/>
    <w:rsid w:val="00007ADF"/>
    <w:rsid w:val="00010054"/>
    <w:rsid w:val="000105AC"/>
    <w:rsid w:val="00010F00"/>
    <w:rsid w:val="00010F84"/>
    <w:rsid w:val="00010FC7"/>
    <w:rsid w:val="000114AE"/>
    <w:rsid w:val="00011690"/>
    <w:rsid w:val="00011B24"/>
    <w:rsid w:val="00011D8A"/>
    <w:rsid w:val="00012522"/>
    <w:rsid w:val="0001270D"/>
    <w:rsid w:val="00012940"/>
    <w:rsid w:val="000140BE"/>
    <w:rsid w:val="0001456A"/>
    <w:rsid w:val="0001483A"/>
    <w:rsid w:val="00014BA7"/>
    <w:rsid w:val="00014C0F"/>
    <w:rsid w:val="00014D1D"/>
    <w:rsid w:val="000152C5"/>
    <w:rsid w:val="000155F0"/>
    <w:rsid w:val="0001561A"/>
    <w:rsid w:val="00015E22"/>
    <w:rsid w:val="00015FBD"/>
    <w:rsid w:val="0001636C"/>
    <w:rsid w:val="00016CEA"/>
    <w:rsid w:val="00016D89"/>
    <w:rsid w:val="00017BA2"/>
    <w:rsid w:val="00017FB0"/>
    <w:rsid w:val="00020103"/>
    <w:rsid w:val="00020567"/>
    <w:rsid w:val="00020688"/>
    <w:rsid w:val="000206E2"/>
    <w:rsid w:val="00020F34"/>
    <w:rsid w:val="00020FF2"/>
    <w:rsid w:val="000211AE"/>
    <w:rsid w:val="000214DE"/>
    <w:rsid w:val="0002210D"/>
    <w:rsid w:val="0002217F"/>
    <w:rsid w:val="000222EF"/>
    <w:rsid w:val="000225FE"/>
    <w:rsid w:val="00022725"/>
    <w:rsid w:val="000227C6"/>
    <w:rsid w:val="00023054"/>
    <w:rsid w:val="00023EE5"/>
    <w:rsid w:val="000241B9"/>
    <w:rsid w:val="00024542"/>
    <w:rsid w:val="00024725"/>
    <w:rsid w:val="0002491D"/>
    <w:rsid w:val="00024B34"/>
    <w:rsid w:val="00024E9E"/>
    <w:rsid w:val="00024EBB"/>
    <w:rsid w:val="0002589B"/>
    <w:rsid w:val="00025E5A"/>
    <w:rsid w:val="0002736D"/>
    <w:rsid w:val="00027527"/>
    <w:rsid w:val="000311FA"/>
    <w:rsid w:val="000320B9"/>
    <w:rsid w:val="00032927"/>
    <w:rsid w:val="00032C9A"/>
    <w:rsid w:val="00033B7D"/>
    <w:rsid w:val="00033B8E"/>
    <w:rsid w:val="00033F76"/>
    <w:rsid w:val="00034FDC"/>
    <w:rsid w:val="00035C61"/>
    <w:rsid w:val="00036383"/>
    <w:rsid w:val="00036FF0"/>
    <w:rsid w:val="000372F8"/>
    <w:rsid w:val="00037306"/>
    <w:rsid w:val="0003741D"/>
    <w:rsid w:val="000375D8"/>
    <w:rsid w:val="000375F5"/>
    <w:rsid w:val="00037AD1"/>
    <w:rsid w:val="00040385"/>
    <w:rsid w:val="0004109F"/>
    <w:rsid w:val="00041487"/>
    <w:rsid w:val="000416F0"/>
    <w:rsid w:val="00041B08"/>
    <w:rsid w:val="0004217D"/>
    <w:rsid w:val="00042C5F"/>
    <w:rsid w:val="00042F8A"/>
    <w:rsid w:val="000431C1"/>
    <w:rsid w:val="00044440"/>
    <w:rsid w:val="0004465B"/>
    <w:rsid w:val="000449FF"/>
    <w:rsid w:val="00045123"/>
    <w:rsid w:val="000453C7"/>
    <w:rsid w:val="00045709"/>
    <w:rsid w:val="000458E3"/>
    <w:rsid w:val="00045F91"/>
    <w:rsid w:val="0004610A"/>
    <w:rsid w:val="000463AC"/>
    <w:rsid w:val="0004696D"/>
    <w:rsid w:val="000477D5"/>
    <w:rsid w:val="00047836"/>
    <w:rsid w:val="00047ABA"/>
    <w:rsid w:val="00047BE9"/>
    <w:rsid w:val="00047DA2"/>
    <w:rsid w:val="0005055E"/>
    <w:rsid w:val="00050BA5"/>
    <w:rsid w:val="00050BD8"/>
    <w:rsid w:val="000515CA"/>
    <w:rsid w:val="00051864"/>
    <w:rsid w:val="00051C96"/>
    <w:rsid w:val="00051DC2"/>
    <w:rsid w:val="00051F1E"/>
    <w:rsid w:val="0005206A"/>
    <w:rsid w:val="000524CF"/>
    <w:rsid w:val="00052FB5"/>
    <w:rsid w:val="000532DD"/>
    <w:rsid w:val="00053610"/>
    <w:rsid w:val="000537E3"/>
    <w:rsid w:val="00053F3D"/>
    <w:rsid w:val="000544AA"/>
    <w:rsid w:val="00054E88"/>
    <w:rsid w:val="00055277"/>
    <w:rsid w:val="0005533A"/>
    <w:rsid w:val="00055707"/>
    <w:rsid w:val="00055A4C"/>
    <w:rsid w:val="00055B2B"/>
    <w:rsid w:val="00055E51"/>
    <w:rsid w:val="0005648A"/>
    <w:rsid w:val="000566BE"/>
    <w:rsid w:val="00056C3D"/>
    <w:rsid w:val="00056C98"/>
    <w:rsid w:val="000576AD"/>
    <w:rsid w:val="000576DD"/>
    <w:rsid w:val="0005790D"/>
    <w:rsid w:val="00057928"/>
    <w:rsid w:val="00057EDE"/>
    <w:rsid w:val="00057F96"/>
    <w:rsid w:val="00060D7D"/>
    <w:rsid w:val="00061083"/>
    <w:rsid w:val="00061562"/>
    <w:rsid w:val="0006207C"/>
    <w:rsid w:val="000620A9"/>
    <w:rsid w:val="000622A8"/>
    <w:rsid w:val="00062A47"/>
    <w:rsid w:val="0006303E"/>
    <w:rsid w:val="00063246"/>
    <w:rsid w:val="0006344A"/>
    <w:rsid w:val="000635DE"/>
    <w:rsid w:val="00063E72"/>
    <w:rsid w:val="00063E7A"/>
    <w:rsid w:val="0006422E"/>
    <w:rsid w:val="0006423A"/>
    <w:rsid w:val="00064DB0"/>
    <w:rsid w:val="00065549"/>
    <w:rsid w:val="000657F2"/>
    <w:rsid w:val="00065AD3"/>
    <w:rsid w:val="0006609C"/>
    <w:rsid w:val="000661BB"/>
    <w:rsid w:val="00066494"/>
    <w:rsid w:val="000667EA"/>
    <w:rsid w:val="00067535"/>
    <w:rsid w:val="0006786F"/>
    <w:rsid w:val="0007032A"/>
    <w:rsid w:val="0007058E"/>
    <w:rsid w:val="00070867"/>
    <w:rsid w:val="00070B62"/>
    <w:rsid w:val="00070CE7"/>
    <w:rsid w:val="00070D60"/>
    <w:rsid w:val="000715E0"/>
    <w:rsid w:val="000716EF"/>
    <w:rsid w:val="00071D31"/>
    <w:rsid w:val="0007251D"/>
    <w:rsid w:val="000725CD"/>
    <w:rsid w:val="00072F70"/>
    <w:rsid w:val="000731BB"/>
    <w:rsid w:val="000737BA"/>
    <w:rsid w:val="00074010"/>
    <w:rsid w:val="000742D6"/>
    <w:rsid w:val="00074D76"/>
    <w:rsid w:val="0007565D"/>
    <w:rsid w:val="00076CFC"/>
    <w:rsid w:val="000771F3"/>
    <w:rsid w:val="000777A0"/>
    <w:rsid w:val="00077814"/>
    <w:rsid w:val="00077C10"/>
    <w:rsid w:val="00077DEB"/>
    <w:rsid w:val="00080651"/>
    <w:rsid w:val="0008076A"/>
    <w:rsid w:val="00080911"/>
    <w:rsid w:val="000811A7"/>
    <w:rsid w:val="000813F8"/>
    <w:rsid w:val="000815A2"/>
    <w:rsid w:val="0008275A"/>
    <w:rsid w:val="00082FBD"/>
    <w:rsid w:val="000845FC"/>
    <w:rsid w:val="0008466F"/>
    <w:rsid w:val="00084975"/>
    <w:rsid w:val="00084CA0"/>
    <w:rsid w:val="00084CB9"/>
    <w:rsid w:val="00084F88"/>
    <w:rsid w:val="00085151"/>
    <w:rsid w:val="00085386"/>
    <w:rsid w:val="00085A58"/>
    <w:rsid w:val="00085B6D"/>
    <w:rsid w:val="00086374"/>
    <w:rsid w:val="00086475"/>
    <w:rsid w:val="0008690D"/>
    <w:rsid w:val="0008694C"/>
    <w:rsid w:val="000869B2"/>
    <w:rsid w:val="00086CCB"/>
    <w:rsid w:val="00086F4E"/>
    <w:rsid w:val="000870C5"/>
    <w:rsid w:val="00087A20"/>
    <w:rsid w:val="00087D56"/>
    <w:rsid w:val="00087D74"/>
    <w:rsid w:val="000900CE"/>
    <w:rsid w:val="00090192"/>
    <w:rsid w:val="00090309"/>
    <w:rsid w:val="000907BD"/>
    <w:rsid w:val="000907CA"/>
    <w:rsid w:val="0009083B"/>
    <w:rsid w:val="00090E93"/>
    <w:rsid w:val="00090F74"/>
    <w:rsid w:val="000911DE"/>
    <w:rsid w:val="00091516"/>
    <w:rsid w:val="00091A67"/>
    <w:rsid w:val="00091E05"/>
    <w:rsid w:val="00092001"/>
    <w:rsid w:val="000924F7"/>
    <w:rsid w:val="00092AA2"/>
    <w:rsid w:val="0009302A"/>
    <w:rsid w:val="000937D0"/>
    <w:rsid w:val="000937D9"/>
    <w:rsid w:val="000939C2"/>
    <w:rsid w:val="00093C28"/>
    <w:rsid w:val="00093D8E"/>
    <w:rsid w:val="00093ECD"/>
    <w:rsid w:val="000947AE"/>
    <w:rsid w:val="000947E8"/>
    <w:rsid w:val="000947E9"/>
    <w:rsid w:val="00094C2E"/>
    <w:rsid w:val="0009539E"/>
    <w:rsid w:val="00095D33"/>
    <w:rsid w:val="00096116"/>
    <w:rsid w:val="0009646A"/>
    <w:rsid w:val="0009660D"/>
    <w:rsid w:val="000966A8"/>
    <w:rsid w:val="00097F42"/>
    <w:rsid w:val="000A06B6"/>
    <w:rsid w:val="000A07BF"/>
    <w:rsid w:val="000A1043"/>
    <w:rsid w:val="000A1B13"/>
    <w:rsid w:val="000A1D42"/>
    <w:rsid w:val="000A20BF"/>
    <w:rsid w:val="000A20E7"/>
    <w:rsid w:val="000A269F"/>
    <w:rsid w:val="000A2B36"/>
    <w:rsid w:val="000A3160"/>
    <w:rsid w:val="000A33DA"/>
    <w:rsid w:val="000A3449"/>
    <w:rsid w:val="000A39E2"/>
    <w:rsid w:val="000A3CF8"/>
    <w:rsid w:val="000A4344"/>
    <w:rsid w:val="000A45D9"/>
    <w:rsid w:val="000A4690"/>
    <w:rsid w:val="000A4E29"/>
    <w:rsid w:val="000A4ED7"/>
    <w:rsid w:val="000A53DA"/>
    <w:rsid w:val="000A5AD9"/>
    <w:rsid w:val="000A6625"/>
    <w:rsid w:val="000A6B14"/>
    <w:rsid w:val="000A6B2D"/>
    <w:rsid w:val="000A6F66"/>
    <w:rsid w:val="000A7816"/>
    <w:rsid w:val="000A78D9"/>
    <w:rsid w:val="000A793F"/>
    <w:rsid w:val="000A7ADF"/>
    <w:rsid w:val="000A7B6A"/>
    <w:rsid w:val="000B003E"/>
    <w:rsid w:val="000B031D"/>
    <w:rsid w:val="000B0F1B"/>
    <w:rsid w:val="000B0F6F"/>
    <w:rsid w:val="000B1007"/>
    <w:rsid w:val="000B2388"/>
    <w:rsid w:val="000B2530"/>
    <w:rsid w:val="000B2778"/>
    <w:rsid w:val="000B3041"/>
    <w:rsid w:val="000B3FDF"/>
    <w:rsid w:val="000B43B2"/>
    <w:rsid w:val="000B4505"/>
    <w:rsid w:val="000B4875"/>
    <w:rsid w:val="000B48D8"/>
    <w:rsid w:val="000B4C3A"/>
    <w:rsid w:val="000B58B4"/>
    <w:rsid w:val="000B5A66"/>
    <w:rsid w:val="000B5D84"/>
    <w:rsid w:val="000B6139"/>
    <w:rsid w:val="000B66DE"/>
    <w:rsid w:val="000B753F"/>
    <w:rsid w:val="000B7BEC"/>
    <w:rsid w:val="000B7E33"/>
    <w:rsid w:val="000C00F5"/>
    <w:rsid w:val="000C0236"/>
    <w:rsid w:val="000C0307"/>
    <w:rsid w:val="000C0486"/>
    <w:rsid w:val="000C0967"/>
    <w:rsid w:val="000C0DAB"/>
    <w:rsid w:val="000C26BE"/>
    <w:rsid w:val="000C2CAE"/>
    <w:rsid w:val="000C2D02"/>
    <w:rsid w:val="000C36E4"/>
    <w:rsid w:val="000C373D"/>
    <w:rsid w:val="000C3A32"/>
    <w:rsid w:val="000C43B1"/>
    <w:rsid w:val="000C4452"/>
    <w:rsid w:val="000C4604"/>
    <w:rsid w:val="000C4C57"/>
    <w:rsid w:val="000C51B5"/>
    <w:rsid w:val="000C5355"/>
    <w:rsid w:val="000C56B6"/>
    <w:rsid w:val="000C5769"/>
    <w:rsid w:val="000C5C5B"/>
    <w:rsid w:val="000C5DF3"/>
    <w:rsid w:val="000C60BE"/>
    <w:rsid w:val="000C675A"/>
    <w:rsid w:val="000C6D89"/>
    <w:rsid w:val="000C70FE"/>
    <w:rsid w:val="000C7615"/>
    <w:rsid w:val="000C761D"/>
    <w:rsid w:val="000D0200"/>
    <w:rsid w:val="000D039D"/>
    <w:rsid w:val="000D081D"/>
    <w:rsid w:val="000D0F36"/>
    <w:rsid w:val="000D116C"/>
    <w:rsid w:val="000D1246"/>
    <w:rsid w:val="000D18D8"/>
    <w:rsid w:val="000D1A34"/>
    <w:rsid w:val="000D2370"/>
    <w:rsid w:val="000D25B8"/>
    <w:rsid w:val="000D2685"/>
    <w:rsid w:val="000D291D"/>
    <w:rsid w:val="000D336C"/>
    <w:rsid w:val="000D418A"/>
    <w:rsid w:val="000D427D"/>
    <w:rsid w:val="000D459D"/>
    <w:rsid w:val="000D45DA"/>
    <w:rsid w:val="000D4F96"/>
    <w:rsid w:val="000D5903"/>
    <w:rsid w:val="000D5AA8"/>
    <w:rsid w:val="000D625F"/>
    <w:rsid w:val="000D63CE"/>
    <w:rsid w:val="000D6877"/>
    <w:rsid w:val="000D6BA1"/>
    <w:rsid w:val="000D6C30"/>
    <w:rsid w:val="000D6E39"/>
    <w:rsid w:val="000D7080"/>
    <w:rsid w:val="000D727D"/>
    <w:rsid w:val="000D73CB"/>
    <w:rsid w:val="000D77ED"/>
    <w:rsid w:val="000E073A"/>
    <w:rsid w:val="000E0A9E"/>
    <w:rsid w:val="000E0C32"/>
    <w:rsid w:val="000E1441"/>
    <w:rsid w:val="000E14E3"/>
    <w:rsid w:val="000E19F2"/>
    <w:rsid w:val="000E21B1"/>
    <w:rsid w:val="000E2BCF"/>
    <w:rsid w:val="000E2EC0"/>
    <w:rsid w:val="000E326B"/>
    <w:rsid w:val="000E3509"/>
    <w:rsid w:val="000E3D46"/>
    <w:rsid w:val="000E4362"/>
    <w:rsid w:val="000E478A"/>
    <w:rsid w:val="000E5002"/>
    <w:rsid w:val="000E51A4"/>
    <w:rsid w:val="000E51B9"/>
    <w:rsid w:val="000E5362"/>
    <w:rsid w:val="000E5F00"/>
    <w:rsid w:val="000E67A5"/>
    <w:rsid w:val="000E6FF1"/>
    <w:rsid w:val="000E74AB"/>
    <w:rsid w:val="000E7828"/>
    <w:rsid w:val="000F01EC"/>
    <w:rsid w:val="000F031A"/>
    <w:rsid w:val="000F05D5"/>
    <w:rsid w:val="000F0AA1"/>
    <w:rsid w:val="000F0C7D"/>
    <w:rsid w:val="000F0CFE"/>
    <w:rsid w:val="000F0EE0"/>
    <w:rsid w:val="000F1078"/>
    <w:rsid w:val="000F11A4"/>
    <w:rsid w:val="000F140A"/>
    <w:rsid w:val="000F18D2"/>
    <w:rsid w:val="000F19FD"/>
    <w:rsid w:val="000F1B95"/>
    <w:rsid w:val="000F27AB"/>
    <w:rsid w:val="000F3057"/>
    <w:rsid w:val="000F34EB"/>
    <w:rsid w:val="000F438F"/>
    <w:rsid w:val="000F441C"/>
    <w:rsid w:val="000F4905"/>
    <w:rsid w:val="000F4FF9"/>
    <w:rsid w:val="000F504B"/>
    <w:rsid w:val="000F513D"/>
    <w:rsid w:val="000F535D"/>
    <w:rsid w:val="000F5656"/>
    <w:rsid w:val="000F5792"/>
    <w:rsid w:val="000F5881"/>
    <w:rsid w:val="000F5891"/>
    <w:rsid w:val="000F5990"/>
    <w:rsid w:val="000F5A1B"/>
    <w:rsid w:val="000F5A90"/>
    <w:rsid w:val="000F5D01"/>
    <w:rsid w:val="000F6019"/>
    <w:rsid w:val="000F6A3B"/>
    <w:rsid w:val="000F716E"/>
    <w:rsid w:val="000F798A"/>
    <w:rsid w:val="00100A4C"/>
    <w:rsid w:val="00100A79"/>
    <w:rsid w:val="00100F2E"/>
    <w:rsid w:val="00101228"/>
    <w:rsid w:val="001019EB"/>
    <w:rsid w:val="001019F3"/>
    <w:rsid w:val="001025AD"/>
    <w:rsid w:val="00102D49"/>
    <w:rsid w:val="00102D5B"/>
    <w:rsid w:val="00103014"/>
    <w:rsid w:val="001031CE"/>
    <w:rsid w:val="00103415"/>
    <w:rsid w:val="00103872"/>
    <w:rsid w:val="001039E9"/>
    <w:rsid w:val="00103A98"/>
    <w:rsid w:val="00103C9A"/>
    <w:rsid w:val="00103DAD"/>
    <w:rsid w:val="0010401F"/>
    <w:rsid w:val="0010487F"/>
    <w:rsid w:val="00104898"/>
    <w:rsid w:val="00105371"/>
    <w:rsid w:val="00105785"/>
    <w:rsid w:val="00105D96"/>
    <w:rsid w:val="001062A9"/>
    <w:rsid w:val="0010636E"/>
    <w:rsid w:val="00106371"/>
    <w:rsid w:val="00106CFC"/>
    <w:rsid w:val="00107170"/>
    <w:rsid w:val="00107222"/>
    <w:rsid w:val="00107300"/>
    <w:rsid w:val="00107806"/>
    <w:rsid w:val="001079C6"/>
    <w:rsid w:val="00107B6A"/>
    <w:rsid w:val="001100B7"/>
    <w:rsid w:val="001104D2"/>
    <w:rsid w:val="00110AA1"/>
    <w:rsid w:val="00111497"/>
    <w:rsid w:val="00111934"/>
    <w:rsid w:val="00112230"/>
    <w:rsid w:val="001123F2"/>
    <w:rsid w:val="0011244A"/>
    <w:rsid w:val="001125C2"/>
    <w:rsid w:val="00112650"/>
    <w:rsid w:val="00112719"/>
    <w:rsid w:val="001127DC"/>
    <w:rsid w:val="00113156"/>
    <w:rsid w:val="001132AF"/>
    <w:rsid w:val="00113439"/>
    <w:rsid w:val="00113795"/>
    <w:rsid w:val="00113DCC"/>
    <w:rsid w:val="00113F3C"/>
    <w:rsid w:val="001140F9"/>
    <w:rsid w:val="00114560"/>
    <w:rsid w:val="00114D60"/>
    <w:rsid w:val="00114E45"/>
    <w:rsid w:val="001150DF"/>
    <w:rsid w:val="00115109"/>
    <w:rsid w:val="0011564C"/>
    <w:rsid w:val="0011584E"/>
    <w:rsid w:val="00115979"/>
    <w:rsid w:val="00115A2B"/>
    <w:rsid w:val="00116C17"/>
    <w:rsid w:val="00117656"/>
    <w:rsid w:val="00117781"/>
    <w:rsid w:val="001178BA"/>
    <w:rsid w:val="00117D7E"/>
    <w:rsid w:val="001207AD"/>
    <w:rsid w:val="00120F04"/>
    <w:rsid w:val="00121A3F"/>
    <w:rsid w:val="00121A81"/>
    <w:rsid w:val="00121AB4"/>
    <w:rsid w:val="00122C14"/>
    <w:rsid w:val="001230EC"/>
    <w:rsid w:val="00123CD1"/>
    <w:rsid w:val="00123FD4"/>
    <w:rsid w:val="00124CD8"/>
    <w:rsid w:val="001250DB"/>
    <w:rsid w:val="001250E8"/>
    <w:rsid w:val="00125109"/>
    <w:rsid w:val="00125868"/>
    <w:rsid w:val="00125C77"/>
    <w:rsid w:val="00126372"/>
    <w:rsid w:val="0012646C"/>
    <w:rsid w:val="00126F2E"/>
    <w:rsid w:val="0012719A"/>
    <w:rsid w:val="00127669"/>
    <w:rsid w:val="00127D76"/>
    <w:rsid w:val="001303EE"/>
    <w:rsid w:val="00130900"/>
    <w:rsid w:val="00130A9B"/>
    <w:rsid w:val="00130B27"/>
    <w:rsid w:val="00131118"/>
    <w:rsid w:val="001318EF"/>
    <w:rsid w:val="00131C30"/>
    <w:rsid w:val="00131F96"/>
    <w:rsid w:val="00132140"/>
    <w:rsid w:val="0013232F"/>
    <w:rsid w:val="001323B6"/>
    <w:rsid w:val="001328EE"/>
    <w:rsid w:val="0013336B"/>
    <w:rsid w:val="0013409E"/>
    <w:rsid w:val="001340EB"/>
    <w:rsid w:val="0013427A"/>
    <w:rsid w:val="00134660"/>
    <w:rsid w:val="00134B57"/>
    <w:rsid w:val="00135098"/>
    <w:rsid w:val="00135421"/>
    <w:rsid w:val="00135606"/>
    <w:rsid w:val="0013585B"/>
    <w:rsid w:val="001365FC"/>
    <w:rsid w:val="00136999"/>
    <w:rsid w:val="00137569"/>
    <w:rsid w:val="00137784"/>
    <w:rsid w:val="00137A86"/>
    <w:rsid w:val="00137AB3"/>
    <w:rsid w:val="00137D76"/>
    <w:rsid w:val="00140130"/>
    <w:rsid w:val="0014026F"/>
    <w:rsid w:val="0014063F"/>
    <w:rsid w:val="00140D8D"/>
    <w:rsid w:val="00141525"/>
    <w:rsid w:val="001421D9"/>
    <w:rsid w:val="0014225C"/>
    <w:rsid w:val="0014236D"/>
    <w:rsid w:val="00142862"/>
    <w:rsid w:val="001429D3"/>
    <w:rsid w:val="00142C6D"/>
    <w:rsid w:val="00142E62"/>
    <w:rsid w:val="001433B2"/>
    <w:rsid w:val="001436FB"/>
    <w:rsid w:val="00143B81"/>
    <w:rsid w:val="00144B45"/>
    <w:rsid w:val="001452A4"/>
    <w:rsid w:val="00145C17"/>
    <w:rsid w:val="00145C4E"/>
    <w:rsid w:val="00145C5E"/>
    <w:rsid w:val="00145D6F"/>
    <w:rsid w:val="00145E28"/>
    <w:rsid w:val="00146A0F"/>
    <w:rsid w:val="00146A76"/>
    <w:rsid w:val="00146D24"/>
    <w:rsid w:val="00147089"/>
    <w:rsid w:val="001473A9"/>
    <w:rsid w:val="00147449"/>
    <w:rsid w:val="001474B3"/>
    <w:rsid w:val="00147610"/>
    <w:rsid w:val="001504CE"/>
    <w:rsid w:val="00150B60"/>
    <w:rsid w:val="00150DAB"/>
    <w:rsid w:val="0015105E"/>
    <w:rsid w:val="001512E4"/>
    <w:rsid w:val="00151322"/>
    <w:rsid w:val="001522F9"/>
    <w:rsid w:val="001522FC"/>
    <w:rsid w:val="00152473"/>
    <w:rsid w:val="00152DC4"/>
    <w:rsid w:val="00153208"/>
    <w:rsid w:val="00153A6A"/>
    <w:rsid w:val="001542ED"/>
    <w:rsid w:val="001542F6"/>
    <w:rsid w:val="00154A4D"/>
    <w:rsid w:val="00154D96"/>
    <w:rsid w:val="00154E39"/>
    <w:rsid w:val="001550C5"/>
    <w:rsid w:val="00155B40"/>
    <w:rsid w:val="00156140"/>
    <w:rsid w:val="001564B7"/>
    <w:rsid w:val="00156599"/>
    <w:rsid w:val="00156943"/>
    <w:rsid w:val="00156C62"/>
    <w:rsid w:val="00157027"/>
    <w:rsid w:val="0015751E"/>
    <w:rsid w:val="00157850"/>
    <w:rsid w:val="00157D68"/>
    <w:rsid w:val="00160279"/>
    <w:rsid w:val="001606C8"/>
    <w:rsid w:val="001618F7"/>
    <w:rsid w:val="00161EAD"/>
    <w:rsid w:val="00162169"/>
    <w:rsid w:val="00162435"/>
    <w:rsid w:val="00162848"/>
    <w:rsid w:val="00162DEE"/>
    <w:rsid w:val="001633BD"/>
    <w:rsid w:val="001636D6"/>
    <w:rsid w:val="001639DE"/>
    <w:rsid w:val="00163DC7"/>
    <w:rsid w:val="00164C42"/>
    <w:rsid w:val="00164DB0"/>
    <w:rsid w:val="00165166"/>
    <w:rsid w:val="001655C9"/>
    <w:rsid w:val="001659BB"/>
    <w:rsid w:val="00165DEE"/>
    <w:rsid w:val="00165DFB"/>
    <w:rsid w:val="001668AD"/>
    <w:rsid w:val="001675BA"/>
    <w:rsid w:val="00167864"/>
    <w:rsid w:val="00167CF3"/>
    <w:rsid w:val="00167FE8"/>
    <w:rsid w:val="00170961"/>
    <w:rsid w:val="00170AC2"/>
    <w:rsid w:val="00170CE0"/>
    <w:rsid w:val="00171224"/>
    <w:rsid w:val="00172A88"/>
    <w:rsid w:val="00173755"/>
    <w:rsid w:val="00174263"/>
    <w:rsid w:val="0017432D"/>
    <w:rsid w:val="00175F0A"/>
    <w:rsid w:val="001762F4"/>
    <w:rsid w:val="0017634F"/>
    <w:rsid w:val="00176B2B"/>
    <w:rsid w:val="00176DE7"/>
    <w:rsid w:val="001770B2"/>
    <w:rsid w:val="001772F5"/>
    <w:rsid w:val="001774E1"/>
    <w:rsid w:val="001800C5"/>
    <w:rsid w:val="0018055D"/>
    <w:rsid w:val="00180AB2"/>
    <w:rsid w:val="00180D51"/>
    <w:rsid w:val="00181A01"/>
    <w:rsid w:val="00181C12"/>
    <w:rsid w:val="0018254E"/>
    <w:rsid w:val="00182E45"/>
    <w:rsid w:val="001833F5"/>
    <w:rsid w:val="001837C2"/>
    <w:rsid w:val="00183D31"/>
    <w:rsid w:val="0018404F"/>
    <w:rsid w:val="00184237"/>
    <w:rsid w:val="00185190"/>
    <w:rsid w:val="001854DD"/>
    <w:rsid w:val="0018570A"/>
    <w:rsid w:val="0018583E"/>
    <w:rsid w:val="0018588A"/>
    <w:rsid w:val="001865BD"/>
    <w:rsid w:val="0018700E"/>
    <w:rsid w:val="00187D28"/>
    <w:rsid w:val="00187F6D"/>
    <w:rsid w:val="00190445"/>
    <w:rsid w:val="00190C38"/>
    <w:rsid w:val="00190FB0"/>
    <w:rsid w:val="0019119A"/>
    <w:rsid w:val="0019136C"/>
    <w:rsid w:val="001918B3"/>
    <w:rsid w:val="00191AFD"/>
    <w:rsid w:val="00191C31"/>
    <w:rsid w:val="00191D75"/>
    <w:rsid w:val="00192500"/>
    <w:rsid w:val="00192E59"/>
    <w:rsid w:val="001930A1"/>
    <w:rsid w:val="00193224"/>
    <w:rsid w:val="001932F0"/>
    <w:rsid w:val="00193347"/>
    <w:rsid w:val="00193AFB"/>
    <w:rsid w:val="001949F0"/>
    <w:rsid w:val="00194C3B"/>
    <w:rsid w:val="00194EB6"/>
    <w:rsid w:val="00194ECF"/>
    <w:rsid w:val="00194F5D"/>
    <w:rsid w:val="0019531E"/>
    <w:rsid w:val="001954E8"/>
    <w:rsid w:val="0019552B"/>
    <w:rsid w:val="001955DF"/>
    <w:rsid w:val="00195AFB"/>
    <w:rsid w:val="00195BED"/>
    <w:rsid w:val="00195D84"/>
    <w:rsid w:val="0019625A"/>
    <w:rsid w:val="00196B34"/>
    <w:rsid w:val="00196F8D"/>
    <w:rsid w:val="0019715C"/>
    <w:rsid w:val="00197421"/>
    <w:rsid w:val="001A11DC"/>
    <w:rsid w:val="001A177D"/>
    <w:rsid w:val="001A1843"/>
    <w:rsid w:val="001A1D71"/>
    <w:rsid w:val="001A1F60"/>
    <w:rsid w:val="001A26DD"/>
    <w:rsid w:val="001A296F"/>
    <w:rsid w:val="001A2988"/>
    <w:rsid w:val="001A2DE4"/>
    <w:rsid w:val="001A2E1B"/>
    <w:rsid w:val="001A3669"/>
    <w:rsid w:val="001A39CD"/>
    <w:rsid w:val="001A3E83"/>
    <w:rsid w:val="001A4238"/>
    <w:rsid w:val="001A471F"/>
    <w:rsid w:val="001A4720"/>
    <w:rsid w:val="001A47F9"/>
    <w:rsid w:val="001A4AE3"/>
    <w:rsid w:val="001A5132"/>
    <w:rsid w:val="001A5A94"/>
    <w:rsid w:val="001A6732"/>
    <w:rsid w:val="001A74A1"/>
    <w:rsid w:val="001A757E"/>
    <w:rsid w:val="001A76A8"/>
    <w:rsid w:val="001A7B2C"/>
    <w:rsid w:val="001B0949"/>
    <w:rsid w:val="001B1BB9"/>
    <w:rsid w:val="001B2315"/>
    <w:rsid w:val="001B23AF"/>
    <w:rsid w:val="001B307B"/>
    <w:rsid w:val="001B3167"/>
    <w:rsid w:val="001B3254"/>
    <w:rsid w:val="001B34E2"/>
    <w:rsid w:val="001B3588"/>
    <w:rsid w:val="001B3770"/>
    <w:rsid w:val="001B3FC7"/>
    <w:rsid w:val="001B4058"/>
    <w:rsid w:val="001B4F52"/>
    <w:rsid w:val="001B4F6F"/>
    <w:rsid w:val="001B55DF"/>
    <w:rsid w:val="001B566E"/>
    <w:rsid w:val="001B5FEF"/>
    <w:rsid w:val="001B653E"/>
    <w:rsid w:val="001B6FA4"/>
    <w:rsid w:val="001B7A56"/>
    <w:rsid w:val="001B7D37"/>
    <w:rsid w:val="001C1404"/>
    <w:rsid w:val="001C1673"/>
    <w:rsid w:val="001C17BD"/>
    <w:rsid w:val="001C1DF5"/>
    <w:rsid w:val="001C21F3"/>
    <w:rsid w:val="001C269D"/>
    <w:rsid w:val="001C3127"/>
    <w:rsid w:val="001C398F"/>
    <w:rsid w:val="001C4288"/>
    <w:rsid w:val="001C46A4"/>
    <w:rsid w:val="001C486D"/>
    <w:rsid w:val="001C4B45"/>
    <w:rsid w:val="001C4B7F"/>
    <w:rsid w:val="001C50A3"/>
    <w:rsid w:val="001C5E31"/>
    <w:rsid w:val="001C5E40"/>
    <w:rsid w:val="001C6453"/>
    <w:rsid w:val="001C658E"/>
    <w:rsid w:val="001C725B"/>
    <w:rsid w:val="001C7299"/>
    <w:rsid w:val="001C7810"/>
    <w:rsid w:val="001C7AE3"/>
    <w:rsid w:val="001C7E73"/>
    <w:rsid w:val="001D01AE"/>
    <w:rsid w:val="001D0BF0"/>
    <w:rsid w:val="001D0CF3"/>
    <w:rsid w:val="001D0DA7"/>
    <w:rsid w:val="001D1279"/>
    <w:rsid w:val="001D14CF"/>
    <w:rsid w:val="001D164E"/>
    <w:rsid w:val="001D1845"/>
    <w:rsid w:val="001D1DDB"/>
    <w:rsid w:val="001D2305"/>
    <w:rsid w:val="001D2663"/>
    <w:rsid w:val="001D30F8"/>
    <w:rsid w:val="001D33F9"/>
    <w:rsid w:val="001D3C25"/>
    <w:rsid w:val="001D3F66"/>
    <w:rsid w:val="001D41FC"/>
    <w:rsid w:val="001D5D5E"/>
    <w:rsid w:val="001D61E6"/>
    <w:rsid w:val="001D6721"/>
    <w:rsid w:val="001D6E65"/>
    <w:rsid w:val="001D6F01"/>
    <w:rsid w:val="001D6F8D"/>
    <w:rsid w:val="001D705D"/>
    <w:rsid w:val="001D7B47"/>
    <w:rsid w:val="001D7C7A"/>
    <w:rsid w:val="001E032D"/>
    <w:rsid w:val="001E0411"/>
    <w:rsid w:val="001E0A36"/>
    <w:rsid w:val="001E0A58"/>
    <w:rsid w:val="001E0B76"/>
    <w:rsid w:val="001E0CFD"/>
    <w:rsid w:val="001E1210"/>
    <w:rsid w:val="001E13A7"/>
    <w:rsid w:val="001E1C44"/>
    <w:rsid w:val="001E1FE8"/>
    <w:rsid w:val="001E2223"/>
    <w:rsid w:val="001E25D0"/>
    <w:rsid w:val="001E2698"/>
    <w:rsid w:val="001E26E9"/>
    <w:rsid w:val="001E2783"/>
    <w:rsid w:val="001E2B4E"/>
    <w:rsid w:val="001E2C1C"/>
    <w:rsid w:val="001E30B2"/>
    <w:rsid w:val="001E3D77"/>
    <w:rsid w:val="001E521E"/>
    <w:rsid w:val="001E54E3"/>
    <w:rsid w:val="001E595C"/>
    <w:rsid w:val="001E5A40"/>
    <w:rsid w:val="001E5A54"/>
    <w:rsid w:val="001E5A65"/>
    <w:rsid w:val="001E62DC"/>
    <w:rsid w:val="001E659E"/>
    <w:rsid w:val="001E69BE"/>
    <w:rsid w:val="001E6A3C"/>
    <w:rsid w:val="001E6C7E"/>
    <w:rsid w:val="001E6D4A"/>
    <w:rsid w:val="001E6EBB"/>
    <w:rsid w:val="001E6EE1"/>
    <w:rsid w:val="001E7889"/>
    <w:rsid w:val="001E78F0"/>
    <w:rsid w:val="001E7A44"/>
    <w:rsid w:val="001E7D3F"/>
    <w:rsid w:val="001E7D40"/>
    <w:rsid w:val="001F013B"/>
    <w:rsid w:val="001F028C"/>
    <w:rsid w:val="001F153A"/>
    <w:rsid w:val="001F21CF"/>
    <w:rsid w:val="001F22F6"/>
    <w:rsid w:val="001F27E0"/>
    <w:rsid w:val="001F3AD5"/>
    <w:rsid w:val="001F42FB"/>
    <w:rsid w:val="001F4411"/>
    <w:rsid w:val="001F445B"/>
    <w:rsid w:val="001F496B"/>
    <w:rsid w:val="001F4AEA"/>
    <w:rsid w:val="001F4E17"/>
    <w:rsid w:val="001F4EA6"/>
    <w:rsid w:val="001F530B"/>
    <w:rsid w:val="001F5A96"/>
    <w:rsid w:val="001F60C2"/>
    <w:rsid w:val="001F6206"/>
    <w:rsid w:val="001F640A"/>
    <w:rsid w:val="001F64E0"/>
    <w:rsid w:val="001F65A9"/>
    <w:rsid w:val="001F673C"/>
    <w:rsid w:val="001F6F21"/>
    <w:rsid w:val="001F75E3"/>
    <w:rsid w:val="001F7DD4"/>
    <w:rsid w:val="001F7F23"/>
    <w:rsid w:val="00200768"/>
    <w:rsid w:val="00200C90"/>
    <w:rsid w:val="00201275"/>
    <w:rsid w:val="002012FA"/>
    <w:rsid w:val="00201937"/>
    <w:rsid w:val="002023D7"/>
    <w:rsid w:val="00202B7A"/>
    <w:rsid w:val="00202C19"/>
    <w:rsid w:val="00202D07"/>
    <w:rsid w:val="00202E12"/>
    <w:rsid w:val="00202F59"/>
    <w:rsid w:val="002033CA"/>
    <w:rsid w:val="00203454"/>
    <w:rsid w:val="002039AD"/>
    <w:rsid w:val="00203C60"/>
    <w:rsid w:val="00204190"/>
    <w:rsid w:val="002045BC"/>
    <w:rsid w:val="002046AD"/>
    <w:rsid w:val="0020486E"/>
    <w:rsid w:val="00204D6C"/>
    <w:rsid w:val="00204F39"/>
    <w:rsid w:val="00205590"/>
    <w:rsid w:val="00205864"/>
    <w:rsid w:val="002060E1"/>
    <w:rsid w:val="00206A39"/>
    <w:rsid w:val="00206FC9"/>
    <w:rsid w:val="00207002"/>
    <w:rsid w:val="00207265"/>
    <w:rsid w:val="00207370"/>
    <w:rsid w:val="00207426"/>
    <w:rsid w:val="0021055A"/>
    <w:rsid w:val="00210C99"/>
    <w:rsid w:val="00210F90"/>
    <w:rsid w:val="00211237"/>
    <w:rsid w:val="002116B0"/>
    <w:rsid w:val="00211E87"/>
    <w:rsid w:val="0021324C"/>
    <w:rsid w:val="00213647"/>
    <w:rsid w:val="0021367A"/>
    <w:rsid w:val="00213959"/>
    <w:rsid w:val="00213CFB"/>
    <w:rsid w:val="00213D7D"/>
    <w:rsid w:val="00213F79"/>
    <w:rsid w:val="00213FF6"/>
    <w:rsid w:val="00214101"/>
    <w:rsid w:val="00214553"/>
    <w:rsid w:val="00214583"/>
    <w:rsid w:val="0021460D"/>
    <w:rsid w:val="00214A39"/>
    <w:rsid w:val="00214E7D"/>
    <w:rsid w:val="00215318"/>
    <w:rsid w:val="00215379"/>
    <w:rsid w:val="0021594D"/>
    <w:rsid w:val="00215A5B"/>
    <w:rsid w:val="00216346"/>
    <w:rsid w:val="00216CBB"/>
    <w:rsid w:val="00216CC9"/>
    <w:rsid w:val="00216DC7"/>
    <w:rsid w:val="0021705A"/>
    <w:rsid w:val="0022007F"/>
    <w:rsid w:val="002203A6"/>
    <w:rsid w:val="00221332"/>
    <w:rsid w:val="00221479"/>
    <w:rsid w:val="00221A16"/>
    <w:rsid w:val="00221D92"/>
    <w:rsid w:val="00221E06"/>
    <w:rsid w:val="00221E58"/>
    <w:rsid w:val="00222558"/>
    <w:rsid w:val="002227FC"/>
    <w:rsid w:val="00222EB5"/>
    <w:rsid w:val="00222F28"/>
    <w:rsid w:val="002230DA"/>
    <w:rsid w:val="0022321D"/>
    <w:rsid w:val="00223E42"/>
    <w:rsid w:val="00224208"/>
    <w:rsid w:val="002259C8"/>
    <w:rsid w:val="00225D45"/>
    <w:rsid w:val="00226BD2"/>
    <w:rsid w:val="002271C0"/>
    <w:rsid w:val="0022760B"/>
    <w:rsid w:val="002277DE"/>
    <w:rsid w:val="00227863"/>
    <w:rsid w:val="00230626"/>
    <w:rsid w:val="00230B84"/>
    <w:rsid w:val="00230EB5"/>
    <w:rsid w:val="0023143D"/>
    <w:rsid w:val="00231E9F"/>
    <w:rsid w:val="00232274"/>
    <w:rsid w:val="0023242C"/>
    <w:rsid w:val="0023287D"/>
    <w:rsid w:val="0023318A"/>
    <w:rsid w:val="002331C5"/>
    <w:rsid w:val="00233247"/>
    <w:rsid w:val="002332A4"/>
    <w:rsid w:val="002334B3"/>
    <w:rsid w:val="00233BBC"/>
    <w:rsid w:val="00233C02"/>
    <w:rsid w:val="00233C8D"/>
    <w:rsid w:val="00234161"/>
    <w:rsid w:val="002345B0"/>
    <w:rsid w:val="00234816"/>
    <w:rsid w:val="002352CB"/>
    <w:rsid w:val="002354AC"/>
    <w:rsid w:val="00235614"/>
    <w:rsid w:val="00235E20"/>
    <w:rsid w:val="00236476"/>
    <w:rsid w:val="002369D2"/>
    <w:rsid w:val="0023701A"/>
    <w:rsid w:val="0023716F"/>
    <w:rsid w:val="00240060"/>
    <w:rsid w:val="0024057B"/>
    <w:rsid w:val="002405AA"/>
    <w:rsid w:val="00241809"/>
    <w:rsid w:val="00241DAE"/>
    <w:rsid w:val="00241FEE"/>
    <w:rsid w:val="00242722"/>
    <w:rsid w:val="002428A6"/>
    <w:rsid w:val="00242D5D"/>
    <w:rsid w:val="00243214"/>
    <w:rsid w:val="0024346B"/>
    <w:rsid w:val="002437D3"/>
    <w:rsid w:val="00243EE5"/>
    <w:rsid w:val="0024424F"/>
    <w:rsid w:val="0024456A"/>
    <w:rsid w:val="0024583F"/>
    <w:rsid w:val="0024594B"/>
    <w:rsid w:val="002459DC"/>
    <w:rsid w:val="00245A68"/>
    <w:rsid w:val="00245AAE"/>
    <w:rsid w:val="00245C36"/>
    <w:rsid w:val="00245F3C"/>
    <w:rsid w:val="002466F9"/>
    <w:rsid w:val="00246C0F"/>
    <w:rsid w:val="002470EA"/>
    <w:rsid w:val="00247341"/>
    <w:rsid w:val="002479B4"/>
    <w:rsid w:val="002500A8"/>
    <w:rsid w:val="00250347"/>
    <w:rsid w:val="0025087E"/>
    <w:rsid w:val="00250AB3"/>
    <w:rsid w:val="00250D95"/>
    <w:rsid w:val="002510D1"/>
    <w:rsid w:val="00251281"/>
    <w:rsid w:val="0025191A"/>
    <w:rsid w:val="00251C0F"/>
    <w:rsid w:val="00252226"/>
    <w:rsid w:val="00252271"/>
    <w:rsid w:val="0025237D"/>
    <w:rsid w:val="002525DD"/>
    <w:rsid w:val="00252F4F"/>
    <w:rsid w:val="00254B3A"/>
    <w:rsid w:val="00254D87"/>
    <w:rsid w:val="0025505E"/>
    <w:rsid w:val="002550DE"/>
    <w:rsid w:val="00255802"/>
    <w:rsid w:val="00256207"/>
    <w:rsid w:val="0025689F"/>
    <w:rsid w:val="00256CE7"/>
    <w:rsid w:val="00257016"/>
    <w:rsid w:val="00257173"/>
    <w:rsid w:val="00257367"/>
    <w:rsid w:val="0025746A"/>
    <w:rsid w:val="002575CE"/>
    <w:rsid w:val="00257BC8"/>
    <w:rsid w:val="00257D24"/>
    <w:rsid w:val="00260349"/>
    <w:rsid w:val="002604B4"/>
    <w:rsid w:val="002606E3"/>
    <w:rsid w:val="00260CA8"/>
    <w:rsid w:val="00260E16"/>
    <w:rsid w:val="002610D2"/>
    <w:rsid w:val="0026192F"/>
    <w:rsid w:val="00261A24"/>
    <w:rsid w:val="00262029"/>
    <w:rsid w:val="002629BD"/>
    <w:rsid w:val="00263064"/>
    <w:rsid w:val="0026397C"/>
    <w:rsid w:val="00264AE1"/>
    <w:rsid w:val="00265377"/>
    <w:rsid w:val="002653C7"/>
    <w:rsid w:val="00265414"/>
    <w:rsid w:val="002657A5"/>
    <w:rsid w:val="0026594E"/>
    <w:rsid w:val="00265CE9"/>
    <w:rsid w:val="00265FF6"/>
    <w:rsid w:val="00266758"/>
    <w:rsid w:val="00266A9C"/>
    <w:rsid w:val="00267363"/>
    <w:rsid w:val="002701D8"/>
    <w:rsid w:val="00270480"/>
    <w:rsid w:val="00271607"/>
    <w:rsid w:val="002719A5"/>
    <w:rsid w:val="00271C37"/>
    <w:rsid w:val="00271EBD"/>
    <w:rsid w:val="00272098"/>
    <w:rsid w:val="002720FD"/>
    <w:rsid w:val="0027221C"/>
    <w:rsid w:val="00272BDF"/>
    <w:rsid w:val="002732FD"/>
    <w:rsid w:val="00274044"/>
    <w:rsid w:val="00274090"/>
    <w:rsid w:val="0027424A"/>
    <w:rsid w:val="00274B84"/>
    <w:rsid w:val="00274C86"/>
    <w:rsid w:val="002750D9"/>
    <w:rsid w:val="00275368"/>
    <w:rsid w:val="00276268"/>
    <w:rsid w:val="00276D1F"/>
    <w:rsid w:val="00276D72"/>
    <w:rsid w:val="00276D94"/>
    <w:rsid w:val="00276FC9"/>
    <w:rsid w:val="00277127"/>
    <w:rsid w:val="00277656"/>
    <w:rsid w:val="00277C17"/>
    <w:rsid w:val="00277E5C"/>
    <w:rsid w:val="00280576"/>
    <w:rsid w:val="002817B8"/>
    <w:rsid w:val="002818EC"/>
    <w:rsid w:val="00281B6E"/>
    <w:rsid w:val="00281C1D"/>
    <w:rsid w:val="00281C5F"/>
    <w:rsid w:val="00281F80"/>
    <w:rsid w:val="00282371"/>
    <w:rsid w:val="0028238B"/>
    <w:rsid w:val="00282C3F"/>
    <w:rsid w:val="00282C62"/>
    <w:rsid w:val="00283157"/>
    <w:rsid w:val="00284CE2"/>
    <w:rsid w:val="00284D9A"/>
    <w:rsid w:val="00284F19"/>
    <w:rsid w:val="00285002"/>
    <w:rsid w:val="0028583F"/>
    <w:rsid w:val="0028672C"/>
    <w:rsid w:val="002867EB"/>
    <w:rsid w:val="00286FAF"/>
    <w:rsid w:val="002872A2"/>
    <w:rsid w:val="00287374"/>
    <w:rsid w:val="00287641"/>
    <w:rsid w:val="00287776"/>
    <w:rsid w:val="0028798A"/>
    <w:rsid w:val="00287D82"/>
    <w:rsid w:val="002902CC"/>
    <w:rsid w:val="00290E62"/>
    <w:rsid w:val="00291A2A"/>
    <w:rsid w:val="00291AE4"/>
    <w:rsid w:val="00291B45"/>
    <w:rsid w:val="00291C93"/>
    <w:rsid w:val="00291F2F"/>
    <w:rsid w:val="002922B8"/>
    <w:rsid w:val="002923CA"/>
    <w:rsid w:val="00292B9A"/>
    <w:rsid w:val="00292F03"/>
    <w:rsid w:val="00292F42"/>
    <w:rsid w:val="002931E3"/>
    <w:rsid w:val="002939D3"/>
    <w:rsid w:val="00294537"/>
    <w:rsid w:val="002947F5"/>
    <w:rsid w:val="00295B3D"/>
    <w:rsid w:val="002968AD"/>
    <w:rsid w:val="00296BA3"/>
    <w:rsid w:val="00296C43"/>
    <w:rsid w:val="00297657"/>
    <w:rsid w:val="002978F1"/>
    <w:rsid w:val="00297990"/>
    <w:rsid w:val="00297B2A"/>
    <w:rsid w:val="002A00B3"/>
    <w:rsid w:val="002A0265"/>
    <w:rsid w:val="002A02DD"/>
    <w:rsid w:val="002A08D7"/>
    <w:rsid w:val="002A1C9D"/>
    <w:rsid w:val="002A20E1"/>
    <w:rsid w:val="002A2571"/>
    <w:rsid w:val="002A2935"/>
    <w:rsid w:val="002A2BC6"/>
    <w:rsid w:val="002A2CBF"/>
    <w:rsid w:val="002A2E32"/>
    <w:rsid w:val="002A325A"/>
    <w:rsid w:val="002A32AC"/>
    <w:rsid w:val="002A459C"/>
    <w:rsid w:val="002A45AD"/>
    <w:rsid w:val="002A466B"/>
    <w:rsid w:val="002A4770"/>
    <w:rsid w:val="002A48F7"/>
    <w:rsid w:val="002A4B12"/>
    <w:rsid w:val="002A5232"/>
    <w:rsid w:val="002A62D8"/>
    <w:rsid w:val="002A6825"/>
    <w:rsid w:val="002A6937"/>
    <w:rsid w:val="002A6AD8"/>
    <w:rsid w:val="002A6F02"/>
    <w:rsid w:val="002A7594"/>
    <w:rsid w:val="002A767F"/>
    <w:rsid w:val="002B0264"/>
    <w:rsid w:val="002B0461"/>
    <w:rsid w:val="002B084C"/>
    <w:rsid w:val="002B0C67"/>
    <w:rsid w:val="002B0DF3"/>
    <w:rsid w:val="002B156C"/>
    <w:rsid w:val="002B1649"/>
    <w:rsid w:val="002B1D6E"/>
    <w:rsid w:val="002B2D25"/>
    <w:rsid w:val="002B2EEF"/>
    <w:rsid w:val="002B3371"/>
    <w:rsid w:val="002B3566"/>
    <w:rsid w:val="002B3851"/>
    <w:rsid w:val="002B3BA0"/>
    <w:rsid w:val="002B42CC"/>
    <w:rsid w:val="002B4DCE"/>
    <w:rsid w:val="002B5269"/>
    <w:rsid w:val="002B5282"/>
    <w:rsid w:val="002B5A0C"/>
    <w:rsid w:val="002B5D13"/>
    <w:rsid w:val="002B604C"/>
    <w:rsid w:val="002B6205"/>
    <w:rsid w:val="002B62A6"/>
    <w:rsid w:val="002B64A1"/>
    <w:rsid w:val="002B682B"/>
    <w:rsid w:val="002B6C02"/>
    <w:rsid w:val="002B6C22"/>
    <w:rsid w:val="002B7699"/>
    <w:rsid w:val="002C01EF"/>
    <w:rsid w:val="002C09E3"/>
    <w:rsid w:val="002C21C2"/>
    <w:rsid w:val="002C2769"/>
    <w:rsid w:val="002C2A31"/>
    <w:rsid w:val="002C2FA9"/>
    <w:rsid w:val="002C33E1"/>
    <w:rsid w:val="002C36E0"/>
    <w:rsid w:val="002C3AFC"/>
    <w:rsid w:val="002C3FC1"/>
    <w:rsid w:val="002C41AA"/>
    <w:rsid w:val="002C47A0"/>
    <w:rsid w:val="002C4DD0"/>
    <w:rsid w:val="002C529C"/>
    <w:rsid w:val="002C5426"/>
    <w:rsid w:val="002C5566"/>
    <w:rsid w:val="002C5B5F"/>
    <w:rsid w:val="002C5DA3"/>
    <w:rsid w:val="002C61AC"/>
    <w:rsid w:val="002C65B3"/>
    <w:rsid w:val="002C68B3"/>
    <w:rsid w:val="002C6976"/>
    <w:rsid w:val="002C6E59"/>
    <w:rsid w:val="002C7263"/>
    <w:rsid w:val="002C765D"/>
    <w:rsid w:val="002C7678"/>
    <w:rsid w:val="002C7706"/>
    <w:rsid w:val="002C7AED"/>
    <w:rsid w:val="002C7F65"/>
    <w:rsid w:val="002D02AA"/>
    <w:rsid w:val="002D05C7"/>
    <w:rsid w:val="002D089D"/>
    <w:rsid w:val="002D09D1"/>
    <w:rsid w:val="002D0F7F"/>
    <w:rsid w:val="002D11FD"/>
    <w:rsid w:val="002D1683"/>
    <w:rsid w:val="002D2113"/>
    <w:rsid w:val="002D24A2"/>
    <w:rsid w:val="002D24DE"/>
    <w:rsid w:val="002D24F6"/>
    <w:rsid w:val="002D28FC"/>
    <w:rsid w:val="002D29AF"/>
    <w:rsid w:val="002D2B87"/>
    <w:rsid w:val="002D2B88"/>
    <w:rsid w:val="002D316E"/>
    <w:rsid w:val="002D333C"/>
    <w:rsid w:val="002D3488"/>
    <w:rsid w:val="002D3C46"/>
    <w:rsid w:val="002D40D0"/>
    <w:rsid w:val="002D44EA"/>
    <w:rsid w:val="002D48DB"/>
    <w:rsid w:val="002D55F7"/>
    <w:rsid w:val="002D58CF"/>
    <w:rsid w:val="002D58E2"/>
    <w:rsid w:val="002D60FD"/>
    <w:rsid w:val="002D620B"/>
    <w:rsid w:val="002D6327"/>
    <w:rsid w:val="002D659A"/>
    <w:rsid w:val="002D6C6F"/>
    <w:rsid w:val="002D6EDF"/>
    <w:rsid w:val="002D725B"/>
    <w:rsid w:val="002D730D"/>
    <w:rsid w:val="002D7CE9"/>
    <w:rsid w:val="002E04D1"/>
    <w:rsid w:val="002E085E"/>
    <w:rsid w:val="002E09DC"/>
    <w:rsid w:val="002E0ADA"/>
    <w:rsid w:val="002E0C44"/>
    <w:rsid w:val="002E2377"/>
    <w:rsid w:val="002E2495"/>
    <w:rsid w:val="002E2945"/>
    <w:rsid w:val="002E2F63"/>
    <w:rsid w:val="002E348C"/>
    <w:rsid w:val="002E387A"/>
    <w:rsid w:val="002E38AE"/>
    <w:rsid w:val="002E3989"/>
    <w:rsid w:val="002E3FBE"/>
    <w:rsid w:val="002E41B7"/>
    <w:rsid w:val="002E423B"/>
    <w:rsid w:val="002E42E7"/>
    <w:rsid w:val="002E49F2"/>
    <w:rsid w:val="002E4C8B"/>
    <w:rsid w:val="002E4D6E"/>
    <w:rsid w:val="002E5099"/>
    <w:rsid w:val="002E56D7"/>
    <w:rsid w:val="002E588B"/>
    <w:rsid w:val="002E5CC1"/>
    <w:rsid w:val="002F0134"/>
    <w:rsid w:val="002F0262"/>
    <w:rsid w:val="002F058D"/>
    <w:rsid w:val="002F09F4"/>
    <w:rsid w:val="002F0A72"/>
    <w:rsid w:val="002F13BC"/>
    <w:rsid w:val="002F1403"/>
    <w:rsid w:val="002F1E22"/>
    <w:rsid w:val="002F2416"/>
    <w:rsid w:val="002F253D"/>
    <w:rsid w:val="002F268C"/>
    <w:rsid w:val="002F3104"/>
    <w:rsid w:val="002F31C5"/>
    <w:rsid w:val="002F3B18"/>
    <w:rsid w:val="002F3FD5"/>
    <w:rsid w:val="002F4696"/>
    <w:rsid w:val="002F4BBC"/>
    <w:rsid w:val="002F515B"/>
    <w:rsid w:val="002F55A2"/>
    <w:rsid w:val="002F56F5"/>
    <w:rsid w:val="002F70E8"/>
    <w:rsid w:val="002F7A7B"/>
    <w:rsid w:val="002F7B80"/>
    <w:rsid w:val="002F7EC3"/>
    <w:rsid w:val="003007DA"/>
    <w:rsid w:val="00300CF9"/>
    <w:rsid w:val="00300ED6"/>
    <w:rsid w:val="00301248"/>
    <w:rsid w:val="003018D6"/>
    <w:rsid w:val="0030208A"/>
    <w:rsid w:val="00302ADF"/>
    <w:rsid w:val="00302F1B"/>
    <w:rsid w:val="00303411"/>
    <w:rsid w:val="00303740"/>
    <w:rsid w:val="00304D55"/>
    <w:rsid w:val="003054E9"/>
    <w:rsid w:val="00305BF3"/>
    <w:rsid w:val="00305DE6"/>
    <w:rsid w:val="00305F87"/>
    <w:rsid w:val="00306228"/>
    <w:rsid w:val="00306B1E"/>
    <w:rsid w:val="00306F89"/>
    <w:rsid w:val="0030723B"/>
    <w:rsid w:val="0030735A"/>
    <w:rsid w:val="003077B0"/>
    <w:rsid w:val="00307914"/>
    <w:rsid w:val="00311A86"/>
    <w:rsid w:val="00311B06"/>
    <w:rsid w:val="00311C6C"/>
    <w:rsid w:val="00311E53"/>
    <w:rsid w:val="00311EBD"/>
    <w:rsid w:val="00312524"/>
    <w:rsid w:val="0031333D"/>
    <w:rsid w:val="0031370B"/>
    <w:rsid w:val="003138F6"/>
    <w:rsid w:val="00313949"/>
    <w:rsid w:val="00313995"/>
    <w:rsid w:val="003139EB"/>
    <w:rsid w:val="00313DBE"/>
    <w:rsid w:val="00313F1A"/>
    <w:rsid w:val="00314A0C"/>
    <w:rsid w:val="00314A15"/>
    <w:rsid w:val="003152F7"/>
    <w:rsid w:val="003159B9"/>
    <w:rsid w:val="00315E28"/>
    <w:rsid w:val="00315E82"/>
    <w:rsid w:val="003160DD"/>
    <w:rsid w:val="00316284"/>
    <w:rsid w:val="003172CE"/>
    <w:rsid w:val="00317593"/>
    <w:rsid w:val="00317CE9"/>
    <w:rsid w:val="003204EA"/>
    <w:rsid w:val="0032055B"/>
    <w:rsid w:val="003205BB"/>
    <w:rsid w:val="003205C5"/>
    <w:rsid w:val="00320822"/>
    <w:rsid w:val="00320959"/>
    <w:rsid w:val="00320BA0"/>
    <w:rsid w:val="00320CDE"/>
    <w:rsid w:val="00320FE0"/>
    <w:rsid w:val="003212BE"/>
    <w:rsid w:val="00321FDD"/>
    <w:rsid w:val="003220EB"/>
    <w:rsid w:val="003225C3"/>
    <w:rsid w:val="003225F5"/>
    <w:rsid w:val="00322FA8"/>
    <w:rsid w:val="003233F3"/>
    <w:rsid w:val="0032343E"/>
    <w:rsid w:val="00323BCB"/>
    <w:rsid w:val="00323D4F"/>
    <w:rsid w:val="00324500"/>
    <w:rsid w:val="00324648"/>
    <w:rsid w:val="00324806"/>
    <w:rsid w:val="00324826"/>
    <w:rsid w:val="00324AD0"/>
    <w:rsid w:val="00324F96"/>
    <w:rsid w:val="00325387"/>
    <w:rsid w:val="003262CE"/>
    <w:rsid w:val="003263A4"/>
    <w:rsid w:val="0032654D"/>
    <w:rsid w:val="00326565"/>
    <w:rsid w:val="00326CC5"/>
    <w:rsid w:val="00327061"/>
    <w:rsid w:val="003278C0"/>
    <w:rsid w:val="00327D99"/>
    <w:rsid w:val="00330725"/>
    <w:rsid w:val="003308A8"/>
    <w:rsid w:val="003311F3"/>
    <w:rsid w:val="00331E27"/>
    <w:rsid w:val="003325D2"/>
    <w:rsid w:val="0033317A"/>
    <w:rsid w:val="00333C77"/>
    <w:rsid w:val="00333D7B"/>
    <w:rsid w:val="00333EB1"/>
    <w:rsid w:val="0033476F"/>
    <w:rsid w:val="00335415"/>
    <w:rsid w:val="00335CE0"/>
    <w:rsid w:val="0033608A"/>
    <w:rsid w:val="003362EE"/>
    <w:rsid w:val="00336C9C"/>
    <w:rsid w:val="00337D92"/>
    <w:rsid w:val="00340514"/>
    <w:rsid w:val="003409CC"/>
    <w:rsid w:val="00340D36"/>
    <w:rsid w:val="003412BA"/>
    <w:rsid w:val="0034146F"/>
    <w:rsid w:val="003419F7"/>
    <w:rsid w:val="00341A6A"/>
    <w:rsid w:val="003422CF"/>
    <w:rsid w:val="00342A02"/>
    <w:rsid w:val="00342BDD"/>
    <w:rsid w:val="0034324D"/>
    <w:rsid w:val="00343B07"/>
    <w:rsid w:val="00343DC9"/>
    <w:rsid w:val="003444E9"/>
    <w:rsid w:val="00344BBC"/>
    <w:rsid w:val="00344CED"/>
    <w:rsid w:val="00344E2F"/>
    <w:rsid w:val="00344F6C"/>
    <w:rsid w:val="00344F92"/>
    <w:rsid w:val="00345021"/>
    <w:rsid w:val="003453C5"/>
    <w:rsid w:val="00345822"/>
    <w:rsid w:val="003460E1"/>
    <w:rsid w:val="003466DC"/>
    <w:rsid w:val="0034674F"/>
    <w:rsid w:val="00346949"/>
    <w:rsid w:val="00346BF0"/>
    <w:rsid w:val="00346EC9"/>
    <w:rsid w:val="0034779C"/>
    <w:rsid w:val="00347B4E"/>
    <w:rsid w:val="00347B5E"/>
    <w:rsid w:val="00350944"/>
    <w:rsid w:val="00350987"/>
    <w:rsid w:val="00350A93"/>
    <w:rsid w:val="00350ECF"/>
    <w:rsid w:val="00351BD2"/>
    <w:rsid w:val="00351CB0"/>
    <w:rsid w:val="00351E92"/>
    <w:rsid w:val="00351F99"/>
    <w:rsid w:val="00351FD5"/>
    <w:rsid w:val="0035210A"/>
    <w:rsid w:val="0035324C"/>
    <w:rsid w:val="00353899"/>
    <w:rsid w:val="00353920"/>
    <w:rsid w:val="00353A2E"/>
    <w:rsid w:val="00353C26"/>
    <w:rsid w:val="00353D40"/>
    <w:rsid w:val="00354D57"/>
    <w:rsid w:val="00355194"/>
    <w:rsid w:val="00355CEF"/>
    <w:rsid w:val="00355E36"/>
    <w:rsid w:val="00355FFB"/>
    <w:rsid w:val="003565D0"/>
    <w:rsid w:val="00356FDF"/>
    <w:rsid w:val="00356FE6"/>
    <w:rsid w:val="00357905"/>
    <w:rsid w:val="003579E1"/>
    <w:rsid w:val="00357DAE"/>
    <w:rsid w:val="00360BD5"/>
    <w:rsid w:val="0036194C"/>
    <w:rsid w:val="00361F8C"/>
    <w:rsid w:val="003620AB"/>
    <w:rsid w:val="003641AB"/>
    <w:rsid w:val="00364968"/>
    <w:rsid w:val="00364977"/>
    <w:rsid w:val="00364D33"/>
    <w:rsid w:val="003650B8"/>
    <w:rsid w:val="00365576"/>
    <w:rsid w:val="00365A96"/>
    <w:rsid w:val="00365AD4"/>
    <w:rsid w:val="00366AA9"/>
    <w:rsid w:val="00366C30"/>
    <w:rsid w:val="00366D18"/>
    <w:rsid w:val="00366F5D"/>
    <w:rsid w:val="00367BE0"/>
    <w:rsid w:val="00367C88"/>
    <w:rsid w:val="00367CB7"/>
    <w:rsid w:val="0037160F"/>
    <w:rsid w:val="0037276E"/>
    <w:rsid w:val="003741BB"/>
    <w:rsid w:val="003741EA"/>
    <w:rsid w:val="00375526"/>
    <w:rsid w:val="003757FD"/>
    <w:rsid w:val="003762DF"/>
    <w:rsid w:val="00376617"/>
    <w:rsid w:val="00376874"/>
    <w:rsid w:val="00376BA5"/>
    <w:rsid w:val="00377638"/>
    <w:rsid w:val="003776EB"/>
    <w:rsid w:val="00377CBD"/>
    <w:rsid w:val="003809B4"/>
    <w:rsid w:val="00380BC9"/>
    <w:rsid w:val="00380C89"/>
    <w:rsid w:val="00380F18"/>
    <w:rsid w:val="0038113A"/>
    <w:rsid w:val="00381C0F"/>
    <w:rsid w:val="003823B8"/>
    <w:rsid w:val="00382434"/>
    <w:rsid w:val="0038284A"/>
    <w:rsid w:val="00382A41"/>
    <w:rsid w:val="003834D2"/>
    <w:rsid w:val="0038355A"/>
    <w:rsid w:val="003836E7"/>
    <w:rsid w:val="0038379D"/>
    <w:rsid w:val="003837C2"/>
    <w:rsid w:val="003838CF"/>
    <w:rsid w:val="0038390E"/>
    <w:rsid w:val="00383FFF"/>
    <w:rsid w:val="00384027"/>
    <w:rsid w:val="00384E43"/>
    <w:rsid w:val="0038518A"/>
    <w:rsid w:val="003852C3"/>
    <w:rsid w:val="003855CD"/>
    <w:rsid w:val="003859B8"/>
    <w:rsid w:val="00385A92"/>
    <w:rsid w:val="00385D10"/>
    <w:rsid w:val="00385E81"/>
    <w:rsid w:val="003861F5"/>
    <w:rsid w:val="003862C0"/>
    <w:rsid w:val="003869A1"/>
    <w:rsid w:val="00386D65"/>
    <w:rsid w:val="00386E3C"/>
    <w:rsid w:val="003871EE"/>
    <w:rsid w:val="00387C00"/>
    <w:rsid w:val="00387C69"/>
    <w:rsid w:val="00390B59"/>
    <w:rsid w:val="00390E9D"/>
    <w:rsid w:val="00390F10"/>
    <w:rsid w:val="003915AF"/>
    <w:rsid w:val="00391956"/>
    <w:rsid w:val="0039223C"/>
    <w:rsid w:val="00392349"/>
    <w:rsid w:val="003927C4"/>
    <w:rsid w:val="00392BB4"/>
    <w:rsid w:val="003930BA"/>
    <w:rsid w:val="00393270"/>
    <w:rsid w:val="00393370"/>
    <w:rsid w:val="00393517"/>
    <w:rsid w:val="00393C3A"/>
    <w:rsid w:val="0039466E"/>
    <w:rsid w:val="00394A54"/>
    <w:rsid w:val="00394D6B"/>
    <w:rsid w:val="00395902"/>
    <w:rsid w:val="00395A82"/>
    <w:rsid w:val="00396994"/>
    <w:rsid w:val="00396AE7"/>
    <w:rsid w:val="003971B0"/>
    <w:rsid w:val="0039743D"/>
    <w:rsid w:val="00397986"/>
    <w:rsid w:val="003A040D"/>
    <w:rsid w:val="003A046B"/>
    <w:rsid w:val="003A0909"/>
    <w:rsid w:val="003A0962"/>
    <w:rsid w:val="003A0CB3"/>
    <w:rsid w:val="003A0D57"/>
    <w:rsid w:val="003A17F0"/>
    <w:rsid w:val="003A2185"/>
    <w:rsid w:val="003A2299"/>
    <w:rsid w:val="003A23ED"/>
    <w:rsid w:val="003A2636"/>
    <w:rsid w:val="003A303B"/>
    <w:rsid w:val="003A3433"/>
    <w:rsid w:val="003A36AF"/>
    <w:rsid w:val="003A37D3"/>
    <w:rsid w:val="003A3886"/>
    <w:rsid w:val="003A3920"/>
    <w:rsid w:val="003A3ED6"/>
    <w:rsid w:val="003A3F82"/>
    <w:rsid w:val="003A425F"/>
    <w:rsid w:val="003A4B54"/>
    <w:rsid w:val="003A4BE9"/>
    <w:rsid w:val="003A4FCC"/>
    <w:rsid w:val="003A539E"/>
    <w:rsid w:val="003A570A"/>
    <w:rsid w:val="003A57D9"/>
    <w:rsid w:val="003A58B7"/>
    <w:rsid w:val="003A5938"/>
    <w:rsid w:val="003A71D1"/>
    <w:rsid w:val="003A7465"/>
    <w:rsid w:val="003A77C5"/>
    <w:rsid w:val="003A7B56"/>
    <w:rsid w:val="003B0005"/>
    <w:rsid w:val="003B0325"/>
    <w:rsid w:val="003B0863"/>
    <w:rsid w:val="003B1899"/>
    <w:rsid w:val="003B19D9"/>
    <w:rsid w:val="003B1B5C"/>
    <w:rsid w:val="003B299D"/>
    <w:rsid w:val="003B2B32"/>
    <w:rsid w:val="003B2C68"/>
    <w:rsid w:val="003B3134"/>
    <w:rsid w:val="003B31DE"/>
    <w:rsid w:val="003B32A6"/>
    <w:rsid w:val="003B3307"/>
    <w:rsid w:val="003B34FE"/>
    <w:rsid w:val="003B42FA"/>
    <w:rsid w:val="003B4662"/>
    <w:rsid w:val="003B49B9"/>
    <w:rsid w:val="003B4F4C"/>
    <w:rsid w:val="003B4F9A"/>
    <w:rsid w:val="003B4FD3"/>
    <w:rsid w:val="003B51C9"/>
    <w:rsid w:val="003B573C"/>
    <w:rsid w:val="003B5B97"/>
    <w:rsid w:val="003B5F83"/>
    <w:rsid w:val="003B620B"/>
    <w:rsid w:val="003B696F"/>
    <w:rsid w:val="003B6B38"/>
    <w:rsid w:val="003B6E46"/>
    <w:rsid w:val="003B6E4D"/>
    <w:rsid w:val="003B72F2"/>
    <w:rsid w:val="003B7B8D"/>
    <w:rsid w:val="003B7F60"/>
    <w:rsid w:val="003C031D"/>
    <w:rsid w:val="003C0C79"/>
    <w:rsid w:val="003C1153"/>
    <w:rsid w:val="003C1351"/>
    <w:rsid w:val="003C1A56"/>
    <w:rsid w:val="003C1FA6"/>
    <w:rsid w:val="003C21EF"/>
    <w:rsid w:val="003C2392"/>
    <w:rsid w:val="003C246E"/>
    <w:rsid w:val="003C290C"/>
    <w:rsid w:val="003C29FA"/>
    <w:rsid w:val="003C2B21"/>
    <w:rsid w:val="003C2C69"/>
    <w:rsid w:val="003C2E4F"/>
    <w:rsid w:val="003C2E64"/>
    <w:rsid w:val="003C3CA9"/>
    <w:rsid w:val="003C413C"/>
    <w:rsid w:val="003C4140"/>
    <w:rsid w:val="003C4167"/>
    <w:rsid w:val="003C4262"/>
    <w:rsid w:val="003C4724"/>
    <w:rsid w:val="003C4853"/>
    <w:rsid w:val="003C5019"/>
    <w:rsid w:val="003C51B5"/>
    <w:rsid w:val="003C552A"/>
    <w:rsid w:val="003C5C0F"/>
    <w:rsid w:val="003C5F42"/>
    <w:rsid w:val="003C6355"/>
    <w:rsid w:val="003C69BC"/>
    <w:rsid w:val="003C6D60"/>
    <w:rsid w:val="003C6DDE"/>
    <w:rsid w:val="003C710F"/>
    <w:rsid w:val="003D04C8"/>
    <w:rsid w:val="003D0A39"/>
    <w:rsid w:val="003D0F29"/>
    <w:rsid w:val="003D1313"/>
    <w:rsid w:val="003D14CB"/>
    <w:rsid w:val="003D15CD"/>
    <w:rsid w:val="003D1A62"/>
    <w:rsid w:val="003D20C6"/>
    <w:rsid w:val="003D2190"/>
    <w:rsid w:val="003D23C2"/>
    <w:rsid w:val="003D25E5"/>
    <w:rsid w:val="003D2913"/>
    <w:rsid w:val="003D2B5C"/>
    <w:rsid w:val="003D2B92"/>
    <w:rsid w:val="003D2FF6"/>
    <w:rsid w:val="003D39B6"/>
    <w:rsid w:val="003D52A0"/>
    <w:rsid w:val="003D5CEC"/>
    <w:rsid w:val="003D5E55"/>
    <w:rsid w:val="003D5E9E"/>
    <w:rsid w:val="003D637D"/>
    <w:rsid w:val="003D6849"/>
    <w:rsid w:val="003D6E5F"/>
    <w:rsid w:val="003D7044"/>
    <w:rsid w:val="003D75A7"/>
    <w:rsid w:val="003D77A8"/>
    <w:rsid w:val="003D7B97"/>
    <w:rsid w:val="003D7D28"/>
    <w:rsid w:val="003E02B1"/>
    <w:rsid w:val="003E1191"/>
    <w:rsid w:val="003E12CD"/>
    <w:rsid w:val="003E1478"/>
    <w:rsid w:val="003E1688"/>
    <w:rsid w:val="003E1705"/>
    <w:rsid w:val="003E1917"/>
    <w:rsid w:val="003E2AC7"/>
    <w:rsid w:val="003E2DF2"/>
    <w:rsid w:val="003E34B0"/>
    <w:rsid w:val="003E3955"/>
    <w:rsid w:val="003E3DD8"/>
    <w:rsid w:val="003E4003"/>
    <w:rsid w:val="003E4C19"/>
    <w:rsid w:val="003E4E3C"/>
    <w:rsid w:val="003E5BA2"/>
    <w:rsid w:val="003E5CE9"/>
    <w:rsid w:val="003E678C"/>
    <w:rsid w:val="003E73CB"/>
    <w:rsid w:val="003E790C"/>
    <w:rsid w:val="003E7A2A"/>
    <w:rsid w:val="003E7E04"/>
    <w:rsid w:val="003F0ED0"/>
    <w:rsid w:val="003F1290"/>
    <w:rsid w:val="003F12DC"/>
    <w:rsid w:val="003F1B08"/>
    <w:rsid w:val="003F1F4A"/>
    <w:rsid w:val="003F1F86"/>
    <w:rsid w:val="003F2027"/>
    <w:rsid w:val="003F20B6"/>
    <w:rsid w:val="003F20E7"/>
    <w:rsid w:val="003F22D3"/>
    <w:rsid w:val="003F233C"/>
    <w:rsid w:val="003F26A2"/>
    <w:rsid w:val="003F278B"/>
    <w:rsid w:val="003F288A"/>
    <w:rsid w:val="003F2C10"/>
    <w:rsid w:val="003F2F51"/>
    <w:rsid w:val="003F2FFC"/>
    <w:rsid w:val="003F31A1"/>
    <w:rsid w:val="003F3E58"/>
    <w:rsid w:val="003F4B29"/>
    <w:rsid w:val="003F4E3D"/>
    <w:rsid w:val="003F4F87"/>
    <w:rsid w:val="003F541D"/>
    <w:rsid w:val="003F547B"/>
    <w:rsid w:val="003F5969"/>
    <w:rsid w:val="003F5CC5"/>
    <w:rsid w:val="003F5F2E"/>
    <w:rsid w:val="003F63CB"/>
    <w:rsid w:val="003F677E"/>
    <w:rsid w:val="003F678B"/>
    <w:rsid w:val="003F6F3C"/>
    <w:rsid w:val="003F7524"/>
    <w:rsid w:val="004004BE"/>
    <w:rsid w:val="0040069F"/>
    <w:rsid w:val="004008EB"/>
    <w:rsid w:val="00400E1B"/>
    <w:rsid w:val="0040100D"/>
    <w:rsid w:val="004015D7"/>
    <w:rsid w:val="00401C79"/>
    <w:rsid w:val="00401FE7"/>
    <w:rsid w:val="00402108"/>
    <w:rsid w:val="00402344"/>
    <w:rsid w:val="004023F0"/>
    <w:rsid w:val="0040267F"/>
    <w:rsid w:val="004028C4"/>
    <w:rsid w:val="00402983"/>
    <w:rsid w:val="00402DD4"/>
    <w:rsid w:val="00402FEC"/>
    <w:rsid w:val="00403022"/>
    <w:rsid w:val="0040326C"/>
    <w:rsid w:val="00403329"/>
    <w:rsid w:val="0040370C"/>
    <w:rsid w:val="00403B84"/>
    <w:rsid w:val="00403E03"/>
    <w:rsid w:val="004045C9"/>
    <w:rsid w:val="004046A6"/>
    <w:rsid w:val="00404849"/>
    <w:rsid w:val="00404B5C"/>
    <w:rsid w:val="004051B3"/>
    <w:rsid w:val="004053AB"/>
    <w:rsid w:val="004056D4"/>
    <w:rsid w:val="004058B3"/>
    <w:rsid w:val="004059B3"/>
    <w:rsid w:val="00405B31"/>
    <w:rsid w:val="00406293"/>
    <w:rsid w:val="00406340"/>
    <w:rsid w:val="004063FA"/>
    <w:rsid w:val="00406482"/>
    <w:rsid w:val="00406712"/>
    <w:rsid w:val="00406EB3"/>
    <w:rsid w:val="0040733C"/>
    <w:rsid w:val="00407DBE"/>
    <w:rsid w:val="00407DEA"/>
    <w:rsid w:val="004101D7"/>
    <w:rsid w:val="004108D0"/>
    <w:rsid w:val="004118FD"/>
    <w:rsid w:val="00412138"/>
    <w:rsid w:val="0041214B"/>
    <w:rsid w:val="00412575"/>
    <w:rsid w:val="0041262B"/>
    <w:rsid w:val="004127FA"/>
    <w:rsid w:val="004131D7"/>
    <w:rsid w:val="00413A8F"/>
    <w:rsid w:val="00413B40"/>
    <w:rsid w:val="00413D24"/>
    <w:rsid w:val="00415121"/>
    <w:rsid w:val="004153CC"/>
    <w:rsid w:val="00415C96"/>
    <w:rsid w:val="00415DA6"/>
    <w:rsid w:val="00416513"/>
    <w:rsid w:val="004167C9"/>
    <w:rsid w:val="0041713B"/>
    <w:rsid w:val="004178B8"/>
    <w:rsid w:val="0041793A"/>
    <w:rsid w:val="00417A6F"/>
    <w:rsid w:val="00417DB5"/>
    <w:rsid w:val="0042051B"/>
    <w:rsid w:val="00420552"/>
    <w:rsid w:val="004205DA"/>
    <w:rsid w:val="0042073D"/>
    <w:rsid w:val="00420F9C"/>
    <w:rsid w:val="00421BF9"/>
    <w:rsid w:val="00421E30"/>
    <w:rsid w:val="00422392"/>
    <w:rsid w:val="004228F0"/>
    <w:rsid w:val="00422EF4"/>
    <w:rsid w:val="004232DA"/>
    <w:rsid w:val="0042378F"/>
    <w:rsid w:val="00423C95"/>
    <w:rsid w:val="00423D27"/>
    <w:rsid w:val="00424556"/>
    <w:rsid w:val="004247C9"/>
    <w:rsid w:val="00425630"/>
    <w:rsid w:val="0042568B"/>
    <w:rsid w:val="00425900"/>
    <w:rsid w:val="00425907"/>
    <w:rsid w:val="00425F9F"/>
    <w:rsid w:val="0042634A"/>
    <w:rsid w:val="00426A1D"/>
    <w:rsid w:val="00426D9A"/>
    <w:rsid w:val="00426DA7"/>
    <w:rsid w:val="00426ECB"/>
    <w:rsid w:val="00427397"/>
    <w:rsid w:val="004273D7"/>
    <w:rsid w:val="00427719"/>
    <w:rsid w:val="004277A3"/>
    <w:rsid w:val="004278B0"/>
    <w:rsid w:val="00427BE2"/>
    <w:rsid w:val="00427E2D"/>
    <w:rsid w:val="00427F03"/>
    <w:rsid w:val="004304E3"/>
    <w:rsid w:val="004307C6"/>
    <w:rsid w:val="00430939"/>
    <w:rsid w:val="00430AA5"/>
    <w:rsid w:val="00430FD9"/>
    <w:rsid w:val="00431212"/>
    <w:rsid w:val="004313CF"/>
    <w:rsid w:val="00431778"/>
    <w:rsid w:val="00431C2E"/>
    <w:rsid w:val="004323F1"/>
    <w:rsid w:val="00433950"/>
    <w:rsid w:val="004339B0"/>
    <w:rsid w:val="00433B02"/>
    <w:rsid w:val="00434352"/>
    <w:rsid w:val="004346F2"/>
    <w:rsid w:val="0043594B"/>
    <w:rsid w:val="004360F6"/>
    <w:rsid w:val="004364CF"/>
    <w:rsid w:val="004365CF"/>
    <w:rsid w:val="00436C2C"/>
    <w:rsid w:val="00436D05"/>
    <w:rsid w:val="00436F9A"/>
    <w:rsid w:val="00437884"/>
    <w:rsid w:val="00437BC6"/>
    <w:rsid w:val="004406FE"/>
    <w:rsid w:val="004409F6"/>
    <w:rsid w:val="00440A07"/>
    <w:rsid w:val="00440D34"/>
    <w:rsid w:val="00440E3A"/>
    <w:rsid w:val="00441234"/>
    <w:rsid w:val="00442053"/>
    <w:rsid w:val="00442AA7"/>
    <w:rsid w:val="004439EC"/>
    <w:rsid w:val="00443E35"/>
    <w:rsid w:val="00443EC9"/>
    <w:rsid w:val="00444049"/>
    <w:rsid w:val="0044474B"/>
    <w:rsid w:val="00444F47"/>
    <w:rsid w:val="00445131"/>
    <w:rsid w:val="00445397"/>
    <w:rsid w:val="00445759"/>
    <w:rsid w:val="00445E0C"/>
    <w:rsid w:val="0044620D"/>
    <w:rsid w:val="00446671"/>
    <w:rsid w:val="004469F3"/>
    <w:rsid w:val="0045066C"/>
    <w:rsid w:val="0045089D"/>
    <w:rsid w:val="00450C07"/>
    <w:rsid w:val="00450E96"/>
    <w:rsid w:val="00451646"/>
    <w:rsid w:val="00451ED4"/>
    <w:rsid w:val="00451F7A"/>
    <w:rsid w:val="004521EE"/>
    <w:rsid w:val="0045220A"/>
    <w:rsid w:val="00452376"/>
    <w:rsid w:val="0045315D"/>
    <w:rsid w:val="0045386F"/>
    <w:rsid w:val="00453E8C"/>
    <w:rsid w:val="004540CA"/>
    <w:rsid w:val="00454546"/>
    <w:rsid w:val="00454B76"/>
    <w:rsid w:val="00454C14"/>
    <w:rsid w:val="00455055"/>
    <w:rsid w:val="00455717"/>
    <w:rsid w:val="004559D4"/>
    <w:rsid w:val="00455F7C"/>
    <w:rsid w:val="00456AD6"/>
    <w:rsid w:val="00457A87"/>
    <w:rsid w:val="004600C2"/>
    <w:rsid w:val="004602C0"/>
    <w:rsid w:val="00460696"/>
    <w:rsid w:val="00461051"/>
    <w:rsid w:val="0046128B"/>
    <w:rsid w:val="0046156E"/>
    <w:rsid w:val="00461636"/>
    <w:rsid w:val="0046165A"/>
    <w:rsid w:val="004616FF"/>
    <w:rsid w:val="004619C1"/>
    <w:rsid w:val="00461CC7"/>
    <w:rsid w:val="00461D02"/>
    <w:rsid w:val="00461E25"/>
    <w:rsid w:val="004623EB"/>
    <w:rsid w:val="004626BE"/>
    <w:rsid w:val="0046272C"/>
    <w:rsid w:val="004628BE"/>
    <w:rsid w:val="00462ECB"/>
    <w:rsid w:val="00463090"/>
    <w:rsid w:val="0046311E"/>
    <w:rsid w:val="004631E1"/>
    <w:rsid w:val="00463391"/>
    <w:rsid w:val="004635D1"/>
    <w:rsid w:val="004638D6"/>
    <w:rsid w:val="00463E6F"/>
    <w:rsid w:val="00464321"/>
    <w:rsid w:val="0046449B"/>
    <w:rsid w:val="004648B5"/>
    <w:rsid w:val="004649DF"/>
    <w:rsid w:val="004653DC"/>
    <w:rsid w:val="00465737"/>
    <w:rsid w:val="004662D9"/>
    <w:rsid w:val="0046653D"/>
    <w:rsid w:val="004665F4"/>
    <w:rsid w:val="004666D3"/>
    <w:rsid w:val="004667AF"/>
    <w:rsid w:val="00466FA2"/>
    <w:rsid w:val="00467107"/>
    <w:rsid w:val="00467739"/>
    <w:rsid w:val="00467BBB"/>
    <w:rsid w:val="0047008E"/>
    <w:rsid w:val="004701D9"/>
    <w:rsid w:val="00470306"/>
    <w:rsid w:val="00470415"/>
    <w:rsid w:val="00470FEF"/>
    <w:rsid w:val="004714FC"/>
    <w:rsid w:val="00471FF6"/>
    <w:rsid w:val="0047225E"/>
    <w:rsid w:val="0047334D"/>
    <w:rsid w:val="00473C6D"/>
    <w:rsid w:val="00474017"/>
    <w:rsid w:val="00474135"/>
    <w:rsid w:val="00474BCD"/>
    <w:rsid w:val="00474C73"/>
    <w:rsid w:val="00474F3F"/>
    <w:rsid w:val="00475114"/>
    <w:rsid w:val="00476155"/>
    <w:rsid w:val="00476906"/>
    <w:rsid w:val="00476D2A"/>
    <w:rsid w:val="00477377"/>
    <w:rsid w:val="00477DA8"/>
    <w:rsid w:val="00477E27"/>
    <w:rsid w:val="00480520"/>
    <w:rsid w:val="004806A6"/>
    <w:rsid w:val="00481FAF"/>
    <w:rsid w:val="00482271"/>
    <w:rsid w:val="00482511"/>
    <w:rsid w:val="004829EF"/>
    <w:rsid w:val="00483E29"/>
    <w:rsid w:val="00483FF5"/>
    <w:rsid w:val="004847C0"/>
    <w:rsid w:val="00484F4C"/>
    <w:rsid w:val="00484F7D"/>
    <w:rsid w:val="00485211"/>
    <w:rsid w:val="00486B13"/>
    <w:rsid w:val="00486BC2"/>
    <w:rsid w:val="00486C70"/>
    <w:rsid w:val="00486CD3"/>
    <w:rsid w:val="00487132"/>
    <w:rsid w:val="004874A7"/>
    <w:rsid w:val="00490164"/>
    <w:rsid w:val="00490278"/>
    <w:rsid w:val="00490CAD"/>
    <w:rsid w:val="004914A0"/>
    <w:rsid w:val="004915F0"/>
    <w:rsid w:val="00491FCB"/>
    <w:rsid w:val="00492039"/>
    <w:rsid w:val="0049226A"/>
    <w:rsid w:val="004923F0"/>
    <w:rsid w:val="00492426"/>
    <w:rsid w:val="004924FB"/>
    <w:rsid w:val="00492805"/>
    <w:rsid w:val="004928B7"/>
    <w:rsid w:val="004935A3"/>
    <w:rsid w:val="00493C44"/>
    <w:rsid w:val="00493DF5"/>
    <w:rsid w:val="004942DD"/>
    <w:rsid w:val="004942F9"/>
    <w:rsid w:val="0049443D"/>
    <w:rsid w:val="00494656"/>
    <w:rsid w:val="0049471E"/>
    <w:rsid w:val="00494C25"/>
    <w:rsid w:val="00494EE7"/>
    <w:rsid w:val="004952B2"/>
    <w:rsid w:val="004958F4"/>
    <w:rsid w:val="00495CF4"/>
    <w:rsid w:val="00495F97"/>
    <w:rsid w:val="00496248"/>
    <w:rsid w:val="004964C2"/>
    <w:rsid w:val="004967BA"/>
    <w:rsid w:val="004970FE"/>
    <w:rsid w:val="00497A79"/>
    <w:rsid w:val="00497EEE"/>
    <w:rsid w:val="004A0691"/>
    <w:rsid w:val="004A0714"/>
    <w:rsid w:val="004A0D40"/>
    <w:rsid w:val="004A12D8"/>
    <w:rsid w:val="004A1DB8"/>
    <w:rsid w:val="004A216B"/>
    <w:rsid w:val="004A24F2"/>
    <w:rsid w:val="004A3019"/>
    <w:rsid w:val="004A3CF8"/>
    <w:rsid w:val="004A3D7B"/>
    <w:rsid w:val="004A4390"/>
    <w:rsid w:val="004A569F"/>
    <w:rsid w:val="004A5F28"/>
    <w:rsid w:val="004A6D24"/>
    <w:rsid w:val="004A6E4C"/>
    <w:rsid w:val="004A72CD"/>
    <w:rsid w:val="004A7556"/>
    <w:rsid w:val="004A7C39"/>
    <w:rsid w:val="004B0127"/>
    <w:rsid w:val="004B07B0"/>
    <w:rsid w:val="004B08CF"/>
    <w:rsid w:val="004B0DD5"/>
    <w:rsid w:val="004B0E0F"/>
    <w:rsid w:val="004B0F5A"/>
    <w:rsid w:val="004B1544"/>
    <w:rsid w:val="004B1659"/>
    <w:rsid w:val="004B1748"/>
    <w:rsid w:val="004B24F9"/>
    <w:rsid w:val="004B29DE"/>
    <w:rsid w:val="004B3030"/>
    <w:rsid w:val="004B30EF"/>
    <w:rsid w:val="004B4480"/>
    <w:rsid w:val="004B45E5"/>
    <w:rsid w:val="004B4AE9"/>
    <w:rsid w:val="004B4C25"/>
    <w:rsid w:val="004B4E30"/>
    <w:rsid w:val="004B548C"/>
    <w:rsid w:val="004B5536"/>
    <w:rsid w:val="004B568B"/>
    <w:rsid w:val="004B651F"/>
    <w:rsid w:val="004B6527"/>
    <w:rsid w:val="004B65D9"/>
    <w:rsid w:val="004B6CB4"/>
    <w:rsid w:val="004B7CBC"/>
    <w:rsid w:val="004B7E0E"/>
    <w:rsid w:val="004C04A8"/>
    <w:rsid w:val="004C180A"/>
    <w:rsid w:val="004C19EB"/>
    <w:rsid w:val="004C1AC8"/>
    <w:rsid w:val="004C1B6A"/>
    <w:rsid w:val="004C2396"/>
    <w:rsid w:val="004C264A"/>
    <w:rsid w:val="004C27AB"/>
    <w:rsid w:val="004C2BF2"/>
    <w:rsid w:val="004C2EEB"/>
    <w:rsid w:val="004C3748"/>
    <w:rsid w:val="004C38D8"/>
    <w:rsid w:val="004C3B62"/>
    <w:rsid w:val="004C4214"/>
    <w:rsid w:val="004C4345"/>
    <w:rsid w:val="004C4594"/>
    <w:rsid w:val="004C46C4"/>
    <w:rsid w:val="004C5152"/>
    <w:rsid w:val="004C5264"/>
    <w:rsid w:val="004C56BE"/>
    <w:rsid w:val="004C5FAF"/>
    <w:rsid w:val="004C6198"/>
    <w:rsid w:val="004C67BC"/>
    <w:rsid w:val="004C782C"/>
    <w:rsid w:val="004D10AE"/>
    <w:rsid w:val="004D1EC7"/>
    <w:rsid w:val="004D1F64"/>
    <w:rsid w:val="004D284F"/>
    <w:rsid w:val="004D32CE"/>
    <w:rsid w:val="004D34AE"/>
    <w:rsid w:val="004D3774"/>
    <w:rsid w:val="004D3B74"/>
    <w:rsid w:val="004D3D85"/>
    <w:rsid w:val="004D3E34"/>
    <w:rsid w:val="004D56A6"/>
    <w:rsid w:val="004D587B"/>
    <w:rsid w:val="004D5924"/>
    <w:rsid w:val="004D5EF9"/>
    <w:rsid w:val="004D604C"/>
    <w:rsid w:val="004D63DC"/>
    <w:rsid w:val="004D64B5"/>
    <w:rsid w:val="004D6BCF"/>
    <w:rsid w:val="004D718F"/>
    <w:rsid w:val="004D782B"/>
    <w:rsid w:val="004E0244"/>
    <w:rsid w:val="004E0886"/>
    <w:rsid w:val="004E0905"/>
    <w:rsid w:val="004E167F"/>
    <w:rsid w:val="004E16EC"/>
    <w:rsid w:val="004E20AD"/>
    <w:rsid w:val="004E2172"/>
    <w:rsid w:val="004E2385"/>
    <w:rsid w:val="004E2525"/>
    <w:rsid w:val="004E264F"/>
    <w:rsid w:val="004E2660"/>
    <w:rsid w:val="004E2A18"/>
    <w:rsid w:val="004E2AFA"/>
    <w:rsid w:val="004E319E"/>
    <w:rsid w:val="004E34C5"/>
    <w:rsid w:val="004E39E0"/>
    <w:rsid w:val="004E39FC"/>
    <w:rsid w:val="004E3DBA"/>
    <w:rsid w:val="004E4216"/>
    <w:rsid w:val="004E4261"/>
    <w:rsid w:val="004E4361"/>
    <w:rsid w:val="004E443E"/>
    <w:rsid w:val="004E4777"/>
    <w:rsid w:val="004E484D"/>
    <w:rsid w:val="004E489A"/>
    <w:rsid w:val="004E4BB0"/>
    <w:rsid w:val="004E4C0E"/>
    <w:rsid w:val="004E5148"/>
    <w:rsid w:val="004E53F0"/>
    <w:rsid w:val="004E54DC"/>
    <w:rsid w:val="004E593F"/>
    <w:rsid w:val="004E62F0"/>
    <w:rsid w:val="004E695B"/>
    <w:rsid w:val="004E7360"/>
    <w:rsid w:val="004E78AC"/>
    <w:rsid w:val="004E78DA"/>
    <w:rsid w:val="004E7D27"/>
    <w:rsid w:val="004E7DE0"/>
    <w:rsid w:val="004F00AB"/>
    <w:rsid w:val="004F00BB"/>
    <w:rsid w:val="004F097C"/>
    <w:rsid w:val="004F0F72"/>
    <w:rsid w:val="004F13A3"/>
    <w:rsid w:val="004F1965"/>
    <w:rsid w:val="004F250F"/>
    <w:rsid w:val="004F2968"/>
    <w:rsid w:val="004F2ABB"/>
    <w:rsid w:val="004F2D05"/>
    <w:rsid w:val="004F2ECE"/>
    <w:rsid w:val="004F30D7"/>
    <w:rsid w:val="004F384F"/>
    <w:rsid w:val="004F3F14"/>
    <w:rsid w:val="004F47A1"/>
    <w:rsid w:val="004F495D"/>
    <w:rsid w:val="004F49CC"/>
    <w:rsid w:val="004F4A86"/>
    <w:rsid w:val="004F4B55"/>
    <w:rsid w:val="004F4CB1"/>
    <w:rsid w:val="004F5929"/>
    <w:rsid w:val="004F5C1F"/>
    <w:rsid w:val="004F5E0C"/>
    <w:rsid w:val="004F6F71"/>
    <w:rsid w:val="004F778D"/>
    <w:rsid w:val="004F7DA3"/>
    <w:rsid w:val="00500156"/>
    <w:rsid w:val="0050033C"/>
    <w:rsid w:val="00500847"/>
    <w:rsid w:val="00500D4A"/>
    <w:rsid w:val="00500F63"/>
    <w:rsid w:val="00501553"/>
    <w:rsid w:val="005015C7"/>
    <w:rsid w:val="00501A31"/>
    <w:rsid w:val="00501EF5"/>
    <w:rsid w:val="00501F8A"/>
    <w:rsid w:val="00502229"/>
    <w:rsid w:val="0050251C"/>
    <w:rsid w:val="00502E9A"/>
    <w:rsid w:val="00503082"/>
    <w:rsid w:val="00503572"/>
    <w:rsid w:val="005037E5"/>
    <w:rsid w:val="005038EB"/>
    <w:rsid w:val="00503908"/>
    <w:rsid w:val="0050413F"/>
    <w:rsid w:val="005043A9"/>
    <w:rsid w:val="00504472"/>
    <w:rsid w:val="00504609"/>
    <w:rsid w:val="005047DC"/>
    <w:rsid w:val="005049D2"/>
    <w:rsid w:val="00504A0A"/>
    <w:rsid w:val="0050507A"/>
    <w:rsid w:val="00505720"/>
    <w:rsid w:val="00505D63"/>
    <w:rsid w:val="0050648E"/>
    <w:rsid w:val="005065AF"/>
    <w:rsid w:val="005067EA"/>
    <w:rsid w:val="005071A1"/>
    <w:rsid w:val="005074F9"/>
    <w:rsid w:val="00507872"/>
    <w:rsid w:val="00507B77"/>
    <w:rsid w:val="00510080"/>
    <w:rsid w:val="00510A20"/>
    <w:rsid w:val="00510B27"/>
    <w:rsid w:val="00510CA4"/>
    <w:rsid w:val="00510D5A"/>
    <w:rsid w:val="00510E80"/>
    <w:rsid w:val="005113A3"/>
    <w:rsid w:val="00511A1A"/>
    <w:rsid w:val="0051232C"/>
    <w:rsid w:val="00512ECD"/>
    <w:rsid w:val="005132A4"/>
    <w:rsid w:val="00513819"/>
    <w:rsid w:val="00513C10"/>
    <w:rsid w:val="005141BE"/>
    <w:rsid w:val="00514479"/>
    <w:rsid w:val="00514573"/>
    <w:rsid w:val="00514E7E"/>
    <w:rsid w:val="00514F6E"/>
    <w:rsid w:val="00515580"/>
    <w:rsid w:val="00515F39"/>
    <w:rsid w:val="00515F53"/>
    <w:rsid w:val="00516541"/>
    <w:rsid w:val="00516673"/>
    <w:rsid w:val="005167F7"/>
    <w:rsid w:val="00516DD5"/>
    <w:rsid w:val="0051730B"/>
    <w:rsid w:val="0051749B"/>
    <w:rsid w:val="00517C52"/>
    <w:rsid w:val="00517E73"/>
    <w:rsid w:val="00517EAB"/>
    <w:rsid w:val="005201AD"/>
    <w:rsid w:val="00520ABD"/>
    <w:rsid w:val="00520DC1"/>
    <w:rsid w:val="0052103E"/>
    <w:rsid w:val="00521C65"/>
    <w:rsid w:val="00521D29"/>
    <w:rsid w:val="00522107"/>
    <w:rsid w:val="00522196"/>
    <w:rsid w:val="00522764"/>
    <w:rsid w:val="00522933"/>
    <w:rsid w:val="0052301A"/>
    <w:rsid w:val="005242B1"/>
    <w:rsid w:val="00524B1D"/>
    <w:rsid w:val="00525377"/>
    <w:rsid w:val="00525C59"/>
    <w:rsid w:val="00525E6A"/>
    <w:rsid w:val="0052625A"/>
    <w:rsid w:val="00526602"/>
    <w:rsid w:val="005269BA"/>
    <w:rsid w:val="00526AAA"/>
    <w:rsid w:val="00526BF4"/>
    <w:rsid w:val="00526CA4"/>
    <w:rsid w:val="00526DF1"/>
    <w:rsid w:val="00526F53"/>
    <w:rsid w:val="00526FD5"/>
    <w:rsid w:val="00527395"/>
    <w:rsid w:val="0052739F"/>
    <w:rsid w:val="005277F4"/>
    <w:rsid w:val="00527B5A"/>
    <w:rsid w:val="00527EE0"/>
    <w:rsid w:val="00530091"/>
    <w:rsid w:val="00530491"/>
    <w:rsid w:val="0053059E"/>
    <w:rsid w:val="00530942"/>
    <w:rsid w:val="00530EE2"/>
    <w:rsid w:val="00530F5F"/>
    <w:rsid w:val="00530F89"/>
    <w:rsid w:val="005311E9"/>
    <w:rsid w:val="0053140D"/>
    <w:rsid w:val="00531A4B"/>
    <w:rsid w:val="00531B91"/>
    <w:rsid w:val="00531BD2"/>
    <w:rsid w:val="0053289C"/>
    <w:rsid w:val="00532C99"/>
    <w:rsid w:val="00532ECE"/>
    <w:rsid w:val="00534DB0"/>
    <w:rsid w:val="0053556D"/>
    <w:rsid w:val="00535734"/>
    <w:rsid w:val="00535C7C"/>
    <w:rsid w:val="00536690"/>
    <w:rsid w:val="0053673B"/>
    <w:rsid w:val="00536850"/>
    <w:rsid w:val="00536965"/>
    <w:rsid w:val="00536DA9"/>
    <w:rsid w:val="00536F59"/>
    <w:rsid w:val="00536F8E"/>
    <w:rsid w:val="00536FCA"/>
    <w:rsid w:val="00537049"/>
    <w:rsid w:val="005376E5"/>
    <w:rsid w:val="00537A9B"/>
    <w:rsid w:val="00540048"/>
    <w:rsid w:val="005400A1"/>
    <w:rsid w:val="005401B7"/>
    <w:rsid w:val="00540DB8"/>
    <w:rsid w:val="00540F8A"/>
    <w:rsid w:val="005416AA"/>
    <w:rsid w:val="005416DE"/>
    <w:rsid w:val="00541CFA"/>
    <w:rsid w:val="00541EB2"/>
    <w:rsid w:val="005420D7"/>
    <w:rsid w:val="005427E9"/>
    <w:rsid w:val="00542ECB"/>
    <w:rsid w:val="005430EC"/>
    <w:rsid w:val="005431E6"/>
    <w:rsid w:val="00543422"/>
    <w:rsid w:val="005438CA"/>
    <w:rsid w:val="00543B36"/>
    <w:rsid w:val="00543BFD"/>
    <w:rsid w:val="00544B81"/>
    <w:rsid w:val="00544BDC"/>
    <w:rsid w:val="00544D0A"/>
    <w:rsid w:val="005453DE"/>
    <w:rsid w:val="005457B0"/>
    <w:rsid w:val="00545DE3"/>
    <w:rsid w:val="00546683"/>
    <w:rsid w:val="005470C6"/>
    <w:rsid w:val="00547363"/>
    <w:rsid w:val="00547448"/>
    <w:rsid w:val="00547836"/>
    <w:rsid w:val="005501F3"/>
    <w:rsid w:val="005505E6"/>
    <w:rsid w:val="00551482"/>
    <w:rsid w:val="00551488"/>
    <w:rsid w:val="00551CB1"/>
    <w:rsid w:val="0055228E"/>
    <w:rsid w:val="005522B3"/>
    <w:rsid w:val="005524DC"/>
    <w:rsid w:val="0055251E"/>
    <w:rsid w:val="00552759"/>
    <w:rsid w:val="00552940"/>
    <w:rsid w:val="00552B25"/>
    <w:rsid w:val="005536F2"/>
    <w:rsid w:val="00553B8A"/>
    <w:rsid w:val="00554757"/>
    <w:rsid w:val="00554FD0"/>
    <w:rsid w:val="0055572E"/>
    <w:rsid w:val="0055599E"/>
    <w:rsid w:val="005567A5"/>
    <w:rsid w:val="00556B87"/>
    <w:rsid w:val="005572FE"/>
    <w:rsid w:val="005576C2"/>
    <w:rsid w:val="00557896"/>
    <w:rsid w:val="00561573"/>
    <w:rsid w:val="005619C3"/>
    <w:rsid w:val="005619E0"/>
    <w:rsid w:val="00561B8C"/>
    <w:rsid w:val="00561CC0"/>
    <w:rsid w:val="00561EC8"/>
    <w:rsid w:val="0056218B"/>
    <w:rsid w:val="00562998"/>
    <w:rsid w:val="00562F6F"/>
    <w:rsid w:val="005635FC"/>
    <w:rsid w:val="00563657"/>
    <w:rsid w:val="0056460A"/>
    <w:rsid w:val="00564984"/>
    <w:rsid w:val="00564C7F"/>
    <w:rsid w:val="00564E9D"/>
    <w:rsid w:val="00564FA9"/>
    <w:rsid w:val="00565444"/>
    <w:rsid w:val="00565C9F"/>
    <w:rsid w:val="005662BF"/>
    <w:rsid w:val="005667B4"/>
    <w:rsid w:val="00566914"/>
    <w:rsid w:val="00566D12"/>
    <w:rsid w:val="00566E36"/>
    <w:rsid w:val="005670A0"/>
    <w:rsid w:val="0056735C"/>
    <w:rsid w:val="005675EC"/>
    <w:rsid w:val="00567AA0"/>
    <w:rsid w:val="00567D6B"/>
    <w:rsid w:val="00570B35"/>
    <w:rsid w:val="00570F8E"/>
    <w:rsid w:val="005710EA"/>
    <w:rsid w:val="00571418"/>
    <w:rsid w:val="005714B8"/>
    <w:rsid w:val="005717CC"/>
    <w:rsid w:val="005717FE"/>
    <w:rsid w:val="00572258"/>
    <w:rsid w:val="00572B66"/>
    <w:rsid w:val="00573A5D"/>
    <w:rsid w:val="00573C85"/>
    <w:rsid w:val="00574238"/>
    <w:rsid w:val="0057424F"/>
    <w:rsid w:val="00574E56"/>
    <w:rsid w:val="00574EDB"/>
    <w:rsid w:val="00574F2E"/>
    <w:rsid w:val="00575C97"/>
    <w:rsid w:val="005766AD"/>
    <w:rsid w:val="00576710"/>
    <w:rsid w:val="00576A17"/>
    <w:rsid w:val="0057794B"/>
    <w:rsid w:val="005779A6"/>
    <w:rsid w:val="00577FFB"/>
    <w:rsid w:val="0058069D"/>
    <w:rsid w:val="005807B2"/>
    <w:rsid w:val="0058095F"/>
    <w:rsid w:val="00580B60"/>
    <w:rsid w:val="00581545"/>
    <w:rsid w:val="005822ED"/>
    <w:rsid w:val="0058345B"/>
    <w:rsid w:val="00583603"/>
    <w:rsid w:val="00583C05"/>
    <w:rsid w:val="0058414C"/>
    <w:rsid w:val="00584E28"/>
    <w:rsid w:val="00585486"/>
    <w:rsid w:val="00585622"/>
    <w:rsid w:val="00585851"/>
    <w:rsid w:val="00585B07"/>
    <w:rsid w:val="00585ED6"/>
    <w:rsid w:val="00586DCE"/>
    <w:rsid w:val="00586E82"/>
    <w:rsid w:val="0059125E"/>
    <w:rsid w:val="0059165F"/>
    <w:rsid w:val="005916F6"/>
    <w:rsid w:val="00591F4E"/>
    <w:rsid w:val="005925BD"/>
    <w:rsid w:val="00592618"/>
    <w:rsid w:val="00593119"/>
    <w:rsid w:val="00593381"/>
    <w:rsid w:val="005934F6"/>
    <w:rsid w:val="0059379C"/>
    <w:rsid w:val="005940E2"/>
    <w:rsid w:val="0059482A"/>
    <w:rsid w:val="0059496D"/>
    <w:rsid w:val="00594ED7"/>
    <w:rsid w:val="005956BD"/>
    <w:rsid w:val="00595CF2"/>
    <w:rsid w:val="00596375"/>
    <w:rsid w:val="00596575"/>
    <w:rsid w:val="00596E7C"/>
    <w:rsid w:val="00596EFC"/>
    <w:rsid w:val="0059720A"/>
    <w:rsid w:val="0059762A"/>
    <w:rsid w:val="0059793D"/>
    <w:rsid w:val="00597AC4"/>
    <w:rsid w:val="00597B47"/>
    <w:rsid w:val="005A0D6D"/>
    <w:rsid w:val="005A1178"/>
    <w:rsid w:val="005A16AE"/>
    <w:rsid w:val="005A1A19"/>
    <w:rsid w:val="005A1CC9"/>
    <w:rsid w:val="005A1E17"/>
    <w:rsid w:val="005A21DA"/>
    <w:rsid w:val="005A221A"/>
    <w:rsid w:val="005A25BA"/>
    <w:rsid w:val="005A3202"/>
    <w:rsid w:val="005A3DB7"/>
    <w:rsid w:val="005A3F84"/>
    <w:rsid w:val="005A48A0"/>
    <w:rsid w:val="005A4D78"/>
    <w:rsid w:val="005A5052"/>
    <w:rsid w:val="005A55F3"/>
    <w:rsid w:val="005A5650"/>
    <w:rsid w:val="005A594F"/>
    <w:rsid w:val="005A5A01"/>
    <w:rsid w:val="005A5C6C"/>
    <w:rsid w:val="005A5D30"/>
    <w:rsid w:val="005A6442"/>
    <w:rsid w:val="005A697F"/>
    <w:rsid w:val="005A7063"/>
    <w:rsid w:val="005A7946"/>
    <w:rsid w:val="005A7F15"/>
    <w:rsid w:val="005B0668"/>
    <w:rsid w:val="005B0886"/>
    <w:rsid w:val="005B0948"/>
    <w:rsid w:val="005B0A67"/>
    <w:rsid w:val="005B0CE0"/>
    <w:rsid w:val="005B1534"/>
    <w:rsid w:val="005B16EE"/>
    <w:rsid w:val="005B187B"/>
    <w:rsid w:val="005B1B24"/>
    <w:rsid w:val="005B1EC8"/>
    <w:rsid w:val="005B2129"/>
    <w:rsid w:val="005B25C3"/>
    <w:rsid w:val="005B277F"/>
    <w:rsid w:val="005B3039"/>
    <w:rsid w:val="005B3043"/>
    <w:rsid w:val="005B39C1"/>
    <w:rsid w:val="005B44D0"/>
    <w:rsid w:val="005B44D5"/>
    <w:rsid w:val="005B4569"/>
    <w:rsid w:val="005B4A03"/>
    <w:rsid w:val="005B4B71"/>
    <w:rsid w:val="005B4ECC"/>
    <w:rsid w:val="005B5041"/>
    <w:rsid w:val="005B52B3"/>
    <w:rsid w:val="005B557D"/>
    <w:rsid w:val="005B5D1D"/>
    <w:rsid w:val="005B675D"/>
    <w:rsid w:val="005B6D23"/>
    <w:rsid w:val="005B6EFA"/>
    <w:rsid w:val="005B7649"/>
    <w:rsid w:val="005C02E1"/>
    <w:rsid w:val="005C02F9"/>
    <w:rsid w:val="005C08CD"/>
    <w:rsid w:val="005C0F01"/>
    <w:rsid w:val="005C133D"/>
    <w:rsid w:val="005C17B7"/>
    <w:rsid w:val="005C18BE"/>
    <w:rsid w:val="005C1F14"/>
    <w:rsid w:val="005C255B"/>
    <w:rsid w:val="005C2585"/>
    <w:rsid w:val="005C259B"/>
    <w:rsid w:val="005C2D21"/>
    <w:rsid w:val="005C2FC2"/>
    <w:rsid w:val="005C2FC9"/>
    <w:rsid w:val="005C32DE"/>
    <w:rsid w:val="005C3A25"/>
    <w:rsid w:val="005C45B6"/>
    <w:rsid w:val="005C4600"/>
    <w:rsid w:val="005C46F8"/>
    <w:rsid w:val="005C481D"/>
    <w:rsid w:val="005C4D20"/>
    <w:rsid w:val="005C4F4F"/>
    <w:rsid w:val="005C5643"/>
    <w:rsid w:val="005C5788"/>
    <w:rsid w:val="005C5E67"/>
    <w:rsid w:val="005C6269"/>
    <w:rsid w:val="005C680F"/>
    <w:rsid w:val="005C6E8A"/>
    <w:rsid w:val="005C6F03"/>
    <w:rsid w:val="005C702A"/>
    <w:rsid w:val="005C7B43"/>
    <w:rsid w:val="005C7F11"/>
    <w:rsid w:val="005D049D"/>
    <w:rsid w:val="005D0525"/>
    <w:rsid w:val="005D0EE7"/>
    <w:rsid w:val="005D1843"/>
    <w:rsid w:val="005D20F8"/>
    <w:rsid w:val="005D237F"/>
    <w:rsid w:val="005D26DC"/>
    <w:rsid w:val="005D2833"/>
    <w:rsid w:val="005D290F"/>
    <w:rsid w:val="005D302A"/>
    <w:rsid w:val="005D3675"/>
    <w:rsid w:val="005D3753"/>
    <w:rsid w:val="005D38ED"/>
    <w:rsid w:val="005D3D1B"/>
    <w:rsid w:val="005D5349"/>
    <w:rsid w:val="005D635B"/>
    <w:rsid w:val="005D69CC"/>
    <w:rsid w:val="005D6C1F"/>
    <w:rsid w:val="005D6ED6"/>
    <w:rsid w:val="005D6FED"/>
    <w:rsid w:val="005D72B5"/>
    <w:rsid w:val="005D7DD2"/>
    <w:rsid w:val="005D7E81"/>
    <w:rsid w:val="005D7EC3"/>
    <w:rsid w:val="005D7F0E"/>
    <w:rsid w:val="005E0330"/>
    <w:rsid w:val="005E0414"/>
    <w:rsid w:val="005E0DB6"/>
    <w:rsid w:val="005E0DB9"/>
    <w:rsid w:val="005E0E3C"/>
    <w:rsid w:val="005E2558"/>
    <w:rsid w:val="005E2B3F"/>
    <w:rsid w:val="005E33FE"/>
    <w:rsid w:val="005E34E3"/>
    <w:rsid w:val="005E3755"/>
    <w:rsid w:val="005E3825"/>
    <w:rsid w:val="005E3C66"/>
    <w:rsid w:val="005E3DC9"/>
    <w:rsid w:val="005E3FFF"/>
    <w:rsid w:val="005E4D7D"/>
    <w:rsid w:val="005E589C"/>
    <w:rsid w:val="005E5ECD"/>
    <w:rsid w:val="005E5FBD"/>
    <w:rsid w:val="005E6595"/>
    <w:rsid w:val="005E6940"/>
    <w:rsid w:val="005E69AA"/>
    <w:rsid w:val="005E6A63"/>
    <w:rsid w:val="005E6B5F"/>
    <w:rsid w:val="005E6B87"/>
    <w:rsid w:val="005E6C75"/>
    <w:rsid w:val="005E6F8C"/>
    <w:rsid w:val="005E70CB"/>
    <w:rsid w:val="005E7807"/>
    <w:rsid w:val="005E78D5"/>
    <w:rsid w:val="005E7C8C"/>
    <w:rsid w:val="005F0558"/>
    <w:rsid w:val="005F0674"/>
    <w:rsid w:val="005F0D20"/>
    <w:rsid w:val="005F1069"/>
    <w:rsid w:val="005F12CA"/>
    <w:rsid w:val="005F1A19"/>
    <w:rsid w:val="005F1AA7"/>
    <w:rsid w:val="005F2502"/>
    <w:rsid w:val="005F3005"/>
    <w:rsid w:val="005F36C4"/>
    <w:rsid w:val="005F38CE"/>
    <w:rsid w:val="005F39C8"/>
    <w:rsid w:val="005F4033"/>
    <w:rsid w:val="005F40BB"/>
    <w:rsid w:val="005F57E7"/>
    <w:rsid w:val="005F5855"/>
    <w:rsid w:val="005F5DB5"/>
    <w:rsid w:val="005F6AEB"/>
    <w:rsid w:val="005F6B7E"/>
    <w:rsid w:val="005F6D1B"/>
    <w:rsid w:val="005F6E33"/>
    <w:rsid w:val="005F72CC"/>
    <w:rsid w:val="005F7BEA"/>
    <w:rsid w:val="00600748"/>
    <w:rsid w:val="00600BD3"/>
    <w:rsid w:val="00601379"/>
    <w:rsid w:val="0060169D"/>
    <w:rsid w:val="00601FBF"/>
    <w:rsid w:val="00602340"/>
    <w:rsid w:val="00602AD0"/>
    <w:rsid w:val="00602E2F"/>
    <w:rsid w:val="006036D3"/>
    <w:rsid w:val="00603898"/>
    <w:rsid w:val="006039A9"/>
    <w:rsid w:val="00603B2F"/>
    <w:rsid w:val="0060426F"/>
    <w:rsid w:val="006048EC"/>
    <w:rsid w:val="006049E5"/>
    <w:rsid w:val="00604EFC"/>
    <w:rsid w:val="006052B7"/>
    <w:rsid w:val="0060579A"/>
    <w:rsid w:val="00605B13"/>
    <w:rsid w:val="00606741"/>
    <w:rsid w:val="0060693C"/>
    <w:rsid w:val="00606967"/>
    <w:rsid w:val="00606CB2"/>
    <w:rsid w:val="00606DE0"/>
    <w:rsid w:val="0060760A"/>
    <w:rsid w:val="0061017E"/>
    <w:rsid w:val="00610376"/>
    <w:rsid w:val="00610579"/>
    <w:rsid w:val="00610590"/>
    <w:rsid w:val="00610822"/>
    <w:rsid w:val="006109D4"/>
    <w:rsid w:val="00610DB8"/>
    <w:rsid w:val="00610E10"/>
    <w:rsid w:val="00610E9F"/>
    <w:rsid w:val="0061128C"/>
    <w:rsid w:val="00611357"/>
    <w:rsid w:val="006113CC"/>
    <w:rsid w:val="00611816"/>
    <w:rsid w:val="006118F7"/>
    <w:rsid w:val="00611A46"/>
    <w:rsid w:val="00611B4E"/>
    <w:rsid w:val="006128C4"/>
    <w:rsid w:val="006131BD"/>
    <w:rsid w:val="006137B5"/>
    <w:rsid w:val="006141A5"/>
    <w:rsid w:val="006146CF"/>
    <w:rsid w:val="00614F0D"/>
    <w:rsid w:val="00615417"/>
    <w:rsid w:val="00615B3E"/>
    <w:rsid w:val="00616151"/>
    <w:rsid w:val="00616A6D"/>
    <w:rsid w:val="00617833"/>
    <w:rsid w:val="00617BA4"/>
    <w:rsid w:val="00617E59"/>
    <w:rsid w:val="00620E6F"/>
    <w:rsid w:val="006216E1"/>
    <w:rsid w:val="00621D4D"/>
    <w:rsid w:val="00622003"/>
    <w:rsid w:val="00623356"/>
    <w:rsid w:val="006245AE"/>
    <w:rsid w:val="006249CC"/>
    <w:rsid w:val="00624C8D"/>
    <w:rsid w:val="00624CF1"/>
    <w:rsid w:val="00625243"/>
    <w:rsid w:val="00625371"/>
    <w:rsid w:val="00625590"/>
    <w:rsid w:val="00625AAF"/>
    <w:rsid w:val="00625B3F"/>
    <w:rsid w:val="00625CEF"/>
    <w:rsid w:val="00626C71"/>
    <w:rsid w:val="0062721A"/>
    <w:rsid w:val="00627409"/>
    <w:rsid w:val="00627513"/>
    <w:rsid w:val="006277F9"/>
    <w:rsid w:val="006278DF"/>
    <w:rsid w:val="00627C1C"/>
    <w:rsid w:val="00627F3D"/>
    <w:rsid w:val="0063025F"/>
    <w:rsid w:val="006302FA"/>
    <w:rsid w:val="006303C6"/>
    <w:rsid w:val="006303D4"/>
    <w:rsid w:val="00630661"/>
    <w:rsid w:val="006308DF"/>
    <w:rsid w:val="00630B66"/>
    <w:rsid w:val="006319FC"/>
    <w:rsid w:val="00631AF5"/>
    <w:rsid w:val="00631C84"/>
    <w:rsid w:val="0063233C"/>
    <w:rsid w:val="006323F9"/>
    <w:rsid w:val="00633D84"/>
    <w:rsid w:val="00634083"/>
    <w:rsid w:val="00634465"/>
    <w:rsid w:val="00634B8A"/>
    <w:rsid w:val="0063538B"/>
    <w:rsid w:val="00635B05"/>
    <w:rsid w:val="00636179"/>
    <w:rsid w:val="006361EC"/>
    <w:rsid w:val="006368ED"/>
    <w:rsid w:val="006369DD"/>
    <w:rsid w:val="00636C14"/>
    <w:rsid w:val="00636C1F"/>
    <w:rsid w:val="00636C51"/>
    <w:rsid w:val="00636F06"/>
    <w:rsid w:val="00637134"/>
    <w:rsid w:val="00637182"/>
    <w:rsid w:val="00637945"/>
    <w:rsid w:val="00637F1A"/>
    <w:rsid w:val="006404C0"/>
    <w:rsid w:val="00640978"/>
    <w:rsid w:val="00640A2B"/>
    <w:rsid w:val="00640B77"/>
    <w:rsid w:val="0064130F"/>
    <w:rsid w:val="0064231E"/>
    <w:rsid w:val="00642642"/>
    <w:rsid w:val="00643029"/>
    <w:rsid w:val="00643450"/>
    <w:rsid w:val="00643533"/>
    <w:rsid w:val="00643A84"/>
    <w:rsid w:val="00643C13"/>
    <w:rsid w:val="00644439"/>
    <w:rsid w:val="00644C7C"/>
    <w:rsid w:val="00644D8E"/>
    <w:rsid w:val="006451AF"/>
    <w:rsid w:val="00645811"/>
    <w:rsid w:val="00645C00"/>
    <w:rsid w:val="00645CE9"/>
    <w:rsid w:val="00645EAF"/>
    <w:rsid w:val="0064644C"/>
    <w:rsid w:val="00646A27"/>
    <w:rsid w:val="00647093"/>
    <w:rsid w:val="0064756F"/>
    <w:rsid w:val="006478FB"/>
    <w:rsid w:val="0064799F"/>
    <w:rsid w:val="00647B28"/>
    <w:rsid w:val="00650167"/>
    <w:rsid w:val="00650A72"/>
    <w:rsid w:val="00650DF4"/>
    <w:rsid w:val="00651451"/>
    <w:rsid w:val="006516A7"/>
    <w:rsid w:val="00652186"/>
    <w:rsid w:val="006522E2"/>
    <w:rsid w:val="006522E3"/>
    <w:rsid w:val="006523E5"/>
    <w:rsid w:val="00652602"/>
    <w:rsid w:val="006526A6"/>
    <w:rsid w:val="00652A14"/>
    <w:rsid w:val="0065312E"/>
    <w:rsid w:val="0065315C"/>
    <w:rsid w:val="006532E4"/>
    <w:rsid w:val="00654379"/>
    <w:rsid w:val="00655205"/>
    <w:rsid w:val="00655900"/>
    <w:rsid w:val="006559BE"/>
    <w:rsid w:val="00655C5D"/>
    <w:rsid w:val="00655D77"/>
    <w:rsid w:val="0065601D"/>
    <w:rsid w:val="00656095"/>
    <w:rsid w:val="00656233"/>
    <w:rsid w:val="00656410"/>
    <w:rsid w:val="00656872"/>
    <w:rsid w:val="00656B31"/>
    <w:rsid w:val="0065767F"/>
    <w:rsid w:val="006577FF"/>
    <w:rsid w:val="0065795D"/>
    <w:rsid w:val="00657DEA"/>
    <w:rsid w:val="00660C37"/>
    <w:rsid w:val="00661306"/>
    <w:rsid w:val="00661D3A"/>
    <w:rsid w:val="0066292D"/>
    <w:rsid w:val="00662EE4"/>
    <w:rsid w:val="00663167"/>
    <w:rsid w:val="00663D4B"/>
    <w:rsid w:val="00664134"/>
    <w:rsid w:val="00664710"/>
    <w:rsid w:val="00664A12"/>
    <w:rsid w:val="00664B81"/>
    <w:rsid w:val="006655EE"/>
    <w:rsid w:val="006657AA"/>
    <w:rsid w:val="00665C30"/>
    <w:rsid w:val="00665DCC"/>
    <w:rsid w:val="0066661D"/>
    <w:rsid w:val="00666674"/>
    <w:rsid w:val="006667ED"/>
    <w:rsid w:val="00666843"/>
    <w:rsid w:val="00667556"/>
    <w:rsid w:val="006676FB"/>
    <w:rsid w:val="00667A66"/>
    <w:rsid w:val="00667C29"/>
    <w:rsid w:val="00667CD0"/>
    <w:rsid w:val="00667FA3"/>
    <w:rsid w:val="00670FAF"/>
    <w:rsid w:val="00671023"/>
    <w:rsid w:val="00671358"/>
    <w:rsid w:val="00671A22"/>
    <w:rsid w:val="00671D50"/>
    <w:rsid w:val="00671FED"/>
    <w:rsid w:val="00672527"/>
    <w:rsid w:val="006727B8"/>
    <w:rsid w:val="0067296E"/>
    <w:rsid w:val="00672B51"/>
    <w:rsid w:val="00672F7E"/>
    <w:rsid w:val="0067371D"/>
    <w:rsid w:val="006737D1"/>
    <w:rsid w:val="00673B1B"/>
    <w:rsid w:val="00673E5A"/>
    <w:rsid w:val="00674502"/>
    <w:rsid w:val="006745D1"/>
    <w:rsid w:val="0067461C"/>
    <w:rsid w:val="00674E53"/>
    <w:rsid w:val="00674E5A"/>
    <w:rsid w:val="00674FED"/>
    <w:rsid w:val="006751DB"/>
    <w:rsid w:val="00675991"/>
    <w:rsid w:val="00675B34"/>
    <w:rsid w:val="00675D65"/>
    <w:rsid w:val="0067605D"/>
    <w:rsid w:val="006761A1"/>
    <w:rsid w:val="00676A73"/>
    <w:rsid w:val="00676DDB"/>
    <w:rsid w:val="006770FC"/>
    <w:rsid w:val="00677130"/>
    <w:rsid w:val="0067742D"/>
    <w:rsid w:val="006774A2"/>
    <w:rsid w:val="00677509"/>
    <w:rsid w:val="00677794"/>
    <w:rsid w:val="0068033F"/>
    <w:rsid w:val="0068050C"/>
    <w:rsid w:val="006809F0"/>
    <w:rsid w:val="00680AC6"/>
    <w:rsid w:val="00680CE8"/>
    <w:rsid w:val="00680DED"/>
    <w:rsid w:val="00680FA4"/>
    <w:rsid w:val="00680FE2"/>
    <w:rsid w:val="0068146C"/>
    <w:rsid w:val="0068184E"/>
    <w:rsid w:val="00681984"/>
    <w:rsid w:val="00681CCE"/>
    <w:rsid w:val="00682756"/>
    <w:rsid w:val="00682B1D"/>
    <w:rsid w:val="006838EC"/>
    <w:rsid w:val="006851DD"/>
    <w:rsid w:val="00685CE7"/>
    <w:rsid w:val="00685E86"/>
    <w:rsid w:val="00685FD6"/>
    <w:rsid w:val="00686257"/>
    <w:rsid w:val="00686630"/>
    <w:rsid w:val="006867E4"/>
    <w:rsid w:val="00686B2B"/>
    <w:rsid w:val="00687550"/>
    <w:rsid w:val="00687603"/>
    <w:rsid w:val="00687C58"/>
    <w:rsid w:val="00690147"/>
    <w:rsid w:val="0069051F"/>
    <w:rsid w:val="006909B4"/>
    <w:rsid w:val="00691F14"/>
    <w:rsid w:val="006921EF"/>
    <w:rsid w:val="0069255A"/>
    <w:rsid w:val="00692B8A"/>
    <w:rsid w:val="00692CD8"/>
    <w:rsid w:val="006931C6"/>
    <w:rsid w:val="006931E6"/>
    <w:rsid w:val="00693A4B"/>
    <w:rsid w:val="006940C0"/>
    <w:rsid w:val="0069426B"/>
    <w:rsid w:val="006948F4"/>
    <w:rsid w:val="00694A48"/>
    <w:rsid w:val="00694AFB"/>
    <w:rsid w:val="00694C02"/>
    <w:rsid w:val="006950FA"/>
    <w:rsid w:val="0069525F"/>
    <w:rsid w:val="006952B5"/>
    <w:rsid w:val="0069534D"/>
    <w:rsid w:val="00695A26"/>
    <w:rsid w:val="00695D5C"/>
    <w:rsid w:val="00695F4C"/>
    <w:rsid w:val="00696801"/>
    <w:rsid w:val="006968E8"/>
    <w:rsid w:val="006974E7"/>
    <w:rsid w:val="006976A3"/>
    <w:rsid w:val="00697997"/>
    <w:rsid w:val="006A0489"/>
    <w:rsid w:val="006A05ED"/>
    <w:rsid w:val="006A064A"/>
    <w:rsid w:val="006A0D68"/>
    <w:rsid w:val="006A0D95"/>
    <w:rsid w:val="006A1358"/>
    <w:rsid w:val="006A1C64"/>
    <w:rsid w:val="006A2406"/>
    <w:rsid w:val="006A27BB"/>
    <w:rsid w:val="006A358D"/>
    <w:rsid w:val="006A45F9"/>
    <w:rsid w:val="006A4B03"/>
    <w:rsid w:val="006A5278"/>
    <w:rsid w:val="006A5409"/>
    <w:rsid w:val="006A578D"/>
    <w:rsid w:val="006A581C"/>
    <w:rsid w:val="006A5F6D"/>
    <w:rsid w:val="006A6453"/>
    <w:rsid w:val="006A7694"/>
    <w:rsid w:val="006A7942"/>
    <w:rsid w:val="006B044A"/>
    <w:rsid w:val="006B0535"/>
    <w:rsid w:val="006B1072"/>
    <w:rsid w:val="006B1724"/>
    <w:rsid w:val="006B17F9"/>
    <w:rsid w:val="006B1C39"/>
    <w:rsid w:val="006B2424"/>
    <w:rsid w:val="006B2E2E"/>
    <w:rsid w:val="006B39A4"/>
    <w:rsid w:val="006B3D96"/>
    <w:rsid w:val="006B3F4D"/>
    <w:rsid w:val="006B4200"/>
    <w:rsid w:val="006B4219"/>
    <w:rsid w:val="006B4343"/>
    <w:rsid w:val="006B4433"/>
    <w:rsid w:val="006B4625"/>
    <w:rsid w:val="006B4C01"/>
    <w:rsid w:val="006B6436"/>
    <w:rsid w:val="006B67A2"/>
    <w:rsid w:val="006B7C87"/>
    <w:rsid w:val="006B7FFE"/>
    <w:rsid w:val="006C0074"/>
    <w:rsid w:val="006C00CE"/>
    <w:rsid w:val="006C07B1"/>
    <w:rsid w:val="006C1837"/>
    <w:rsid w:val="006C228F"/>
    <w:rsid w:val="006C25C9"/>
    <w:rsid w:val="006C27C3"/>
    <w:rsid w:val="006C2DD8"/>
    <w:rsid w:val="006C3855"/>
    <w:rsid w:val="006C4374"/>
    <w:rsid w:val="006C595B"/>
    <w:rsid w:val="006C59CC"/>
    <w:rsid w:val="006C5B27"/>
    <w:rsid w:val="006C5F83"/>
    <w:rsid w:val="006C60EB"/>
    <w:rsid w:val="006C639A"/>
    <w:rsid w:val="006C7019"/>
    <w:rsid w:val="006C70A4"/>
    <w:rsid w:val="006C74DC"/>
    <w:rsid w:val="006D00F6"/>
    <w:rsid w:val="006D01DE"/>
    <w:rsid w:val="006D0494"/>
    <w:rsid w:val="006D08CC"/>
    <w:rsid w:val="006D0D1D"/>
    <w:rsid w:val="006D10B7"/>
    <w:rsid w:val="006D1BB1"/>
    <w:rsid w:val="006D1F18"/>
    <w:rsid w:val="006D208A"/>
    <w:rsid w:val="006D2148"/>
    <w:rsid w:val="006D22FE"/>
    <w:rsid w:val="006D2585"/>
    <w:rsid w:val="006D26C9"/>
    <w:rsid w:val="006D2AC0"/>
    <w:rsid w:val="006D2D46"/>
    <w:rsid w:val="006D2E57"/>
    <w:rsid w:val="006D2F66"/>
    <w:rsid w:val="006D2F73"/>
    <w:rsid w:val="006D3167"/>
    <w:rsid w:val="006D4726"/>
    <w:rsid w:val="006D4CA3"/>
    <w:rsid w:val="006D52F7"/>
    <w:rsid w:val="006D560F"/>
    <w:rsid w:val="006D6453"/>
    <w:rsid w:val="006D64AF"/>
    <w:rsid w:val="006D6D7C"/>
    <w:rsid w:val="006D7081"/>
    <w:rsid w:val="006D7163"/>
    <w:rsid w:val="006D725E"/>
    <w:rsid w:val="006D728A"/>
    <w:rsid w:val="006D7436"/>
    <w:rsid w:val="006D7B01"/>
    <w:rsid w:val="006D7CDC"/>
    <w:rsid w:val="006E0BDA"/>
    <w:rsid w:val="006E21CE"/>
    <w:rsid w:val="006E26AE"/>
    <w:rsid w:val="006E291F"/>
    <w:rsid w:val="006E29E0"/>
    <w:rsid w:val="006E2D95"/>
    <w:rsid w:val="006E2F47"/>
    <w:rsid w:val="006E369B"/>
    <w:rsid w:val="006E3701"/>
    <w:rsid w:val="006E3F0D"/>
    <w:rsid w:val="006E3F16"/>
    <w:rsid w:val="006E3F23"/>
    <w:rsid w:val="006E421F"/>
    <w:rsid w:val="006E4DB0"/>
    <w:rsid w:val="006E502A"/>
    <w:rsid w:val="006E580C"/>
    <w:rsid w:val="006E5F77"/>
    <w:rsid w:val="006E64DF"/>
    <w:rsid w:val="006E6C64"/>
    <w:rsid w:val="006E6C7B"/>
    <w:rsid w:val="006E70B4"/>
    <w:rsid w:val="006E765C"/>
    <w:rsid w:val="006E7D99"/>
    <w:rsid w:val="006F0760"/>
    <w:rsid w:val="006F0DC8"/>
    <w:rsid w:val="006F0EE5"/>
    <w:rsid w:val="006F1105"/>
    <w:rsid w:val="006F1A47"/>
    <w:rsid w:val="006F1E61"/>
    <w:rsid w:val="006F215E"/>
    <w:rsid w:val="006F2390"/>
    <w:rsid w:val="006F2430"/>
    <w:rsid w:val="006F244C"/>
    <w:rsid w:val="006F3067"/>
    <w:rsid w:val="006F3166"/>
    <w:rsid w:val="006F3671"/>
    <w:rsid w:val="006F3785"/>
    <w:rsid w:val="006F3911"/>
    <w:rsid w:val="006F3C96"/>
    <w:rsid w:val="006F3D8B"/>
    <w:rsid w:val="006F46DD"/>
    <w:rsid w:val="006F4FF7"/>
    <w:rsid w:val="006F587B"/>
    <w:rsid w:val="006F5A74"/>
    <w:rsid w:val="006F5B0A"/>
    <w:rsid w:val="006F5BB0"/>
    <w:rsid w:val="006F5C4E"/>
    <w:rsid w:val="006F6EF6"/>
    <w:rsid w:val="006F7026"/>
    <w:rsid w:val="006F73DF"/>
    <w:rsid w:val="006F7466"/>
    <w:rsid w:val="006F758F"/>
    <w:rsid w:val="0070013B"/>
    <w:rsid w:val="00700249"/>
    <w:rsid w:val="0070078C"/>
    <w:rsid w:val="00700B28"/>
    <w:rsid w:val="00700D3D"/>
    <w:rsid w:val="0070144E"/>
    <w:rsid w:val="0070145F"/>
    <w:rsid w:val="00701FD3"/>
    <w:rsid w:val="0070408F"/>
    <w:rsid w:val="007046BB"/>
    <w:rsid w:val="007054AE"/>
    <w:rsid w:val="00705981"/>
    <w:rsid w:val="0070617F"/>
    <w:rsid w:val="007061AD"/>
    <w:rsid w:val="0070644D"/>
    <w:rsid w:val="00707139"/>
    <w:rsid w:val="007071CE"/>
    <w:rsid w:val="007073DC"/>
    <w:rsid w:val="007103A4"/>
    <w:rsid w:val="007105A5"/>
    <w:rsid w:val="0071074A"/>
    <w:rsid w:val="00710DF5"/>
    <w:rsid w:val="00711545"/>
    <w:rsid w:val="007116B4"/>
    <w:rsid w:val="00711A04"/>
    <w:rsid w:val="00712077"/>
    <w:rsid w:val="007121FA"/>
    <w:rsid w:val="007122C6"/>
    <w:rsid w:val="007123FA"/>
    <w:rsid w:val="007129A7"/>
    <w:rsid w:val="00712B94"/>
    <w:rsid w:val="007135D8"/>
    <w:rsid w:val="00713E8C"/>
    <w:rsid w:val="007147C0"/>
    <w:rsid w:val="007147E4"/>
    <w:rsid w:val="00714BB4"/>
    <w:rsid w:val="00714E27"/>
    <w:rsid w:val="0071505B"/>
    <w:rsid w:val="007157D3"/>
    <w:rsid w:val="00715970"/>
    <w:rsid w:val="00715A0B"/>
    <w:rsid w:val="00715F1A"/>
    <w:rsid w:val="00716201"/>
    <w:rsid w:val="00716870"/>
    <w:rsid w:val="007174B5"/>
    <w:rsid w:val="007178F5"/>
    <w:rsid w:val="00717A20"/>
    <w:rsid w:val="00717BEA"/>
    <w:rsid w:val="00717C78"/>
    <w:rsid w:val="00717E0D"/>
    <w:rsid w:val="00717EE1"/>
    <w:rsid w:val="0072117D"/>
    <w:rsid w:val="00721BC8"/>
    <w:rsid w:val="00721CAF"/>
    <w:rsid w:val="00721FAC"/>
    <w:rsid w:val="00722167"/>
    <w:rsid w:val="00722827"/>
    <w:rsid w:val="00722897"/>
    <w:rsid w:val="0072398B"/>
    <w:rsid w:val="00724BDA"/>
    <w:rsid w:val="00724CE1"/>
    <w:rsid w:val="00724F11"/>
    <w:rsid w:val="00725584"/>
    <w:rsid w:val="00725743"/>
    <w:rsid w:val="00725C04"/>
    <w:rsid w:val="0072632A"/>
    <w:rsid w:val="0072655E"/>
    <w:rsid w:val="00726FCA"/>
    <w:rsid w:val="00727031"/>
    <w:rsid w:val="00727190"/>
    <w:rsid w:val="00727305"/>
    <w:rsid w:val="00731079"/>
    <w:rsid w:val="00731E82"/>
    <w:rsid w:val="00731E92"/>
    <w:rsid w:val="00731FFB"/>
    <w:rsid w:val="00732713"/>
    <w:rsid w:val="0073280D"/>
    <w:rsid w:val="00732F90"/>
    <w:rsid w:val="007334DB"/>
    <w:rsid w:val="00733B96"/>
    <w:rsid w:val="00733FC6"/>
    <w:rsid w:val="0073407E"/>
    <w:rsid w:val="00734838"/>
    <w:rsid w:val="00735044"/>
    <w:rsid w:val="0073566A"/>
    <w:rsid w:val="00735FC1"/>
    <w:rsid w:val="00736611"/>
    <w:rsid w:val="0073692E"/>
    <w:rsid w:val="00736999"/>
    <w:rsid w:val="00737358"/>
    <w:rsid w:val="007376FA"/>
    <w:rsid w:val="00737928"/>
    <w:rsid w:val="00740642"/>
    <w:rsid w:val="007406C7"/>
    <w:rsid w:val="00740AD1"/>
    <w:rsid w:val="00741515"/>
    <w:rsid w:val="0074196C"/>
    <w:rsid w:val="007419F1"/>
    <w:rsid w:val="00741D5C"/>
    <w:rsid w:val="00741F5A"/>
    <w:rsid w:val="00742E0A"/>
    <w:rsid w:val="00743C64"/>
    <w:rsid w:val="007442EC"/>
    <w:rsid w:val="007448F8"/>
    <w:rsid w:val="00744C49"/>
    <w:rsid w:val="00744EC5"/>
    <w:rsid w:val="00744F8F"/>
    <w:rsid w:val="00745128"/>
    <w:rsid w:val="00745375"/>
    <w:rsid w:val="00745BC7"/>
    <w:rsid w:val="00745D78"/>
    <w:rsid w:val="00745E26"/>
    <w:rsid w:val="00745F30"/>
    <w:rsid w:val="007461E7"/>
    <w:rsid w:val="0074643C"/>
    <w:rsid w:val="0074680B"/>
    <w:rsid w:val="00746E4D"/>
    <w:rsid w:val="00747998"/>
    <w:rsid w:val="00750613"/>
    <w:rsid w:val="00750A43"/>
    <w:rsid w:val="00750BBE"/>
    <w:rsid w:val="00750BCF"/>
    <w:rsid w:val="00751145"/>
    <w:rsid w:val="007514BD"/>
    <w:rsid w:val="00751572"/>
    <w:rsid w:val="0075164C"/>
    <w:rsid w:val="00751B39"/>
    <w:rsid w:val="00751CA1"/>
    <w:rsid w:val="00751E89"/>
    <w:rsid w:val="007521EC"/>
    <w:rsid w:val="00752200"/>
    <w:rsid w:val="0075245F"/>
    <w:rsid w:val="00752AF8"/>
    <w:rsid w:val="00753008"/>
    <w:rsid w:val="007531C3"/>
    <w:rsid w:val="007533C8"/>
    <w:rsid w:val="007533D2"/>
    <w:rsid w:val="0075350D"/>
    <w:rsid w:val="0075364E"/>
    <w:rsid w:val="007539C7"/>
    <w:rsid w:val="00753E63"/>
    <w:rsid w:val="00753E69"/>
    <w:rsid w:val="007540D0"/>
    <w:rsid w:val="007541DE"/>
    <w:rsid w:val="00755030"/>
    <w:rsid w:val="0075553D"/>
    <w:rsid w:val="007564E0"/>
    <w:rsid w:val="00756D44"/>
    <w:rsid w:val="00756D6A"/>
    <w:rsid w:val="0075724B"/>
    <w:rsid w:val="00757284"/>
    <w:rsid w:val="007573A6"/>
    <w:rsid w:val="007579F0"/>
    <w:rsid w:val="00757A13"/>
    <w:rsid w:val="00757CE8"/>
    <w:rsid w:val="00757DF2"/>
    <w:rsid w:val="00757EC4"/>
    <w:rsid w:val="007602CC"/>
    <w:rsid w:val="007603F5"/>
    <w:rsid w:val="00761013"/>
    <w:rsid w:val="00761167"/>
    <w:rsid w:val="00761735"/>
    <w:rsid w:val="007618F8"/>
    <w:rsid w:val="00761D15"/>
    <w:rsid w:val="00762135"/>
    <w:rsid w:val="007624EB"/>
    <w:rsid w:val="00762E04"/>
    <w:rsid w:val="00762F71"/>
    <w:rsid w:val="007631C5"/>
    <w:rsid w:val="007638BF"/>
    <w:rsid w:val="00763D9C"/>
    <w:rsid w:val="0076430F"/>
    <w:rsid w:val="00764DC6"/>
    <w:rsid w:val="00765307"/>
    <w:rsid w:val="007654BA"/>
    <w:rsid w:val="00765B73"/>
    <w:rsid w:val="00766000"/>
    <w:rsid w:val="0076622A"/>
    <w:rsid w:val="0076635D"/>
    <w:rsid w:val="00766A5A"/>
    <w:rsid w:val="00766A8F"/>
    <w:rsid w:val="00767082"/>
    <w:rsid w:val="00767B6C"/>
    <w:rsid w:val="00767C65"/>
    <w:rsid w:val="0077019E"/>
    <w:rsid w:val="00770B5E"/>
    <w:rsid w:val="0077165F"/>
    <w:rsid w:val="00771B2F"/>
    <w:rsid w:val="00772253"/>
    <w:rsid w:val="00772672"/>
    <w:rsid w:val="007728E0"/>
    <w:rsid w:val="00772A7D"/>
    <w:rsid w:val="007738AC"/>
    <w:rsid w:val="00773DBC"/>
    <w:rsid w:val="00773FF6"/>
    <w:rsid w:val="007744E4"/>
    <w:rsid w:val="00774876"/>
    <w:rsid w:val="007749CF"/>
    <w:rsid w:val="007749E2"/>
    <w:rsid w:val="00774A37"/>
    <w:rsid w:val="00774C03"/>
    <w:rsid w:val="0077500D"/>
    <w:rsid w:val="0077566E"/>
    <w:rsid w:val="00775A47"/>
    <w:rsid w:val="00775C96"/>
    <w:rsid w:val="00775D80"/>
    <w:rsid w:val="00776186"/>
    <w:rsid w:val="00776222"/>
    <w:rsid w:val="00776344"/>
    <w:rsid w:val="0077682D"/>
    <w:rsid w:val="00776936"/>
    <w:rsid w:val="00776DE4"/>
    <w:rsid w:val="00776F39"/>
    <w:rsid w:val="00777CBA"/>
    <w:rsid w:val="00777DB2"/>
    <w:rsid w:val="0078013F"/>
    <w:rsid w:val="0078026D"/>
    <w:rsid w:val="00780404"/>
    <w:rsid w:val="0078088A"/>
    <w:rsid w:val="00781ED4"/>
    <w:rsid w:val="0078243C"/>
    <w:rsid w:val="00782463"/>
    <w:rsid w:val="00782650"/>
    <w:rsid w:val="007826B9"/>
    <w:rsid w:val="007826D1"/>
    <w:rsid w:val="00782756"/>
    <w:rsid w:val="00782A5A"/>
    <w:rsid w:val="00782B31"/>
    <w:rsid w:val="007833FB"/>
    <w:rsid w:val="007836AE"/>
    <w:rsid w:val="00784408"/>
    <w:rsid w:val="007847A1"/>
    <w:rsid w:val="00785BFF"/>
    <w:rsid w:val="00785F36"/>
    <w:rsid w:val="0078617F"/>
    <w:rsid w:val="0078741F"/>
    <w:rsid w:val="00787819"/>
    <w:rsid w:val="00787DE9"/>
    <w:rsid w:val="00790227"/>
    <w:rsid w:val="007918E9"/>
    <w:rsid w:val="00791B8B"/>
    <w:rsid w:val="0079212C"/>
    <w:rsid w:val="00792983"/>
    <w:rsid w:val="00793082"/>
    <w:rsid w:val="007932FE"/>
    <w:rsid w:val="00793EFA"/>
    <w:rsid w:val="00794220"/>
    <w:rsid w:val="0079451F"/>
    <w:rsid w:val="00794907"/>
    <w:rsid w:val="00794E71"/>
    <w:rsid w:val="007950A2"/>
    <w:rsid w:val="007959C2"/>
    <w:rsid w:val="00795CE1"/>
    <w:rsid w:val="007970F7"/>
    <w:rsid w:val="0079729C"/>
    <w:rsid w:val="0079767A"/>
    <w:rsid w:val="00797E68"/>
    <w:rsid w:val="007A0131"/>
    <w:rsid w:val="007A0464"/>
    <w:rsid w:val="007A05D2"/>
    <w:rsid w:val="007A0628"/>
    <w:rsid w:val="007A071D"/>
    <w:rsid w:val="007A0B3B"/>
    <w:rsid w:val="007A0C7B"/>
    <w:rsid w:val="007A0F86"/>
    <w:rsid w:val="007A10BA"/>
    <w:rsid w:val="007A14E2"/>
    <w:rsid w:val="007A1651"/>
    <w:rsid w:val="007A16C6"/>
    <w:rsid w:val="007A1A34"/>
    <w:rsid w:val="007A1BDA"/>
    <w:rsid w:val="007A2258"/>
    <w:rsid w:val="007A257E"/>
    <w:rsid w:val="007A2A37"/>
    <w:rsid w:val="007A2F1F"/>
    <w:rsid w:val="007A30C4"/>
    <w:rsid w:val="007A30F2"/>
    <w:rsid w:val="007A321E"/>
    <w:rsid w:val="007A39BA"/>
    <w:rsid w:val="007A39BB"/>
    <w:rsid w:val="007A3B8C"/>
    <w:rsid w:val="007A3C68"/>
    <w:rsid w:val="007A3D7E"/>
    <w:rsid w:val="007A3ECF"/>
    <w:rsid w:val="007A4162"/>
    <w:rsid w:val="007A5063"/>
    <w:rsid w:val="007A5FA5"/>
    <w:rsid w:val="007A63F2"/>
    <w:rsid w:val="007A675D"/>
    <w:rsid w:val="007A7183"/>
    <w:rsid w:val="007B0384"/>
    <w:rsid w:val="007B049A"/>
    <w:rsid w:val="007B088C"/>
    <w:rsid w:val="007B09CC"/>
    <w:rsid w:val="007B0A00"/>
    <w:rsid w:val="007B0B0B"/>
    <w:rsid w:val="007B0C4A"/>
    <w:rsid w:val="007B0E5D"/>
    <w:rsid w:val="007B198B"/>
    <w:rsid w:val="007B1CE7"/>
    <w:rsid w:val="007B1EAA"/>
    <w:rsid w:val="007B27F9"/>
    <w:rsid w:val="007B3411"/>
    <w:rsid w:val="007B386B"/>
    <w:rsid w:val="007B3B54"/>
    <w:rsid w:val="007B41C1"/>
    <w:rsid w:val="007B43B3"/>
    <w:rsid w:val="007B44FB"/>
    <w:rsid w:val="007B474F"/>
    <w:rsid w:val="007B4849"/>
    <w:rsid w:val="007B5A85"/>
    <w:rsid w:val="007B5CF5"/>
    <w:rsid w:val="007B5CFC"/>
    <w:rsid w:val="007B5D77"/>
    <w:rsid w:val="007B626E"/>
    <w:rsid w:val="007B651C"/>
    <w:rsid w:val="007B65D2"/>
    <w:rsid w:val="007B6FCD"/>
    <w:rsid w:val="007B770C"/>
    <w:rsid w:val="007B7777"/>
    <w:rsid w:val="007B7CB4"/>
    <w:rsid w:val="007B7DD9"/>
    <w:rsid w:val="007C0069"/>
    <w:rsid w:val="007C038C"/>
    <w:rsid w:val="007C065C"/>
    <w:rsid w:val="007C0AEE"/>
    <w:rsid w:val="007C0F27"/>
    <w:rsid w:val="007C1C6B"/>
    <w:rsid w:val="007C25B2"/>
    <w:rsid w:val="007C2713"/>
    <w:rsid w:val="007C3331"/>
    <w:rsid w:val="007C3416"/>
    <w:rsid w:val="007C35B3"/>
    <w:rsid w:val="007C3668"/>
    <w:rsid w:val="007C368B"/>
    <w:rsid w:val="007C44F1"/>
    <w:rsid w:val="007C4C0E"/>
    <w:rsid w:val="007C5758"/>
    <w:rsid w:val="007C5BEC"/>
    <w:rsid w:val="007C60B9"/>
    <w:rsid w:val="007C6BE6"/>
    <w:rsid w:val="007C6E91"/>
    <w:rsid w:val="007C7586"/>
    <w:rsid w:val="007C7DB0"/>
    <w:rsid w:val="007D0159"/>
    <w:rsid w:val="007D13C7"/>
    <w:rsid w:val="007D21E5"/>
    <w:rsid w:val="007D2922"/>
    <w:rsid w:val="007D2D70"/>
    <w:rsid w:val="007D2F87"/>
    <w:rsid w:val="007D2F91"/>
    <w:rsid w:val="007D31AA"/>
    <w:rsid w:val="007D450F"/>
    <w:rsid w:val="007D4822"/>
    <w:rsid w:val="007D5114"/>
    <w:rsid w:val="007D5419"/>
    <w:rsid w:val="007D55CD"/>
    <w:rsid w:val="007D5A9D"/>
    <w:rsid w:val="007D602B"/>
    <w:rsid w:val="007D6150"/>
    <w:rsid w:val="007D63C9"/>
    <w:rsid w:val="007D65E1"/>
    <w:rsid w:val="007D6CBE"/>
    <w:rsid w:val="007D6F4F"/>
    <w:rsid w:val="007D7317"/>
    <w:rsid w:val="007D76B8"/>
    <w:rsid w:val="007D77ED"/>
    <w:rsid w:val="007D799F"/>
    <w:rsid w:val="007D7E84"/>
    <w:rsid w:val="007D7FD5"/>
    <w:rsid w:val="007E0243"/>
    <w:rsid w:val="007E0A6F"/>
    <w:rsid w:val="007E0FBC"/>
    <w:rsid w:val="007E1183"/>
    <w:rsid w:val="007E1C3A"/>
    <w:rsid w:val="007E2198"/>
    <w:rsid w:val="007E2224"/>
    <w:rsid w:val="007E240B"/>
    <w:rsid w:val="007E304B"/>
    <w:rsid w:val="007E30F9"/>
    <w:rsid w:val="007E32EC"/>
    <w:rsid w:val="007E380B"/>
    <w:rsid w:val="007E39AA"/>
    <w:rsid w:val="007E412D"/>
    <w:rsid w:val="007E43D5"/>
    <w:rsid w:val="007E44F2"/>
    <w:rsid w:val="007E468F"/>
    <w:rsid w:val="007E4E90"/>
    <w:rsid w:val="007E5048"/>
    <w:rsid w:val="007E5205"/>
    <w:rsid w:val="007E52A4"/>
    <w:rsid w:val="007E5479"/>
    <w:rsid w:val="007E5817"/>
    <w:rsid w:val="007E58EB"/>
    <w:rsid w:val="007E5956"/>
    <w:rsid w:val="007E5AE8"/>
    <w:rsid w:val="007E5DA4"/>
    <w:rsid w:val="007E5E94"/>
    <w:rsid w:val="007E6E9F"/>
    <w:rsid w:val="007E6EF7"/>
    <w:rsid w:val="007E72D8"/>
    <w:rsid w:val="007E72EF"/>
    <w:rsid w:val="007E7849"/>
    <w:rsid w:val="007E7E70"/>
    <w:rsid w:val="007F0ABB"/>
    <w:rsid w:val="007F12B4"/>
    <w:rsid w:val="007F130A"/>
    <w:rsid w:val="007F149B"/>
    <w:rsid w:val="007F195B"/>
    <w:rsid w:val="007F1AEC"/>
    <w:rsid w:val="007F299F"/>
    <w:rsid w:val="007F43A9"/>
    <w:rsid w:val="007F44F3"/>
    <w:rsid w:val="007F484A"/>
    <w:rsid w:val="007F48D6"/>
    <w:rsid w:val="007F542F"/>
    <w:rsid w:val="007F5814"/>
    <w:rsid w:val="007F5968"/>
    <w:rsid w:val="007F59E5"/>
    <w:rsid w:val="007F64C1"/>
    <w:rsid w:val="007F7182"/>
    <w:rsid w:val="007F71A3"/>
    <w:rsid w:val="007F764F"/>
    <w:rsid w:val="007F7BA8"/>
    <w:rsid w:val="007F7F0F"/>
    <w:rsid w:val="007F7FE4"/>
    <w:rsid w:val="008003B6"/>
    <w:rsid w:val="00800D37"/>
    <w:rsid w:val="008019BA"/>
    <w:rsid w:val="00801A1E"/>
    <w:rsid w:val="00801CAA"/>
    <w:rsid w:val="008026D9"/>
    <w:rsid w:val="008027EF"/>
    <w:rsid w:val="00802EC3"/>
    <w:rsid w:val="00803504"/>
    <w:rsid w:val="008042BC"/>
    <w:rsid w:val="008046C4"/>
    <w:rsid w:val="008056D4"/>
    <w:rsid w:val="008057EC"/>
    <w:rsid w:val="00805BA0"/>
    <w:rsid w:val="00805E5A"/>
    <w:rsid w:val="00805EC5"/>
    <w:rsid w:val="00806199"/>
    <w:rsid w:val="00806639"/>
    <w:rsid w:val="00806697"/>
    <w:rsid w:val="008069E8"/>
    <w:rsid w:val="00807514"/>
    <w:rsid w:val="008075B7"/>
    <w:rsid w:val="008076D4"/>
    <w:rsid w:val="00810845"/>
    <w:rsid w:val="00810B80"/>
    <w:rsid w:val="0081154D"/>
    <w:rsid w:val="008116B4"/>
    <w:rsid w:val="00811B0A"/>
    <w:rsid w:val="00812196"/>
    <w:rsid w:val="008127BA"/>
    <w:rsid w:val="00812DDD"/>
    <w:rsid w:val="00812F6E"/>
    <w:rsid w:val="00813038"/>
    <w:rsid w:val="0081304B"/>
    <w:rsid w:val="008135AF"/>
    <w:rsid w:val="008136B7"/>
    <w:rsid w:val="00813817"/>
    <w:rsid w:val="00814302"/>
    <w:rsid w:val="00814609"/>
    <w:rsid w:val="0081489E"/>
    <w:rsid w:val="00815550"/>
    <w:rsid w:val="008155F7"/>
    <w:rsid w:val="0081560E"/>
    <w:rsid w:val="00815DBD"/>
    <w:rsid w:val="008160F6"/>
    <w:rsid w:val="008169BD"/>
    <w:rsid w:val="008176D3"/>
    <w:rsid w:val="00817D4D"/>
    <w:rsid w:val="0082025F"/>
    <w:rsid w:val="0082058E"/>
    <w:rsid w:val="008207BB"/>
    <w:rsid w:val="008208C6"/>
    <w:rsid w:val="00820F08"/>
    <w:rsid w:val="0082110F"/>
    <w:rsid w:val="0082129A"/>
    <w:rsid w:val="008212CD"/>
    <w:rsid w:val="008216AC"/>
    <w:rsid w:val="00821BEE"/>
    <w:rsid w:val="00822CFB"/>
    <w:rsid w:val="00823A82"/>
    <w:rsid w:val="00823B48"/>
    <w:rsid w:val="00823EF5"/>
    <w:rsid w:val="008244B4"/>
    <w:rsid w:val="008251D1"/>
    <w:rsid w:val="008255A7"/>
    <w:rsid w:val="00825984"/>
    <w:rsid w:val="00826120"/>
    <w:rsid w:val="0082678E"/>
    <w:rsid w:val="00826949"/>
    <w:rsid w:val="00826A20"/>
    <w:rsid w:val="00826E6E"/>
    <w:rsid w:val="00826F18"/>
    <w:rsid w:val="00827B76"/>
    <w:rsid w:val="00827E91"/>
    <w:rsid w:val="00830052"/>
    <w:rsid w:val="0083067E"/>
    <w:rsid w:val="00830730"/>
    <w:rsid w:val="00830931"/>
    <w:rsid w:val="00831152"/>
    <w:rsid w:val="008311F2"/>
    <w:rsid w:val="00831482"/>
    <w:rsid w:val="00832351"/>
    <w:rsid w:val="008324F6"/>
    <w:rsid w:val="00833AA2"/>
    <w:rsid w:val="00833B26"/>
    <w:rsid w:val="00833E3D"/>
    <w:rsid w:val="00834610"/>
    <w:rsid w:val="008349C4"/>
    <w:rsid w:val="00834A49"/>
    <w:rsid w:val="00835C8B"/>
    <w:rsid w:val="00835D26"/>
    <w:rsid w:val="00835F74"/>
    <w:rsid w:val="008360B0"/>
    <w:rsid w:val="008361A8"/>
    <w:rsid w:val="008361D6"/>
    <w:rsid w:val="0083724C"/>
    <w:rsid w:val="0083782B"/>
    <w:rsid w:val="00840344"/>
    <w:rsid w:val="00840CF7"/>
    <w:rsid w:val="008416BD"/>
    <w:rsid w:val="00841A31"/>
    <w:rsid w:val="00842CFA"/>
    <w:rsid w:val="00842FE8"/>
    <w:rsid w:val="00843020"/>
    <w:rsid w:val="008432D3"/>
    <w:rsid w:val="008436E8"/>
    <w:rsid w:val="0084377B"/>
    <w:rsid w:val="00843C86"/>
    <w:rsid w:val="00843F90"/>
    <w:rsid w:val="008442E9"/>
    <w:rsid w:val="0084437E"/>
    <w:rsid w:val="008446F2"/>
    <w:rsid w:val="0084512B"/>
    <w:rsid w:val="00845D45"/>
    <w:rsid w:val="0084604C"/>
    <w:rsid w:val="008462C5"/>
    <w:rsid w:val="00846864"/>
    <w:rsid w:val="00847611"/>
    <w:rsid w:val="00850431"/>
    <w:rsid w:val="008505BF"/>
    <w:rsid w:val="00850876"/>
    <w:rsid w:val="00850C92"/>
    <w:rsid w:val="008512EC"/>
    <w:rsid w:val="00851A6B"/>
    <w:rsid w:val="008521C6"/>
    <w:rsid w:val="00852208"/>
    <w:rsid w:val="008526F8"/>
    <w:rsid w:val="008528ED"/>
    <w:rsid w:val="0085308F"/>
    <w:rsid w:val="00853425"/>
    <w:rsid w:val="008538CF"/>
    <w:rsid w:val="00854042"/>
    <w:rsid w:val="0085410B"/>
    <w:rsid w:val="008541D2"/>
    <w:rsid w:val="00854323"/>
    <w:rsid w:val="008543C1"/>
    <w:rsid w:val="00854429"/>
    <w:rsid w:val="008547A6"/>
    <w:rsid w:val="00854835"/>
    <w:rsid w:val="008557BE"/>
    <w:rsid w:val="00855C16"/>
    <w:rsid w:val="008561B3"/>
    <w:rsid w:val="008562E9"/>
    <w:rsid w:val="00856948"/>
    <w:rsid w:val="00856CCB"/>
    <w:rsid w:val="00856D44"/>
    <w:rsid w:val="0085740D"/>
    <w:rsid w:val="008575DA"/>
    <w:rsid w:val="0085769C"/>
    <w:rsid w:val="00857D1F"/>
    <w:rsid w:val="0086007E"/>
    <w:rsid w:val="008602D8"/>
    <w:rsid w:val="00860774"/>
    <w:rsid w:val="00860791"/>
    <w:rsid w:val="00860A9C"/>
    <w:rsid w:val="008613B2"/>
    <w:rsid w:val="008616B7"/>
    <w:rsid w:val="008617D7"/>
    <w:rsid w:val="00861DAF"/>
    <w:rsid w:val="00862BF8"/>
    <w:rsid w:val="00862DE7"/>
    <w:rsid w:val="0086303D"/>
    <w:rsid w:val="0086318E"/>
    <w:rsid w:val="0086374E"/>
    <w:rsid w:val="00863E54"/>
    <w:rsid w:val="00863F12"/>
    <w:rsid w:val="00865618"/>
    <w:rsid w:val="00865DB0"/>
    <w:rsid w:val="008662B3"/>
    <w:rsid w:val="008663E9"/>
    <w:rsid w:val="00866E1A"/>
    <w:rsid w:val="0086745B"/>
    <w:rsid w:val="0086749A"/>
    <w:rsid w:val="008675F4"/>
    <w:rsid w:val="008677DB"/>
    <w:rsid w:val="0087033A"/>
    <w:rsid w:val="00870EAE"/>
    <w:rsid w:val="0087170F"/>
    <w:rsid w:val="00871A15"/>
    <w:rsid w:val="00871DBE"/>
    <w:rsid w:val="00871E9E"/>
    <w:rsid w:val="0087208F"/>
    <w:rsid w:val="00872C3D"/>
    <w:rsid w:val="00873637"/>
    <w:rsid w:val="0087523F"/>
    <w:rsid w:val="008753EF"/>
    <w:rsid w:val="00875436"/>
    <w:rsid w:val="0087545A"/>
    <w:rsid w:val="008759BD"/>
    <w:rsid w:val="00875E2D"/>
    <w:rsid w:val="0087619C"/>
    <w:rsid w:val="008763D5"/>
    <w:rsid w:val="0087643E"/>
    <w:rsid w:val="0087666B"/>
    <w:rsid w:val="00876C63"/>
    <w:rsid w:val="00876EAB"/>
    <w:rsid w:val="00876EC4"/>
    <w:rsid w:val="008773B2"/>
    <w:rsid w:val="00877461"/>
    <w:rsid w:val="008774D1"/>
    <w:rsid w:val="008775F5"/>
    <w:rsid w:val="00877BCB"/>
    <w:rsid w:val="00877E05"/>
    <w:rsid w:val="0088074F"/>
    <w:rsid w:val="00880B86"/>
    <w:rsid w:val="00880EFC"/>
    <w:rsid w:val="00881305"/>
    <w:rsid w:val="0088142E"/>
    <w:rsid w:val="008814C2"/>
    <w:rsid w:val="00881563"/>
    <w:rsid w:val="00881B00"/>
    <w:rsid w:val="00882666"/>
    <w:rsid w:val="00882D00"/>
    <w:rsid w:val="00883145"/>
    <w:rsid w:val="008831C7"/>
    <w:rsid w:val="008835B5"/>
    <w:rsid w:val="00883D4B"/>
    <w:rsid w:val="008853B2"/>
    <w:rsid w:val="00885BE7"/>
    <w:rsid w:val="00885C28"/>
    <w:rsid w:val="00886B54"/>
    <w:rsid w:val="0089036A"/>
    <w:rsid w:val="008904F0"/>
    <w:rsid w:val="00890EFC"/>
    <w:rsid w:val="008918D3"/>
    <w:rsid w:val="00892096"/>
    <w:rsid w:val="00892127"/>
    <w:rsid w:val="0089245A"/>
    <w:rsid w:val="0089292C"/>
    <w:rsid w:val="008936EB"/>
    <w:rsid w:val="00893915"/>
    <w:rsid w:val="008946B5"/>
    <w:rsid w:val="008948FB"/>
    <w:rsid w:val="008949FD"/>
    <w:rsid w:val="0089560E"/>
    <w:rsid w:val="0089572C"/>
    <w:rsid w:val="00895849"/>
    <w:rsid w:val="008958ED"/>
    <w:rsid w:val="00895E90"/>
    <w:rsid w:val="008962BB"/>
    <w:rsid w:val="008967D3"/>
    <w:rsid w:val="00896FDE"/>
    <w:rsid w:val="008976A8"/>
    <w:rsid w:val="00897DA7"/>
    <w:rsid w:val="008A0607"/>
    <w:rsid w:val="008A06EF"/>
    <w:rsid w:val="008A088A"/>
    <w:rsid w:val="008A099F"/>
    <w:rsid w:val="008A0FB0"/>
    <w:rsid w:val="008A1DBE"/>
    <w:rsid w:val="008A22E4"/>
    <w:rsid w:val="008A230A"/>
    <w:rsid w:val="008A2540"/>
    <w:rsid w:val="008A29E4"/>
    <w:rsid w:val="008A2DC3"/>
    <w:rsid w:val="008A2ECA"/>
    <w:rsid w:val="008A353C"/>
    <w:rsid w:val="008A4537"/>
    <w:rsid w:val="008A49B6"/>
    <w:rsid w:val="008A4A39"/>
    <w:rsid w:val="008A4CEF"/>
    <w:rsid w:val="008A4FFD"/>
    <w:rsid w:val="008A5422"/>
    <w:rsid w:val="008A6360"/>
    <w:rsid w:val="008A66BC"/>
    <w:rsid w:val="008A6801"/>
    <w:rsid w:val="008A6A26"/>
    <w:rsid w:val="008A6B0D"/>
    <w:rsid w:val="008A725C"/>
    <w:rsid w:val="008A79AC"/>
    <w:rsid w:val="008B074A"/>
    <w:rsid w:val="008B09FE"/>
    <w:rsid w:val="008B0C3C"/>
    <w:rsid w:val="008B0D4A"/>
    <w:rsid w:val="008B14AC"/>
    <w:rsid w:val="008B1686"/>
    <w:rsid w:val="008B1734"/>
    <w:rsid w:val="008B1DA8"/>
    <w:rsid w:val="008B20B3"/>
    <w:rsid w:val="008B234E"/>
    <w:rsid w:val="008B23BE"/>
    <w:rsid w:val="008B2CB6"/>
    <w:rsid w:val="008B3209"/>
    <w:rsid w:val="008B32F1"/>
    <w:rsid w:val="008B33EB"/>
    <w:rsid w:val="008B3652"/>
    <w:rsid w:val="008B36F8"/>
    <w:rsid w:val="008B3920"/>
    <w:rsid w:val="008B3AD2"/>
    <w:rsid w:val="008B418A"/>
    <w:rsid w:val="008B4472"/>
    <w:rsid w:val="008B4C0F"/>
    <w:rsid w:val="008B563D"/>
    <w:rsid w:val="008B58C5"/>
    <w:rsid w:val="008B594F"/>
    <w:rsid w:val="008B59D3"/>
    <w:rsid w:val="008B5E01"/>
    <w:rsid w:val="008B5E12"/>
    <w:rsid w:val="008B5EA0"/>
    <w:rsid w:val="008B627F"/>
    <w:rsid w:val="008B62CA"/>
    <w:rsid w:val="008B6B79"/>
    <w:rsid w:val="008B6DB2"/>
    <w:rsid w:val="008B7193"/>
    <w:rsid w:val="008B785F"/>
    <w:rsid w:val="008B787D"/>
    <w:rsid w:val="008B7A83"/>
    <w:rsid w:val="008B7F1C"/>
    <w:rsid w:val="008C0162"/>
    <w:rsid w:val="008C01BA"/>
    <w:rsid w:val="008C043F"/>
    <w:rsid w:val="008C07C0"/>
    <w:rsid w:val="008C0D9F"/>
    <w:rsid w:val="008C0DDD"/>
    <w:rsid w:val="008C1013"/>
    <w:rsid w:val="008C1628"/>
    <w:rsid w:val="008C16E5"/>
    <w:rsid w:val="008C1A18"/>
    <w:rsid w:val="008C2504"/>
    <w:rsid w:val="008C252E"/>
    <w:rsid w:val="008C261A"/>
    <w:rsid w:val="008C2A0F"/>
    <w:rsid w:val="008C2B94"/>
    <w:rsid w:val="008C38FA"/>
    <w:rsid w:val="008C3936"/>
    <w:rsid w:val="008C3DDD"/>
    <w:rsid w:val="008C3FF5"/>
    <w:rsid w:val="008C4E0F"/>
    <w:rsid w:val="008C4F01"/>
    <w:rsid w:val="008C5666"/>
    <w:rsid w:val="008C5B1D"/>
    <w:rsid w:val="008C5C6C"/>
    <w:rsid w:val="008C63B6"/>
    <w:rsid w:val="008C651E"/>
    <w:rsid w:val="008C6771"/>
    <w:rsid w:val="008C7319"/>
    <w:rsid w:val="008C7F8C"/>
    <w:rsid w:val="008D0D51"/>
    <w:rsid w:val="008D0DF7"/>
    <w:rsid w:val="008D106F"/>
    <w:rsid w:val="008D1085"/>
    <w:rsid w:val="008D195C"/>
    <w:rsid w:val="008D1C82"/>
    <w:rsid w:val="008D20B4"/>
    <w:rsid w:val="008D2545"/>
    <w:rsid w:val="008D27F9"/>
    <w:rsid w:val="008D2A24"/>
    <w:rsid w:val="008D2E61"/>
    <w:rsid w:val="008D2EF2"/>
    <w:rsid w:val="008D30E6"/>
    <w:rsid w:val="008D39EA"/>
    <w:rsid w:val="008D3AA7"/>
    <w:rsid w:val="008D3E6E"/>
    <w:rsid w:val="008D4EDC"/>
    <w:rsid w:val="008D532B"/>
    <w:rsid w:val="008D5D13"/>
    <w:rsid w:val="008D5EFE"/>
    <w:rsid w:val="008D6149"/>
    <w:rsid w:val="008D6DDB"/>
    <w:rsid w:val="008D7652"/>
    <w:rsid w:val="008E0B73"/>
    <w:rsid w:val="008E12CE"/>
    <w:rsid w:val="008E145E"/>
    <w:rsid w:val="008E172A"/>
    <w:rsid w:val="008E1DEE"/>
    <w:rsid w:val="008E1EAE"/>
    <w:rsid w:val="008E1F0C"/>
    <w:rsid w:val="008E2B7A"/>
    <w:rsid w:val="008E327E"/>
    <w:rsid w:val="008E36FD"/>
    <w:rsid w:val="008E39B6"/>
    <w:rsid w:val="008E3A12"/>
    <w:rsid w:val="008E3F46"/>
    <w:rsid w:val="008E453D"/>
    <w:rsid w:val="008E4E1E"/>
    <w:rsid w:val="008E5373"/>
    <w:rsid w:val="008E5DE7"/>
    <w:rsid w:val="008E6063"/>
    <w:rsid w:val="008E620B"/>
    <w:rsid w:val="008E647D"/>
    <w:rsid w:val="008E653F"/>
    <w:rsid w:val="008E6A86"/>
    <w:rsid w:val="008E6FB1"/>
    <w:rsid w:val="008E71B3"/>
    <w:rsid w:val="008E74EA"/>
    <w:rsid w:val="008E7684"/>
    <w:rsid w:val="008E7B60"/>
    <w:rsid w:val="008F02D2"/>
    <w:rsid w:val="008F068B"/>
    <w:rsid w:val="008F0B72"/>
    <w:rsid w:val="008F0BDB"/>
    <w:rsid w:val="008F0CA6"/>
    <w:rsid w:val="008F1758"/>
    <w:rsid w:val="008F1B4C"/>
    <w:rsid w:val="008F1DCC"/>
    <w:rsid w:val="008F1F6C"/>
    <w:rsid w:val="008F20B7"/>
    <w:rsid w:val="008F25F4"/>
    <w:rsid w:val="008F2D48"/>
    <w:rsid w:val="008F3050"/>
    <w:rsid w:val="008F31E1"/>
    <w:rsid w:val="008F3F38"/>
    <w:rsid w:val="008F4000"/>
    <w:rsid w:val="008F558A"/>
    <w:rsid w:val="008F588E"/>
    <w:rsid w:val="008F6247"/>
    <w:rsid w:val="008F6CFF"/>
    <w:rsid w:val="008F71BF"/>
    <w:rsid w:val="008F7B13"/>
    <w:rsid w:val="008F7DB5"/>
    <w:rsid w:val="008F7E8B"/>
    <w:rsid w:val="009009FD"/>
    <w:rsid w:val="00900FB6"/>
    <w:rsid w:val="0090137A"/>
    <w:rsid w:val="00901F46"/>
    <w:rsid w:val="00902B3F"/>
    <w:rsid w:val="009035F5"/>
    <w:rsid w:val="00904330"/>
    <w:rsid w:val="00904B11"/>
    <w:rsid w:val="0090545F"/>
    <w:rsid w:val="00905923"/>
    <w:rsid w:val="00906599"/>
    <w:rsid w:val="009069A2"/>
    <w:rsid w:val="00906E94"/>
    <w:rsid w:val="00907FF4"/>
    <w:rsid w:val="00910591"/>
    <w:rsid w:val="00910AC9"/>
    <w:rsid w:val="00910E3A"/>
    <w:rsid w:val="00910FB8"/>
    <w:rsid w:val="0091139A"/>
    <w:rsid w:val="0091142C"/>
    <w:rsid w:val="00911887"/>
    <w:rsid w:val="0091246C"/>
    <w:rsid w:val="0091337A"/>
    <w:rsid w:val="00913501"/>
    <w:rsid w:val="00913975"/>
    <w:rsid w:val="00913E10"/>
    <w:rsid w:val="00913FC3"/>
    <w:rsid w:val="0091430F"/>
    <w:rsid w:val="009145A0"/>
    <w:rsid w:val="00915238"/>
    <w:rsid w:val="0091526C"/>
    <w:rsid w:val="00915442"/>
    <w:rsid w:val="00915571"/>
    <w:rsid w:val="00915587"/>
    <w:rsid w:val="009159F9"/>
    <w:rsid w:val="0091611E"/>
    <w:rsid w:val="009161A0"/>
    <w:rsid w:val="00916309"/>
    <w:rsid w:val="0091685D"/>
    <w:rsid w:val="009169EC"/>
    <w:rsid w:val="00916A3A"/>
    <w:rsid w:val="00916A82"/>
    <w:rsid w:val="00916BF5"/>
    <w:rsid w:val="00916C5A"/>
    <w:rsid w:val="00917461"/>
    <w:rsid w:val="0091778C"/>
    <w:rsid w:val="00917E87"/>
    <w:rsid w:val="00920674"/>
    <w:rsid w:val="009208C4"/>
    <w:rsid w:val="00920CCA"/>
    <w:rsid w:val="0092103D"/>
    <w:rsid w:val="0092127E"/>
    <w:rsid w:val="0092131E"/>
    <w:rsid w:val="00921B24"/>
    <w:rsid w:val="009225D1"/>
    <w:rsid w:val="00922805"/>
    <w:rsid w:val="00922F30"/>
    <w:rsid w:val="00923559"/>
    <w:rsid w:val="00924065"/>
    <w:rsid w:val="0092424F"/>
    <w:rsid w:val="009248CF"/>
    <w:rsid w:val="00924C86"/>
    <w:rsid w:val="00924E87"/>
    <w:rsid w:val="00924EDB"/>
    <w:rsid w:val="00924FAE"/>
    <w:rsid w:val="009250C0"/>
    <w:rsid w:val="009253A9"/>
    <w:rsid w:val="0092578A"/>
    <w:rsid w:val="0092597F"/>
    <w:rsid w:val="00926602"/>
    <w:rsid w:val="00926B57"/>
    <w:rsid w:val="00927144"/>
    <w:rsid w:val="00927175"/>
    <w:rsid w:val="0092747D"/>
    <w:rsid w:val="009300ED"/>
    <w:rsid w:val="009302DA"/>
    <w:rsid w:val="00930790"/>
    <w:rsid w:val="009307FE"/>
    <w:rsid w:val="009316BF"/>
    <w:rsid w:val="00932C8B"/>
    <w:rsid w:val="00932E44"/>
    <w:rsid w:val="00933F32"/>
    <w:rsid w:val="00934914"/>
    <w:rsid w:val="00934BCA"/>
    <w:rsid w:val="00934C54"/>
    <w:rsid w:val="00935650"/>
    <w:rsid w:val="00935743"/>
    <w:rsid w:val="00936809"/>
    <w:rsid w:val="00936DA6"/>
    <w:rsid w:val="00936DDE"/>
    <w:rsid w:val="00936E14"/>
    <w:rsid w:val="00936EF7"/>
    <w:rsid w:val="009371F2"/>
    <w:rsid w:val="00937326"/>
    <w:rsid w:val="00937459"/>
    <w:rsid w:val="0093755C"/>
    <w:rsid w:val="00937AFE"/>
    <w:rsid w:val="00937F3B"/>
    <w:rsid w:val="0094004F"/>
    <w:rsid w:val="009401DB"/>
    <w:rsid w:val="009402EC"/>
    <w:rsid w:val="0094081D"/>
    <w:rsid w:val="00940F19"/>
    <w:rsid w:val="009412BD"/>
    <w:rsid w:val="0094147B"/>
    <w:rsid w:val="0094169C"/>
    <w:rsid w:val="0094174E"/>
    <w:rsid w:val="00941E1D"/>
    <w:rsid w:val="0094209E"/>
    <w:rsid w:val="0094210C"/>
    <w:rsid w:val="00942851"/>
    <w:rsid w:val="00942BE0"/>
    <w:rsid w:val="00943166"/>
    <w:rsid w:val="00943184"/>
    <w:rsid w:val="009434C0"/>
    <w:rsid w:val="00943B5E"/>
    <w:rsid w:val="00943C9A"/>
    <w:rsid w:val="00943EE4"/>
    <w:rsid w:val="00943F3A"/>
    <w:rsid w:val="0094415E"/>
    <w:rsid w:val="009442A2"/>
    <w:rsid w:val="009444C0"/>
    <w:rsid w:val="009445E9"/>
    <w:rsid w:val="00944FFC"/>
    <w:rsid w:val="009453F8"/>
    <w:rsid w:val="0094565C"/>
    <w:rsid w:val="009457A9"/>
    <w:rsid w:val="009464FE"/>
    <w:rsid w:val="0094663A"/>
    <w:rsid w:val="00946953"/>
    <w:rsid w:val="009473A8"/>
    <w:rsid w:val="009476F6"/>
    <w:rsid w:val="00947A7A"/>
    <w:rsid w:val="00947C66"/>
    <w:rsid w:val="00947FE4"/>
    <w:rsid w:val="00950002"/>
    <w:rsid w:val="00950567"/>
    <w:rsid w:val="009506D8"/>
    <w:rsid w:val="00950746"/>
    <w:rsid w:val="00951054"/>
    <w:rsid w:val="0095131F"/>
    <w:rsid w:val="009513D4"/>
    <w:rsid w:val="0095151B"/>
    <w:rsid w:val="00951648"/>
    <w:rsid w:val="00951725"/>
    <w:rsid w:val="00951C1E"/>
    <w:rsid w:val="00952123"/>
    <w:rsid w:val="00952562"/>
    <w:rsid w:val="00952720"/>
    <w:rsid w:val="00952B08"/>
    <w:rsid w:val="009530B5"/>
    <w:rsid w:val="00953C88"/>
    <w:rsid w:val="0095435B"/>
    <w:rsid w:val="00954778"/>
    <w:rsid w:val="00954C9B"/>
    <w:rsid w:val="00954F77"/>
    <w:rsid w:val="00955126"/>
    <w:rsid w:val="00955FC2"/>
    <w:rsid w:val="00956164"/>
    <w:rsid w:val="009567F6"/>
    <w:rsid w:val="00956C17"/>
    <w:rsid w:val="00956EAE"/>
    <w:rsid w:val="00956F31"/>
    <w:rsid w:val="0096017F"/>
    <w:rsid w:val="00960E28"/>
    <w:rsid w:val="00960FD3"/>
    <w:rsid w:val="0096112C"/>
    <w:rsid w:val="0096159B"/>
    <w:rsid w:val="00961874"/>
    <w:rsid w:val="0096191E"/>
    <w:rsid w:val="00961F69"/>
    <w:rsid w:val="00962C1D"/>
    <w:rsid w:val="00962EB0"/>
    <w:rsid w:val="00963023"/>
    <w:rsid w:val="00963B64"/>
    <w:rsid w:val="00964332"/>
    <w:rsid w:val="00964489"/>
    <w:rsid w:val="00964643"/>
    <w:rsid w:val="00964A3A"/>
    <w:rsid w:val="00964A80"/>
    <w:rsid w:val="009650F2"/>
    <w:rsid w:val="00965390"/>
    <w:rsid w:val="0096591A"/>
    <w:rsid w:val="00965982"/>
    <w:rsid w:val="0096659B"/>
    <w:rsid w:val="00966812"/>
    <w:rsid w:val="00966D89"/>
    <w:rsid w:val="00966EB5"/>
    <w:rsid w:val="0096701F"/>
    <w:rsid w:val="00967245"/>
    <w:rsid w:val="00967276"/>
    <w:rsid w:val="00967D4B"/>
    <w:rsid w:val="00967D8E"/>
    <w:rsid w:val="00970201"/>
    <w:rsid w:val="009708F1"/>
    <w:rsid w:val="00970BBC"/>
    <w:rsid w:val="00970C23"/>
    <w:rsid w:val="00971CD0"/>
    <w:rsid w:val="00971DCE"/>
    <w:rsid w:val="009720A4"/>
    <w:rsid w:val="009721FA"/>
    <w:rsid w:val="009723A3"/>
    <w:rsid w:val="0097248B"/>
    <w:rsid w:val="00972A65"/>
    <w:rsid w:val="00972E37"/>
    <w:rsid w:val="00973047"/>
    <w:rsid w:val="0097473F"/>
    <w:rsid w:val="0097513D"/>
    <w:rsid w:val="00975472"/>
    <w:rsid w:val="00975786"/>
    <w:rsid w:val="009763FA"/>
    <w:rsid w:val="0097689F"/>
    <w:rsid w:val="00976E96"/>
    <w:rsid w:val="009778BE"/>
    <w:rsid w:val="0097793E"/>
    <w:rsid w:val="00981256"/>
    <w:rsid w:val="009812F3"/>
    <w:rsid w:val="009822C5"/>
    <w:rsid w:val="00983206"/>
    <w:rsid w:val="00983967"/>
    <w:rsid w:val="00983AD5"/>
    <w:rsid w:val="00984565"/>
    <w:rsid w:val="009846DC"/>
    <w:rsid w:val="00984961"/>
    <w:rsid w:val="00984E1E"/>
    <w:rsid w:val="00984E53"/>
    <w:rsid w:val="00984F91"/>
    <w:rsid w:val="009852FA"/>
    <w:rsid w:val="00985455"/>
    <w:rsid w:val="009862B5"/>
    <w:rsid w:val="009862FF"/>
    <w:rsid w:val="009863C1"/>
    <w:rsid w:val="0098697D"/>
    <w:rsid w:val="00986F04"/>
    <w:rsid w:val="009871EF"/>
    <w:rsid w:val="00987DE6"/>
    <w:rsid w:val="0099075B"/>
    <w:rsid w:val="00990BFE"/>
    <w:rsid w:val="00990C21"/>
    <w:rsid w:val="00990D98"/>
    <w:rsid w:val="00990DF3"/>
    <w:rsid w:val="009912C8"/>
    <w:rsid w:val="0099133B"/>
    <w:rsid w:val="0099157B"/>
    <w:rsid w:val="009918CF"/>
    <w:rsid w:val="00991957"/>
    <w:rsid w:val="0099197E"/>
    <w:rsid w:val="00991BAC"/>
    <w:rsid w:val="00991BB3"/>
    <w:rsid w:val="00992C21"/>
    <w:rsid w:val="009930CD"/>
    <w:rsid w:val="009930DF"/>
    <w:rsid w:val="00993483"/>
    <w:rsid w:val="009936D4"/>
    <w:rsid w:val="00993A4E"/>
    <w:rsid w:val="00993ACD"/>
    <w:rsid w:val="00994129"/>
    <w:rsid w:val="00994926"/>
    <w:rsid w:val="00994B86"/>
    <w:rsid w:val="00995048"/>
    <w:rsid w:val="00995719"/>
    <w:rsid w:val="00995BD2"/>
    <w:rsid w:val="00995C57"/>
    <w:rsid w:val="00995C9F"/>
    <w:rsid w:val="00996424"/>
    <w:rsid w:val="00996589"/>
    <w:rsid w:val="00996AAC"/>
    <w:rsid w:val="009972D2"/>
    <w:rsid w:val="0099786C"/>
    <w:rsid w:val="00997C13"/>
    <w:rsid w:val="00997DD7"/>
    <w:rsid w:val="00997FF2"/>
    <w:rsid w:val="009A0070"/>
    <w:rsid w:val="009A0550"/>
    <w:rsid w:val="009A05BF"/>
    <w:rsid w:val="009A0A37"/>
    <w:rsid w:val="009A2C9B"/>
    <w:rsid w:val="009A319D"/>
    <w:rsid w:val="009A31E8"/>
    <w:rsid w:val="009A3306"/>
    <w:rsid w:val="009A42D9"/>
    <w:rsid w:val="009A47E7"/>
    <w:rsid w:val="009A498A"/>
    <w:rsid w:val="009A4C52"/>
    <w:rsid w:val="009A513E"/>
    <w:rsid w:val="009A662F"/>
    <w:rsid w:val="009A6BDC"/>
    <w:rsid w:val="009A6EBE"/>
    <w:rsid w:val="009A786B"/>
    <w:rsid w:val="009B0265"/>
    <w:rsid w:val="009B078F"/>
    <w:rsid w:val="009B0EDB"/>
    <w:rsid w:val="009B0FEA"/>
    <w:rsid w:val="009B1566"/>
    <w:rsid w:val="009B1792"/>
    <w:rsid w:val="009B1AD6"/>
    <w:rsid w:val="009B1EAF"/>
    <w:rsid w:val="009B2599"/>
    <w:rsid w:val="009B276F"/>
    <w:rsid w:val="009B2E50"/>
    <w:rsid w:val="009B2E72"/>
    <w:rsid w:val="009B3148"/>
    <w:rsid w:val="009B351B"/>
    <w:rsid w:val="009B35C4"/>
    <w:rsid w:val="009B38EB"/>
    <w:rsid w:val="009B3984"/>
    <w:rsid w:val="009B4127"/>
    <w:rsid w:val="009B418D"/>
    <w:rsid w:val="009B4A1D"/>
    <w:rsid w:val="009B4B0F"/>
    <w:rsid w:val="009B4CFE"/>
    <w:rsid w:val="009B5146"/>
    <w:rsid w:val="009B5AA2"/>
    <w:rsid w:val="009B5AF9"/>
    <w:rsid w:val="009B5B55"/>
    <w:rsid w:val="009B5F9A"/>
    <w:rsid w:val="009B61EB"/>
    <w:rsid w:val="009B6A77"/>
    <w:rsid w:val="009B6DC4"/>
    <w:rsid w:val="009B6F61"/>
    <w:rsid w:val="009B6F7D"/>
    <w:rsid w:val="009B7987"/>
    <w:rsid w:val="009B7BFB"/>
    <w:rsid w:val="009B7C25"/>
    <w:rsid w:val="009B7C7E"/>
    <w:rsid w:val="009B7EF0"/>
    <w:rsid w:val="009C010D"/>
    <w:rsid w:val="009C074E"/>
    <w:rsid w:val="009C119D"/>
    <w:rsid w:val="009C23EF"/>
    <w:rsid w:val="009C3A47"/>
    <w:rsid w:val="009C4C78"/>
    <w:rsid w:val="009C4F2E"/>
    <w:rsid w:val="009C53E0"/>
    <w:rsid w:val="009C59D6"/>
    <w:rsid w:val="009C5DD1"/>
    <w:rsid w:val="009C5E31"/>
    <w:rsid w:val="009C5E36"/>
    <w:rsid w:val="009C5FFC"/>
    <w:rsid w:val="009C64E3"/>
    <w:rsid w:val="009C71B7"/>
    <w:rsid w:val="009C7D53"/>
    <w:rsid w:val="009C7EA9"/>
    <w:rsid w:val="009D0180"/>
    <w:rsid w:val="009D16E0"/>
    <w:rsid w:val="009D277C"/>
    <w:rsid w:val="009D2A8C"/>
    <w:rsid w:val="009D322C"/>
    <w:rsid w:val="009D3993"/>
    <w:rsid w:val="009D3C5C"/>
    <w:rsid w:val="009D417C"/>
    <w:rsid w:val="009D417D"/>
    <w:rsid w:val="009D4431"/>
    <w:rsid w:val="009D4B88"/>
    <w:rsid w:val="009D4BB6"/>
    <w:rsid w:val="009D4FE3"/>
    <w:rsid w:val="009D596A"/>
    <w:rsid w:val="009D5AD9"/>
    <w:rsid w:val="009D5BAA"/>
    <w:rsid w:val="009D614A"/>
    <w:rsid w:val="009D6228"/>
    <w:rsid w:val="009D698A"/>
    <w:rsid w:val="009D7292"/>
    <w:rsid w:val="009D7B88"/>
    <w:rsid w:val="009E0E68"/>
    <w:rsid w:val="009E0EF3"/>
    <w:rsid w:val="009E1859"/>
    <w:rsid w:val="009E19F4"/>
    <w:rsid w:val="009E1DBF"/>
    <w:rsid w:val="009E29CB"/>
    <w:rsid w:val="009E338E"/>
    <w:rsid w:val="009E342D"/>
    <w:rsid w:val="009E3D4B"/>
    <w:rsid w:val="009E46BF"/>
    <w:rsid w:val="009E60BF"/>
    <w:rsid w:val="009E6130"/>
    <w:rsid w:val="009E6145"/>
    <w:rsid w:val="009E63AF"/>
    <w:rsid w:val="009E63F7"/>
    <w:rsid w:val="009E64DD"/>
    <w:rsid w:val="009E6602"/>
    <w:rsid w:val="009E6987"/>
    <w:rsid w:val="009E7453"/>
    <w:rsid w:val="009E7645"/>
    <w:rsid w:val="009E78C0"/>
    <w:rsid w:val="009E7A8C"/>
    <w:rsid w:val="009E7B2E"/>
    <w:rsid w:val="009F0EF3"/>
    <w:rsid w:val="009F1462"/>
    <w:rsid w:val="009F158B"/>
    <w:rsid w:val="009F193C"/>
    <w:rsid w:val="009F1B21"/>
    <w:rsid w:val="009F1F1B"/>
    <w:rsid w:val="009F2168"/>
    <w:rsid w:val="009F2642"/>
    <w:rsid w:val="009F270C"/>
    <w:rsid w:val="009F27DC"/>
    <w:rsid w:val="009F2ABD"/>
    <w:rsid w:val="009F2BFF"/>
    <w:rsid w:val="009F400A"/>
    <w:rsid w:val="009F43AF"/>
    <w:rsid w:val="009F49B4"/>
    <w:rsid w:val="009F541A"/>
    <w:rsid w:val="009F5A51"/>
    <w:rsid w:val="009F5D70"/>
    <w:rsid w:val="009F68F9"/>
    <w:rsid w:val="009F6AE2"/>
    <w:rsid w:val="009F74F2"/>
    <w:rsid w:val="009F76FF"/>
    <w:rsid w:val="009F7A78"/>
    <w:rsid w:val="009F7F86"/>
    <w:rsid w:val="00A00061"/>
    <w:rsid w:val="00A00283"/>
    <w:rsid w:val="00A00524"/>
    <w:rsid w:val="00A00F85"/>
    <w:rsid w:val="00A01205"/>
    <w:rsid w:val="00A019B1"/>
    <w:rsid w:val="00A01A91"/>
    <w:rsid w:val="00A023D2"/>
    <w:rsid w:val="00A02D8D"/>
    <w:rsid w:val="00A03907"/>
    <w:rsid w:val="00A03AF9"/>
    <w:rsid w:val="00A03B91"/>
    <w:rsid w:val="00A04235"/>
    <w:rsid w:val="00A04E5D"/>
    <w:rsid w:val="00A052D7"/>
    <w:rsid w:val="00A0585D"/>
    <w:rsid w:val="00A059C5"/>
    <w:rsid w:val="00A05A99"/>
    <w:rsid w:val="00A061B1"/>
    <w:rsid w:val="00A06920"/>
    <w:rsid w:val="00A07149"/>
    <w:rsid w:val="00A07935"/>
    <w:rsid w:val="00A10C55"/>
    <w:rsid w:val="00A10F81"/>
    <w:rsid w:val="00A10FE5"/>
    <w:rsid w:val="00A11652"/>
    <w:rsid w:val="00A116A9"/>
    <w:rsid w:val="00A11A0C"/>
    <w:rsid w:val="00A11ACD"/>
    <w:rsid w:val="00A12091"/>
    <w:rsid w:val="00A137CC"/>
    <w:rsid w:val="00A13EC8"/>
    <w:rsid w:val="00A13F4C"/>
    <w:rsid w:val="00A15325"/>
    <w:rsid w:val="00A1583A"/>
    <w:rsid w:val="00A15C18"/>
    <w:rsid w:val="00A15CB7"/>
    <w:rsid w:val="00A15E75"/>
    <w:rsid w:val="00A1625C"/>
    <w:rsid w:val="00A162A4"/>
    <w:rsid w:val="00A16C04"/>
    <w:rsid w:val="00A16D41"/>
    <w:rsid w:val="00A16E93"/>
    <w:rsid w:val="00A17429"/>
    <w:rsid w:val="00A17C36"/>
    <w:rsid w:val="00A203DF"/>
    <w:rsid w:val="00A20B3C"/>
    <w:rsid w:val="00A20FF5"/>
    <w:rsid w:val="00A213AB"/>
    <w:rsid w:val="00A213CB"/>
    <w:rsid w:val="00A22986"/>
    <w:rsid w:val="00A22BCE"/>
    <w:rsid w:val="00A22CDF"/>
    <w:rsid w:val="00A23359"/>
    <w:rsid w:val="00A238FD"/>
    <w:rsid w:val="00A239BE"/>
    <w:rsid w:val="00A259D3"/>
    <w:rsid w:val="00A25B65"/>
    <w:rsid w:val="00A25DBC"/>
    <w:rsid w:val="00A26369"/>
    <w:rsid w:val="00A26955"/>
    <w:rsid w:val="00A26C65"/>
    <w:rsid w:val="00A30224"/>
    <w:rsid w:val="00A30250"/>
    <w:rsid w:val="00A30964"/>
    <w:rsid w:val="00A30A3D"/>
    <w:rsid w:val="00A30A9C"/>
    <w:rsid w:val="00A30CB5"/>
    <w:rsid w:val="00A30FCE"/>
    <w:rsid w:val="00A31145"/>
    <w:rsid w:val="00A31768"/>
    <w:rsid w:val="00A317BE"/>
    <w:rsid w:val="00A321D9"/>
    <w:rsid w:val="00A326CD"/>
    <w:rsid w:val="00A3331C"/>
    <w:rsid w:val="00A33423"/>
    <w:rsid w:val="00A334E9"/>
    <w:rsid w:val="00A336B3"/>
    <w:rsid w:val="00A33749"/>
    <w:rsid w:val="00A33D19"/>
    <w:rsid w:val="00A343A1"/>
    <w:rsid w:val="00A34AD7"/>
    <w:rsid w:val="00A34DE4"/>
    <w:rsid w:val="00A350AA"/>
    <w:rsid w:val="00A35297"/>
    <w:rsid w:val="00A354F9"/>
    <w:rsid w:val="00A357FB"/>
    <w:rsid w:val="00A35B42"/>
    <w:rsid w:val="00A364AB"/>
    <w:rsid w:val="00A3667B"/>
    <w:rsid w:val="00A36BA4"/>
    <w:rsid w:val="00A36F22"/>
    <w:rsid w:val="00A370D8"/>
    <w:rsid w:val="00A37406"/>
    <w:rsid w:val="00A3782F"/>
    <w:rsid w:val="00A37B4B"/>
    <w:rsid w:val="00A40B64"/>
    <w:rsid w:val="00A40FE2"/>
    <w:rsid w:val="00A412BF"/>
    <w:rsid w:val="00A414F6"/>
    <w:rsid w:val="00A41BB1"/>
    <w:rsid w:val="00A41D97"/>
    <w:rsid w:val="00A41F36"/>
    <w:rsid w:val="00A41FD3"/>
    <w:rsid w:val="00A42100"/>
    <w:rsid w:val="00A42778"/>
    <w:rsid w:val="00A429FE"/>
    <w:rsid w:val="00A42A4D"/>
    <w:rsid w:val="00A434CA"/>
    <w:rsid w:val="00A44899"/>
    <w:rsid w:val="00A44E13"/>
    <w:rsid w:val="00A451C9"/>
    <w:rsid w:val="00A4530B"/>
    <w:rsid w:val="00A4559E"/>
    <w:rsid w:val="00A47221"/>
    <w:rsid w:val="00A47626"/>
    <w:rsid w:val="00A47FB1"/>
    <w:rsid w:val="00A501A2"/>
    <w:rsid w:val="00A50478"/>
    <w:rsid w:val="00A50684"/>
    <w:rsid w:val="00A50930"/>
    <w:rsid w:val="00A50BC1"/>
    <w:rsid w:val="00A50CEF"/>
    <w:rsid w:val="00A51122"/>
    <w:rsid w:val="00A511DC"/>
    <w:rsid w:val="00A5135B"/>
    <w:rsid w:val="00A51400"/>
    <w:rsid w:val="00A516AA"/>
    <w:rsid w:val="00A51DFC"/>
    <w:rsid w:val="00A52783"/>
    <w:rsid w:val="00A528E0"/>
    <w:rsid w:val="00A52D70"/>
    <w:rsid w:val="00A53380"/>
    <w:rsid w:val="00A53511"/>
    <w:rsid w:val="00A536F4"/>
    <w:rsid w:val="00A53F90"/>
    <w:rsid w:val="00A5430A"/>
    <w:rsid w:val="00A54317"/>
    <w:rsid w:val="00A54405"/>
    <w:rsid w:val="00A54439"/>
    <w:rsid w:val="00A548B7"/>
    <w:rsid w:val="00A54F2B"/>
    <w:rsid w:val="00A5509A"/>
    <w:rsid w:val="00A550C4"/>
    <w:rsid w:val="00A553DA"/>
    <w:rsid w:val="00A55573"/>
    <w:rsid w:val="00A55B69"/>
    <w:rsid w:val="00A55FD3"/>
    <w:rsid w:val="00A5620B"/>
    <w:rsid w:val="00A5629B"/>
    <w:rsid w:val="00A5659E"/>
    <w:rsid w:val="00A566E2"/>
    <w:rsid w:val="00A56C07"/>
    <w:rsid w:val="00A56FA1"/>
    <w:rsid w:val="00A57AFD"/>
    <w:rsid w:val="00A57DA7"/>
    <w:rsid w:val="00A57E56"/>
    <w:rsid w:val="00A601C4"/>
    <w:rsid w:val="00A602D7"/>
    <w:rsid w:val="00A60764"/>
    <w:rsid w:val="00A60BAD"/>
    <w:rsid w:val="00A60D4E"/>
    <w:rsid w:val="00A610B7"/>
    <w:rsid w:val="00A610DB"/>
    <w:rsid w:val="00A615EE"/>
    <w:rsid w:val="00A6160D"/>
    <w:rsid w:val="00A619C8"/>
    <w:rsid w:val="00A61CC7"/>
    <w:rsid w:val="00A6282C"/>
    <w:rsid w:val="00A6293D"/>
    <w:rsid w:val="00A639CD"/>
    <w:rsid w:val="00A63B50"/>
    <w:rsid w:val="00A63B7D"/>
    <w:rsid w:val="00A63E7E"/>
    <w:rsid w:val="00A63F22"/>
    <w:rsid w:val="00A64A46"/>
    <w:rsid w:val="00A65561"/>
    <w:rsid w:val="00A65A5E"/>
    <w:rsid w:val="00A66109"/>
    <w:rsid w:val="00A6611B"/>
    <w:rsid w:val="00A668AB"/>
    <w:rsid w:val="00A66968"/>
    <w:rsid w:val="00A674E4"/>
    <w:rsid w:val="00A67647"/>
    <w:rsid w:val="00A677BA"/>
    <w:rsid w:val="00A67A5A"/>
    <w:rsid w:val="00A7003D"/>
    <w:rsid w:val="00A7079A"/>
    <w:rsid w:val="00A70850"/>
    <w:rsid w:val="00A70ADB"/>
    <w:rsid w:val="00A70CA1"/>
    <w:rsid w:val="00A70F40"/>
    <w:rsid w:val="00A70FD2"/>
    <w:rsid w:val="00A70FF9"/>
    <w:rsid w:val="00A710D5"/>
    <w:rsid w:val="00A718CA"/>
    <w:rsid w:val="00A719D8"/>
    <w:rsid w:val="00A72552"/>
    <w:rsid w:val="00A725AA"/>
    <w:rsid w:val="00A726C2"/>
    <w:rsid w:val="00A7370C"/>
    <w:rsid w:val="00A73BB2"/>
    <w:rsid w:val="00A742CE"/>
    <w:rsid w:val="00A74320"/>
    <w:rsid w:val="00A747F5"/>
    <w:rsid w:val="00A748C7"/>
    <w:rsid w:val="00A756BD"/>
    <w:rsid w:val="00A75A3B"/>
    <w:rsid w:val="00A76326"/>
    <w:rsid w:val="00A763A3"/>
    <w:rsid w:val="00A76C4E"/>
    <w:rsid w:val="00A772DA"/>
    <w:rsid w:val="00A802FB"/>
    <w:rsid w:val="00A810E7"/>
    <w:rsid w:val="00A812BA"/>
    <w:rsid w:val="00A817CE"/>
    <w:rsid w:val="00A81C90"/>
    <w:rsid w:val="00A82289"/>
    <w:rsid w:val="00A823F8"/>
    <w:rsid w:val="00A828DC"/>
    <w:rsid w:val="00A8314E"/>
    <w:rsid w:val="00A83187"/>
    <w:rsid w:val="00A840AA"/>
    <w:rsid w:val="00A84B03"/>
    <w:rsid w:val="00A854A1"/>
    <w:rsid w:val="00A85531"/>
    <w:rsid w:val="00A8569A"/>
    <w:rsid w:val="00A85C87"/>
    <w:rsid w:val="00A85C9A"/>
    <w:rsid w:val="00A85EF6"/>
    <w:rsid w:val="00A867E0"/>
    <w:rsid w:val="00A86E39"/>
    <w:rsid w:val="00A87752"/>
    <w:rsid w:val="00A87A13"/>
    <w:rsid w:val="00A87C64"/>
    <w:rsid w:val="00A901D9"/>
    <w:rsid w:val="00A902C3"/>
    <w:rsid w:val="00A903AA"/>
    <w:rsid w:val="00A90809"/>
    <w:rsid w:val="00A90FA9"/>
    <w:rsid w:val="00A91CA0"/>
    <w:rsid w:val="00A92056"/>
    <w:rsid w:val="00A920F8"/>
    <w:rsid w:val="00A923B5"/>
    <w:rsid w:val="00A92758"/>
    <w:rsid w:val="00A92D8F"/>
    <w:rsid w:val="00A9316C"/>
    <w:rsid w:val="00A93412"/>
    <w:rsid w:val="00A93725"/>
    <w:rsid w:val="00A93AED"/>
    <w:rsid w:val="00A93EC7"/>
    <w:rsid w:val="00A94348"/>
    <w:rsid w:val="00A94D26"/>
    <w:rsid w:val="00A957FC"/>
    <w:rsid w:val="00A95DD1"/>
    <w:rsid w:val="00A95E3D"/>
    <w:rsid w:val="00A96B76"/>
    <w:rsid w:val="00A96F2C"/>
    <w:rsid w:val="00A97471"/>
    <w:rsid w:val="00A9775B"/>
    <w:rsid w:val="00A97771"/>
    <w:rsid w:val="00A97F35"/>
    <w:rsid w:val="00AA0594"/>
    <w:rsid w:val="00AA0B75"/>
    <w:rsid w:val="00AA1F14"/>
    <w:rsid w:val="00AA23B4"/>
    <w:rsid w:val="00AA28FD"/>
    <w:rsid w:val="00AA2DA2"/>
    <w:rsid w:val="00AA3E99"/>
    <w:rsid w:val="00AA4120"/>
    <w:rsid w:val="00AA42C1"/>
    <w:rsid w:val="00AA4B7B"/>
    <w:rsid w:val="00AA58EE"/>
    <w:rsid w:val="00AA669E"/>
    <w:rsid w:val="00AA6B1D"/>
    <w:rsid w:val="00AA6B6E"/>
    <w:rsid w:val="00AA7B11"/>
    <w:rsid w:val="00AA7E65"/>
    <w:rsid w:val="00AB0053"/>
    <w:rsid w:val="00AB032A"/>
    <w:rsid w:val="00AB09BC"/>
    <w:rsid w:val="00AB0E3B"/>
    <w:rsid w:val="00AB0F20"/>
    <w:rsid w:val="00AB13ED"/>
    <w:rsid w:val="00AB1710"/>
    <w:rsid w:val="00AB1979"/>
    <w:rsid w:val="00AB2455"/>
    <w:rsid w:val="00AB2868"/>
    <w:rsid w:val="00AB2C06"/>
    <w:rsid w:val="00AB2DB2"/>
    <w:rsid w:val="00AB3248"/>
    <w:rsid w:val="00AB3449"/>
    <w:rsid w:val="00AB356D"/>
    <w:rsid w:val="00AB35E2"/>
    <w:rsid w:val="00AB3D04"/>
    <w:rsid w:val="00AB3F46"/>
    <w:rsid w:val="00AB406B"/>
    <w:rsid w:val="00AB513E"/>
    <w:rsid w:val="00AB5BB5"/>
    <w:rsid w:val="00AB5D66"/>
    <w:rsid w:val="00AB6F66"/>
    <w:rsid w:val="00AB6F75"/>
    <w:rsid w:val="00AB732B"/>
    <w:rsid w:val="00AC0288"/>
    <w:rsid w:val="00AC02A4"/>
    <w:rsid w:val="00AC0376"/>
    <w:rsid w:val="00AC0734"/>
    <w:rsid w:val="00AC0CBC"/>
    <w:rsid w:val="00AC0EF7"/>
    <w:rsid w:val="00AC1548"/>
    <w:rsid w:val="00AC1E3E"/>
    <w:rsid w:val="00AC210A"/>
    <w:rsid w:val="00AC216D"/>
    <w:rsid w:val="00AC22DC"/>
    <w:rsid w:val="00AC23B7"/>
    <w:rsid w:val="00AC2512"/>
    <w:rsid w:val="00AC30D5"/>
    <w:rsid w:val="00AC3D77"/>
    <w:rsid w:val="00AC3F0B"/>
    <w:rsid w:val="00AC4050"/>
    <w:rsid w:val="00AC4462"/>
    <w:rsid w:val="00AC4D2C"/>
    <w:rsid w:val="00AC4EDF"/>
    <w:rsid w:val="00AC5028"/>
    <w:rsid w:val="00AC533F"/>
    <w:rsid w:val="00AC5388"/>
    <w:rsid w:val="00AC5610"/>
    <w:rsid w:val="00AC5C97"/>
    <w:rsid w:val="00AC5E36"/>
    <w:rsid w:val="00AC5EFF"/>
    <w:rsid w:val="00AC6766"/>
    <w:rsid w:val="00AC6844"/>
    <w:rsid w:val="00AC6A39"/>
    <w:rsid w:val="00AC6AF9"/>
    <w:rsid w:val="00AC7471"/>
    <w:rsid w:val="00AC7ABA"/>
    <w:rsid w:val="00AC7C4B"/>
    <w:rsid w:val="00AC7E56"/>
    <w:rsid w:val="00AD06D7"/>
    <w:rsid w:val="00AD19F4"/>
    <w:rsid w:val="00AD1A60"/>
    <w:rsid w:val="00AD1FB1"/>
    <w:rsid w:val="00AD2038"/>
    <w:rsid w:val="00AD235A"/>
    <w:rsid w:val="00AD27EB"/>
    <w:rsid w:val="00AD2A1A"/>
    <w:rsid w:val="00AD2C0B"/>
    <w:rsid w:val="00AD3B3D"/>
    <w:rsid w:val="00AD4888"/>
    <w:rsid w:val="00AD4F51"/>
    <w:rsid w:val="00AD51E7"/>
    <w:rsid w:val="00AD5226"/>
    <w:rsid w:val="00AD55E5"/>
    <w:rsid w:val="00AD597C"/>
    <w:rsid w:val="00AD5B4A"/>
    <w:rsid w:val="00AD6260"/>
    <w:rsid w:val="00AD6744"/>
    <w:rsid w:val="00AD6771"/>
    <w:rsid w:val="00AD6B19"/>
    <w:rsid w:val="00AD6D77"/>
    <w:rsid w:val="00AD706F"/>
    <w:rsid w:val="00AD70DB"/>
    <w:rsid w:val="00AD7286"/>
    <w:rsid w:val="00AD76B1"/>
    <w:rsid w:val="00AD774B"/>
    <w:rsid w:val="00AD7E7C"/>
    <w:rsid w:val="00AD7F1F"/>
    <w:rsid w:val="00AE01DA"/>
    <w:rsid w:val="00AE051F"/>
    <w:rsid w:val="00AE0752"/>
    <w:rsid w:val="00AE1369"/>
    <w:rsid w:val="00AE1823"/>
    <w:rsid w:val="00AE1A8A"/>
    <w:rsid w:val="00AE26CA"/>
    <w:rsid w:val="00AE2AE7"/>
    <w:rsid w:val="00AE2F69"/>
    <w:rsid w:val="00AE3695"/>
    <w:rsid w:val="00AE3BC4"/>
    <w:rsid w:val="00AE3D17"/>
    <w:rsid w:val="00AE3E15"/>
    <w:rsid w:val="00AE3F0E"/>
    <w:rsid w:val="00AE3F86"/>
    <w:rsid w:val="00AE40E3"/>
    <w:rsid w:val="00AE4C99"/>
    <w:rsid w:val="00AE4D0D"/>
    <w:rsid w:val="00AE4F07"/>
    <w:rsid w:val="00AE50C4"/>
    <w:rsid w:val="00AE5656"/>
    <w:rsid w:val="00AE5B5E"/>
    <w:rsid w:val="00AE5C76"/>
    <w:rsid w:val="00AE6970"/>
    <w:rsid w:val="00AE6C45"/>
    <w:rsid w:val="00AE74F6"/>
    <w:rsid w:val="00AE7745"/>
    <w:rsid w:val="00AE7847"/>
    <w:rsid w:val="00AE7A44"/>
    <w:rsid w:val="00AE7D95"/>
    <w:rsid w:val="00AF030B"/>
    <w:rsid w:val="00AF0916"/>
    <w:rsid w:val="00AF0A1B"/>
    <w:rsid w:val="00AF0AD0"/>
    <w:rsid w:val="00AF0EBF"/>
    <w:rsid w:val="00AF10DC"/>
    <w:rsid w:val="00AF115A"/>
    <w:rsid w:val="00AF126C"/>
    <w:rsid w:val="00AF130E"/>
    <w:rsid w:val="00AF152B"/>
    <w:rsid w:val="00AF1C05"/>
    <w:rsid w:val="00AF1FAB"/>
    <w:rsid w:val="00AF2277"/>
    <w:rsid w:val="00AF28CF"/>
    <w:rsid w:val="00AF306E"/>
    <w:rsid w:val="00AF3159"/>
    <w:rsid w:val="00AF3611"/>
    <w:rsid w:val="00AF365D"/>
    <w:rsid w:val="00AF38B6"/>
    <w:rsid w:val="00AF3A39"/>
    <w:rsid w:val="00AF3AA1"/>
    <w:rsid w:val="00AF4D6D"/>
    <w:rsid w:val="00AF539D"/>
    <w:rsid w:val="00AF5CC4"/>
    <w:rsid w:val="00AF5E95"/>
    <w:rsid w:val="00AF62A8"/>
    <w:rsid w:val="00AF6896"/>
    <w:rsid w:val="00AF75E0"/>
    <w:rsid w:val="00AF764D"/>
    <w:rsid w:val="00AF7A04"/>
    <w:rsid w:val="00AF7A24"/>
    <w:rsid w:val="00B002B8"/>
    <w:rsid w:val="00B006DB"/>
    <w:rsid w:val="00B00805"/>
    <w:rsid w:val="00B00887"/>
    <w:rsid w:val="00B00E08"/>
    <w:rsid w:val="00B0116D"/>
    <w:rsid w:val="00B01DEE"/>
    <w:rsid w:val="00B0242C"/>
    <w:rsid w:val="00B029AF"/>
    <w:rsid w:val="00B02A98"/>
    <w:rsid w:val="00B02E67"/>
    <w:rsid w:val="00B0319F"/>
    <w:rsid w:val="00B03428"/>
    <w:rsid w:val="00B0357E"/>
    <w:rsid w:val="00B03F97"/>
    <w:rsid w:val="00B04E52"/>
    <w:rsid w:val="00B050C2"/>
    <w:rsid w:val="00B050F6"/>
    <w:rsid w:val="00B05349"/>
    <w:rsid w:val="00B05A0C"/>
    <w:rsid w:val="00B05CE4"/>
    <w:rsid w:val="00B05DE5"/>
    <w:rsid w:val="00B05E00"/>
    <w:rsid w:val="00B060BA"/>
    <w:rsid w:val="00B06955"/>
    <w:rsid w:val="00B072EE"/>
    <w:rsid w:val="00B078B2"/>
    <w:rsid w:val="00B0793D"/>
    <w:rsid w:val="00B07D44"/>
    <w:rsid w:val="00B103FC"/>
    <w:rsid w:val="00B10CB2"/>
    <w:rsid w:val="00B10FA2"/>
    <w:rsid w:val="00B11165"/>
    <w:rsid w:val="00B11F52"/>
    <w:rsid w:val="00B120BE"/>
    <w:rsid w:val="00B12295"/>
    <w:rsid w:val="00B12581"/>
    <w:rsid w:val="00B12818"/>
    <w:rsid w:val="00B12988"/>
    <w:rsid w:val="00B12A91"/>
    <w:rsid w:val="00B12BEB"/>
    <w:rsid w:val="00B12D33"/>
    <w:rsid w:val="00B136B4"/>
    <w:rsid w:val="00B1373B"/>
    <w:rsid w:val="00B13D23"/>
    <w:rsid w:val="00B141C2"/>
    <w:rsid w:val="00B142B7"/>
    <w:rsid w:val="00B14437"/>
    <w:rsid w:val="00B1482B"/>
    <w:rsid w:val="00B14C92"/>
    <w:rsid w:val="00B1549A"/>
    <w:rsid w:val="00B15B2E"/>
    <w:rsid w:val="00B15BEA"/>
    <w:rsid w:val="00B160FC"/>
    <w:rsid w:val="00B16687"/>
    <w:rsid w:val="00B167BF"/>
    <w:rsid w:val="00B168EE"/>
    <w:rsid w:val="00B16AC6"/>
    <w:rsid w:val="00B16B4A"/>
    <w:rsid w:val="00B16DF9"/>
    <w:rsid w:val="00B179E9"/>
    <w:rsid w:val="00B200AE"/>
    <w:rsid w:val="00B207F2"/>
    <w:rsid w:val="00B20AC0"/>
    <w:rsid w:val="00B22318"/>
    <w:rsid w:val="00B224ED"/>
    <w:rsid w:val="00B22662"/>
    <w:rsid w:val="00B227B1"/>
    <w:rsid w:val="00B22ED6"/>
    <w:rsid w:val="00B22F3F"/>
    <w:rsid w:val="00B2304A"/>
    <w:rsid w:val="00B232D1"/>
    <w:rsid w:val="00B23873"/>
    <w:rsid w:val="00B23C04"/>
    <w:rsid w:val="00B23CA5"/>
    <w:rsid w:val="00B23D97"/>
    <w:rsid w:val="00B23D9A"/>
    <w:rsid w:val="00B23DFE"/>
    <w:rsid w:val="00B23E2C"/>
    <w:rsid w:val="00B245CB"/>
    <w:rsid w:val="00B24ABF"/>
    <w:rsid w:val="00B24FE4"/>
    <w:rsid w:val="00B25942"/>
    <w:rsid w:val="00B25BE5"/>
    <w:rsid w:val="00B25C95"/>
    <w:rsid w:val="00B25CD8"/>
    <w:rsid w:val="00B25FE0"/>
    <w:rsid w:val="00B26129"/>
    <w:rsid w:val="00B264E8"/>
    <w:rsid w:val="00B2731E"/>
    <w:rsid w:val="00B302DE"/>
    <w:rsid w:val="00B30846"/>
    <w:rsid w:val="00B3203E"/>
    <w:rsid w:val="00B32111"/>
    <w:rsid w:val="00B32161"/>
    <w:rsid w:val="00B321A4"/>
    <w:rsid w:val="00B32FFE"/>
    <w:rsid w:val="00B339EE"/>
    <w:rsid w:val="00B33BC9"/>
    <w:rsid w:val="00B33FE7"/>
    <w:rsid w:val="00B34215"/>
    <w:rsid w:val="00B34739"/>
    <w:rsid w:val="00B347E1"/>
    <w:rsid w:val="00B3495A"/>
    <w:rsid w:val="00B34AA3"/>
    <w:rsid w:val="00B34BF5"/>
    <w:rsid w:val="00B34D88"/>
    <w:rsid w:val="00B35687"/>
    <w:rsid w:val="00B35701"/>
    <w:rsid w:val="00B357A3"/>
    <w:rsid w:val="00B36516"/>
    <w:rsid w:val="00B36568"/>
    <w:rsid w:val="00B3680D"/>
    <w:rsid w:val="00B36E3A"/>
    <w:rsid w:val="00B37BDA"/>
    <w:rsid w:val="00B37CCD"/>
    <w:rsid w:val="00B40B5A"/>
    <w:rsid w:val="00B41605"/>
    <w:rsid w:val="00B41ADE"/>
    <w:rsid w:val="00B41AE8"/>
    <w:rsid w:val="00B41C98"/>
    <w:rsid w:val="00B4222E"/>
    <w:rsid w:val="00B42BB4"/>
    <w:rsid w:val="00B4363A"/>
    <w:rsid w:val="00B43751"/>
    <w:rsid w:val="00B4414A"/>
    <w:rsid w:val="00B44826"/>
    <w:rsid w:val="00B448EC"/>
    <w:rsid w:val="00B44D44"/>
    <w:rsid w:val="00B44DF3"/>
    <w:rsid w:val="00B44E80"/>
    <w:rsid w:val="00B455A8"/>
    <w:rsid w:val="00B464A2"/>
    <w:rsid w:val="00B46F5B"/>
    <w:rsid w:val="00B47A30"/>
    <w:rsid w:val="00B503EE"/>
    <w:rsid w:val="00B50857"/>
    <w:rsid w:val="00B50AE0"/>
    <w:rsid w:val="00B51613"/>
    <w:rsid w:val="00B52970"/>
    <w:rsid w:val="00B52DAA"/>
    <w:rsid w:val="00B52FAC"/>
    <w:rsid w:val="00B530CB"/>
    <w:rsid w:val="00B5321F"/>
    <w:rsid w:val="00B53528"/>
    <w:rsid w:val="00B53545"/>
    <w:rsid w:val="00B53771"/>
    <w:rsid w:val="00B537CE"/>
    <w:rsid w:val="00B54734"/>
    <w:rsid w:val="00B5488F"/>
    <w:rsid w:val="00B54C94"/>
    <w:rsid w:val="00B54D3A"/>
    <w:rsid w:val="00B54E42"/>
    <w:rsid w:val="00B54FE9"/>
    <w:rsid w:val="00B5549D"/>
    <w:rsid w:val="00B5565E"/>
    <w:rsid w:val="00B5578F"/>
    <w:rsid w:val="00B5595C"/>
    <w:rsid w:val="00B55C06"/>
    <w:rsid w:val="00B560D5"/>
    <w:rsid w:val="00B56261"/>
    <w:rsid w:val="00B57513"/>
    <w:rsid w:val="00B57688"/>
    <w:rsid w:val="00B60EDA"/>
    <w:rsid w:val="00B61492"/>
    <w:rsid w:val="00B61621"/>
    <w:rsid w:val="00B61B2D"/>
    <w:rsid w:val="00B61BF8"/>
    <w:rsid w:val="00B61CDA"/>
    <w:rsid w:val="00B61EE6"/>
    <w:rsid w:val="00B6277D"/>
    <w:rsid w:val="00B62839"/>
    <w:rsid w:val="00B62B93"/>
    <w:rsid w:val="00B6349E"/>
    <w:rsid w:val="00B63F44"/>
    <w:rsid w:val="00B6408D"/>
    <w:rsid w:val="00B64E7D"/>
    <w:rsid w:val="00B651DE"/>
    <w:rsid w:val="00B652E3"/>
    <w:rsid w:val="00B654E2"/>
    <w:rsid w:val="00B65A57"/>
    <w:rsid w:val="00B65CD2"/>
    <w:rsid w:val="00B66010"/>
    <w:rsid w:val="00B665CA"/>
    <w:rsid w:val="00B66D6A"/>
    <w:rsid w:val="00B67387"/>
    <w:rsid w:val="00B67389"/>
    <w:rsid w:val="00B67426"/>
    <w:rsid w:val="00B674BB"/>
    <w:rsid w:val="00B675C5"/>
    <w:rsid w:val="00B67CB4"/>
    <w:rsid w:val="00B70209"/>
    <w:rsid w:val="00B707BE"/>
    <w:rsid w:val="00B71991"/>
    <w:rsid w:val="00B71B22"/>
    <w:rsid w:val="00B720F5"/>
    <w:rsid w:val="00B72122"/>
    <w:rsid w:val="00B72178"/>
    <w:rsid w:val="00B738BE"/>
    <w:rsid w:val="00B74257"/>
    <w:rsid w:val="00B74AF9"/>
    <w:rsid w:val="00B74D40"/>
    <w:rsid w:val="00B754FD"/>
    <w:rsid w:val="00B75A95"/>
    <w:rsid w:val="00B760D9"/>
    <w:rsid w:val="00B764E0"/>
    <w:rsid w:val="00B76B0B"/>
    <w:rsid w:val="00B76BF3"/>
    <w:rsid w:val="00B773D6"/>
    <w:rsid w:val="00B7745A"/>
    <w:rsid w:val="00B77697"/>
    <w:rsid w:val="00B7778F"/>
    <w:rsid w:val="00B801F2"/>
    <w:rsid w:val="00B80A9B"/>
    <w:rsid w:val="00B80F26"/>
    <w:rsid w:val="00B81BF6"/>
    <w:rsid w:val="00B82665"/>
    <w:rsid w:val="00B835BF"/>
    <w:rsid w:val="00B838CA"/>
    <w:rsid w:val="00B83D81"/>
    <w:rsid w:val="00B84121"/>
    <w:rsid w:val="00B846E3"/>
    <w:rsid w:val="00B85B76"/>
    <w:rsid w:val="00B86DBE"/>
    <w:rsid w:val="00B87224"/>
    <w:rsid w:val="00B87513"/>
    <w:rsid w:val="00B87614"/>
    <w:rsid w:val="00B87654"/>
    <w:rsid w:val="00B90073"/>
    <w:rsid w:val="00B906E0"/>
    <w:rsid w:val="00B9078B"/>
    <w:rsid w:val="00B90E6F"/>
    <w:rsid w:val="00B916B1"/>
    <w:rsid w:val="00B91B02"/>
    <w:rsid w:val="00B91B33"/>
    <w:rsid w:val="00B928F3"/>
    <w:rsid w:val="00B92B84"/>
    <w:rsid w:val="00B92F77"/>
    <w:rsid w:val="00B9372E"/>
    <w:rsid w:val="00B93731"/>
    <w:rsid w:val="00B939A7"/>
    <w:rsid w:val="00B93D14"/>
    <w:rsid w:val="00B94085"/>
    <w:rsid w:val="00B9490C"/>
    <w:rsid w:val="00B94AD0"/>
    <w:rsid w:val="00B94CE6"/>
    <w:rsid w:val="00B9547E"/>
    <w:rsid w:val="00B9717E"/>
    <w:rsid w:val="00B976B8"/>
    <w:rsid w:val="00B976C7"/>
    <w:rsid w:val="00B97A11"/>
    <w:rsid w:val="00B97C41"/>
    <w:rsid w:val="00BA0559"/>
    <w:rsid w:val="00BA0735"/>
    <w:rsid w:val="00BA1644"/>
    <w:rsid w:val="00BA1BD5"/>
    <w:rsid w:val="00BA1E34"/>
    <w:rsid w:val="00BA2125"/>
    <w:rsid w:val="00BA2590"/>
    <w:rsid w:val="00BA33A7"/>
    <w:rsid w:val="00BA3530"/>
    <w:rsid w:val="00BA367C"/>
    <w:rsid w:val="00BA39F3"/>
    <w:rsid w:val="00BA3BA4"/>
    <w:rsid w:val="00BA555E"/>
    <w:rsid w:val="00BA5764"/>
    <w:rsid w:val="00BA58C0"/>
    <w:rsid w:val="00BA6223"/>
    <w:rsid w:val="00BA6788"/>
    <w:rsid w:val="00BA7866"/>
    <w:rsid w:val="00BA7F3D"/>
    <w:rsid w:val="00BB072F"/>
    <w:rsid w:val="00BB0EC7"/>
    <w:rsid w:val="00BB1514"/>
    <w:rsid w:val="00BB1728"/>
    <w:rsid w:val="00BB1939"/>
    <w:rsid w:val="00BB1F75"/>
    <w:rsid w:val="00BB23C9"/>
    <w:rsid w:val="00BB2CD9"/>
    <w:rsid w:val="00BB3233"/>
    <w:rsid w:val="00BB36E4"/>
    <w:rsid w:val="00BB39B9"/>
    <w:rsid w:val="00BB3CEB"/>
    <w:rsid w:val="00BB42AB"/>
    <w:rsid w:val="00BB4FC6"/>
    <w:rsid w:val="00BB5084"/>
    <w:rsid w:val="00BB5226"/>
    <w:rsid w:val="00BB5625"/>
    <w:rsid w:val="00BB56E5"/>
    <w:rsid w:val="00BB5839"/>
    <w:rsid w:val="00BB5A48"/>
    <w:rsid w:val="00BB60D9"/>
    <w:rsid w:val="00BB7B0A"/>
    <w:rsid w:val="00BC03F4"/>
    <w:rsid w:val="00BC0637"/>
    <w:rsid w:val="00BC0A78"/>
    <w:rsid w:val="00BC16CE"/>
    <w:rsid w:val="00BC199D"/>
    <w:rsid w:val="00BC21BD"/>
    <w:rsid w:val="00BC239F"/>
    <w:rsid w:val="00BC28C9"/>
    <w:rsid w:val="00BC2978"/>
    <w:rsid w:val="00BC2F3C"/>
    <w:rsid w:val="00BC3274"/>
    <w:rsid w:val="00BC3386"/>
    <w:rsid w:val="00BC33DE"/>
    <w:rsid w:val="00BC39F7"/>
    <w:rsid w:val="00BC3C55"/>
    <w:rsid w:val="00BC42F4"/>
    <w:rsid w:val="00BC4483"/>
    <w:rsid w:val="00BC4BD0"/>
    <w:rsid w:val="00BC522E"/>
    <w:rsid w:val="00BC5C7B"/>
    <w:rsid w:val="00BC6285"/>
    <w:rsid w:val="00BC68B7"/>
    <w:rsid w:val="00BC6E62"/>
    <w:rsid w:val="00BC737B"/>
    <w:rsid w:val="00BC766D"/>
    <w:rsid w:val="00BC7C95"/>
    <w:rsid w:val="00BC7E18"/>
    <w:rsid w:val="00BD0D9F"/>
    <w:rsid w:val="00BD23CC"/>
    <w:rsid w:val="00BD2B58"/>
    <w:rsid w:val="00BD326C"/>
    <w:rsid w:val="00BD3442"/>
    <w:rsid w:val="00BD3B45"/>
    <w:rsid w:val="00BD3E48"/>
    <w:rsid w:val="00BD4D38"/>
    <w:rsid w:val="00BD554F"/>
    <w:rsid w:val="00BD5E72"/>
    <w:rsid w:val="00BD612B"/>
    <w:rsid w:val="00BD6983"/>
    <w:rsid w:val="00BD6DA9"/>
    <w:rsid w:val="00BD7802"/>
    <w:rsid w:val="00BD79B3"/>
    <w:rsid w:val="00BD7FAF"/>
    <w:rsid w:val="00BE050F"/>
    <w:rsid w:val="00BE08D3"/>
    <w:rsid w:val="00BE0AB9"/>
    <w:rsid w:val="00BE0E66"/>
    <w:rsid w:val="00BE105C"/>
    <w:rsid w:val="00BE1106"/>
    <w:rsid w:val="00BE1B43"/>
    <w:rsid w:val="00BE2234"/>
    <w:rsid w:val="00BE282E"/>
    <w:rsid w:val="00BE28AD"/>
    <w:rsid w:val="00BE395F"/>
    <w:rsid w:val="00BE487E"/>
    <w:rsid w:val="00BE493F"/>
    <w:rsid w:val="00BE49D3"/>
    <w:rsid w:val="00BE4BD1"/>
    <w:rsid w:val="00BE5389"/>
    <w:rsid w:val="00BE5A61"/>
    <w:rsid w:val="00BE5E20"/>
    <w:rsid w:val="00BE60B4"/>
    <w:rsid w:val="00BE632C"/>
    <w:rsid w:val="00BE68D6"/>
    <w:rsid w:val="00BE7046"/>
    <w:rsid w:val="00BE7184"/>
    <w:rsid w:val="00BE7626"/>
    <w:rsid w:val="00BE78FA"/>
    <w:rsid w:val="00BE79F3"/>
    <w:rsid w:val="00BE7FBD"/>
    <w:rsid w:val="00BEA6DB"/>
    <w:rsid w:val="00BF03B2"/>
    <w:rsid w:val="00BF04CB"/>
    <w:rsid w:val="00BF191B"/>
    <w:rsid w:val="00BF1B6A"/>
    <w:rsid w:val="00BF1C4A"/>
    <w:rsid w:val="00BF2C04"/>
    <w:rsid w:val="00BF2F2E"/>
    <w:rsid w:val="00BF34C8"/>
    <w:rsid w:val="00BF3715"/>
    <w:rsid w:val="00BF3793"/>
    <w:rsid w:val="00BF42C6"/>
    <w:rsid w:val="00BF44CC"/>
    <w:rsid w:val="00BF4687"/>
    <w:rsid w:val="00BF5071"/>
    <w:rsid w:val="00BF5208"/>
    <w:rsid w:val="00BF5B8D"/>
    <w:rsid w:val="00BF5E8F"/>
    <w:rsid w:val="00BF6081"/>
    <w:rsid w:val="00BF6448"/>
    <w:rsid w:val="00BF654D"/>
    <w:rsid w:val="00BF6D82"/>
    <w:rsid w:val="00BF6DF0"/>
    <w:rsid w:val="00BF6DFE"/>
    <w:rsid w:val="00BF76B4"/>
    <w:rsid w:val="00BF77A2"/>
    <w:rsid w:val="00BF790D"/>
    <w:rsid w:val="00BF7F1F"/>
    <w:rsid w:val="00C007C4"/>
    <w:rsid w:val="00C007F0"/>
    <w:rsid w:val="00C0080F"/>
    <w:rsid w:val="00C00889"/>
    <w:rsid w:val="00C00A42"/>
    <w:rsid w:val="00C00CE2"/>
    <w:rsid w:val="00C00E51"/>
    <w:rsid w:val="00C014F4"/>
    <w:rsid w:val="00C01951"/>
    <w:rsid w:val="00C01D79"/>
    <w:rsid w:val="00C0217F"/>
    <w:rsid w:val="00C02283"/>
    <w:rsid w:val="00C0286A"/>
    <w:rsid w:val="00C02A20"/>
    <w:rsid w:val="00C03837"/>
    <w:rsid w:val="00C0393E"/>
    <w:rsid w:val="00C03A19"/>
    <w:rsid w:val="00C044E5"/>
    <w:rsid w:val="00C04ECD"/>
    <w:rsid w:val="00C05173"/>
    <w:rsid w:val="00C0537D"/>
    <w:rsid w:val="00C054B2"/>
    <w:rsid w:val="00C0596C"/>
    <w:rsid w:val="00C05E19"/>
    <w:rsid w:val="00C06EAD"/>
    <w:rsid w:val="00C073DA"/>
    <w:rsid w:val="00C074E6"/>
    <w:rsid w:val="00C1058E"/>
    <w:rsid w:val="00C10770"/>
    <w:rsid w:val="00C10FA8"/>
    <w:rsid w:val="00C11BBA"/>
    <w:rsid w:val="00C11E0C"/>
    <w:rsid w:val="00C11F28"/>
    <w:rsid w:val="00C1206D"/>
    <w:rsid w:val="00C1238A"/>
    <w:rsid w:val="00C12566"/>
    <w:rsid w:val="00C12577"/>
    <w:rsid w:val="00C127FE"/>
    <w:rsid w:val="00C12BFE"/>
    <w:rsid w:val="00C12C2E"/>
    <w:rsid w:val="00C130E7"/>
    <w:rsid w:val="00C134F4"/>
    <w:rsid w:val="00C1366B"/>
    <w:rsid w:val="00C139E4"/>
    <w:rsid w:val="00C13A83"/>
    <w:rsid w:val="00C14096"/>
    <w:rsid w:val="00C14F4D"/>
    <w:rsid w:val="00C159E3"/>
    <w:rsid w:val="00C1628C"/>
    <w:rsid w:val="00C164A3"/>
    <w:rsid w:val="00C16A58"/>
    <w:rsid w:val="00C171C2"/>
    <w:rsid w:val="00C175BF"/>
    <w:rsid w:val="00C17968"/>
    <w:rsid w:val="00C17F3E"/>
    <w:rsid w:val="00C20058"/>
    <w:rsid w:val="00C2063B"/>
    <w:rsid w:val="00C20EFE"/>
    <w:rsid w:val="00C21529"/>
    <w:rsid w:val="00C2169B"/>
    <w:rsid w:val="00C2188D"/>
    <w:rsid w:val="00C21CBF"/>
    <w:rsid w:val="00C22275"/>
    <w:rsid w:val="00C22558"/>
    <w:rsid w:val="00C22730"/>
    <w:rsid w:val="00C2277D"/>
    <w:rsid w:val="00C22B04"/>
    <w:rsid w:val="00C22D28"/>
    <w:rsid w:val="00C23BD9"/>
    <w:rsid w:val="00C23DA6"/>
    <w:rsid w:val="00C23DFF"/>
    <w:rsid w:val="00C23E22"/>
    <w:rsid w:val="00C24035"/>
    <w:rsid w:val="00C244E6"/>
    <w:rsid w:val="00C246E4"/>
    <w:rsid w:val="00C24E51"/>
    <w:rsid w:val="00C25011"/>
    <w:rsid w:val="00C2507E"/>
    <w:rsid w:val="00C25474"/>
    <w:rsid w:val="00C25784"/>
    <w:rsid w:val="00C25B8A"/>
    <w:rsid w:val="00C261A3"/>
    <w:rsid w:val="00C26EDC"/>
    <w:rsid w:val="00C2773E"/>
    <w:rsid w:val="00C27C8B"/>
    <w:rsid w:val="00C30DDB"/>
    <w:rsid w:val="00C31253"/>
    <w:rsid w:val="00C3177B"/>
    <w:rsid w:val="00C31AAF"/>
    <w:rsid w:val="00C31E54"/>
    <w:rsid w:val="00C32C17"/>
    <w:rsid w:val="00C331DE"/>
    <w:rsid w:val="00C3385F"/>
    <w:rsid w:val="00C34662"/>
    <w:rsid w:val="00C34C72"/>
    <w:rsid w:val="00C34E14"/>
    <w:rsid w:val="00C351CC"/>
    <w:rsid w:val="00C35901"/>
    <w:rsid w:val="00C35A6F"/>
    <w:rsid w:val="00C35BA2"/>
    <w:rsid w:val="00C367BF"/>
    <w:rsid w:val="00C3686C"/>
    <w:rsid w:val="00C36DB5"/>
    <w:rsid w:val="00C37013"/>
    <w:rsid w:val="00C37028"/>
    <w:rsid w:val="00C370FD"/>
    <w:rsid w:val="00C376DF"/>
    <w:rsid w:val="00C37701"/>
    <w:rsid w:val="00C37A7B"/>
    <w:rsid w:val="00C37ECA"/>
    <w:rsid w:val="00C404F6"/>
    <w:rsid w:val="00C4065E"/>
    <w:rsid w:val="00C40666"/>
    <w:rsid w:val="00C40E1D"/>
    <w:rsid w:val="00C417D8"/>
    <w:rsid w:val="00C4256C"/>
    <w:rsid w:val="00C4271D"/>
    <w:rsid w:val="00C429B5"/>
    <w:rsid w:val="00C42CFC"/>
    <w:rsid w:val="00C435BA"/>
    <w:rsid w:val="00C44260"/>
    <w:rsid w:val="00C442B5"/>
    <w:rsid w:val="00C443E6"/>
    <w:rsid w:val="00C456F5"/>
    <w:rsid w:val="00C45F2B"/>
    <w:rsid w:val="00C46074"/>
    <w:rsid w:val="00C4624D"/>
    <w:rsid w:val="00C46357"/>
    <w:rsid w:val="00C46ED2"/>
    <w:rsid w:val="00C4751B"/>
    <w:rsid w:val="00C50087"/>
    <w:rsid w:val="00C504FC"/>
    <w:rsid w:val="00C5098E"/>
    <w:rsid w:val="00C510C1"/>
    <w:rsid w:val="00C512AA"/>
    <w:rsid w:val="00C51473"/>
    <w:rsid w:val="00C51C1B"/>
    <w:rsid w:val="00C51D7D"/>
    <w:rsid w:val="00C51FCF"/>
    <w:rsid w:val="00C5227A"/>
    <w:rsid w:val="00C52340"/>
    <w:rsid w:val="00C523FC"/>
    <w:rsid w:val="00C53086"/>
    <w:rsid w:val="00C530F8"/>
    <w:rsid w:val="00C55069"/>
    <w:rsid w:val="00C55839"/>
    <w:rsid w:val="00C560DD"/>
    <w:rsid w:val="00C56840"/>
    <w:rsid w:val="00C56A37"/>
    <w:rsid w:val="00C56FA6"/>
    <w:rsid w:val="00C571FD"/>
    <w:rsid w:val="00C576B6"/>
    <w:rsid w:val="00C57726"/>
    <w:rsid w:val="00C5799D"/>
    <w:rsid w:val="00C57DCA"/>
    <w:rsid w:val="00C6070C"/>
    <w:rsid w:val="00C60BAC"/>
    <w:rsid w:val="00C61104"/>
    <w:rsid w:val="00C61860"/>
    <w:rsid w:val="00C61DC8"/>
    <w:rsid w:val="00C62310"/>
    <w:rsid w:val="00C6297B"/>
    <w:rsid w:val="00C62D13"/>
    <w:rsid w:val="00C63A55"/>
    <w:rsid w:val="00C63C0D"/>
    <w:rsid w:val="00C63D0A"/>
    <w:rsid w:val="00C64120"/>
    <w:rsid w:val="00C64613"/>
    <w:rsid w:val="00C647C0"/>
    <w:rsid w:val="00C64AA3"/>
    <w:rsid w:val="00C64F9D"/>
    <w:rsid w:val="00C65181"/>
    <w:rsid w:val="00C651DC"/>
    <w:rsid w:val="00C65344"/>
    <w:rsid w:val="00C654EC"/>
    <w:rsid w:val="00C65817"/>
    <w:rsid w:val="00C65F2A"/>
    <w:rsid w:val="00C66077"/>
    <w:rsid w:val="00C662A5"/>
    <w:rsid w:val="00C66A75"/>
    <w:rsid w:val="00C66D1D"/>
    <w:rsid w:val="00C66EE8"/>
    <w:rsid w:val="00C67380"/>
    <w:rsid w:val="00C67D5F"/>
    <w:rsid w:val="00C7021E"/>
    <w:rsid w:val="00C70355"/>
    <w:rsid w:val="00C70AC2"/>
    <w:rsid w:val="00C70AFB"/>
    <w:rsid w:val="00C70EFC"/>
    <w:rsid w:val="00C7129E"/>
    <w:rsid w:val="00C71691"/>
    <w:rsid w:val="00C71893"/>
    <w:rsid w:val="00C71C9E"/>
    <w:rsid w:val="00C71D67"/>
    <w:rsid w:val="00C71E21"/>
    <w:rsid w:val="00C72A4C"/>
    <w:rsid w:val="00C72B1F"/>
    <w:rsid w:val="00C72C75"/>
    <w:rsid w:val="00C72E80"/>
    <w:rsid w:val="00C72F54"/>
    <w:rsid w:val="00C72FA2"/>
    <w:rsid w:val="00C7338F"/>
    <w:rsid w:val="00C73783"/>
    <w:rsid w:val="00C738C9"/>
    <w:rsid w:val="00C73CAF"/>
    <w:rsid w:val="00C73FE9"/>
    <w:rsid w:val="00C745B9"/>
    <w:rsid w:val="00C74EA8"/>
    <w:rsid w:val="00C753C4"/>
    <w:rsid w:val="00C7568E"/>
    <w:rsid w:val="00C757EE"/>
    <w:rsid w:val="00C75F5A"/>
    <w:rsid w:val="00C76620"/>
    <w:rsid w:val="00C76760"/>
    <w:rsid w:val="00C7700B"/>
    <w:rsid w:val="00C8000A"/>
    <w:rsid w:val="00C80192"/>
    <w:rsid w:val="00C80E63"/>
    <w:rsid w:val="00C8150A"/>
    <w:rsid w:val="00C819AB"/>
    <w:rsid w:val="00C81FA1"/>
    <w:rsid w:val="00C82B3A"/>
    <w:rsid w:val="00C82CE9"/>
    <w:rsid w:val="00C8333F"/>
    <w:rsid w:val="00C8336D"/>
    <w:rsid w:val="00C837B3"/>
    <w:rsid w:val="00C838C2"/>
    <w:rsid w:val="00C83DB2"/>
    <w:rsid w:val="00C84452"/>
    <w:rsid w:val="00C85954"/>
    <w:rsid w:val="00C85AEA"/>
    <w:rsid w:val="00C86AC8"/>
    <w:rsid w:val="00C86B51"/>
    <w:rsid w:val="00C86C04"/>
    <w:rsid w:val="00C878AA"/>
    <w:rsid w:val="00C90890"/>
    <w:rsid w:val="00C90BD0"/>
    <w:rsid w:val="00C90F30"/>
    <w:rsid w:val="00C90FF4"/>
    <w:rsid w:val="00C91C11"/>
    <w:rsid w:val="00C92861"/>
    <w:rsid w:val="00C928E7"/>
    <w:rsid w:val="00C92978"/>
    <w:rsid w:val="00C9324D"/>
    <w:rsid w:val="00C932A8"/>
    <w:rsid w:val="00C9376F"/>
    <w:rsid w:val="00C94374"/>
    <w:rsid w:val="00C94A23"/>
    <w:rsid w:val="00C94BFB"/>
    <w:rsid w:val="00C94D30"/>
    <w:rsid w:val="00C94E59"/>
    <w:rsid w:val="00C95719"/>
    <w:rsid w:val="00C95B07"/>
    <w:rsid w:val="00C95F20"/>
    <w:rsid w:val="00C9626F"/>
    <w:rsid w:val="00C9637B"/>
    <w:rsid w:val="00C9647A"/>
    <w:rsid w:val="00C9652D"/>
    <w:rsid w:val="00C975B7"/>
    <w:rsid w:val="00C975CA"/>
    <w:rsid w:val="00CA052F"/>
    <w:rsid w:val="00CA095B"/>
    <w:rsid w:val="00CA1859"/>
    <w:rsid w:val="00CA1879"/>
    <w:rsid w:val="00CA1BDA"/>
    <w:rsid w:val="00CA1ED4"/>
    <w:rsid w:val="00CA2211"/>
    <w:rsid w:val="00CA22B9"/>
    <w:rsid w:val="00CA2627"/>
    <w:rsid w:val="00CA2C6A"/>
    <w:rsid w:val="00CA3040"/>
    <w:rsid w:val="00CA335A"/>
    <w:rsid w:val="00CA34BA"/>
    <w:rsid w:val="00CA36CA"/>
    <w:rsid w:val="00CA376E"/>
    <w:rsid w:val="00CA39D5"/>
    <w:rsid w:val="00CA42BB"/>
    <w:rsid w:val="00CA46E6"/>
    <w:rsid w:val="00CA50A3"/>
    <w:rsid w:val="00CA61B3"/>
    <w:rsid w:val="00CA6466"/>
    <w:rsid w:val="00CA6875"/>
    <w:rsid w:val="00CA6A57"/>
    <w:rsid w:val="00CA6BE8"/>
    <w:rsid w:val="00CA6E63"/>
    <w:rsid w:val="00CA702B"/>
    <w:rsid w:val="00CA71D4"/>
    <w:rsid w:val="00CA745C"/>
    <w:rsid w:val="00CA7954"/>
    <w:rsid w:val="00CB1971"/>
    <w:rsid w:val="00CB1F23"/>
    <w:rsid w:val="00CB21E2"/>
    <w:rsid w:val="00CB2244"/>
    <w:rsid w:val="00CB36B1"/>
    <w:rsid w:val="00CB3B10"/>
    <w:rsid w:val="00CB4395"/>
    <w:rsid w:val="00CB4BB8"/>
    <w:rsid w:val="00CB54A6"/>
    <w:rsid w:val="00CB5768"/>
    <w:rsid w:val="00CB586C"/>
    <w:rsid w:val="00CB5A84"/>
    <w:rsid w:val="00CB6007"/>
    <w:rsid w:val="00CB645D"/>
    <w:rsid w:val="00CB6585"/>
    <w:rsid w:val="00CC03A1"/>
    <w:rsid w:val="00CC0611"/>
    <w:rsid w:val="00CC0C07"/>
    <w:rsid w:val="00CC14FD"/>
    <w:rsid w:val="00CC1793"/>
    <w:rsid w:val="00CC2139"/>
    <w:rsid w:val="00CC23C1"/>
    <w:rsid w:val="00CC25AB"/>
    <w:rsid w:val="00CC2ABA"/>
    <w:rsid w:val="00CC30D8"/>
    <w:rsid w:val="00CC36EF"/>
    <w:rsid w:val="00CC3B2D"/>
    <w:rsid w:val="00CC3D8D"/>
    <w:rsid w:val="00CC486C"/>
    <w:rsid w:val="00CC4FFC"/>
    <w:rsid w:val="00CC60E8"/>
    <w:rsid w:val="00CC6336"/>
    <w:rsid w:val="00CC6AD5"/>
    <w:rsid w:val="00CC7077"/>
    <w:rsid w:val="00CC7807"/>
    <w:rsid w:val="00CC7B58"/>
    <w:rsid w:val="00CD0973"/>
    <w:rsid w:val="00CD0CFB"/>
    <w:rsid w:val="00CD1233"/>
    <w:rsid w:val="00CD191A"/>
    <w:rsid w:val="00CD1F7F"/>
    <w:rsid w:val="00CD31E5"/>
    <w:rsid w:val="00CD35C2"/>
    <w:rsid w:val="00CD3711"/>
    <w:rsid w:val="00CD381E"/>
    <w:rsid w:val="00CD4083"/>
    <w:rsid w:val="00CD46C3"/>
    <w:rsid w:val="00CD4AE2"/>
    <w:rsid w:val="00CD4C29"/>
    <w:rsid w:val="00CD4D03"/>
    <w:rsid w:val="00CD5120"/>
    <w:rsid w:val="00CD554B"/>
    <w:rsid w:val="00CD5BAC"/>
    <w:rsid w:val="00CD5E4B"/>
    <w:rsid w:val="00CD6277"/>
    <w:rsid w:val="00CD639D"/>
    <w:rsid w:val="00CD6599"/>
    <w:rsid w:val="00CD6CB0"/>
    <w:rsid w:val="00CD6F99"/>
    <w:rsid w:val="00CD73ED"/>
    <w:rsid w:val="00CE07C7"/>
    <w:rsid w:val="00CE0826"/>
    <w:rsid w:val="00CE0CA7"/>
    <w:rsid w:val="00CE1383"/>
    <w:rsid w:val="00CE13BC"/>
    <w:rsid w:val="00CE18E1"/>
    <w:rsid w:val="00CE18FC"/>
    <w:rsid w:val="00CE1C86"/>
    <w:rsid w:val="00CE21A5"/>
    <w:rsid w:val="00CE3281"/>
    <w:rsid w:val="00CE32A3"/>
    <w:rsid w:val="00CE34BF"/>
    <w:rsid w:val="00CE378F"/>
    <w:rsid w:val="00CE3DBE"/>
    <w:rsid w:val="00CE3F9C"/>
    <w:rsid w:val="00CE435C"/>
    <w:rsid w:val="00CE4505"/>
    <w:rsid w:val="00CE507B"/>
    <w:rsid w:val="00CE5163"/>
    <w:rsid w:val="00CE5543"/>
    <w:rsid w:val="00CE5B31"/>
    <w:rsid w:val="00CE6111"/>
    <w:rsid w:val="00CE6633"/>
    <w:rsid w:val="00CE67EC"/>
    <w:rsid w:val="00CE72DB"/>
    <w:rsid w:val="00CF05B0"/>
    <w:rsid w:val="00CF0609"/>
    <w:rsid w:val="00CF0636"/>
    <w:rsid w:val="00CF0673"/>
    <w:rsid w:val="00CF0802"/>
    <w:rsid w:val="00CF2169"/>
    <w:rsid w:val="00CF2D63"/>
    <w:rsid w:val="00CF2F7B"/>
    <w:rsid w:val="00CF3003"/>
    <w:rsid w:val="00CF34E1"/>
    <w:rsid w:val="00CF3AA9"/>
    <w:rsid w:val="00CF3E8A"/>
    <w:rsid w:val="00CF4A24"/>
    <w:rsid w:val="00CF4C67"/>
    <w:rsid w:val="00CF516B"/>
    <w:rsid w:val="00CF55DB"/>
    <w:rsid w:val="00CF567F"/>
    <w:rsid w:val="00CF5B88"/>
    <w:rsid w:val="00CF5F0C"/>
    <w:rsid w:val="00CF6077"/>
    <w:rsid w:val="00CF69DE"/>
    <w:rsid w:val="00CF6E87"/>
    <w:rsid w:val="00CF7224"/>
    <w:rsid w:val="00CF72DD"/>
    <w:rsid w:val="00CF7474"/>
    <w:rsid w:val="00CF7A04"/>
    <w:rsid w:val="00CF7FB7"/>
    <w:rsid w:val="00D01054"/>
    <w:rsid w:val="00D0129D"/>
    <w:rsid w:val="00D019A0"/>
    <w:rsid w:val="00D027E8"/>
    <w:rsid w:val="00D029CD"/>
    <w:rsid w:val="00D02C0C"/>
    <w:rsid w:val="00D03057"/>
    <w:rsid w:val="00D03404"/>
    <w:rsid w:val="00D03751"/>
    <w:rsid w:val="00D038B4"/>
    <w:rsid w:val="00D03B0F"/>
    <w:rsid w:val="00D03F55"/>
    <w:rsid w:val="00D04074"/>
    <w:rsid w:val="00D0409B"/>
    <w:rsid w:val="00D05E32"/>
    <w:rsid w:val="00D06882"/>
    <w:rsid w:val="00D070D1"/>
    <w:rsid w:val="00D0719C"/>
    <w:rsid w:val="00D07268"/>
    <w:rsid w:val="00D0752F"/>
    <w:rsid w:val="00D10506"/>
    <w:rsid w:val="00D10E47"/>
    <w:rsid w:val="00D1157B"/>
    <w:rsid w:val="00D11803"/>
    <w:rsid w:val="00D119DD"/>
    <w:rsid w:val="00D11F67"/>
    <w:rsid w:val="00D12284"/>
    <w:rsid w:val="00D123BE"/>
    <w:rsid w:val="00D12619"/>
    <w:rsid w:val="00D12771"/>
    <w:rsid w:val="00D12CA2"/>
    <w:rsid w:val="00D12E5C"/>
    <w:rsid w:val="00D132C1"/>
    <w:rsid w:val="00D13D2C"/>
    <w:rsid w:val="00D13E70"/>
    <w:rsid w:val="00D1412F"/>
    <w:rsid w:val="00D141E2"/>
    <w:rsid w:val="00D1421C"/>
    <w:rsid w:val="00D14287"/>
    <w:rsid w:val="00D14623"/>
    <w:rsid w:val="00D1469D"/>
    <w:rsid w:val="00D1499C"/>
    <w:rsid w:val="00D150B5"/>
    <w:rsid w:val="00D15258"/>
    <w:rsid w:val="00D1528E"/>
    <w:rsid w:val="00D15A61"/>
    <w:rsid w:val="00D167F6"/>
    <w:rsid w:val="00D16CD6"/>
    <w:rsid w:val="00D16DBB"/>
    <w:rsid w:val="00D1708A"/>
    <w:rsid w:val="00D172B5"/>
    <w:rsid w:val="00D173B6"/>
    <w:rsid w:val="00D17D13"/>
    <w:rsid w:val="00D17FE6"/>
    <w:rsid w:val="00D2029D"/>
    <w:rsid w:val="00D20871"/>
    <w:rsid w:val="00D20EF0"/>
    <w:rsid w:val="00D20F3C"/>
    <w:rsid w:val="00D20FC1"/>
    <w:rsid w:val="00D21523"/>
    <w:rsid w:val="00D215D9"/>
    <w:rsid w:val="00D22727"/>
    <w:rsid w:val="00D22791"/>
    <w:rsid w:val="00D22929"/>
    <w:rsid w:val="00D22B14"/>
    <w:rsid w:val="00D22BC3"/>
    <w:rsid w:val="00D22CA3"/>
    <w:rsid w:val="00D2346B"/>
    <w:rsid w:val="00D23533"/>
    <w:rsid w:val="00D239ED"/>
    <w:rsid w:val="00D23DD7"/>
    <w:rsid w:val="00D23E54"/>
    <w:rsid w:val="00D24D71"/>
    <w:rsid w:val="00D25079"/>
    <w:rsid w:val="00D251E3"/>
    <w:rsid w:val="00D25459"/>
    <w:rsid w:val="00D25FB6"/>
    <w:rsid w:val="00D2631A"/>
    <w:rsid w:val="00D2656A"/>
    <w:rsid w:val="00D26A77"/>
    <w:rsid w:val="00D26DE4"/>
    <w:rsid w:val="00D26EAD"/>
    <w:rsid w:val="00D2728E"/>
    <w:rsid w:val="00D27AF3"/>
    <w:rsid w:val="00D3149A"/>
    <w:rsid w:val="00D31601"/>
    <w:rsid w:val="00D316E3"/>
    <w:rsid w:val="00D31980"/>
    <w:rsid w:val="00D31CAA"/>
    <w:rsid w:val="00D31F02"/>
    <w:rsid w:val="00D32249"/>
    <w:rsid w:val="00D32297"/>
    <w:rsid w:val="00D32354"/>
    <w:rsid w:val="00D32400"/>
    <w:rsid w:val="00D324A8"/>
    <w:rsid w:val="00D32B47"/>
    <w:rsid w:val="00D3373A"/>
    <w:rsid w:val="00D338FE"/>
    <w:rsid w:val="00D33B63"/>
    <w:rsid w:val="00D33BD9"/>
    <w:rsid w:val="00D33E14"/>
    <w:rsid w:val="00D34254"/>
    <w:rsid w:val="00D34904"/>
    <w:rsid w:val="00D34E55"/>
    <w:rsid w:val="00D34FFA"/>
    <w:rsid w:val="00D35AD6"/>
    <w:rsid w:val="00D35C24"/>
    <w:rsid w:val="00D373DD"/>
    <w:rsid w:val="00D376E0"/>
    <w:rsid w:val="00D37ABB"/>
    <w:rsid w:val="00D37FA2"/>
    <w:rsid w:val="00D4027B"/>
    <w:rsid w:val="00D40354"/>
    <w:rsid w:val="00D4060D"/>
    <w:rsid w:val="00D406E8"/>
    <w:rsid w:val="00D40EB3"/>
    <w:rsid w:val="00D41193"/>
    <w:rsid w:val="00D41395"/>
    <w:rsid w:val="00D419C0"/>
    <w:rsid w:val="00D41BB0"/>
    <w:rsid w:val="00D421BF"/>
    <w:rsid w:val="00D422CA"/>
    <w:rsid w:val="00D424DD"/>
    <w:rsid w:val="00D42828"/>
    <w:rsid w:val="00D42A4D"/>
    <w:rsid w:val="00D43222"/>
    <w:rsid w:val="00D43333"/>
    <w:rsid w:val="00D43F3E"/>
    <w:rsid w:val="00D43FDA"/>
    <w:rsid w:val="00D4410C"/>
    <w:rsid w:val="00D44CF2"/>
    <w:rsid w:val="00D44F52"/>
    <w:rsid w:val="00D4573C"/>
    <w:rsid w:val="00D465F6"/>
    <w:rsid w:val="00D46E59"/>
    <w:rsid w:val="00D472FE"/>
    <w:rsid w:val="00D47806"/>
    <w:rsid w:val="00D479D8"/>
    <w:rsid w:val="00D47D10"/>
    <w:rsid w:val="00D47F9B"/>
    <w:rsid w:val="00D47FDB"/>
    <w:rsid w:val="00D47FE5"/>
    <w:rsid w:val="00D50946"/>
    <w:rsid w:val="00D50E89"/>
    <w:rsid w:val="00D50EE3"/>
    <w:rsid w:val="00D51187"/>
    <w:rsid w:val="00D5126C"/>
    <w:rsid w:val="00D514E7"/>
    <w:rsid w:val="00D51629"/>
    <w:rsid w:val="00D518CB"/>
    <w:rsid w:val="00D51926"/>
    <w:rsid w:val="00D51DB7"/>
    <w:rsid w:val="00D528A5"/>
    <w:rsid w:val="00D5295F"/>
    <w:rsid w:val="00D529A0"/>
    <w:rsid w:val="00D529A4"/>
    <w:rsid w:val="00D52C40"/>
    <w:rsid w:val="00D52F72"/>
    <w:rsid w:val="00D53679"/>
    <w:rsid w:val="00D53796"/>
    <w:rsid w:val="00D5382C"/>
    <w:rsid w:val="00D53903"/>
    <w:rsid w:val="00D53FFD"/>
    <w:rsid w:val="00D540CA"/>
    <w:rsid w:val="00D54850"/>
    <w:rsid w:val="00D54EB3"/>
    <w:rsid w:val="00D54F25"/>
    <w:rsid w:val="00D54FC9"/>
    <w:rsid w:val="00D550B0"/>
    <w:rsid w:val="00D55175"/>
    <w:rsid w:val="00D5537D"/>
    <w:rsid w:val="00D5545C"/>
    <w:rsid w:val="00D5592C"/>
    <w:rsid w:val="00D5618F"/>
    <w:rsid w:val="00D56386"/>
    <w:rsid w:val="00D564AE"/>
    <w:rsid w:val="00D566C2"/>
    <w:rsid w:val="00D5765C"/>
    <w:rsid w:val="00D57703"/>
    <w:rsid w:val="00D57928"/>
    <w:rsid w:val="00D57B8D"/>
    <w:rsid w:val="00D60609"/>
    <w:rsid w:val="00D6069A"/>
    <w:rsid w:val="00D60B2C"/>
    <w:rsid w:val="00D60B37"/>
    <w:rsid w:val="00D611AD"/>
    <w:rsid w:val="00D6186B"/>
    <w:rsid w:val="00D61A1A"/>
    <w:rsid w:val="00D61AAA"/>
    <w:rsid w:val="00D61AB4"/>
    <w:rsid w:val="00D61C43"/>
    <w:rsid w:val="00D61DE2"/>
    <w:rsid w:val="00D622A0"/>
    <w:rsid w:val="00D626A6"/>
    <w:rsid w:val="00D62D46"/>
    <w:rsid w:val="00D62E69"/>
    <w:rsid w:val="00D63A0A"/>
    <w:rsid w:val="00D63BDC"/>
    <w:rsid w:val="00D64576"/>
    <w:rsid w:val="00D64619"/>
    <w:rsid w:val="00D646DB"/>
    <w:rsid w:val="00D6530B"/>
    <w:rsid w:val="00D65E30"/>
    <w:rsid w:val="00D65EDB"/>
    <w:rsid w:val="00D660F7"/>
    <w:rsid w:val="00D66644"/>
    <w:rsid w:val="00D66A85"/>
    <w:rsid w:val="00D66D4C"/>
    <w:rsid w:val="00D66D97"/>
    <w:rsid w:val="00D673C8"/>
    <w:rsid w:val="00D67790"/>
    <w:rsid w:val="00D67BDC"/>
    <w:rsid w:val="00D67C60"/>
    <w:rsid w:val="00D67E34"/>
    <w:rsid w:val="00D70528"/>
    <w:rsid w:val="00D705C1"/>
    <w:rsid w:val="00D709F9"/>
    <w:rsid w:val="00D71033"/>
    <w:rsid w:val="00D715B7"/>
    <w:rsid w:val="00D71837"/>
    <w:rsid w:val="00D71A91"/>
    <w:rsid w:val="00D71FBA"/>
    <w:rsid w:val="00D724B4"/>
    <w:rsid w:val="00D72675"/>
    <w:rsid w:val="00D72885"/>
    <w:rsid w:val="00D73059"/>
    <w:rsid w:val="00D731B3"/>
    <w:rsid w:val="00D7323A"/>
    <w:rsid w:val="00D73280"/>
    <w:rsid w:val="00D738C9"/>
    <w:rsid w:val="00D73E07"/>
    <w:rsid w:val="00D74128"/>
    <w:rsid w:val="00D74F0F"/>
    <w:rsid w:val="00D75040"/>
    <w:rsid w:val="00D7549A"/>
    <w:rsid w:val="00D75B2E"/>
    <w:rsid w:val="00D75EAC"/>
    <w:rsid w:val="00D7708B"/>
    <w:rsid w:val="00D8013B"/>
    <w:rsid w:val="00D809E4"/>
    <w:rsid w:val="00D80C0B"/>
    <w:rsid w:val="00D81A90"/>
    <w:rsid w:val="00D82382"/>
    <w:rsid w:val="00D8292B"/>
    <w:rsid w:val="00D82A78"/>
    <w:rsid w:val="00D83B6E"/>
    <w:rsid w:val="00D83F31"/>
    <w:rsid w:val="00D84233"/>
    <w:rsid w:val="00D8490C"/>
    <w:rsid w:val="00D8499B"/>
    <w:rsid w:val="00D8515D"/>
    <w:rsid w:val="00D8515F"/>
    <w:rsid w:val="00D852AB"/>
    <w:rsid w:val="00D85578"/>
    <w:rsid w:val="00D856B9"/>
    <w:rsid w:val="00D861F7"/>
    <w:rsid w:val="00D8636D"/>
    <w:rsid w:val="00D866BA"/>
    <w:rsid w:val="00D868DE"/>
    <w:rsid w:val="00D86972"/>
    <w:rsid w:val="00D87186"/>
    <w:rsid w:val="00D872CA"/>
    <w:rsid w:val="00D87950"/>
    <w:rsid w:val="00D87A32"/>
    <w:rsid w:val="00D87D9D"/>
    <w:rsid w:val="00D907FC"/>
    <w:rsid w:val="00D909BB"/>
    <w:rsid w:val="00D90B76"/>
    <w:rsid w:val="00D91495"/>
    <w:rsid w:val="00D91ACF"/>
    <w:rsid w:val="00D91D15"/>
    <w:rsid w:val="00D921EA"/>
    <w:rsid w:val="00D92345"/>
    <w:rsid w:val="00D9271D"/>
    <w:rsid w:val="00D92876"/>
    <w:rsid w:val="00D9335B"/>
    <w:rsid w:val="00D93AA1"/>
    <w:rsid w:val="00D93B7C"/>
    <w:rsid w:val="00D93B8E"/>
    <w:rsid w:val="00D94F5E"/>
    <w:rsid w:val="00D952E6"/>
    <w:rsid w:val="00D9552C"/>
    <w:rsid w:val="00D957A7"/>
    <w:rsid w:val="00D95A69"/>
    <w:rsid w:val="00D9699E"/>
    <w:rsid w:val="00D97DC9"/>
    <w:rsid w:val="00DA0295"/>
    <w:rsid w:val="00DA0913"/>
    <w:rsid w:val="00DA0FBF"/>
    <w:rsid w:val="00DA11BA"/>
    <w:rsid w:val="00DA12B7"/>
    <w:rsid w:val="00DA1FB6"/>
    <w:rsid w:val="00DA20D5"/>
    <w:rsid w:val="00DA214A"/>
    <w:rsid w:val="00DA2634"/>
    <w:rsid w:val="00DA2A50"/>
    <w:rsid w:val="00DA2BD4"/>
    <w:rsid w:val="00DA3959"/>
    <w:rsid w:val="00DA399A"/>
    <w:rsid w:val="00DA40CB"/>
    <w:rsid w:val="00DA40F0"/>
    <w:rsid w:val="00DA434F"/>
    <w:rsid w:val="00DA44BA"/>
    <w:rsid w:val="00DA4BFC"/>
    <w:rsid w:val="00DA4E32"/>
    <w:rsid w:val="00DA655B"/>
    <w:rsid w:val="00DA69F1"/>
    <w:rsid w:val="00DA6DC1"/>
    <w:rsid w:val="00DA6E86"/>
    <w:rsid w:val="00DA6FB6"/>
    <w:rsid w:val="00DA7CF0"/>
    <w:rsid w:val="00DB025E"/>
    <w:rsid w:val="00DB02A8"/>
    <w:rsid w:val="00DB03D4"/>
    <w:rsid w:val="00DB0862"/>
    <w:rsid w:val="00DB0938"/>
    <w:rsid w:val="00DB1269"/>
    <w:rsid w:val="00DB1421"/>
    <w:rsid w:val="00DB18E1"/>
    <w:rsid w:val="00DB19A7"/>
    <w:rsid w:val="00DB1E9A"/>
    <w:rsid w:val="00DB24BA"/>
    <w:rsid w:val="00DB253C"/>
    <w:rsid w:val="00DB2A68"/>
    <w:rsid w:val="00DB36E0"/>
    <w:rsid w:val="00DB38C8"/>
    <w:rsid w:val="00DB39C1"/>
    <w:rsid w:val="00DB3E0E"/>
    <w:rsid w:val="00DB3F51"/>
    <w:rsid w:val="00DB436B"/>
    <w:rsid w:val="00DB4776"/>
    <w:rsid w:val="00DB490D"/>
    <w:rsid w:val="00DB490F"/>
    <w:rsid w:val="00DB4B71"/>
    <w:rsid w:val="00DB4C14"/>
    <w:rsid w:val="00DB4CC9"/>
    <w:rsid w:val="00DB5200"/>
    <w:rsid w:val="00DB552E"/>
    <w:rsid w:val="00DB5C57"/>
    <w:rsid w:val="00DB601F"/>
    <w:rsid w:val="00DB61A4"/>
    <w:rsid w:val="00DB6214"/>
    <w:rsid w:val="00DB6529"/>
    <w:rsid w:val="00DB6B60"/>
    <w:rsid w:val="00DB6CCB"/>
    <w:rsid w:val="00DB7182"/>
    <w:rsid w:val="00DB75C8"/>
    <w:rsid w:val="00DC001C"/>
    <w:rsid w:val="00DC06B3"/>
    <w:rsid w:val="00DC0806"/>
    <w:rsid w:val="00DC150A"/>
    <w:rsid w:val="00DC1670"/>
    <w:rsid w:val="00DC23A9"/>
    <w:rsid w:val="00DC23E8"/>
    <w:rsid w:val="00DC2904"/>
    <w:rsid w:val="00DC358B"/>
    <w:rsid w:val="00DC3601"/>
    <w:rsid w:val="00DC3613"/>
    <w:rsid w:val="00DC4253"/>
    <w:rsid w:val="00DC4727"/>
    <w:rsid w:val="00DC47DC"/>
    <w:rsid w:val="00DC48D4"/>
    <w:rsid w:val="00DC48F0"/>
    <w:rsid w:val="00DC51BD"/>
    <w:rsid w:val="00DC5882"/>
    <w:rsid w:val="00DC59D8"/>
    <w:rsid w:val="00DC5FAB"/>
    <w:rsid w:val="00DC61A5"/>
    <w:rsid w:val="00DC6229"/>
    <w:rsid w:val="00DC62A6"/>
    <w:rsid w:val="00DC637E"/>
    <w:rsid w:val="00DC6396"/>
    <w:rsid w:val="00DC642A"/>
    <w:rsid w:val="00DC6798"/>
    <w:rsid w:val="00DC6F76"/>
    <w:rsid w:val="00DC74FE"/>
    <w:rsid w:val="00DC76D9"/>
    <w:rsid w:val="00DC79C8"/>
    <w:rsid w:val="00DD0312"/>
    <w:rsid w:val="00DD042B"/>
    <w:rsid w:val="00DD0608"/>
    <w:rsid w:val="00DD088E"/>
    <w:rsid w:val="00DD0EC4"/>
    <w:rsid w:val="00DD1118"/>
    <w:rsid w:val="00DD2933"/>
    <w:rsid w:val="00DD2ADF"/>
    <w:rsid w:val="00DD2BCD"/>
    <w:rsid w:val="00DD2FB6"/>
    <w:rsid w:val="00DD3063"/>
    <w:rsid w:val="00DD34D7"/>
    <w:rsid w:val="00DD39F6"/>
    <w:rsid w:val="00DD3E02"/>
    <w:rsid w:val="00DD4112"/>
    <w:rsid w:val="00DD4390"/>
    <w:rsid w:val="00DD43B5"/>
    <w:rsid w:val="00DD4401"/>
    <w:rsid w:val="00DD4CA9"/>
    <w:rsid w:val="00DD4E09"/>
    <w:rsid w:val="00DD51C0"/>
    <w:rsid w:val="00DD51C3"/>
    <w:rsid w:val="00DD5645"/>
    <w:rsid w:val="00DD57D9"/>
    <w:rsid w:val="00DD5BBA"/>
    <w:rsid w:val="00DD5FC0"/>
    <w:rsid w:val="00DD657F"/>
    <w:rsid w:val="00DD65D8"/>
    <w:rsid w:val="00DD67FC"/>
    <w:rsid w:val="00DD7972"/>
    <w:rsid w:val="00DE0315"/>
    <w:rsid w:val="00DE046D"/>
    <w:rsid w:val="00DE049C"/>
    <w:rsid w:val="00DE056E"/>
    <w:rsid w:val="00DE0C1E"/>
    <w:rsid w:val="00DE139C"/>
    <w:rsid w:val="00DE1C61"/>
    <w:rsid w:val="00DE28BA"/>
    <w:rsid w:val="00DE2C2A"/>
    <w:rsid w:val="00DE2ED2"/>
    <w:rsid w:val="00DE37EE"/>
    <w:rsid w:val="00DE39A6"/>
    <w:rsid w:val="00DE50A8"/>
    <w:rsid w:val="00DE59C8"/>
    <w:rsid w:val="00DE5F1B"/>
    <w:rsid w:val="00DE68B6"/>
    <w:rsid w:val="00DE6AD4"/>
    <w:rsid w:val="00DE6FF0"/>
    <w:rsid w:val="00DE7B4C"/>
    <w:rsid w:val="00DF0317"/>
    <w:rsid w:val="00DF05DB"/>
    <w:rsid w:val="00DF08FF"/>
    <w:rsid w:val="00DF0BE5"/>
    <w:rsid w:val="00DF1068"/>
    <w:rsid w:val="00DF150F"/>
    <w:rsid w:val="00DF1B72"/>
    <w:rsid w:val="00DF2211"/>
    <w:rsid w:val="00DF23B5"/>
    <w:rsid w:val="00DF3903"/>
    <w:rsid w:val="00DF3F1D"/>
    <w:rsid w:val="00DF3FBF"/>
    <w:rsid w:val="00DF5389"/>
    <w:rsid w:val="00DF55A2"/>
    <w:rsid w:val="00DF591D"/>
    <w:rsid w:val="00DF5981"/>
    <w:rsid w:val="00DF5DE7"/>
    <w:rsid w:val="00DF5E82"/>
    <w:rsid w:val="00DF6259"/>
    <w:rsid w:val="00DF6AA0"/>
    <w:rsid w:val="00DF7290"/>
    <w:rsid w:val="00E000C7"/>
    <w:rsid w:val="00E00181"/>
    <w:rsid w:val="00E001E7"/>
    <w:rsid w:val="00E002BE"/>
    <w:rsid w:val="00E00439"/>
    <w:rsid w:val="00E013EE"/>
    <w:rsid w:val="00E020E8"/>
    <w:rsid w:val="00E02306"/>
    <w:rsid w:val="00E0254D"/>
    <w:rsid w:val="00E026F0"/>
    <w:rsid w:val="00E02AC2"/>
    <w:rsid w:val="00E02DA5"/>
    <w:rsid w:val="00E03476"/>
    <w:rsid w:val="00E0361D"/>
    <w:rsid w:val="00E03802"/>
    <w:rsid w:val="00E0384A"/>
    <w:rsid w:val="00E038AF"/>
    <w:rsid w:val="00E03A03"/>
    <w:rsid w:val="00E040BB"/>
    <w:rsid w:val="00E0426E"/>
    <w:rsid w:val="00E04444"/>
    <w:rsid w:val="00E04FFC"/>
    <w:rsid w:val="00E05A06"/>
    <w:rsid w:val="00E06CD5"/>
    <w:rsid w:val="00E0758A"/>
    <w:rsid w:val="00E075E9"/>
    <w:rsid w:val="00E079D4"/>
    <w:rsid w:val="00E07BCB"/>
    <w:rsid w:val="00E07F5E"/>
    <w:rsid w:val="00E1036A"/>
    <w:rsid w:val="00E104BE"/>
    <w:rsid w:val="00E10D5B"/>
    <w:rsid w:val="00E11F58"/>
    <w:rsid w:val="00E12585"/>
    <w:rsid w:val="00E1269D"/>
    <w:rsid w:val="00E12CAD"/>
    <w:rsid w:val="00E12D44"/>
    <w:rsid w:val="00E12F39"/>
    <w:rsid w:val="00E13024"/>
    <w:rsid w:val="00E13183"/>
    <w:rsid w:val="00E13218"/>
    <w:rsid w:val="00E13849"/>
    <w:rsid w:val="00E138FF"/>
    <w:rsid w:val="00E13F18"/>
    <w:rsid w:val="00E15499"/>
    <w:rsid w:val="00E158D3"/>
    <w:rsid w:val="00E15C09"/>
    <w:rsid w:val="00E15D77"/>
    <w:rsid w:val="00E16B19"/>
    <w:rsid w:val="00E17044"/>
    <w:rsid w:val="00E173F2"/>
    <w:rsid w:val="00E174DF"/>
    <w:rsid w:val="00E17614"/>
    <w:rsid w:val="00E17651"/>
    <w:rsid w:val="00E17A99"/>
    <w:rsid w:val="00E17D8C"/>
    <w:rsid w:val="00E20187"/>
    <w:rsid w:val="00E2022E"/>
    <w:rsid w:val="00E202A4"/>
    <w:rsid w:val="00E20843"/>
    <w:rsid w:val="00E213C8"/>
    <w:rsid w:val="00E232C4"/>
    <w:rsid w:val="00E232CD"/>
    <w:rsid w:val="00E235EC"/>
    <w:rsid w:val="00E23FAE"/>
    <w:rsid w:val="00E24DFE"/>
    <w:rsid w:val="00E2504E"/>
    <w:rsid w:val="00E256B6"/>
    <w:rsid w:val="00E25871"/>
    <w:rsid w:val="00E25B1A"/>
    <w:rsid w:val="00E25DE5"/>
    <w:rsid w:val="00E25DED"/>
    <w:rsid w:val="00E262C2"/>
    <w:rsid w:val="00E26843"/>
    <w:rsid w:val="00E26D14"/>
    <w:rsid w:val="00E26DFC"/>
    <w:rsid w:val="00E278F6"/>
    <w:rsid w:val="00E27906"/>
    <w:rsid w:val="00E27920"/>
    <w:rsid w:val="00E27CA8"/>
    <w:rsid w:val="00E3065C"/>
    <w:rsid w:val="00E30690"/>
    <w:rsid w:val="00E30908"/>
    <w:rsid w:val="00E312B7"/>
    <w:rsid w:val="00E31430"/>
    <w:rsid w:val="00E31604"/>
    <w:rsid w:val="00E31C49"/>
    <w:rsid w:val="00E322B7"/>
    <w:rsid w:val="00E32618"/>
    <w:rsid w:val="00E32A9C"/>
    <w:rsid w:val="00E3347C"/>
    <w:rsid w:val="00E34747"/>
    <w:rsid w:val="00E34CA9"/>
    <w:rsid w:val="00E35056"/>
    <w:rsid w:val="00E3512A"/>
    <w:rsid w:val="00E35698"/>
    <w:rsid w:val="00E35B76"/>
    <w:rsid w:val="00E36228"/>
    <w:rsid w:val="00E36300"/>
    <w:rsid w:val="00E365A1"/>
    <w:rsid w:val="00E36743"/>
    <w:rsid w:val="00E36D93"/>
    <w:rsid w:val="00E372A1"/>
    <w:rsid w:val="00E375D1"/>
    <w:rsid w:val="00E37FB6"/>
    <w:rsid w:val="00E401CB"/>
    <w:rsid w:val="00E402AD"/>
    <w:rsid w:val="00E4050B"/>
    <w:rsid w:val="00E405EE"/>
    <w:rsid w:val="00E40C8D"/>
    <w:rsid w:val="00E40D03"/>
    <w:rsid w:val="00E41DD4"/>
    <w:rsid w:val="00E42197"/>
    <w:rsid w:val="00E427C9"/>
    <w:rsid w:val="00E42DAE"/>
    <w:rsid w:val="00E42F79"/>
    <w:rsid w:val="00E4311D"/>
    <w:rsid w:val="00E43236"/>
    <w:rsid w:val="00E440B8"/>
    <w:rsid w:val="00E447CD"/>
    <w:rsid w:val="00E45066"/>
    <w:rsid w:val="00E4532A"/>
    <w:rsid w:val="00E45659"/>
    <w:rsid w:val="00E45B55"/>
    <w:rsid w:val="00E45C7C"/>
    <w:rsid w:val="00E461C8"/>
    <w:rsid w:val="00E465D9"/>
    <w:rsid w:val="00E46901"/>
    <w:rsid w:val="00E46C63"/>
    <w:rsid w:val="00E46D57"/>
    <w:rsid w:val="00E46DDB"/>
    <w:rsid w:val="00E472FA"/>
    <w:rsid w:val="00E475A0"/>
    <w:rsid w:val="00E47F4E"/>
    <w:rsid w:val="00E50416"/>
    <w:rsid w:val="00E50685"/>
    <w:rsid w:val="00E5099E"/>
    <w:rsid w:val="00E50D42"/>
    <w:rsid w:val="00E512F4"/>
    <w:rsid w:val="00E513D6"/>
    <w:rsid w:val="00E51B8C"/>
    <w:rsid w:val="00E51BAD"/>
    <w:rsid w:val="00E51F56"/>
    <w:rsid w:val="00E52544"/>
    <w:rsid w:val="00E525B7"/>
    <w:rsid w:val="00E5279D"/>
    <w:rsid w:val="00E5298A"/>
    <w:rsid w:val="00E533EE"/>
    <w:rsid w:val="00E54209"/>
    <w:rsid w:val="00E558E5"/>
    <w:rsid w:val="00E561CE"/>
    <w:rsid w:val="00E56522"/>
    <w:rsid w:val="00E5724F"/>
    <w:rsid w:val="00E57FD3"/>
    <w:rsid w:val="00E6034A"/>
    <w:rsid w:val="00E60AE0"/>
    <w:rsid w:val="00E61420"/>
    <w:rsid w:val="00E614F8"/>
    <w:rsid w:val="00E622E4"/>
    <w:rsid w:val="00E622FA"/>
    <w:rsid w:val="00E6243D"/>
    <w:rsid w:val="00E62963"/>
    <w:rsid w:val="00E629DF"/>
    <w:rsid w:val="00E62FC0"/>
    <w:rsid w:val="00E6357B"/>
    <w:rsid w:val="00E635CD"/>
    <w:rsid w:val="00E6374F"/>
    <w:rsid w:val="00E637D1"/>
    <w:rsid w:val="00E63AF0"/>
    <w:rsid w:val="00E644D1"/>
    <w:rsid w:val="00E64A3F"/>
    <w:rsid w:val="00E64E74"/>
    <w:rsid w:val="00E6558B"/>
    <w:rsid w:val="00E65799"/>
    <w:rsid w:val="00E658C7"/>
    <w:rsid w:val="00E65D37"/>
    <w:rsid w:val="00E66118"/>
    <w:rsid w:val="00E66121"/>
    <w:rsid w:val="00E66AD4"/>
    <w:rsid w:val="00E66C4A"/>
    <w:rsid w:val="00E67619"/>
    <w:rsid w:val="00E70003"/>
    <w:rsid w:val="00E7069F"/>
    <w:rsid w:val="00E708AB"/>
    <w:rsid w:val="00E711FE"/>
    <w:rsid w:val="00E713A5"/>
    <w:rsid w:val="00E71CBB"/>
    <w:rsid w:val="00E72155"/>
    <w:rsid w:val="00E7232E"/>
    <w:rsid w:val="00E72396"/>
    <w:rsid w:val="00E72561"/>
    <w:rsid w:val="00E72A64"/>
    <w:rsid w:val="00E72D06"/>
    <w:rsid w:val="00E7346F"/>
    <w:rsid w:val="00E73E9C"/>
    <w:rsid w:val="00E747F0"/>
    <w:rsid w:val="00E7495F"/>
    <w:rsid w:val="00E74B9F"/>
    <w:rsid w:val="00E752F3"/>
    <w:rsid w:val="00E7531D"/>
    <w:rsid w:val="00E75396"/>
    <w:rsid w:val="00E75639"/>
    <w:rsid w:val="00E75AC3"/>
    <w:rsid w:val="00E75B8F"/>
    <w:rsid w:val="00E76222"/>
    <w:rsid w:val="00E76388"/>
    <w:rsid w:val="00E765BE"/>
    <w:rsid w:val="00E76748"/>
    <w:rsid w:val="00E76868"/>
    <w:rsid w:val="00E76B18"/>
    <w:rsid w:val="00E779BB"/>
    <w:rsid w:val="00E77DC2"/>
    <w:rsid w:val="00E77F90"/>
    <w:rsid w:val="00E80214"/>
    <w:rsid w:val="00E80824"/>
    <w:rsid w:val="00E80C8B"/>
    <w:rsid w:val="00E80EEF"/>
    <w:rsid w:val="00E81D7F"/>
    <w:rsid w:val="00E81FE6"/>
    <w:rsid w:val="00E823A3"/>
    <w:rsid w:val="00E827B8"/>
    <w:rsid w:val="00E82F0C"/>
    <w:rsid w:val="00E834B0"/>
    <w:rsid w:val="00E834C5"/>
    <w:rsid w:val="00E83654"/>
    <w:rsid w:val="00E8385B"/>
    <w:rsid w:val="00E841BB"/>
    <w:rsid w:val="00E84392"/>
    <w:rsid w:val="00E845BE"/>
    <w:rsid w:val="00E851EC"/>
    <w:rsid w:val="00E85731"/>
    <w:rsid w:val="00E85899"/>
    <w:rsid w:val="00E859B4"/>
    <w:rsid w:val="00E859B5"/>
    <w:rsid w:val="00E86517"/>
    <w:rsid w:val="00E86F59"/>
    <w:rsid w:val="00E86F79"/>
    <w:rsid w:val="00E87E69"/>
    <w:rsid w:val="00E91135"/>
    <w:rsid w:val="00E9124B"/>
    <w:rsid w:val="00E9195D"/>
    <w:rsid w:val="00E91CEC"/>
    <w:rsid w:val="00E91D56"/>
    <w:rsid w:val="00E91E43"/>
    <w:rsid w:val="00E926A0"/>
    <w:rsid w:val="00E92B15"/>
    <w:rsid w:val="00E92F3F"/>
    <w:rsid w:val="00E9313A"/>
    <w:rsid w:val="00E9358B"/>
    <w:rsid w:val="00E93629"/>
    <w:rsid w:val="00E93ACC"/>
    <w:rsid w:val="00E9459A"/>
    <w:rsid w:val="00E94943"/>
    <w:rsid w:val="00E94CF6"/>
    <w:rsid w:val="00E94F8A"/>
    <w:rsid w:val="00E958DC"/>
    <w:rsid w:val="00E95A4C"/>
    <w:rsid w:val="00E95BAF"/>
    <w:rsid w:val="00E96224"/>
    <w:rsid w:val="00E9642B"/>
    <w:rsid w:val="00E96D95"/>
    <w:rsid w:val="00E97152"/>
    <w:rsid w:val="00E9A465"/>
    <w:rsid w:val="00EA06FB"/>
    <w:rsid w:val="00EA139C"/>
    <w:rsid w:val="00EA1447"/>
    <w:rsid w:val="00EA23FF"/>
    <w:rsid w:val="00EA2439"/>
    <w:rsid w:val="00EA2730"/>
    <w:rsid w:val="00EA2B5D"/>
    <w:rsid w:val="00EA2FC5"/>
    <w:rsid w:val="00EA326A"/>
    <w:rsid w:val="00EA32B1"/>
    <w:rsid w:val="00EA3526"/>
    <w:rsid w:val="00EA48E1"/>
    <w:rsid w:val="00EA4923"/>
    <w:rsid w:val="00EA4D34"/>
    <w:rsid w:val="00EA4DD4"/>
    <w:rsid w:val="00EA5F36"/>
    <w:rsid w:val="00EA6335"/>
    <w:rsid w:val="00EA6981"/>
    <w:rsid w:val="00EA6BB4"/>
    <w:rsid w:val="00EA6DD1"/>
    <w:rsid w:val="00EA7C2A"/>
    <w:rsid w:val="00EA7F9C"/>
    <w:rsid w:val="00EB02F9"/>
    <w:rsid w:val="00EB0844"/>
    <w:rsid w:val="00EB09AE"/>
    <w:rsid w:val="00EB09F0"/>
    <w:rsid w:val="00EB0EAE"/>
    <w:rsid w:val="00EB1089"/>
    <w:rsid w:val="00EB2190"/>
    <w:rsid w:val="00EB2752"/>
    <w:rsid w:val="00EB2A05"/>
    <w:rsid w:val="00EB2BF8"/>
    <w:rsid w:val="00EB2C51"/>
    <w:rsid w:val="00EB2DB8"/>
    <w:rsid w:val="00EB3631"/>
    <w:rsid w:val="00EB3B97"/>
    <w:rsid w:val="00EB442A"/>
    <w:rsid w:val="00EB4529"/>
    <w:rsid w:val="00EB480C"/>
    <w:rsid w:val="00EB4A8E"/>
    <w:rsid w:val="00EB4C3D"/>
    <w:rsid w:val="00EB5174"/>
    <w:rsid w:val="00EB55DE"/>
    <w:rsid w:val="00EB5773"/>
    <w:rsid w:val="00EB5A76"/>
    <w:rsid w:val="00EB6745"/>
    <w:rsid w:val="00EB697D"/>
    <w:rsid w:val="00EB6A36"/>
    <w:rsid w:val="00EB6BBB"/>
    <w:rsid w:val="00EB6F11"/>
    <w:rsid w:val="00EB7A9F"/>
    <w:rsid w:val="00EC00C1"/>
    <w:rsid w:val="00EC015A"/>
    <w:rsid w:val="00EC0422"/>
    <w:rsid w:val="00EC0EAD"/>
    <w:rsid w:val="00EC1217"/>
    <w:rsid w:val="00EC1664"/>
    <w:rsid w:val="00EC2C52"/>
    <w:rsid w:val="00EC2DA8"/>
    <w:rsid w:val="00EC378A"/>
    <w:rsid w:val="00EC3ABB"/>
    <w:rsid w:val="00EC3BB5"/>
    <w:rsid w:val="00EC41DB"/>
    <w:rsid w:val="00EC46DC"/>
    <w:rsid w:val="00EC4C44"/>
    <w:rsid w:val="00EC591B"/>
    <w:rsid w:val="00EC61CB"/>
    <w:rsid w:val="00EC7E74"/>
    <w:rsid w:val="00ED08D1"/>
    <w:rsid w:val="00ED0D83"/>
    <w:rsid w:val="00ED1586"/>
    <w:rsid w:val="00ED15E7"/>
    <w:rsid w:val="00ED1940"/>
    <w:rsid w:val="00ED1C51"/>
    <w:rsid w:val="00ED1FC6"/>
    <w:rsid w:val="00ED2061"/>
    <w:rsid w:val="00ED2F26"/>
    <w:rsid w:val="00ED33A1"/>
    <w:rsid w:val="00ED3FD5"/>
    <w:rsid w:val="00ED42C1"/>
    <w:rsid w:val="00ED42CB"/>
    <w:rsid w:val="00ED4F26"/>
    <w:rsid w:val="00ED5061"/>
    <w:rsid w:val="00ED50E7"/>
    <w:rsid w:val="00ED56A6"/>
    <w:rsid w:val="00ED57F9"/>
    <w:rsid w:val="00ED5806"/>
    <w:rsid w:val="00ED65DB"/>
    <w:rsid w:val="00ED6F14"/>
    <w:rsid w:val="00ED73E8"/>
    <w:rsid w:val="00ED7D71"/>
    <w:rsid w:val="00ED7DA1"/>
    <w:rsid w:val="00EE03D3"/>
    <w:rsid w:val="00EE0E17"/>
    <w:rsid w:val="00EE100F"/>
    <w:rsid w:val="00EE117D"/>
    <w:rsid w:val="00EE17F4"/>
    <w:rsid w:val="00EE1A22"/>
    <w:rsid w:val="00EE2255"/>
    <w:rsid w:val="00EE24EC"/>
    <w:rsid w:val="00EE2632"/>
    <w:rsid w:val="00EE2735"/>
    <w:rsid w:val="00EE2982"/>
    <w:rsid w:val="00EE2A3F"/>
    <w:rsid w:val="00EE2D3F"/>
    <w:rsid w:val="00EE344C"/>
    <w:rsid w:val="00EE37A8"/>
    <w:rsid w:val="00EE42A3"/>
    <w:rsid w:val="00EE42C4"/>
    <w:rsid w:val="00EE4F18"/>
    <w:rsid w:val="00EE5193"/>
    <w:rsid w:val="00EE51A9"/>
    <w:rsid w:val="00EE5377"/>
    <w:rsid w:val="00EE56A2"/>
    <w:rsid w:val="00EE5F5F"/>
    <w:rsid w:val="00EE6725"/>
    <w:rsid w:val="00EE712E"/>
    <w:rsid w:val="00EE7430"/>
    <w:rsid w:val="00EE7BB0"/>
    <w:rsid w:val="00EF06D8"/>
    <w:rsid w:val="00EF0B84"/>
    <w:rsid w:val="00EF16CE"/>
    <w:rsid w:val="00EF1804"/>
    <w:rsid w:val="00EF1B86"/>
    <w:rsid w:val="00EF1B92"/>
    <w:rsid w:val="00EF1FF7"/>
    <w:rsid w:val="00EF231D"/>
    <w:rsid w:val="00EF2599"/>
    <w:rsid w:val="00EF280C"/>
    <w:rsid w:val="00EF2D5B"/>
    <w:rsid w:val="00EF2F4F"/>
    <w:rsid w:val="00EF3955"/>
    <w:rsid w:val="00EF3C2E"/>
    <w:rsid w:val="00EF3DD6"/>
    <w:rsid w:val="00EF3E4B"/>
    <w:rsid w:val="00EF458A"/>
    <w:rsid w:val="00EF496C"/>
    <w:rsid w:val="00EF4F26"/>
    <w:rsid w:val="00EF5074"/>
    <w:rsid w:val="00EF50BA"/>
    <w:rsid w:val="00EF5E56"/>
    <w:rsid w:val="00EF5EC4"/>
    <w:rsid w:val="00EF6705"/>
    <w:rsid w:val="00EF6C44"/>
    <w:rsid w:val="00EF6C68"/>
    <w:rsid w:val="00EF7265"/>
    <w:rsid w:val="00EF759A"/>
    <w:rsid w:val="00EF798B"/>
    <w:rsid w:val="00EF7F04"/>
    <w:rsid w:val="00F00DE6"/>
    <w:rsid w:val="00F00EEB"/>
    <w:rsid w:val="00F01245"/>
    <w:rsid w:val="00F017FD"/>
    <w:rsid w:val="00F01D3B"/>
    <w:rsid w:val="00F0259D"/>
    <w:rsid w:val="00F02FB5"/>
    <w:rsid w:val="00F03520"/>
    <w:rsid w:val="00F03A60"/>
    <w:rsid w:val="00F03A66"/>
    <w:rsid w:val="00F03BB1"/>
    <w:rsid w:val="00F03FF7"/>
    <w:rsid w:val="00F04243"/>
    <w:rsid w:val="00F04DD4"/>
    <w:rsid w:val="00F05123"/>
    <w:rsid w:val="00F05ED3"/>
    <w:rsid w:val="00F05F64"/>
    <w:rsid w:val="00F0600D"/>
    <w:rsid w:val="00F072EC"/>
    <w:rsid w:val="00F078C4"/>
    <w:rsid w:val="00F07BD6"/>
    <w:rsid w:val="00F07EFF"/>
    <w:rsid w:val="00F07F88"/>
    <w:rsid w:val="00F101C8"/>
    <w:rsid w:val="00F102EE"/>
    <w:rsid w:val="00F108A7"/>
    <w:rsid w:val="00F118BA"/>
    <w:rsid w:val="00F11B99"/>
    <w:rsid w:val="00F11F51"/>
    <w:rsid w:val="00F126E8"/>
    <w:rsid w:val="00F12A95"/>
    <w:rsid w:val="00F12C15"/>
    <w:rsid w:val="00F12D3D"/>
    <w:rsid w:val="00F13985"/>
    <w:rsid w:val="00F13E89"/>
    <w:rsid w:val="00F140CB"/>
    <w:rsid w:val="00F14124"/>
    <w:rsid w:val="00F14575"/>
    <w:rsid w:val="00F14C65"/>
    <w:rsid w:val="00F14FFC"/>
    <w:rsid w:val="00F151F9"/>
    <w:rsid w:val="00F1532E"/>
    <w:rsid w:val="00F1553D"/>
    <w:rsid w:val="00F15A9B"/>
    <w:rsid w:val="00F161F6"/>
    <w:rsid w:val="00F1637C"/>
    <w:rsid w:val="00F169F8"/>
    <w:rsid w:val="00F16C15"/>
    <w:rsid w:val="00F16D34"/>
    <w:rsid w:val="00F16D8E"/>
    <w:rsid w:val="00F1703D"/>
    <w:rsid w:val="00F17082"/>
    <w:rsid w:val="00F172AA"/>
    <w:rsid w:val="00F17A02"/>
    <w:rsid w:val="00F17A63"/>
    <w:rsid w:val="00F17C79"/>
    <w:rsid w:val="00F17D2B"/>
    <w:rsid w:val="00F20BC9"/>
    <w:rsid w:val="00F20C9A"/>
    <w:rsid w:val="00F20F67"/>
    <w:rsid w:val="00F21A63"/>
    <w:rsid w:val="00F22469"/>
    <w:rsid w:val="00F234AC"/>
    <w:rsid w:val="00F23563"/>
    <w:rsid w:val="00F24091"/>
    <w:rsid w:val="00F250C3"/>
    <w:rsid w:val="00F256EA"/>
    <w:rsid w:val="00F25773"/>
    <w:rsid w:val="00F25C3F"/>
    <w:rsid w:val="00F26335"/>
    <w:rsid w:val="00F265AA"/>
    <w:rsid w:val="00F268A7"/>
    <w:rsid w:val="00F268DB"/>
    <w:rsid w:val="00F270EA"/>
    <w:rsid w:val="00F2726B"/>
    <w:rsid w:val="00F30267"/>
    <w:rsid w:val="00F3068A"/>
    <w:rsid w:val="00F30888"/>
    <w:rsid w:val="00F308F8"/>
    <w:rsid w:val="00F30A91"/>
    <w:rsid w:val="00F30C3A"/>
    <w:rsid w:val="00F30C97"/>
    <w:rsid w:val="00F31419"/>
    <w:rsid w:val="00F315E7"/>
    <w:rsid w:val="00F31A38"/>
    <w:rsid w:val="00F31A56"/>
    <w:rsid w:val="00F3204C"/>
    <w:rsid w:val="00F323B4"/>
    <w:rsid w:val="00F3321A"/>
    <w:rsid w:val="00F3332B"/>
    <w:rsid w:val="00F33DA0"/>
    <w:rsid w:val="00F341AA"/>
    <w:rsid w:val="00F34A64"/>
    <w:rsid w:val="00F34D6C"/>
    <w:rsid w:val="00F35479"/>
    <w:rsid w:val="00F355DC"/>
    <w:rsid w:val="00F35727"/>
    <w:rsid w:val="00F3629F"/>
    <w:rsid w:val="00F3654C"/>
    <w:rsid w:val="00F3693C"/>
    <w:rsid w:val="00F36A4B"/>
    <w:rsid w:val="00F37207"/>
    <w:rsid w:val="00F37902"/>
    <w:rsid w:val="00F4060C"/>
    <w:rsid w:val="00F40908"/>
    <w:rsid w:val="00F40AF2"/>
    <w:rsid w:val="00F4133D"/>
    <w:rsid w:val="00F41FD6"/>
    <w:rsid w:val="00F42F7C"/>
    <w:rsid w:val="00F4317B"/>
    <w:rsid w:val="00F433A4"/>
    <w:rsid w:val="00F43504"/>
    <w:rsid w:val="00F43D1A"/>
    <w:rsid w:val="00F43F2E"/>
    <w:rsid w:val="00F4415A"/>
    <w:rsid w:val="00F442E2"/>
    <w:rsid w:val="00F4491B"/>
    <w:rsid w:val="00F44F74"/>
    <w:rsid w:val="00F45620"/>
    <w:rsid w:val="00F4610D"/>
    <w:rsid w:val="00F47B2B"/>
    <w:rsid w:val="00F47D0B"/>
    <w:rsid w:val="00F47E19"/>
    <w:rsid w:val="00F5080A"/>
    <w:rsid w:val="00F50A44"/>
    <w:rsid w:val="00F50A8B"/>
    <w:rsid w:val="00F50C91"/>
    <w:rsid w:val="00F50FCD"/>
    <w:rsid w:val="00F512AA"/>
    <w:rsid w:val="00F51854"/>
    <w:rsid w:val="00F5190B"/>
    <w:rsid w:val="00F519A2"/>
    <w:rsid w:val="00F51B6C"/>
    <w:rsid w:val="00F51EC0"/>
    <w:rsid w:val="00F5203F"/>
    <w:rsid w:val="00F52224"/>
    <w:rsid w:val="00F52367"/>
    <w:rsid w:val="00F52AA9"/>
    <w:rsid w:val="00F5313D"/>
    <w:rsid w:val="00F5368F"/>
    <w:rsid w:val="00F53E8A"/>
    <w:rsid w:val="00F5424A"/>
    <w:rsid w:val="00F54277"/>
    <w:rsid w:val="00F54667"/>
    <w:rsid w:val="00F54932"/>
    <w:rsid w:val="00F549B8"/>
    <w:rsid w:val="00F54A22"/>
    <w:rsid w:val="00F5500B"/>
    <w:rsid w:val="00F55178"/>
    <w:rsid w:val="00F555B1"/>
    <w:rsid w:val="00F555B7"/>
    <w:rsid w:val="00F55893"/>
    <w:rsid w:val="00F55C98"/>
    <w:rsid w:val="00F55EC9"/>
    <w:rsid w:val="00F5644D"/>
    <w:rsid w:val="00F56727"/>
    <w:rsid w:val="00F56F2A"/>
    <w:rsid w:val="00F571CE"/>
    <w:rsid w:val="00F5723B"/>
    <w:rsid w:val="00F57C38"/>
    <w:rsid w:val="00F600A1"/>
    <w:rsid w:val="00F60813"/>
    <w:rsid w:val="00F60C15"/>
    <w:rsid w:val="00F60C29"/>
    <w:rsid w:val="00F613FC"/>
    <w:rsid w:val="00F61CB7"/>
    <w:rsid w:val="00F6209D"/>
    <w:rsid w:val="00F626F4"/>
    <w:rsid w:val="00F63756"/>
    <w:rsid w:val="00F63886"/>
    <w:rsid w:val="00F63EB6"/>
    <w:rsid w:val="00F6431C"/>
    <w:rsid w:val="00F647FA"/>
    <w:rsid w:val="00F649B6"/>
    <w:rsid w:val="00F64D81"/>
    <w:rsid w:val="00F65406"/>
    <w:rsid w:val="00F6545E"/>
    <w:rsid w:val="00F656CE"/>
    <w:rsid w:val="00F65741"/>
    <w:rsid w:val="00F66122"/>
    <w:rsid w:val="00F66214"/>
    <w:rsid w:val="00F6656D"/>
    <w:rsid w:val="00F66FD5"/>
    <w:rsid w:val="00F672ED"/>
    <w:rsid w:val="00F673C6"/>
    <w:rsid w:val="00F6765C"/>
    <w:rsid w:val="00F679E2"/>
    <w:rsid w:val="00F67F28"/>
    <w:rsid w:val="00F70856"/>
    <w:rsid w:val="00F709C7"/>
    <w:rsid w:val="00F70EF7"/>
    <w:rsid w:val="00F713BE"/>
    <w:rsid w:val="00F716D5"/>
    <w:rsid w:val="00F71855"/>
    <w:rsid w:val="00F71B1D"/>
    <w:rsid w:val="00F71FF9"/>
    <w:rsid w:val="00F72348"/>
    <w:rsid w:val="00F72A80"/>
    <w:rsid w:val="00F72AD8"/>
    <w:rsid w:val="00F7309D"/>
    <w:rsid w:val="00F733B2"/>
    <w:rsid w:val="00F7347D"/>
    <w:rsid w:val="00F7403B"/>
    <w:rsid w:val="00F74A4A"/>
    <w:rsid w:val="00F74EC5"/>
    <w:rsid w:val="00F74F0E"/>
    <w:rsid w:val="00F7560B"/>
    <w:rsid w:val="00F75C09"/>
    <w:rsid w:val="00F75FCC"/>
    <w:rsid w:val="00F760C5"/>
    <w:rsid w:val="00F76201"/>
    <w:rsid w:val="00F7624F"/>
    <w:rsid w:val="00F7636E"/>
    <w:rsid w:val="00F76451"/>
    <w:rsid w:val="00F76544"/>
    <w:rsid w:val="00F76641"/>
    <w:rsid w:val="00F76678"/>
    <w:rsid w:val="00F772D8"/>
    <w:rsid w:val="00F77438"/>
    <w:rsid w:val="00F777F6"/>
    <w:rsid w:val="00F77951"/>
    <w:rsid w:val="00F802C3"/>
    <w:rsid w:val="00F80450"/>
    <w:rsid w:val="00F80505"/>
    <w:rsid w:val="00F80980"/>
    <w:rsid w:val="00F809F6"/>
    <w:rsid w:val="00F80EDB"/>
    <w:rsid w:val="00F815DE"/>
    <w:rsid w:val="00F817ED"/>
    <w:rsid w:val="00F818A2"/>
    <w:rsid w:val="00F81F2B"/>
    <w:rsid w:val="00F81F5C"/>
    <w:rsid w:val="00F81F6C"/>
    <w:rsid w:val="00F822A3"/>
    <w:rsid w:val="00F822CA"/>
    <w:rsid w:val="00F823E7"/>
    <w:rsid w:val="00F827B9"/>
    <w:rsid w:val="00F82F8D"/>
    <w:rsid w:val="00F83189"/>
    <w:rsid w:val="00F8337F"/>
    <w:rsid w:val="00F83400"/>
    <w:rsid w:val="00F83526"/>
    <w:rsid w:val="00F849B0"/>
    <w:rsid w:val="00F84A38"/>
    <w:rsid w:val="00F84B5B"/>
    <w:rsid w:val="00F84CBC"/>
    <w:rsid w:val="00F8521C"/>
    <w:rsid w:val="00F85328"/>
    <w:rsid w:val="00F85382"/>
    <w:rsid w:val="00F86174"/>
    <w:rsid w:val="00F87525"/>
    <w:rsid w:val="00F879D1"/>
    <w:rsid w:val="00F90905"/>
    <w:rsid w:val="00F9096D"/>
    <w:rsid w:val="00F916ED"/>
    <w:rsid w:val="00F91E71"/>
    <w:rsid w:val="00F9242E"/>
    <w:rsid w:val="00F93E57"/>
    <w:rsid w:val="00F94810"/>
    <w:rsid w:val="00F94A07"/>
    <w:rsid w:val="00F94CBB"/>
    <w:rsid w:val="00F94CD9"/>
    <w:rsid w:val="00F94F46"/>
    <w:rsid w:val="00F9506C"/>
    <w:rsid w:val="00F952BD"/>
    <w:rsid w:val="00F95722"/>
    <w:rsid w:val="00F95A8B"/>
    <w:rsid w:val="00F95BAF"/>
    <w:rsid w:val="00F95CEA"/>
    <w:rsid w:val="00F95D11"/>
    <w:rsid w:val="00F9605D"/>
    <w:rsid w:val="00F96106"/>
    <w:rsid w:val="00F96470"/>
    <w:rsid w:val="00F96919"/>
    <w:rsid w:val="00F9696F"/>
    <w:rsid w:val="00F96D14"/>
    <w:rsid w:val="00F96E72"/>
    <w:rsid w:val="00F97542"/>
    <w:rsid w:val="00F97641"/>
    <w:rsid w:val="00F97648"/>
    <w:rsid w:val="00F97885"/>
    <w:rsid w:val="00F97C3E"/>
    <w:rsid w:val="00FA00F8"/>
    <w:rsid w:val="00FA041D"/>
    <w:rsid w:val="00FA07A9"/>
    <w:rsid w:val="00FA0C10"/>
    <w:rsid w:val="00FA0CFD"/>
    <w:rsid w:val="00FA19CD"/>
    <w:rsid w:val="00FA1D14"/>
    <w:rsid w:val="00FA20BD"/>
    <w:rsid w:val="00FA2288"/>
    <w:rsid w:val="00FA299E"/>
    <w:rsid w:val="00FA29BD"/>
    <w:rsid w:val="00FA2C4C"/>
    <w:rsid w:val="00FA465A"/>
    <w:rsid w:val="00FA53E7"/>
    <w:rsid w:val="00FA54C9"/>
    <w:rsid w:val="00FA5818"/>
    <w:rsid w:val="00FA58E8"/>
    <w:rsid w:val="00FA5AF1"/>
    <w:rsid w:val="00FA5C6C"/>
    <w:rsid w:val="00FA6202"/>
    <w:rsid w:val="00FA699F"/>
    <w:rsid w:val="00FA6FB0"/>
    <w:rsid w:val="00FA6FD2"/>
    <w:rsid w:val="00FA7030"/>
    <w:rsid w:val="00FA7683"/>
    <w:rsid w:val="00FA7A67"/>
    <w:rsid w:val="00FA7BDB"/>
    <w:rsid w:val="00FA7D1A"/>
    <w:rsid w:val="00FA7DBD"/>
    <w:rsid w:val="00FB00EC"/>
    <w:rsid w:val="00FB0343"/>
    <w:rsid w:val="00FB0485"/>
    <w:rsid w:val="00FB04FA"/>
    <w:rsid w:val="00FB095B"/>
    <w:rsid w:val="00FB0AB7"/>
    <w:rsid w:val="00FB0AE3"/>
    <w:rsid w:val="00FB0BC7"/>
    <w:rsid w:val="00FB0BFE"/>
    <w:rsid w:val="00FB1635"/>
    <w:rsid w:val="00FB1966"/>
    <w:rsid w:val="00FB19EE"/>
    <w:rsid w:val="00FB1E6A"/>
    <w:rsid w:val="00FB1FD2"/>
    <w:rsid w:val="00FB28A8"/>
    <w:rsid w:val="00FB371E"/>
    <w:rsid w:val="00FB3DBA"/>
    <w:rsid w:val="00FB4F3D"/>
    <w:rsid w:val="00FB518D"/>
    <w:rsid w:val="00FB545A"/>
    <w:rsid w:val="00FB57A4"/>
    <w:rsid w:val="00FB5CF7"/>
    <w:rsid w:val="00FB6547"/>
    <w:rsid w:val="00FB6697"/>
    <w:rsid w:val="00FB66E3"/>
    <w:rsid w:val="00FB6704"/>
    <w:rsid w:val="00FB6F6B"/>
    <w:rsid w:val="00FB75E1"/>
    <w:rsid w:val="00FB7DD6"/>
    <w:rsid w:val="00FB7DD8"/>
    <w:rsid w:val="00FB7F80"/>
    <w:rsid w:val="00FC0F0C"/>
    <w:rsid w:val="00FC1384"/>
    <w:rsid w:val="00FC1799"/>
    <w:rsid w:val="00FC17EE"/>
    <w:rsid w:val="00FC1AF0"/>
    <w:rsid w:val="00FC1CA9"/>
    <w:rsid w:val="00FC21E2"/>
    <w:rsid w:val="00FC22D8"/>
    <w:rsid w:val="00FC25DF"/>
    <w:rsid w:val="00FC284B"/>
    <w:rsid w:val="00FC2854"/>
    <w:rsid w:val="00FC2EAD"/>
    <w:rsid w:val="00FC3AF1"/>
    <w:rsid w:val="00FC4376"/>
    <w:rsid w:val="00FC4AB4"/>
    <w:rsid w:val="00FC4EF1"/>
    <w:rsid w:val="00FC4F5B"/>
    <w:rsid w:val="00FC5F6F"/>
    <w:rsid w:val="00FC675F"/>
    <w:rsid w:val="00FC6E77"/>
    <w:rsid w:val="00FC714E"/>
    <w:rsid w:val="00FC77E4"/>
    <w:rsid w:val="00FD01D1"/>
    <w:rsid w:val="00FD0811"/>
    <w:rsid w:val="00FD0859"/>
    <w:rsid w:val="00FD09CF"/>
    <w:rsid w:val="00FD1B6A"/>
    <w:rsid w:val="00FD1CD3"/>
    <w:rsid w:val="00FD2EDD"/>
    <w:rsid w:val="00FD357B"/>
    <w:rsid w:val="00FD38B6"/>
    <w:rsid w:val="00FD3C8A"/>
    <w:rsid w:val="00FD3E54"/>
    <w:rsid w:val="00FD4708"/>
    <w:rsid w:val="00FD4AF1"/>
    <w:rsid w:val="00FD4F19"/>
    <w:rsid w:val="00FD5522"/>
    <w:rsid w:val="00FD5A2B"/>
    <w:rsid w:val="00FD5F6B"/>
    <w:rsid w:val="00FD6241"/>
    <w:rsid w:val="00FD687D"/>
    <w:rsid w:val="00FD6AF7"/>
    <w:rsid w:val="00FD6EE2"/>
    <w:rsid w:val="00FD7B93"/>
    <w:rsid w:val="00FD7CDE"/>
    <w:rsid w:val="00FD7E28"/>
    <w:rsid w:val="00FE0053"/>
    <w:rsid w:val="00FE0B70"/>
    <w:rsid w:val="00FE0BAC"/>
    <w:rsid w:val="00FE11A9"/>
    <w:rsid w:val="00FE13C9"/>
    <w:rsid w:val="00FE1B32"/>
    <w:rsid w:val="00FE2040"/>
    <w:rsid w:val="00FE2168"/>
    <w:rsid w:val="00FE26E1"/>
    <w:rsid w:val="00FE27A8"/>
    <w:rsid w:val="00FE291D"/>
    <w:rsid w:val="00FE2B58"/>
    <w:rsid w:val="00FE2D50"/>
    <w:rsid w:val="00FE309E"/>
    <w:rsid w:val="00FE32E6"/>
    <w:rsid w:val="00FE352F"/>
    <w:rsid w:val="00FE3C18"/>
    <w:rsid w:val="00FE3CBA"/>
    <w:rsid w:val="00FE3CE6"/>
    <w:rsid w:val="00FE47CE"/>
    <w:rsid w:val="00FE4AF0"/>
    <w:rsid w:val="00FE5783"/>
    <w:rsid w:val="00FE5E95"/>
    <w:rsid w:val="00FE60AE"/>
    <w:rsid w:val="00FE64BD"/>
    <w:rsid w:val="00FE688C"/>
    <w:rsid w:val="00FE6C6C"/>
    <w:rsid w:val="00FE72B1"/>
    <w:rsid w:val="00FE78D3"/>
    <w:rsid w:val="00FE7B60"/>
    <w:rsid w:val="00FE7EA3"/>
    <w:rsid w:val="00FF01BE"/>
    <w:rsid w:val="00FF03CD"/>
    <w:rsid w:val="00FF0BA1"/>
    <w:rsid w:val="00FF1147"/>
    <w:rsid w:val="00FF1205"/>
    <w:rsid w:val="00FF148A"/>
    <w:rsid w:val="00FF17A6"/>
    <w:rsid w:val="00FF1B41"/>
    <w:rsid w:val="00FF1BFC"/>
    <w:rsid w:val="00FF1D34"/>
    <w:rsid w:val="00FF22CA"/>
    <w:rsid w:val="00FF2702"/>
    <w:rsid w:val="00FF2C07"/>
    <w:rsid w:val="00FF3EE9"/>
    <w:rsid w:val="00FF43DA"/>
    <w:rsid w:val="00FF443A"/>
    <w:rsid w:val="00FF455B"/>
    <w:rsid w:val="00FF461E"/>
    <w:rsid w:val="00FF4A4C"/>
    <w:rsid w:val="00FF4F0B"/>
    <w:rsid w:val="00FF532E"/>
    <w:rsid w:val="00FF5423"/>
    <w:rsid w:val="00FF556E"/>
    <w:rsid w:val="00FF5A23"/>
    <w:rsid w:val="00FF5F53"/>
    <w:rsid w:val="00FF6B4C"/>
    <w:rsid w:val="00FF6BCE"/>
    <w:rsid w:val="00FF7ECD"/>
    <w:rsid w:val="00FF7EEE"/>
    <w:rsid w:val="01586132"/>
    <w:rsid w:val="01BC3D07"/>
    <w:rsid w:val="029FB61B"/>
    <w:rsid w:val="02A63607"/>
    <w:rsid w:val="02B6E303"/>
    <w:rsid w:val="02D336C0"/>
    <w:rsid w:val="02FFFA65"/>
    <w:rsid w:val="032870E4"/>
    <w:rsid w:val="034E6FA7"/>
    <w:rsid w:val="03952B72"/>
    <w:rsid w:val="039EDEA2"/>
    <w:rsid w:val="03D8089E"/>
    <w:rsid w:val="03E52080"/>
    <w:rsid w:val="04D98032"/>
    <w:rsid w:val="0515A0C7"/>
    <w:rsid w:val="051E7AA7"/>
    <w:rsid w:val="054EFCA8"/>
    <w:rsid w:val="05723C29"/>
    <w:rsid w:val="058C8FB5"/>
    <w:rsid w:val="05AC043E"/>
    <w:rsid w:val="05C5E7F1"/>
    <w:rsid w:val="067E9871"/>
    <w:rsid w:val="06855AF9"/>
    <w:rsid w:val="07266D06"/>
    <w:rsid w:val="0733684E"/>
    <w:rsid w:val="077AF82E"/>
    <w:rsid w:val="078950F9"/>
    <w:rsid w:val="07D6F6FC"/>
    <w:rsid w:val="07EB3BB7"/>
    <w:rsid w:val="080453CC"/>
    <w:rsid w:val="0807C409"/>
    <w:rsid w:val="080D6842"/>
    <w:rsid w:val="08351D8E"/>
    <w:rsid w:val="08BA1A17"/>
    <w:rsid w:val="08BC5B21"/>
    <w:rsid w:val="0931A550"/>
    <w:rsid w:val="0953D83F"/>
    <w:rsid w:val="097A5ED6"/>
    <w:rsid w:val="0989268B"/>
    <w:rsid w:val="0B65E286"/>
    <w:rsid w:val="0BE2DF26"/>
    <w:rsid w:val="0C104B38"/>
    <w:rsid w:val="0C47A384"/>
    <w:rsid w:val="0C498D71"/>
    <w:rsid w:val="0CAA3139"/>
    <w:rsid w:val="0CEE9846"/>
    <w:rsid w:val="0D0CAFFC"/>
    <w:rsid w:val="0D5E30A8"/>
    <w:rsid w:val="0E069C6A"/>
    <w:rsid w:val="0E58393F"/>
    <w:rsid w:val="0EB347DD"/>
    <w:rsid w:val="0EDF79BF"/>
    <w:rsid w:val="0F389BBB"/>
    <w:rsid w:val="0F5D5076"/>
    <w:rsid w:val="0FCA24C4"/>
    <w:rsid w:val="10049D31"/>
    <w:rsid w:val="1052F02E"/>
    <w:rsid w:val="1097187A"/>
    <w:rsid w:val="10ECB7F9"/>
    <w:rsid w:val="11E0F378"/>
    <w:rsid w:val="11E715F3"/>
    <w:rsid w:val="124798F5"/>
    <w:rsid w:val="12555D65"/>
    <w:rsid w:val="12E828A2"/>
    <w:rsid w:val="140FA625"/>
    <w:rsid w:val="152A6C45"/>
    <w:rsid w:val="15379CE8"/>
    <w:rsid w:val="164A925F"/>
    <w:rsid w:val="165CCF85"/>
    <w:rsid w:val="1697D8E9"/>
    <w:rsid w:val="172C008E"/>
    <w:rsid w:val="17328176"/>
    <w:rsid w:val="17456E8D"/>
    <w:rsid w:val="175880CA"/>
    <w:rsid w:val="17B2E09B"/>
    <w:rsid w:val="17DF6FB2"/>
    <w:rsid w:val="18323604"/>
    <w:rsid w:val="188F3FBE"/>
    <w:rsid w:val="18DDF4E7"/>
    <w:rsid w:val="191DBF3F"/>
    <w:rsid w:val="199469BE"/>
    <w:rsid w:val="199DEC2D"/>
    <w:rsid w:val="19BC8CA7"/>
    <w:rsid w:val="1A123BF7"/>
    <w:rsid w:val="1A67BF28"/>
    <w:rsid w:val="1A6B0EE6"/>
    <w:rsid w:val="1A85A80A"/>
    <w:rsid w:val="1AD369C4"/>
    <w:rsid w:val="1AED71B5"/>
    <w:rsid w:val="1B1B1BDB"/>
    <w:rsid w:val="1B2C32B5"/>
    <w:rsid w:val="1B6504A6"/>
    <w:rsid w:val="1BB066E8"/>
    <w:rsid w:val="1BB7D82D"/>
    <w:rsid w:val="1BC9E29D"/>
    <w:rsid w:val="1C0C1380"/>
    <w:rsid w:val="1C3B5C9C"/>
    <w:rsid w:val="1C476662"/>
    <w:rsid w:val="1CA4B7ED"/>
    <w:rsid w:val="1CAE674C"/>
    <w:rsid w:val="1CC13FA1"/>
    <w:rsid w:val="1CE668D6"/>
    <w:rsid w:val="1DB714C5"/>
    <w:rsid w:val="1DD9A709"/>
    <w:rsid w:val="1E6A8113"/>
    <w:rsid w:val="1EBC637C"/>
    <w:rsid w:val="1EBCB546"/>
    <w:rsid w:val="1F6A2F7A"/>
    <w:rsid w:val="1F7E5877"/>
    <w:rsid w:val="1F857649"/>
    <w:rsid w:val="1FE657BD"/>
    <w:rsid w:val="201F7503"/>
    <w:rsid w:val="208225C8"/>
    <w:rsid w:val="2116EF6F"/>
    <w:rsid w:val="21934A9C"/>
    <w:rsid w:val="21B30E40"/>
    <w:rsid w:val="21F2C445"/>
    <w:rsid w:val="21FFE4F4"/>
    <w:rsid w:val="23D173D0"/>
    <w:rsid w:val="247E9132"/>
    <w:rsid w:val="2480BE2F"/>
    <w:rsid w:val="249CB309"/>
    <w:rsid w:val="2537B16A"/>
    <w:rsid w:val="253D9E2E"/>
    <w:rsid w:val="25630E73"/>
    <w:rsid w:val="25693138"/>
    <w:rsid w:val="2578396B"/>
    <w:rsid w:val="261EF1D0"/>
    <w:rsid w:val="276AC97D"/>
    <w:rsid w:val="27B36947"/>
    <w:rsid w:val="285098B4"/>
    <w:rsid w:val="291FA557"/>
    <w:rsid w:val="29CAA04E"/>
    <w:rsid w:val="2A739D9B"/>
    <w:rsid w:val="2B9AAB62"/>
    <w:rsid w:val="2C383905"/>
    <w:rsid w:val="2C506EE3"/>
    <w:rsid w:val="2C6B4A4A"/>
    <w:rsid w:val="2CD16B22"/>
    <w:rsid w:val="2D42BAD3"/>
    <w:rsid w:val="2D49CE45"/>
    <w:rsid w:val="2E5095AC"/>
    <w:rsid w:val="2E611BD0"/>
    <w:rsid w:val="2F176CF7"/>
    <w:rsid w:val="2F64B039"/>
    <w:rsid w:val="306CFAD0"/>
    <w:rsid w:val="31786045"/>
    <w:rsid w:val="31C6022D"/>
    <w:rsid w:val="31EFB35A"/>
    <w:rsid w:val="31F7AD8E"/>
    <w:rsid w:val="3273A1F8"/>
    <w:rsid w:val="329804C4"/>
    <w:rsid w:val="33018498"/>
    <w:rsid w:val="3307688A"/>
    <w:rsid w:val="33249381"/>
    <w:rsid w:val="3332DEDC"/>
    <w:rsid w:val="33925535"/>
    <w:rsid w:val="33C13FB4"/>
    <w:rsid w:val="33E65358"/>
    <w:rsid w:val="3419730F"/>
    <w:rsid w:val="346473D8"/>
    <w:rsid w:val="35438166"/>
    <w:rsid w:val="35BC9621"/>
    <w:rsid w:val="35D2D4F0"/>
    <w:rsid w:val="36833EE9"/>
    <w:rsid w:val="3689F758"/>
    <w:rsid w:val="369CC736"/>
    <w:rsid w:val="36E4F803"/>
    <w:rsid w:val="371C936C"/>
    <w:rsid w:val="37A973CB"/>
    <w:rsid w:val="37D994B7"/>
    <w:rsid w:val="382BD5E7"/>
    <w:rsid w:val="38418DB6"/>
    <w:rsid w:val="38442BF9"/>
    <w:rsid w:val="38A22EF4"/>
    <w:rsid w:val="38D37252"/>
    <w:rsid w:val="3961419A"/>
    <w:rsid w:val="39C5D509"/>
    <w:rsid w:val="3AD8A7B2"/>
    <w:rsid w:val="3AE1A8FD"/>
    <w:rsid w:val="3AFB4BBB"/>
    <w:rsid w:val="3B5C3E1E"/>
    <w:rsid w:val="3B7A728A"/>
    <w:rsid w:val="3BA9CED1"/>
    <w:rsid w:val="3C026A56"/>
    <w:rsid w:val="3C3CD0FD"/>
    <w:rsid w:val="3C4BAE72"/>
    <w:rsid w:val="3C9660D6"/>
    <w:rsid w:val="3CB25EAC"/>
    <w:rsid w:val="3CCF087F"/>
    <w:rsid w:val="3CEFFC87"/>
    <w:rsid w:val="3D615008"/>
    <w:rsid w:val="3DFEE199"/>
    <w:rsid w:val="3E7AB0E8"/>
    <w:rsid w:val="3E8D76C7"/>
    <w:rsid w:val="3F79B618"/>
    <w:rsid w:val="402A152A"/>
    <w:rsid w:val="4097B9B0"/>
    <w:rsid w:val="40FA9506"/>
    <w:rsid w:val="411BDA30"/>
    <w:rsid w:val="41A46770"/>
    <w:rsid w:val="42F23583"/>
    <w:rsid w:val="437BD40C"/>
    <w:rsid w:val="43E74353"/>
    <w:rsid w:val="44FF0978"/>
    <w:rsid w:val="45039198"/>
    <w:rsid w:val="451490B5"/>
    <w:rsid w:val="45896D57"/>
    <w:rsid w:val="4591FE6D"/>
    <w:rsid w:val="4659D841"/>
    <w:rsid w:val="466A7F78"/>
    <w:rsid w:val="46E4B8B6"/>
    <w:rsid w:val="4703CC2A"/>
    <w:rsid w:val="4709E895"/>
    <w:rsid w:val="471E77E0"/>
    <w:rsid w:val="4781DD25"/>
    <w:rsid w:val="479324AC"/>
    <w:rsid w:val="47B886A4"/>
    <w:rsid w:val="47E60409"/>
    <w:rsid w:val="47FFB88B"/>
    <w:rsid w:val="481E201A"/>
    <w:rsid w:val="485497F6"/>
    <w:rsid w:val="48EB03EF"/>
    <w:rsid w:val="4911A7C1"/>
    <w:rsid w:val="49330739"/>
    <w:rsid w:val="49A054D3"/>
    <w:rsid w:val="49E2065E"/>
    <w:rsid w:val="4A4233A1"/>
    <w:rsid w:val="4A5EF649"/>
    <w:rsid w:val="4A5F4B9F"/>
    <w:rsid w:val="4B25DA90"/>
    <w:rsid w:val="4B34DFE9"/>
    <w:rsid w:val="4BDB3618"/>
    <w:rsid w:val="4BDEA656"/>
    <w:rsid w:val="4C15E906"/>
    <w:rsid w:val="4D224BD2"/>
    <w:rsid w:val="4D3FA74B"/>
    <w:rsid w:val="4DD60198"/>
    <w:rsid w:val="4E414732"/>
    <w:rsid w:val="4E7BDE2D"/>
    <w:rsid w:val="4EA28FAF"/>
    <w:rsid w:val="4EA7052A"/>
    <w:rsid w:val="4EB2716F"/>
    <w:rsid w:val="4EE97C1D"/>
    <w:rsid w:val="4F3F7D98"/>
    <w:rsid w:val="4F570211"/>
    <w:rsid w:val="5083B276"/>
    <w:rsid w:val="512C84CE"/>
    <w:rsid w:val="51793AD4"/>
    <w:rsid w:val="5299DD46"/>
    <w:rsid w:val="534C8FBB"/>
    <w:rsid w:val="54755525"/>
    <w:rsid w:val="54B9FB36"/>
    <w:rsid w:val="5500F518"/>
    <w:rsid w:val="55381787"/>
    <w:rsid w:val="556E329F"/>
    <w:rsid w:val="55D80F26"/>
    <w:rsid w:val="56601ED4"/>
    <w:rsid w:val="56A33483"/>
    <w:rsid w:val="56A96E1B"/>
    <w:rsid w:val="56ABAA60"/>
    <w:rsid w:val="56CC9972"/>
    <w:rsid w:val="56F2257A"/>
    <w:rsid w:val="57A3C6E6"/>
    <w:rsid w:val="5804EE9F"/>
    <w:rsid w:val="5842310C"/>
    <w:rsid w:val="58793030"/>
    <w:rsid w:val="58A04DA3"/>
    <w:rsid w:val="590FC195"/>
    <w:rsid w:val="5954F6E3"/>
    <w:rsid w:val="599B8D12"/>
    <w:rsid w:val="59B80C11"/>
    <w:rsid w:val="59CEFC85"/>
    <w:rsid w:val="5AA8DF4C"/>
    <w:rsid w:val="5B868467"/>
    <w:rsid w:val="5BAEBFDB"/>
    <w:rsid w:val="5BCF6719"/>
    <w:rsid w:val="5D381AEA"/>
    <w:rsid w:val="5DC67833"/>
    <w:rsid w:val="5DCEBCF2"/>
    <w:rsid w:val="5E467371"/>
    <w:rsid w:val="5E55F97D"/>
    <w:rsid w:val="5E8934C2"/>
    <w:rsid w:val="5E96A6EF"/>
    <w:rsid w:val="5F09F89F"/>
    <w:rsid w:val="5F211BCE"/>
    <w:rsid w:val="5F23B48C"/>
    <w:rsid w:val="5F423B66"/>
    <w:rsid w:val="5F4CCECB"/>
    <w:rsid w:val="5F5696A0"/>
    <w:rsid w:val="5F5E47F9"/>
    <w:rsid w:val="5F6845E0"/>
    <w:rsid w:val="6039339B"/>
    <w:rsid w:val="603EF176"/>
    <w:rsid w:val="6057F6F7"/>
    <w:rsid w:val="60743E8B"/>
    <w:rsid w:val="607574FD"/>
    <w:rsid w:val="60971025"/>
    <w:rsid w:val="60FFE0F8"/>
    <w:rsid w:val="61C0EE97"/>
    <w:rsid w:val="62547C6B"/>
    <w:rsid w:val="6267804C"/>
    <w:rsid w:val="62C856F8"/>
    <w:rsid w:val="63DAF125"/>
    <w:rsid w:val="6411DDC8"/>
    <w:rsid w:val="64254EE4"/>
    <w:rsid w:val="64FF70A4"/>
    <w:rsid w:val="65492235"/>
    <w:rsid w:val="6634A0D1"/>
    <w:rsid w:val="66C61203"/>
    <w:rsid w:val="66E8BE11"/>
    <w:rsid w:val="6709551E"/>
    <w:rsid w:val="67710C88"/>
    <w:rsid w:val="67CAF901"/>
    <w:rsid w:val="67D4F7D9"/>
    <w:rsid w:val="67FDB4FF"/>
    <w:rsid w:val="685D117C"/>
    <w:rsid w:val="687357D2"/>
    <w:rsid w:val="68834290"/>
    <w:rsid w:val="68AE442F"/>
    <w:rsid w:val="68D69AE5"/>
    <w:rsid w:val="68DC2DE2"/>
    <w:rsid w:val="68FE98B0"/>
    <w:rsid w:val="690B0A64"/>
    <w:rsid w:val="6A270876"/>
    <w:rsid w:val="6AB3A600"/>
    <w:rsid w:val="6B1B7274"/>
    <w:rsid w:val="6B7A2F45"/>
    <w:rsid w:val="6BC94EC2"/>
    <w:rsid w:val="6C2F7394"/>
    <w:rsid w:val="6E4CDF09"/>
    <w:rsid w:val="6EBDA1E7"/>
    <w:rsid w:val="6F4B90E5"/>
    <w:rsid w:val="6F5C1DB3"/>
    <w:rsid w:val="6F7967D6"/>
    <w:rsid w:val="6F919B8B"/>
    <w:rsid w:val="70153FF4"/>
    <w:rsid w:val="70332B1D"/>
    <w:rsid w:val="70411B73"/>
    <w:rsid w:val="7064254A"/>
    <w:rsid w:val="70B92ED9"/>
    <w:rsid w:val="70F49F7C"/>
    <w:rsid w:val="7114BF38"/>
    <w:rsid w:val="711A84BF"/>
    <w:rsid w:val="715163BF"/>
    <w:rsid w:val="7153CC6F"/>
    <w:rsid w:val="71C65916"/>
    <w:rsid w:val="71DE9465"/>
    <w:rsid w:val="72042736"/>
    <w:rsid w:val="7271BD8B"/>
    <w:rsid w:val="73662E28"/>
    <w:rsid w:val="73CB4658"/>
    <w:rsid w:val="7425F1DA"/>
    <w:rsid w:val="74D263FA"/>
    <w:rsid w:val="74DAA37C"/>
    <w:rsid w:val="7517BE6F"/>
    <w:rsid w:val="75416F5B"/>
    <w:rsid w:val="7574F189"/>
    <w:rsid w:val="7595CEE9"/>
    <w:rsid w:val="767A18C7"/>
    <w:rsid w:val="77874B7A"/>
    <w:rsid w:val="77A85B91"/>
    <w:rsid w:val="7840FEA7"/>
    <w:rsid w:val="787AAF56"/>
    <w:rsid w:val="787DBD51"/>
    <w:rsid w:val="78A4E091"/>
    <w:rsid w:val="78A92BA7"/>
    <w:rsid w:val="78CBC78E"/>
    <w:rsid w:val="78F6FC62"/>
    <w:rsid w:val="792F8982"/>
    <w:rsid w:val="795CCF95"/>
    <w:rsid w:val="79B98DCA"/>
    <w:rsid w:val="7A0A37E7"/>
    <w:rsid w:val="7A22645C"/>
    <w:rsid w:val="7A370A17"/>
    <w:rsid w:val="7A85BADD"/>
    <w:rsid w:val="7B21E4AB"/>
    <w:rsid w:val="7B3589F8"/>
    <w:rsid w:val="7B46F355"/>
    <w:rsid w:val="7B57B153"/>
    <w:rsid w:val="7BB5314E"/>
    <w:rsid w:val="7D7688EF"/>
    <w:rsid w:val="7E19533F"/>
    <w:rsid w:val="7E22574C"/>
    <w:rsid w:val="7E3053E6"/>
    <w:rsid w:val="7F1BE91D"/>
    <w:rsid w:val="7F97329B"/>
    <w:rsid w:val="7FB591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CD4FB2"/>
  <w15:chartTrackingRefBased/>
  <w15:docId w15:val="{99A5DAFD-4F42-4409-BDB0-893C01DA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rsid w:val="00671023"/>
    <w:pPr>
      <w:spacing w:after="240" w:line="240" w:lineRule="auto"/>
      <w:jc w:val="both"/>
    </w:pPr>
    <w:rPr>
      <w:rFonts w:ascii="Times New Roman" w:eastAsia="Times New Roman" w:hAnsi="Times New Roman" w:cs="Times New Roman"/>
      <w:kern w:val="0"/>
      <w:sz w:val="24"/>
      <w:szCs w:val="20"/>
      <w:lang w:eastAsia="en-GB"/>
    </w:rPr>
  </w:style>
  <w:style w:type="paragraph" w:styleId="Heading1">
    <w:name w:val="heading 1"/>
    <w:basedOn w:val="Normal"/>
    <w:next w:val="Normal"/>
    <w:link w:val="Heading1Char"/>
    <w:uiPriority w:val="90"/>
    <w:qFormat/>
    <w:rsid w:val="0067102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0"/>
    <w:unhideWhenUsed/>
    <w:qFormat/>
    <w:rsid w:val="0067102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0"/>
    <w:unhideWhenUsed/>
    <w:qFormat/>
    <w:rsid w:val="0067102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0"/>
    <w:unhideWhenUsed/>
    <w:qFormat/>
    <w:rsid w:val="0067102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67102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671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671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671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671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02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7102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7102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7102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7102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71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023"/>
    <w:rPr>
      <w:rFonts w:eastAsiaTheme="majorEastAsia" w:cstheme="majorBidi"/>
      <w:color w:val="272727" w:themeColor="text1" w:themeTint="D8"/>
    </w:rPr>
  </w:style>
  <w:style w:type="paragraph" w:styleId="Title">
    <w:name w:val="Title"/>
    <w:basedOn w:val="Normal"/>
    <w:next w:val="Normal"/>
    <w:link w:val="TitleChar"/>
    <w:qFormat/>
    <w:rsid w:val="006710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023"/>
    <w:pPr>
      <w:spacing w:before="160"/>
      <w:jc w:val="center"/>
    </w:pPr>
    <w:rPr>
      <w:i/>
      <w:iCs/>
      <w:color w:val="404040" w:themeColor="text1" w:themeTint="BF"/>
    </w:rPr>
  </w:style>
  <w:style w:type="character" w:customStyle="1" w:styleId="QuoteChar">
    <w:name w:val="Quote Char"/>
    <w:basedOn w:val="DefaultParagraphFont"/>
    <w:link w:val="Quote"/>
    <w:uiPriority w:val="29"/>
    <w:rsid w:val="00671023"/>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671023"/>
    <w:pPr>
      <w:ind w:left="720"/>
      <w:contextualSpacing/>
    </w:pPr>
  </w:style>
  <w:style w:type="character" w:styleId="IntenseEmphasis">
    <w:name w:val="Intense Emphasis"/>
    <w:basedOn w:val="DefaultParagraphFont"/>
    <w:uiPriority w:val="21"/>
    <w:qFormat/>
    <w:rsid w:val="00671023"/>
    <w:rPr>
      <w:i/>
      <w:iCs/>
      <w:color w:val="365F91" w:themeColor="accent1" w:themeShade="BF"/>
    </w:rPr>
  </w:style>
  <w:style w:type="paragraph" w:styleId="IntenseQuote">
    <w:name w:val="Intense Quote"/>
    <w:basedOn w:val="Normal"/>
    <w:next w:val="Normal"/>
    <w:link w:val="IntenseQuoteChar"/>
    <w:uiPriority w:val="30"/>
    <w:qFormat/>
    <w:rsid w:val="0067102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71023"/>
    <w:rPr>
      <w:i/>
      <w:iCs/>
      <w:color w:val="365F91" w:themeColor="accent1" w:themeShade="BF"/>
    </w:rPr>
  </w:style>
  <w:style w:type="character" w:styleId="IntenseReference">
    <w:name w:val="Intense Reference"/>
    <w:basedOn w:val="DefaultParagraphFont"/>
    <w:uiPriority w:val="32"/>
    <w:qFormat/>
    <w:rsid w:val="00671023"/>
    <w:rPr>
      <w:b/>
      <w:bCs/>
      <w:smallCaps/>
      <w:color w:val="365F91" w:themeColor="accent1" w:themeShade="BF"/>
      <w:spacing w:val="5"/>
    </w:rPr>
  </w:style>
  <w:style w:type="character" w:styleId="PlaceholderText">
    <w:name w:val="Placeholder Text"/>
    <w:basedOn w:val="DefaultParagraphFont"/>
    <w:uiPriority w:val="99"/>
    <w:semiHidden/>
    <w:rsid w:val="00671023"/>
    <w:rPr>
      <w:color w:val="288061"/>
    </w:rPr>
  </w:style>
  <w:style w:type="character" w:customStyle="1" w:styleId="BodyPlaceholderText">
    <w:name w:val="BodyPlaceholderText"/>
    <w:basedOn w:val="PlaceholderText"/>
    <w:uiPriority w:val="1"/>
    <w:semiHidden/>
    <w:rsid w:val="00671023"/>
    <w:rPr>
      <w:color w:val="3366CC"/>
    </w:rPr>
  </w:style>
  <w:style w:type="character" w:customStyle="1" w:styleId="MarkingLabel">
    <w:name w:val="MarkingLabel"/>
    <w:semiHidden/>
    <w:rsid w:val="00671023"/>
    <w:rPr>
      <w:b/>
      <w:caps/>
      <w:sz w:val="28"/>
    </w:rPr>
  </w:style>
  <w:style w:type="character" w:customStyle="1" w:styleId="MarkingText">
    <w:name w:val="MarkingText"/>
    <w:semiHidden/>
    <w:rsid w:val="00671023"/>
    <w:rPr>
      <w:i/>
      <w:sz w:val="28"/>
    </w:rPr>
  </w:style>
  <w:style w:type="character" w:customStyle="1" w:styleId="CrossReference">
    <w:name w:val="Cross Reference"/>
    <w:basedOn w:val="DefaultParagraphFont"/>
    <w:uiPriority w:val="99"/>
    <w:rsid w:val="00671023"/>
    <w:rPr>
      <w:i/>
    </w:rPr>
  </w:style>
  <w:style w:type="paragraph" w:customStyle="1" w:styleId="FigureSource">
    <w:name w:val="Figure Source"/>
    <w:basedOn w:val="Normal"/>
    <w:next w:val="Normal"/>
    <w:uiPriority w:val="7"/>
    <w:rsid w:val="00671023"/>
    <w:rPr>
      <w:sz w:val="20"/>
    </w:rPr>
  </w:style>
  <w:style w:type="paragraph" w:customStyle="1" w:styleId="FigureNote">
    <w:name w:val="Figure Note"/>
    <w:basedOn w:val="FigureSource"/>
    <w:next w:val="FigureSource"/>
    <w:uiPriority w:val="7"/>
    <w:rsid w:val="00671023"/>
    <w:rPr>
      <w:b/>
    </w:rPr>
  </w:style>
  <w:style w:type="paragraph" w:customStyle="1" w:styleId="FigureBody">
    <w:name w:val="Figure Body"/>
    <w:basedOn w:val="Normal"/>
    <w:next w:val="FigureNote"/>
    <w:uiPriority w:val="7"/>
    <w:rsid w:val="00671023"/>
    <w:pPr>
      <w:keepNext/>
      <w:spacing w:after="40"/>
    </w:pPr>
  </w:style>
  <w:style w:type="paragraph" w:customStyle="1" w:styleId="FigureTitle">
    <w:name w:val="Figure Title"/>
    <w:basedOn w:val="Normal"/>
    <w:next w:val="FigureBody"/>
    <w:uiPriority w:val="6"/>
    <w:rsid w:val="00671023"/>
    <w:pPr>
      <w:keepNext/>
      <w:spacing w:after="180"/>
    </w:pPr>
    <w:rPr>
      <w:b/>
    </w:rPr>
  </w:style>
  <w:style w:type="paragraph" w:customStyle="1" w:styleId="HistTableHeading">
    <w:name w:val="HistTableHeading"/>
    <w:basedOn w:val="Normal"/>
    <w:next w:val="HistoryTable"/>
    <w:rsid w:val="00671023"/>
    <w:pPr>
      <w:spacing w:before="240"/>
      <w:jc w:val="center"/>
    </w:pPr>
    <w:rPr>
      <w:rFonts w:ascii="Times New Roman Bold" w:hAnsi="Times New Roman Bold"/>
      <w:b/>
      <w:caps/>
    </w:rPr>
  </w:style>
  <w:style w:type="paragraph" w:customStyle="1" w:styleId="HistoryTable">
    <w:name w:val="HistoryTable"/>
    <w:basedOn w:val="Normal"/>
    <w:rsid w:val="00671023"/>
    <w:pPr>
      <w:spacing w:before="60" w:after="60"/>
      <w:jc w:val="left"/>
    </w:pPr>
    <w:rPr>
      <w:sz w:val="20"/>
    </w:rPr>
  </w:style>
  <w:style w:type="paragraph" w:customStyle="1" w:styleId="FooterLine">
    <w:name w:val="Footer Line"/>
    <w:basedOn w:val="Footer"/>
    <w:next w:val="Footer"/>
    <w:uiPriority w:val="99"/>
    <w:rsid w:val="00671023"/>
    <w:pPr>
      <w:tabs>
        <w:tab w:val="right" w:pos="8646"/>
      </w:tabs>
      <w:spacing w:before="120" w:line="264" w:lineRule="auto"/>
      <w:ind w:right="0"/>
      <w:jc w:val="both"/>
    </w:pPr>
  </w:style>
  <w:style w:type="paragraph" w:customStyle="1" w:styleId="YReferences">
    <w:name w:val="YReferences"/>
    <w:basedOn w:val="Normal"/>
    <w:next w:val="Normal"/>
    <w:rsid w:val="00671023"/>
    <w:pPr>
      <w:spacing w:after="480"/>
      <w:ind w:left="3062" w:hanging="1531"/>
    </w:pPr>
  </w:style>
  <w:style w:type="paragraph" w:customStyle="1" w:styleId="SubTitle2">
    <w:name w:val="SubTitle 2"/>
    <w:basedOn w:val="Normal"/>
    <w:rsid w:val="00671023"/>
    <w:pPr>
      <w:jc w:val="center"/>
    </w:pPr>
    <w:rPr>
      <w:b/>
      <w:sz w:val="32"/>
    </w:rPr>
  </w:style>
  <w:style w:type="paragraph" w:customStyle="1" w:styleId="SubTitle1">
    <w:name w:val="SubTitle 1"/>
    <w:basedOn w:val="Normal"/>
    <w:next w:val="SubTitle2"/>
    <w:rsid w:val="00671023"/>
    <w:pPr>
      <w:jc w:val="center"/>
    </w:pPr>
    <w:rPr>
      <w:b/>
      <w:sz w:val="40"/>
    </w:rPr>
  </w:style>
  <w:style w:type="paragraph" w:customStyle="1" w:styleId="Enclosures">
    <w:name w:val="Enclosures"/>
    <w:basedOn w:val="Normal"/>
    <w:uiPriority w:val="99"/>
    <w:rsid w:val="00671023"/>
    <w:pPr>
      <w:keepNext/>
      <w:keepLines/>
      <w:tabs>
        <w:tab w:val="left" w:pos="5641"/>
      </w:tabs>
      <w:spacing w:before="480" w:after="0"/>
      <w:ind w:left="2382" w:hanging="1191"/>
      <w:jc w:val="left"/>
    </w:pPr>
  </w:style>
  <w:style w:type="paragraph" w:customStyle="1" w:styleId="DoubSign">
    <w:name w:val="DoubSign"/>
    <w:basedOn w:val="Normal"/>
    <w:next w:val="Enclosures"/>
    <w:rsid w:val="00671023"/>
    <w:pPr>
      <w:tabs>
        <w:tab w:val="left" w:pos="5102"/>
      </w:tabs>
      <w:spacing w:before="1200" w:after="0"/>
      <w:jc w:val="left"/>
    </w:pPr>
  </w:style>
  <w:style w:type="paragraph" w:customStyle="1" w:styleId="SignatureL">
    <w:name w:val="SignatureL"/>
    <w:basedOn w:val="Normal"/>
    <w:next w:val="Enclosures"/>
    <w:rsid w:val="00671023"/>
    <w:pPr>
      <w:tabs>
        <w:tab w:val="left" w:pos="5102"/>
      </w:tabs>
      <w:spacing w:before="1200" w:after="0"/>
      <w:jc w:val="left"/>
    </w:pPr>
  </w:style>
  <w:style w:type="paragraph" w:styleId="Signature">
    <w:name w:val="Signature"/>
    <w:basedOn w:val="Normal"/>
    <w:next w:val="Enclosures"/>
    <w:link w:val="SignatureChar"/>
    <w:rsid w:val="00671023"/>
    <w:pPr>
      <w:tabs>
        <w:tab w:val="left" w:pos="5102"/>
      </w:tabs>
      <w:spacing w:before="1200" w:after="0"/>
      <w:ind w:left="5102"/>
      <w:jc w:val="center"/>
    </w:pPr>
  </w:style>
  <w:style w:type="character" w:customStyle="1" w:styleId="SignatureChar">
    <w:name w:val="Signature Char"/>
    <w:basedOn w:val="DefaultParagraphFont"/>
    <w:link w:val="Signature"/>
    <w:rsid w:val="00671023"/>
    <w:rPr>
      <w:rFonts w:ascii="Times New Roman" w:eastAsia="Times New Roman" w:hAnsi="Times New Roman" w:cs="Times New Roman"/>
      <w:kern w:val="0"/>
      <w:sz w:val="24"/>
      <w:szCs w:val="20"/>
      <w:lang w:eastAsia="en-GB"/>
    </w:rPr>
  </w:style>
  <w:style w:type="paragraph" w:customStyle="1" w:styleId="SectionTitle">
    <w:name w:val="SectionTitle"/>
    <w:basedOn w:val="Normal"/>
    <w:next w:val="Heading1"/>
    <w:uiPriority w:val="90"/>
    <w:qFormat/>
    <w:rsid w:val="00671023"/>
    <w:pPr>
      <w:keepNext/>
      <w:spacing w:after="480"/>
      <w:jc w:val="center"/>
      <w:outlineLvl w:val="0"/>
    </w:pPr>
    <w:rPr>
      <w:b/>
      <w:smallCaps/>
      <w:sz w:val="28"/>
    </w:rPr>
  </w:style>
  <w:style w:type="paragraph" w:customStyle="1" w:styleId="ChapterTitle">
    <w:name w:val="ChapterTitle"/>
    <w:basedOn w:val="Normal"/>
    <w:next w:val="SectionTitle"/>
    <w:uiPriority w:val="90"/>
    <w:qFormat/>
    <w:rsid w:val="00671023"/>
    <w:pPr>
      <w:keepNext/>
      <w:spacing w:after="480"/>
      <w:jc w:val="center"/>
      <w:outlineLvl w:val="0"/>
    </w:pPr>
    <w:rPr>
      <w:b/>
      <w:sz w:val="32"/>
    </w:rPr>
  </w:style>
  <w:style w:type="paragraph" w:customStyle="1" w:styleId="PartTitle">
    <w:name w:val="PartTitle"/>
    <w:basedOn w:val="Normal"/>
    <w:next w:val="ChapterTitle"/>
    <w:uiPriority w:val="90"/>
    <w:qFormat/>
    <w:rsid w:val="00671023"/>
    <w:pPr>
      <w:keepNext/>
      <w:pageBreakBefore/>
      <w:spacing w:after="480"/>
      <w:jc w:val="center"/>
      <w:outlineLvl w:val="0"/>
    </w:pPr>
    <w:rPr>
      <w:b/>
      <w:sz w:val="36"/>
    </w:rPr>
  </w:style>
  <w:style w:type="paragraph" w:customStyle="1" w:styleId="AddressTR">
    <w:name w:val="AddressTR"/>
    <w:basedOn w:val="Normal"/>
    <w:next w:val="Normal"/>
    <w:rsid w:val="00671023"/>
    <w:pPr>
      <w:spacing w:after="720"/>
      <w:ind w:left="5102"/>
      <w:jc w:val="left"/>
    </w:pPr>
  </w:style>
  <w:style w:type="paragraph" w:customStyle="1" w:styleId="AddressTL">
    <w:name w:val="AddressTL"/>
    <w:basedOn w:val="Normal"/>
    <w:next w:val="Normal"/>
    <w:rsid w:val="00671023"/>
    <w:pPr>
      <w:spacing w:after="720"/>
      <w:jc w:val="left"/>
    </w:pPr>
  </w:style>
  <w:style w:type="paragraph" w:customStyle="1" w:styleId="Address">
    <w:name w:val="Address"/>
    <w:basedOn w:val="Normal"/>
    <w:rsid w:val="00671023"/>
    <w:pPr>
      <w:spacing w:after="0"/>
      <w:jc w:val="left"/>
    </w:pPr>
  </w:style>
  <w:style w:type="paragraph" w:customStyle="1" w:styleId="Text4">
    <w:name w:val="Text 4"/>
    <w:basedOn w:val="Normal"/>
    <w:qFormat/>
    <w:rsid w:val="00671023"/>
    <w:pPr>
      <w:ind w:left="1202"/>
    </w:pPr>
  </w:style>
  <w:style w:type="paragraph" w:customStyle="1" w:styleId="Text3">
    <w:name w:val="Text 3"/>
    <w:basedOn w:val="Normal"/>
    <w:uiPriority w:val="90"/>
    <w:qFormat/>
    <w:rsid w:val="00671023"/>
    <w:pPr>
      <w:ind w:left="1202"/>
    </w:pPr>
  </w:style>
  <w:style w:type="paragraph" w:customStyle="1" w:styleId="Text2">
    <w:name w:val="Text 2"/>
    <w:basedOn w:val="Normal"/>
    <w:uiPriority w:val="90"/>
    <w:qFormat/>
    <w:rsid w:val="00671023"/>
    <w:pPr>
      <w:ind w:left="1202"/>
    </w:pPr>
  </w:style>
  <w:style w:type="paragraph" w:customStyle="1" w:styleId="Text1">
    <w:name w:val="Text 1"/>
    <w:basedOn w:val="Normal"/>
    <w:uiPriority w:val="90"/>
    <w:qFormat/>
    <w:rsid w:val="00671023"/>
    <w:pPr>
      <w:ind w:left="482"/>
    </w:pPr>
  </w:style>
  <w:style w:type="paragraph" w:customStyle="1" w:styleId="ZFlag">
    <w:name w:val="Z_Flag"/>
    <w:basedOn w:val="Normal"/>
    <w:next w:val="Normal"/>
    <w:uiPriority w:val="99"/>
    <w:semiHidden/>
    <w:rsid w:val="00671023"/>
    <w:pPr>
      <w:widowControl w:val="0"/>
      <w:spacing w:after="0"/>
      <w:ind w:right="85"/>
    </w:pPr>
  </w:style>
  <w:style w:type="paragraph" w:customStyle="1" w:styleId="ZCom">
    <w:name w:val="Z_Com"/>
    <w:basedOn w:val="Normal"/>
    <w:next w:val="Normal"/>
    <w:uiPriority w:val="99"/>
    <w:semiHidden/>
    <w:rsid w:val="00671023"/>
    <w:pPr>
      <w:widowControl w:val="0"/>
      <w:spacing w:before="90" w:after="0"/>
      <w:ind w:right="85"/>
    </w:pPr>
  </w:style>
  <w:style w:type="paragraph" w:customStyle="1" w:styleId="ZDGName">
    <w:name w:val="Z_DGName"/>
    <w:basedOn w:val="Normal"/>
    <w:uiPriority w:val="99"/>
    <w:semiHidden/>
    <w:rsid w:val="00671023"/>
    <w:pPr>
      <w:widowControl w:val="0"/>
      <w:spacing w:after="0"/>
      <w:ind w:right="85"/>
      <w:jc w:val="left"/>
    </w:pPr>
    <w:rPr>
      <w:sz w:val="16"/>
    </w:rPr>
  </w:style>
  <w:style w:type="paragraph" w:styleId="Caption">
    <w:name w:val="caption"/>
    <w:basedOn w:val="Normal"/>
    <w:next w:val="Normal"/>
    <w:rsid w:val="00671023"/>
    <w:pPr>
      <w:spacing w:before="160"/>
    </w:pPr>
    <w:rPr>
      <w:i/>
      <w:sz w:val="22"/>
    </w:rPr>
  </w:style>
  <w:style w:type="paragraph" w:customStyle="1" w:styleId="Contact">
    <w:name w:val="Contact"/>
    <w:basedOn w:val="Normal"/>
    <w:uiPriority w:val="99"/>
    <w:rsid w:val="00671023"/>
    <w:pPr>
      <w:spacing w:before="480" w:after="0"/>
      <w:ind w:left="567" w:hanging="567"/>
      <w:jc w:val="left"/>
    </w:pPr>
  </w:style>
  <w:style w:type="paragraph" w:styleId="Date">
    <w:name w:val="Date"/>
    <w:basedOn w:val="Normal"/>
    <w:next w:val="References"/>
    <w:link w:val="DateChar"/>
    <w:rsid w:val="00671023"/>
    <w:pPr>
      <w:spacing w:after="0"/>
      <w:ind w:left="5102" w:right="-567"/>
      <w:jc w:val="left"/>
    </w:pPr>
  </w:style>
  <w:style w:type="character" w:customStyle="1" w:styleId="DateChar">
    <w:name w:val="Date Char"/>
    <w:basedOn w:val="DefaultParagraphFont"/>
    <w:link w:val="Date"/>
    <w:rsid w:val="00671023"/>
    <w:rPr>
      <w:rFonts w:ascii="Times New Roman" w:eastAsia="Times New Roman" w:hAnsi="Times New Roman" w:cs="Times New Roman"/>
      <w:kern w:val="0"/>
      <w:sz w:val="24"/>
      <w:szCs w:val="20"/>
      <w:lang w:eastAsia="en-GB"/>
    </w:rPr>
  </w:style>
  <w:style w:type="paragraph" w:customStyle="1" w:styleId="References">
    <w:name w:val="References"/>
    <w:basedOn w:val="Normal"/>
    <w:next w:val="Normal"/>
    <w:rsid w:val="00671023"/>
    <w:pPr>
      <w:ind w:left="5102" w:right="-567"/>
      <w:jc w:val="left"/>
    </w:pPr>
    <w:rPr>
      <w:sz w:val="20"/>
    </w:rPr>
  </w:style>
  <w:style w:type="paragraph" w:customStyle="1" w:styleId="Designator">
    <w:name w:val="Designator"/>
    <w:basedOn w:val="Normal"/>
    <w:rsid w:val="00671023"/>
    <w:pPr>
      <w:spacing w:after="0"/>
      <w:jc w:val="center"/>
    </w:pPr>
    <w:rPr>
      <w:b/>
      <w:caps/>
      <w:sz w:val="32"/>
    </w:rPr>
  </w:style>
  <w:style w:type="paragraph" w:customStyle="1" w:styleId="Releasable">
    <w:name w:val="Releasable"/>
    <w:basedOn w:val="Normal"/>
    <w:rsid w:val="00671023"/>
    <w:pPr>
      <w:spacing w:after="0"/>
      <w:jc w:val="center"/>
    </w:pPr>
    <w:rPr>
      <w:b/>
      <w:caps/>
      <w:sz w:val="32"/>
    </w:rPr>
  </w:style>
  <w:style w:type="paragraph" w:customStyle="1" w:styleId="RUE">
    <w:name w:val="RUE"/>
    <w:basedOn w:val="Normal"/>
    <w:rsid w:val="00671023"/>
    <w:pPr>
      <w:spacing w:after="0"/>
      <w:jc w:val="center"/>
    </w:pPr>
    <w:rPr>
      <w:b/>
      <w:caps/>
      <w:sz w:val="32"/>
      <w:bdr w:val="single" w:sz="18" w:space="0" w:color="auto"/>
    </w:rPr>
  </w:style>
  <w:style w:type="paragraph" w:customStyle="1" w:styleId="ConfidentialUE">
    <w:name w:val="Confidential UE"/>
    <w:basedOn w:val="Normal"/>
    <w:rsid w:val="00671023"/>
    <w:pPr>
      <w:spacing w:after="0"/>
      <w:jc w:val="center"/>
    </w:pPr>
    <w:rPr>
      <w:b/>
      <w:caps/>
      <w:sz w:val="32"/>
      <w:bdr w:val="single" w:sz="18" w:space="0" w:color="auto"/>
    </w:rPr>
  </w:style>
  <w:style w:type="paragraph" w:customStyle="1" w:styleId="SecretUE">
    <w:name w:val="Secret UE"/>
    <w:basedOn w:val="Normal"/>
    <w:rsid w:val="00671023"/>
    <w:pPr>
      <w:spacing w:after="0"/>
      <w:jc w:val="center"/>
    </w:pPr>
    <w:rPr>
      <w:b/>
      <w:caps/>
      <w:color w:val="FF0000"/>
      <w:sz w:val="32"/>
      <w:bdr w:val="single" w:sz="18" w:space="0" w:color="FF0000"/>
    </w:rPr>
  </w:style>
  <w:style w:type="paragraph" w:customStyle="1" w:styleId="TrsSecretUE">
    <w:name w:val="Très Secret UE"/>
    <w:basedOn w:val="Normal"/>
    <w:rsid w:val="00671023"/>
    <w:pPr>
      <w:spacing w:after="0"/>
      <w:jc w:val="center"/>
    </w:pPr>
    <w:rPr>
      <w:b/>
      <w:caps/>
      <w:color w:val="FF0000"/>
      <w:sz w:val="32"/>
      <w:bdr w:val="single" w:sz="18" w:space="0" w:color="FF0000"/>
    </w:rPr>
  </w:style>
  <w:style w:type="paragraph" w:styleId="EndnoteText">
    <w:name w:val="endnote text"/>
    <w:basedOn w:val="Normal"/>
    <w:link w:val="EndnoteTextChar"/>
    <w:semiHidden/>
    <w:rsid w:val="00671023"/>
    <w:rPr>
      <w:sz w:val="20"/>
    </w:rPr>
  </w:style>
  <w:style w:type="character" w:customStyle="1" w:styleId="EndnoteTextChar">
    <w:name w:val="Endnote Text Char"/>
    <w:basedOn w:val="DefaultParagraphFont"/>
    <w:link w:val="EndnoteText"/>
    <w:semiHidden/>
    <w:rsid w:val="00671023"/>
    <w:rPr>
      <w:rFonts w:ascii="Times New Roman" w:eastAsia="Times New Roman" w:hAnsi="Times New Roman" w:cs="Times New Roman"/>
      <w:kern w:val="0"/>
      <w:sz w:val="20"/>
      <w:szCs w:val="20"/>
      <w:lang w:eastAsia="en-GB"/>
    </w:rPr>
  </w:style>
  <w:style w:type="paragraph" w:styleId="Footer">
    <w:name w:val="footer"/>
    <w:basedOn w:val="Normal"/>
    <w:link w:val="FooterChar"/>
    <w:uiPriority w:val="99"/>
    <w:rsid w:val="00671023"/>
    <w:pPr>
      <w:spacing w:after="0"/>
      <w:ind w:right="-567"/>
      <w:jc w:val="left"/>
    </w:pPr>
    <w:rPr>
      <w:sz w:val="16"/>
    </w:rPr>
  </w:style>
  <w:style w:type="character" w:customStyle="1" w:styleId="FooterChar">
    <w:name w:val="Footer Char"/>
    <w:basedOn w:val="DefaultParagraphFont"/>
    <w:link w:val="Footer"/>
    <w:uiPriority w:val="99"/>
    <w:rsid w:val="00671023"/>
    <w:rPr>
      <w:rFonts w:ascii="Times New Roman" w:eastAsia="Times New Roman" w:hAnsi="Times New Roman" w:cs="Times New Roman"/>
      <w:kern w:val="0"/>
      <w:sz w:val="16"/>
      <w:szCs w:val="20"/>
      <w:lang w:eastAsia="en-GB"/>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f,Footnote text,o"/>
    <w:basedOn w:val="Normal"/>
    <w:link w:val="FootnoteTextChar"/>
    <w:uiPriority w:val="99"/>
    <w:qFormat/>
    <w:rsid w:val="00671023"/>
    <w:pPr>
      <w:spacing w:after="120"/>
      <w:ind w:left="357" w:hanging="357"/>
    </w:pPr>
    <w:rPr>
      <w:sz w:val="20"/>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f Char"/>
    <w:basedOn w:val="DefaultParagraphFont"/>
    <w:link w:val="FootnoteText"/>
    <w:uiPriority w:val="99"/>
    <w:rsid w:val="00671023"/>
    <w:rPr>
      <w:rFonts w:ascii="Times New Roman" w:eastAsia="Times New Roman" w:hAnsi="Times New Roman" w:cs="Times New Roman"/>
      <w:kern w:val="0"/>
      <w:sz w:val="20"/>
      <w:szCs w:val="20"/>
      <w:lang w:eastAsia="en-GB"/>
    </w:rPr>
  </w:style>
  <w:style w:type="paragraph" w:styleId="MacroText">
    <w:name w:val="macro"/>
    <w:basedOn w:val="Normal"/>
    <w:link w:val="MacroTextChar"/>
    <w:uiPriority w:val="90"/>
    <w:qFormat/>
    <w:rsid w:val="00671023"/>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sid w:val="00671023"/>
    <w:rPr>
      <w:rFonts w:ascii="Courier New" w:eastAsia="Times New Roman" w:hAnsi="Courier New" w:cs="Times New Roman"/>
      <w:kern w:val="0"/>
      <w:szCs w:val="20"/>
      <w:lang w:eastAsia="en-GB"/>
    </w:rPr>
  </w:style>
  <w:style w:type="paragraph" w:customStyle="1" w:styleId="NumPar1">
    <w:name w:val="NumPar 1"/>
    <w:basedOn w:val="Heading1"/>
    <w:uiPriority w:val="90"/>
    <w:qFormat/>
    <w:rsid w:val="00671023"/>
    <w:pPr>
      <w:keepNext w:val="0"/>
      <w:keepLines w:val="0"/>
      <w:tabs>
        <w:tab w:val="num" w:pos="482"/>
      </w:tabs>
      <w:spacing w:before="0" w:after="240"/>
      <w:ind w:left="482" w:hanging="482"/>
      <w:outlineLvl w:val="9"/>
    </w:pPr>
    <w:rPr>
      <w:rFonts w:ascii="Times New Roman" w:eastAsia="Times New Roman" w:hAnsi="Times New Roman" w:cs="Times New Roman"/>
      <w:color w:val="auto"/>
      <w:sz w:val="24"/>
      <w:szCs w:val="20"/>
    </w:rPr>
  </w:style>
  <w:style w:type="paragraph" w:customStyle="1" w:styleId="NumPar2">
    <w:name w:val="NumPar 2"/>
    <w:basedOn w:val="Heading2"/>
    <w:uiPriority w:val="90"/>
    <w:qFormat/>
    <w:rsid w:val="00671023"/>
    <w:pPr>
      <w:keepNext w:val="0"/>
      <w:keepLines w:val="0"/>
      <w:numPr>
        <w:ilvl w:val="1"/>
      </w:numPr>
      <w:tabs>
        <w:tab w:val="num" w:pos="1202"/>
      </w:tabs>
      <w:spacing w:before="0" w:after="240"/>
      <w:ind w:left="1202" w:hanging="720"/>
      <w:outlineLvl w:val="9"/>
    </w:pPr>
    <w:rPr>
      <w:rFonts w:ascii="Times New Roman" w:eastAsia="Times New Roman" w:hAnsi="Times New Roman" w:cs="Times New Roman"/>
      <w:color w:val="auto"/>
      <w:sz w:val="24"/>
      <w:szCs w:val="20"/>
    </w:rPr>
  </w:style>
  <w:style w:type="paragraph" w:customStyle="1" w:styleId="NumPar3">
    <w:name w:val="NumPar 3"/>
    <w:basedOn w:val="Heading3"/>
    <w:uiPriority w:val="90"/>
    <w:qFormat/>
    <w:rsid w:val="00671023"/>
    <w:pPr>
      <w:keepNext w:val="0"/>
      <w:keepLines w:val="0"/>
      <w:numPr>
        <w:ilvl w:val="2"/>
      </w:numPr>
      <w:tabs>
        <w:tab w:val="num" w:pos="1922"/>
      </w:tabs>
      <w:spacing w:before="0" w:after="240"/>
      <w:ind w:left="1922" w:hanging="720"/>
      <w:outlineLvl w:val="9"/>
    </w:pPr>
    <w:rPr>
      <w:rFonts w:eastAsia="Times New Roman" w:cs="Times New Roman"/>
      <w:color w:val="auto"/>
      <w:sz w:val="24"/>
      <w:szCs w:val="20"/>
    </w:rPr>
  </w:style>
  <w:style w:type="paragraph" w:customStyle="1" w:styleId="NumPar4">
    <w:name w:val="NumPar 4"/>
    <w:basedOn w:val="Heading4"/>
    <w:uiPriority w:val="90"/>
    <w:qFormat/>
    <w:rsid w:val="00671023"/>
    <w:pPr>
      <w:keepNext w:val="0"/>
      <w:keepLines w:val="0"/>
      <w:numPr>
        <w:ilvl w:val="3"/>
      </w:numPr>
      <w:tabs>
        <w:tab w:val="num" w:pos="1922"/>
      </w:tabs>
      <w:spacing w:before="0" w:after="240"/>
      <w:ind w:left="1922" w:hanging="720"/>
      <w:outlineLvl w:val="9"/>
    </w:pPr>
    <w:rPr>
      <w:rFonts w:eastAsia="Times New Roman" w:cs="Times New Roman"/>
      <w:i w:val="0"/>
      <w:iCs w:val="0"/>
      <w:color w:val="auto"/>
    </w:rPr>
  </w:style>
  <w:style w:type="paragraph" w:customStyle="1" w:styleId="AnnexTitle">
    <w:name w:val="AnnexTitle"/>
    <w:basedOn w:val="Normal"/>
    <w:next w:val="Normal"/>
    <w:uiPriority w:val="90"/>
    <w:qFormat/>
    <w:rsid w:val="00671023"/>
    <w:pPr>
      <w:pageBreakBefore/>
      <w:numPr>
        <w:numId w:val="18"/>
      </w:numPr>
      <w:tabs>
        <w:tab w:val="clear" w:pos="2268"/>
        <w:tab w:val="num" w:pos="360"/>
      </w:tabs>
      <w:spacing w:after="480"/>
      <w:ind w:left="0" w:firstLine="0"/>
      <w:outlineLvl w:val="0"/>
    </w:pPr>
    <w:rPr>
      <w:b/>
      <w:sz w:val="32"/>
    </w:rPr>
  </w:style>
  <w:style w:type="paragraph" w:styleId="TOCHeading">
    <w:name w:val="TOC Heading"/>
    <w:basedOn w:val="Normal"/>
    <w:next w:val="Normal"/>
    <w:uiPriority w:val="39"/>
    <w:qFormat/>
    <w:rsid w:val="00671023"/>
    <w:pPr>
      <w:spacing w:before="240"/>
      <w:jc w:val="center"/>
    </w:pPr>
    <w:rPr>
      <w:rFonts w:ascii="Times New Roman Bold" w:hAnsi="Times New Roman Bold"/>
      <w:b/>
      <w:caps/>
    </w:rPr>
  </w:style>
  <w:style w:type="paragraph" w:styleId="TOC1">
    <w:name w:val="toc 1"/>
    <w:basedOn w:val="Normal"/>
    <w:next w:val="Normal"/>
    <w:uiPriority w:val="39"/>
    <w:rsid w:val="00671023"/>
    <w:pPr>
      <w:tabs>
        <w:tab w:val="right" w:leader="dot" w:pos="8640"/>
      </w:tabs>
      <w:spacing w:before="120" w:after="120"/>
      <w:ind w:left="482" w:right="720" w:hanging="482"/>
    </w:pPr>
    <w:rPr>
      <w:caps/>
    </w:rPr>
  </w:style>
  <w:style w:type="paragraph" w:styleId="TOC2">
    <w:name w:val="toc 2"/>
    <w:basedOn w:val="Normal"/>
    <w:next w:val="Normal"/>
    <w:uiPriority w:val="39"/>
    <w:rsid w:val="00671023"/>
    <w:pPr>
      <w:tabs>
        <w:tab w:val="right" w:leader="dot" w:pos="8640"/>
      </w:tabs>
      <w:spacing w:before="60" w:after="60"/>
      <w:ind w:left="1077" w:right="720" w:hanging="595"/>
    </w:pPr>
    <w:rPr>
      <w:noProof/>
    </w:rPr>
  </w:style>
  <w:style w:type="paragraph" w:styleId="TOC3">
    <w:name w:val="toc 3"/>
    <w:basedOn w:val="Normal"/>
    <w:next w:val="Normal"/>
    <w:uiPriority w:val="39"/>
    <w:rsid w:val="00671023"/>
    <w:pPr>
      <w:tabs>
        <w:tab w:val="right" w:leader="dot" w:pos="8640"/>
      </w:tabs>
      <w:spacing w:before="60" w:after="60"/>
      <w:ind w:left="1916" w:right="720" w:hanging="839"/>
    </w:pPr>
  </w:style>
  <w:style w:type="paragraph" w:styleId="TOC4">
    <w:name w:val="toc 4"/>
    <w:basedOn w:val="Normal"/>
    <w:next w:val="Normal"/>
    <w:uiPriority w:val="99"/>
    <w:semiHidden/>
    <w:rsid w:val="00671023"/>
    <w:pPr>
      <w:tabs>
        <w:tab w:val="right" w:leader="dot" w:pos="8640"/>
      </w:tabs>
      <w:spacing w:before="60" w:after="60"/>
      <w:ind w:left="2880" w:right="720" w:hanging="964"/>
    </w:pPr>
    <w:rPr>
      <w:noProof/>
    </w:rPr>
  </w:style>
  <w:style w:type="paragraph" w:styleId="TOC5">
    <w:name w:val="toc 5"/>
    <w:basedOn w:val="Normal"/>
    <w:next w:val="Normal"/>
    <w:semiHidden/>
    <w:rsid w:val="00671023"/>
    <w:pPr>
      <w:tabs>
        <w:tab w:val="right" w:leader="dot" w:pos="8640"/>
      </w:tabs>
      <w:spacing w:before="240" w:after="120"/>
      <w:ind w:right="720"/>
    </w:pPr>
    <w:rPr>
      <w:caps/>
    </w:rPr>
  </w:style>
  <w:style w:type="paragraph" w:styleId="TOC6">
    <w:name w:val="toc 6"/>
    <w:basedOn w:val="Normal"/>
    <w:next w:val="Normal"/>
    <w:semiHidden/>
    <w:rsid w:val="00671023"/>
    <w:rPr>
      <w:caps/>
    </w:rPr>
  </w:style>
  <w:style w:type="paragraph" w:styleId="TOC7">
    <w:name w:val="toc 7"/>
    <w:basedOn w:val="Normal"/>
    <w:next w:val="Normal"/>
    <w:semiHidden/>
    <w:rsid w:val="00671023"/>
    <w:pPr>
      <w:tabs>
        <w:tab w:val="right" w:leader="dot" w:pos="8640"/>
      </w:tabs>
    </w:pPr>
  </w:style>
  <w:style w:type="paragraph" w:styleId="TOC8">
    <w:name w:val="toc 8"/>
    <w:basedOn w:val="Normal"/>
    <w:next w:val="Normal"/>
    <w:semiHidden/>
    <w:rsid w:val="00671023"/>
    <w:pPr>
      <w:tabs>
        <w:tab w:val="right" w:leader="dot" w:pos="8640"/>
      </w:tabs>
    </w:pPr>
  </w:style>
  <w:style w:type="paragraph" w:styleId="TOC9">
    <w:name w:val="toc 9"/>
    <w:basedOn w:val="Normal"/>
    <w:next w:val="Normal"/>
    <w:semiHidden/>
    <w:rsid w:val="00671023"/>
    <w:pPr>
      <w:tabs>
        <w:tab w:val="right" w:leader="dot" w:pos="8640"/>
      </w:tabs>
    </w:pPr>
  </w:style>
  <w:style w:type="paragraph" w:styleId="ListBullet">
    <w:name w:val="List Bullet"/>
    <w:basedOn w:val="Normal"/>
    <w:rsid w:val="00671023"/>
    <w:pPr>
      <w:numPr>
        <w:numId w:val="16"/>
      </w:numPr>
    </w:pPr>
  </w:style>
  <w:style w:type="paragraph" w:customStyle="1" w:styleId="ListBulletLevel2">
    <w:name w:val="List Bullet (Level 2)"/>
    <w:basedOn w:val="Text1"/>
    <w:rsid w:val="00671023"/>
    <w:pPr>
      <w:numPr>
        <w:ilvl w:val="1"/>
        <w:numId w:val="16"/>
      </w:numPr>
    </w:pPr>
  </w:style>
  <w:style w:type="paragraph" w:customStyle="1" w:styleId="ListBulletLevel3">
    <w:name w:val="List Bullet (Level 3)"/>
    <w:basedOn w:val="Text1"/>
    <w:semiHidden/>
    <w:unhideWhenUsed/>
    <w:rsid w:val="00671023"/>
    <w:pPr>
      <w:numPr>
        <w:ilvl w:val="2"/>
        <w:numId w:val="16"/>
      </w:numPr>
    </w:pPr>
  </w:style>
  <w:style w:type="paragraph" w:customStyle="1" w:styleId="ListBulletLevel4">
    <w:name w:val="List Bullet (Level 4)"/>
    <w:basedOn w:val="Text1"/>
    <w:semiHidden/>
    <w:unhideWhenUsed/>
    <w:rsid w:val="00671023"/>
    <w:pPr>
      <w:numPr>
        <w:ilvl w:val="3"/>
        <w:numId w:val="16"/>
      </w:numPr>
    </w:pPr>
  </w:style>
  <w:style w:type="paragraph" w:customStyle="1" w:styleId="ListBullet1">
    <w:name w:val="List Bullet 1"/>
    <w:basedOn w:val="Text1"/>
    <w:rsid w:val="00671023"/>
    <w:pPr>
      <w:numPr>
        <w:numId w:val="15"/>
      </w:numPr>
    </w:pPr>
  </w:style>
  <w:style w:type="paragraph" w:customStyle="1" w:styleId="ListBullet1Level2">
    <w:name w:val="List Bullet 1 (Level 2)"/>
    <w:basedOn w:val="Text1"/>
    <w:rsid w:val="00671023"/>
    <w:pPr>
      <w:numPr>
        <w:ilvl w:val="1"/>
        <w:numId w:val="15"/>
      </w:numPr>
    </w:pPr>
  </w:style>
  <w:style w:type="paragraph" w:customStyle="1" w:styleId="ListBullet1Level3">
    <w:name w:val="List Bullet 1 (Level 3)"/>
    <w:basedOn w:val="Text1"/>
    <w:semiHidden/>
    <w:unhideWhenUsed/>
    <w:rsid w:val="00671023"/>
    <w:pPr>
      <w:numPr>
        <w:ilvl w:val="2"/>
        <w:numId w:val="15"/>
      </w:numPr>
    </w:pPr>
  </w:style>
  <w:style w:type="paragraph" w:customStyle="1" w:styleId="ListBullet1Level4">
    <w:name w:val="List Bullet 1 (Level 4)"/>
    <w:basedOn w:val="Text1"/>
    <w:semiHidden/>
    <w:unhideWhenUsed/>
    <w:rsid w:val="00671023"/>
    <w:pPr>
      <w:numPr>
        <w:ilvl w:val="3"/>
        <w:numId w:val="15"/>
      </w:numPr>
    </w:pPr>
  </w:style>
  <w:style w:type="paragraph" w:styleId="ListBullet2">
    <w:name w:val="List Bullet 2"/>
    <w:basedOn w:val="Text2"/>
    <w:rsid w:val="00671023"/>
    <w:pPr>
      <w:numPr>
        <w:numId w:val="14"/>
      </w:numPr>
    </w:pPr>
  </w:style>
  <w:style w:type="paragraph" w:customStyle="1" w:styleId="ListBullet2Level2">
    <w:name w:val="List Bullet 2 (Level 2)"/>
    <w:basedOn w:val="Text2"/>
    <w:rsid w:val="00671023"/>
    <w:pPr>
      <w:numPr>
        <w:ilvl w:val="1"/>
        <w:numId w:val="14"/>
      </w:numPr>
    </w:pPr>
  </w:style>
  <w:style w:type="paragraph" w:customStyle="1" w:styleId="ListBullet2Level3">
    <w:name w:val="List Bullet 2 (Level 3)"/>
    <w:basedOn w:val="Text2"/>
    <w:semiHidden/>
    <w:unhideWhenUsed/>
    <w:rsid w:val="00671023"/>
    <w:pPr>
      <w:numPr>
        <w:ilvl w:val="2"/>
        <w:numId w:val="14"/>
      </w:numPr>
    </w:pPr>
  </w:style>
  <w:style w:type="paragraph" w:customStyle="1" w:styleId="ListBullet2Level4">
    <w:name w:val="List Bullet 2 (Level 4)"/>
    <w:basedOn w:val="Text2"/>
    <w:semiHidden/>
    <w:unhideWhenUsed/>
    <w:rsid w:val="00671023"/>
    <w:pPr>
      <w:numPr>
        <w:ilvl w:val="3"/>
        <w:numId w:val="14"/>
      </w:numPr>
    </w:pPr>
  </w:style>
  <w:style w:type="paragraph" w:styleId="ListBullet3">
    <w:name w:val="List Bullet 3"/>
    <w:basedOn w:val="Text3"/>
    <w:rsid w:val="00671023"/>
    <w:pPr>
      <w:numPr>
        <w:numId w:val="13"/>
      </w:numPr>
    </w:pPr>
  </w:style>
  <w:style w:type="paragraph" w:customStyle="1" w:styleId="ListBullet3Level2">
    <w:name w:val="List Bullet 3 (Level 2)"/>
    <w:basedOn w:val="Text3"/>
    <w:rsid w:val="00671023"/>
    <w:pPr>
      <w:numPr>
        <w:ilvl w:val="1"/>
        <w:numId w:val="13"/>
      </w:numPr>
    </w:pPr>
  </w:style>
  <w:style w:type="paragraph" w:customStyle="1" w:styleId="ListBullet3Level3">
    <w:name w:val="List Bullet 3 (Level 3)"/>
    <w:basedOn w:val="Text3"/>
    <w:semiHidden/>
    <w:unhideWhenUsed/>
    <w:rsid w:val="00671023"/>
    <w:pPr>
      <w:numPr>
        <w:ilvl w:val="2"/>
        <w:numId w:val="13"/>
      </w:numPr>
    </w:pPr>
  </w:style>
  <w:style w:type="paragraph" w:customStyle="1" w:styleId="ListBullet3Level4">
    <w:name w:val="List Bullet 3 (Level 4)"/>
    <w:basedOn w:val="Text3"/>
    <w:semiHidden/>
    <w:unhideWhenUsed/>
    <w:rsid w:val="00671023"/>
    <w:pPr>
      <w:numPr>
        <w:ilvl w:val="3"/>
        <w:numId w:val="13"/>
      </w:numPr>
    </w:pPr>
  </w:style>
  <w:style w:type="paragraph" w:styleId="ListBullet4">
    <w:name w:val="List Bullet 4"/>
    <w:basedOn w:val="Text4"/>
    <w:rsid w:val="00671023"/>
    <w:pPr>
      <w:numPr>
        <w:numId w:val="12"/>
      </w:numPr>
    </w:pPr>
  </w:style>
  <w:style w:type="paragraph" w:customStyle="1" w:styleId="ListBullet4Level2">
    <w:name w:val="List Bullet 4 (Level 2)"/>
    <w:basedOn w:val="Text4"/>
    <w:rsid w:val="00671023"/>
    <w:pPr>
      <w:numPr>
        <w:ilvl w:val="1"/>
        <w:numId w:val="12"/>
      </w:numPr>
    </w:pPr>
  </w:style>
  <w:style w:type="paragraph" w:customStyle="1" w:styleId="ListBullet4Level3">
    <w:name w:val="List Bullet 4 (Level 3)"/>
    <w:basedOn w:val="Text4"/>
    <w:semiHidden/>
    <w:unhideWhenUsed/>
    <w:rsid w:val="00671023"/>
    <w:pPr>
      <w:numPr>
        <w:ilvl w:val="2"/>
        <w:numId w:val="12"/>
      </w:numPr>
    </w:pPr>
  </w:style>
  <w:style w:type="paragraph" w:customStyle="1" w:styleId="ListBullet4Level4">
    <w:name w:val="List Bullet 4 (Level 4)"/>
    <w:basedOn w:val="Text4"/>
    <w:semiHidden/>
    <w:unhideWhenUsed/>
    <w:rsid w:val="00671023"/>
    <w:pPr>
      <w:numPr>
        <w:ilvl w:val="3"/>
        <w:numId w:val="12"/>
      </w:numPr>
    </w:pPr>
  </w:style>
  <w:style w:type="paragraph" w:customStyle="1" w:styleId="ListDash">
    <w:name w:val="List Dash"/>
    <w:basedOn w:val="Normal"/>
    <w:rsid w:val="00671023"/>
    <w:pPr>
      <w:numPr>
        <w:numId w:val="6"/>
      </w:numPr>
    </w:pPr>
  </w:style>
  <w:style w:type="paragraph" w:customStyle="1" w:styleId="ListDashLevel2">
    <w:name w:val="List Dash (Level 2)"/>
    <w:basedOn w:val="Normal"/>
    <w:rsid w:val="00671023"/>
    <w:pPr>
      <w:numPr>
        <w:ilvl w:val="1"/>
        <w:numId w:val="6"/>
      </w:numPr>
    </w:pPr>
  </w:style>
  <w:style w:type="paragraph" w:customStyle="1" w:styleId="ListDashLevel3">
    <w:name w:val="List Dash (Level 3)"/>
    <w:basedOn w:val="Normal"/>
    <w:semiHidden/>
    <w:unhideWhenUsed/>
    <w:rsid w:val="00671023"/>
    <w:pPr>
      <w:numPr>
        <w:ilvl w:val="2"/>
        <w:numId w:val="6"/>
      </w:numPr>
    </w:pPr>
  </w:style>
  <w:style w:type="paragraph" w:customStyle="1" w:styleId="ListDashLevel4">
    <w:name w:val="List Dash (Level 4)"/>
    <w:basedOn w:val="Normal"/>
    <w:semiHidden/>
    <w:unhideWhenUsed/>
    <w:rsid w:val="00671023"/>
    <w:pPr>
      <w:numPr>
        <w:ilvl w:val="3"/>
        <w:numId w:val="6"/>
      </w:numPr>
    </w:pPr>
  </w:style>
  <w:style w:type="paragraph" w:customStyle="1" w:styleId="ListDash1">
    <w:name w:val="List Dash 1"/>
    <w:basedOn w:val="Text1"/>
    <w:rsid w:val="00671023"/>
    <w:pPr>
      <w:numPr>
        <w:numId w:val="5"/>
      </w:numPr>
    </w:pPr>
  </w:style>
  <w:style w:type="paragraph" w:customStyle="1" w:styleId="ListDash1Level2">
    <w:name w:val="List Dash 1 (Level 2)"/>
    <w:basedOn w:val="Text1"/>
    <w:rsid w:val="00671023"/>
    <w:pPr>
      <w:numPr>
        <w:ilvl w:val="1"/>
        <w:numId w:val="5"/>
      </w:numPr>
    </w:pPr>
  </w:style>
  <w:style w:type="paragraph" w:customStyle="1" w:styleId="ListDash1Level3">
    <w:name w:val="List Dash 1 (Level 3)"/>
    <w:basedOn w:val="Text1"/>
    <w:semiHidden/>
    <w:unhideWhenUsed/>
    <w:rsid w:val="00671023"/>
    <w:pPr>
      <w:numPr>
        <w:ilvl w:val="2"/>
        <w:numId w:val="5"/>
      </w:numPr>
    </w:pPr>
  </w:style>
  <w:style w:type="paragraph" w:customStyle="1" w:styleId="ListDash1Level4">
    <w:name w:val="List Dash 1 (Level 4)"/>
    <w:basedOn w:val="Text1"/>
    <w:semiHidden/>
    <w:unhideWhenUsed/>
    <w:rsid w:val="00671023"/>
    <w:pPr>
      <w:numPr>
        <w:ilvl w:val="3"/>
        <w:numId w:val="5"/>
      </w:numPr>
    </w:pPr>
  </w:style>
  <w:style w:type="paragraph" w:customStyle="1" w:styleId="ListDash2">
    <w:name w:val="List Dash 2"/>
    <w:basedOn w:val="Text2"/>
    <w:rsid w:val="00671023"/>
    <w:pPr>
      <w:numPr>
        <w:numId w:val="4"/>
      </w:numPr>
    </w:pPr>
  </w:style>
  <w:style w:type="paragraph" w:customStyle="1" w:styleId="ListDash2Level2">
    <w:name w:val="List Dash 2 (Level 2)"/>
    <w:basedOn w:val="Text2"/>
    <w:rsid w:val="00671023"/>
    <w:pPr>
      <w:numPr>
        <w:ilvl w:val="1"/>
        <w:numId w:val="4"/>
      </w:numPr>
    </w:pPr>
  </w:style>
  <w:style w:type="paragraph" w:customStyle="1" w:styleId="ListDash2Level3">
    <w:name w:val="List Dash 2 (Level 3)"/>
    <w:basedOn w:val="Text2"/>
    <w:semiHidden/>
    <w:unhideWhenUsed/>
    <w:rsid w:val="00671023"/>
    <w:pPr>
      <w:numPr>
        <w:ilvl w:val="2"/>
        <w:numId w:val="4"/>
      </w:numPr>
    </w:pPr>
  </w:style>
  <w:style w:type="paragraph" w:customStyle="1" w:styleId="ListDash2Level4">
    <w:name w:val="List Dash 2 (Level 4)"/>
    <w:basedOn w:val="Text2"/>
    <w:semiHidden/>
    <w:unhideWhenUsed/>
    <w:rsid w:val="00671023"/>
    <w:pPr>
      <w:numPr>
        <w:ilvl w:val="3"/>
        <w:numId w:val="4"/>
      </w:numPr>
    </w:pPr>
  </w:style>
  <w:style w:type="paragraph" w:customStyle="1" w:styleId="ListDash3">
    <w:name w:val="List Dash 3"/>
    <w:basedOn w:val="Text3"/>
    <w:rsid w:val="00671023"/>
    <w:pPr>
      <w:numPr>
        <w:numId w:val="3"/>
      </w:numPr>
    </w:pPr>
  </w:style>
  <w:style w:type="paragraph" w:customStyle="1" w:styleId="ListDash3Level2">
    <w:name w:val="List Dash 3 (Level 2)"/>
    <w:basedOn w:val="Text3"/>
    <w:rsid w:val="00671023"/>
    <w:pPr>
      <w:numPr>
        <w:ilvl w:val="1"/>
        <w:numId w:val="3"/>
      </w:numPr>
    </w:pPr>
  </w:style>
  <w:style w:type="paragraph" w:customStyle="1" w:styleId="ListDash3Level3">
    <w:name w:val="List Dash 3 (Level 3)"/>
    <w:basedOn w:val="Text3"/>
    <w:semiHidden/>
    <w:unhideWhenUsed/>
    <w:rsid w:val="00671023"/>
    <w:pPr>
      <w:numPr>
        <w:ilvl w:val="2"/>
        <w:numId w:val="3"/>
      </w:numPr>
    </w:pPr>
  </w:style>
  <w:style w:type="paragraph" w:customStyle="1" w:styleId="ListDash3Level4">
    <w:name w:val="List Dash 3 (Level 4)"/>
    <w:basedOn w:val="Text3"/>
    <w:semiHidden/>
    <w:unhideWhenUsed/>
    <w:rsid w:val="00671023"/>
    <w:pPr>
      <w:numPr>
        <w:ilvl w:val="3"/>
        <w:numId w:val="3"/>
      </w:numPr>
    </w:pPr>
  </w:style>
  <w:style w:type="paragraph" w:customStyle="1" w:styleId="ListDash4">
    <w:name w:val="List Dash 4"/>
    <w:basedOn w:val="Text4"/>
    <w:rsid w:val="00671023"/>
    <w:pPr>
      <w:numPr>
        <w:numId w:val="2"/>
      </w:numPr>
    </w:pPr>
  </w:style>
  <w:style w:type="paragraph" w:customStyle="1" w:styleId="ListDash4Level2">
    <w:name w:val="List Dash 4 (Level 2)"/>
    <w:basedOn w:val="Text4"/>
    <w:rsid w:val="00671023"/>
    <w:pPr>
      <w:numPr>
        <w:ilvl w:val="1"/>
        <w:numId w:val="2"/>
      </w:numPr>
    </w:pPr>
  </w:style>
  <w:style w:type="paragraph" w:customStyle="1" w:styleId="ListDash4Level3">
    <w:name w:val="List Dash 4 (Level 3)"/>
    <w:basedOn w:val="Text4"/>
    <w:semiHidden/>
    <w:unhideWhenUsed/>
    <w:rsid w:val="00671023"/>
    <w:pPr>
      <w:numPr>
        <w:ilvl w:val="2"/>
        <w:numId w:val="2"/>
      </w:numPr>
    </w:pPr>
  </w:style>
  <w:style w:type="paragraph" w:customStyle="1" w:styleId="ListDash4Level4">
    <w:name w:val="List Dash 4 (Level 4)"/>
    <w:basedOn w:val="Text4"/>
    <w:semiHidden/>
    <w:unhideWhenUsed/>
    <w:rsid w:val="00671023"/>
    <w:pPr>
      <w:numPr>
        <w:ilvl w:val="3"/>
        <w:numId w:val="2"/>
      </w:numPr>
    </w:pPr>
  </w:style>
  <w:style w:type="paragraph" w:styleId="ListNumber">
    <w:name w:val="List Number"/>
    <w:basedOn w:val="Normal"/>
    <w:rsid w:val="00671023"/>
    <w:pPr>
      <w:numPr>
        <w:numId w:val="11"/>
      </w:numPr>
    </w:pPr>
  </w:style>
  <w:style w:type="paragraph" w:customStyle="1" w:styleId="ListNumberLevel2">
    <w:name w:val="List Number (Level 2)"/>
    <w:basedOn w:val="Normal"/>
    <w:rsid w:val="00671023"/>
    <w:pPr>
      <w:numPr>
        <w:ilvl w:val="1"/>
        <w:numId w:val="11"/>
      </w:numPr>
    </w:pPr>
  </w:style>
  <w:style w:type="paragraph" w:customStyle="1" w:styleId="ListNumberLevel3">
    <w:name w:val="List Number (Level 3)"/>
    <w:basedOn w:val="Normal"/>
    <w:semiHidden/>
    <w:unhideWhenUsed/>
    <w:rsid w:val="00671023"/>
    <w:pPr>
      <w:numPr>
        <w:ilvl w:val="2"/>
        <w:numId w:val="11"/>
      </w:numPr>
    </w:pPr>
  </w:style>
  <w:style w:type="paragraph" w:customStyle="1" w:styleId="ListNumberLevel4">
    <w:name w:val="List Number (Level 4)"/>
    <w:basedOn w:val="Normal"/>
    <w:semiHidden/>
    <w:unhideWhenUsed/>
    <w:rsid w:val="00671023"/>
    <w:pPr>
      <w:numPr>
        <w:ilvl w:val="3"/>
        <w:numId w:val="11"/>
      </w:numPr>
    </w:pPr>
  </w:style>
  <w:style w:type="paragraph" w:customStyle="1" w:styleId="ListNumber1">
    <w:name w:val="List Number 1"/>
    <w:basedOn w:val="Text1"/>
    <w:rsid w:val="00671023"/>
    <w:pPr>
      <w:numPr>
        <w:numId w:val="10"/>
      </w:numPr>
    </w:pPr>
  </w:style>
  <w:style w:type="paragraph" w:customStyle="1" w:styleId="ListNumber1Level2">
    <w:name w:val="List Number 1 (Level 2)"/>
    <w:basedOn w:val="Text1"/>
    <w:rsid w:val="00671023"/>
    <w:pPr>
      <w:numPr>
        <w:ilvl w:val="1"/>
        <w:numId w:val="10"/>
      </w:numPr>
    </w:pPr>
  </w:style>
  <w:style w:type="paragraph" w:customStyle="1" w:styleId="ListNumber1Level3">
    <w:name w:val="List Number 1 (Level 3)"/>
    <w:basedOn w:val="Text1"/>
    <w:unhideWhenUsed/>
    <w:rsid w:val="00671023"/>
    <w:pPr>
      <w:numPr>
        <w:ilvl w:val="2"/>
        <w:numId w:val="10"/>
      </w:numPr>
    </w:pPr>
  </w:style>
  <w:style w:type="paragraph" w:customStyle="1" w:styleId="ListNumber1Level4">
    <w:name w:val="List Number 1 (Level 4)"/>
    <w:basedOn w:val="Text1"/>
    <w:unhideWhenUsed/>
    <w:rsid w:val="00671023"/>
    <w:pPr>
      <w:numPr>
        <w:ilvl w:val="3"/>
        <w:numId w:val="10"/>
      </w:numPr>
    </w:pPr>
  </w:style>
  <w:style w:type="paragraph" w:styleId="ListNumber2">
    <w:name w:val="List Number 2"/>
    <w:basedOn w:val="Text2"/>
    <w:rsid w:val="00671023"/>
    <w:pPr>
      <w:numPr>
        <w:numId w:val="9"/>
      </w:numPr>
    </w:pPr>
  </w:style>
  <w:style w:type="paragraph" w:customStyle="1" w:styleId="ListNumber2Level2">
    <w:name w:val="List Number 2 (Level 2)"/>
    <w:basedOn w:val="Text2"/>
    <w:rsid w:val="00671023"/>
    <w:pPr>
      <w:numPr>
        <w:ilvl w:val="1"/>
        <w:numId w:val="9"/>
      </w:numPr>
    </w:pPr>
  </w:style>
  <w:style w:type="paragraph" w:customStyle="1" w:styleId="ListNumber2Level3">
    <w:name w:val="List Number 2 (Level 3)"/>
    <w:basedOn w:val="Text2"/>
    <w:semiHidden/>
    <w:unhideWhenUsed/>
    <w:rsid w:val="00671023"/>
    <w:pPr>
      <w:numPr>
        <w:ilvl w:val="2"/>
        <w:numId w:val="9"/>
      </w:numPr>
    </w:pPr>
  </w:style>
  <w:style w:type="paragraph" w:customStyle="1" w:styleId="ListNumber2Level4">
    <w:name w:val="List Number 2 (Level 4)"/>
    <w:basedOn w:val="Text2"/>
    <w:semiHidden/>
    <w:unhideWhenUsed/>
    <w:rsid w:val="00671023"/>
    <w:pPr>
      <w:numPr>
        <w:ilvl w:val="3"/>
        <w:numId w:val="9"/>
      </w:numPr>
    </w:pPr>
  </w:style>
  <w:style w:type="paragraph" w:styleId="ListNumber3">
    <w:name w:val="List Number 3"/>
    <w:basedOn w:val="Text3"/>
    <w:rsid w:val="00671023"/>
    <w:pPr>
      <w:numPr>
        <w:numId w:val="8"/>
      </w:numPr>
    </w:pPr>
  </w:style>
  <w:style w:type="paragraph" w:customStyle="1" w:styleId="ListNumber3Level2">
    <w:name w:val="List Number 3 (Level 2)"/>
    <w:basedOn w:val="Text3"/>
    <w:rsid w:val="00671023"/>
    <w:pPr>
      <w:numPr>
        <w:ilvl w:val="1"/>
        <w:numId w:val="8"/>
      </w:numPr>
    </w:pPr>
  </w:style>
  <w:style w:type="paragraph" w:customStyle="1" w:styleId="ListNumber3Level3">
    <w:name w:val="List Number 3 (Level 3)"/>
    <w:basedOn w:val="Text3"/>
    <w:semiHidden/>
    <w:unhideWhenUsed/>
    <w:rsid w:val="00671023"/>
    <w:pPr>
      <w:numPr>
        <w:ilvl w:val="2"/>
        <w:numId w:val="8"/>
      </w:numPr>
    </w:pPr>
  </w:style>
  <w:style w:type="paragraph" w:customStyle="1" w:styleId="ListNumber3Level4">
    <w:name w:val="List Number 3 (Level 4)"/>
    <w:basedOn w:val="Text3"/>
    <w:semiHidden/>
    <w:unhideWhenUsed/>
    <w:rsid w:val="00671023"/>
    <w:pPr>
      <w:numPr>
        <w:ilvl w:val="3"/>
        <w:numId w:val="8"/>
      </w:numPr>
    </w:pPr>
  </w:style>
  <w:style w:type="paragraph" w:styleId="ListNumber4">
    <w:name w:val="List Number 4"/>
    <w:basedOn w:val="Text4"/>
    <w:rsid w:val="00671023"/>
    <w:pPr>
      <w:numPr>
        <w:numId w:val="7"/>
      </w:numPr>
    </w:pPr>
  </w:style>
  <w:style w:type="paragraph" w:customStyle="1" w:styleId="ListNumber4Level2">
    <w:name w:val="List Number 4 (Level 2)"/>
    <w:basedOn w:val="Text4"/>
    <w:rsid w:val="00671023"/>
    <w:pPr>
      <w:numPr>
        <w:ilvl w:val="1"/>
        <w:numId w:val="7"/>
      </w:numPr>
    </w:pPr>
  </w:style>
  <w:style w:type="paragraph" w:customStyle="1" w:styleId="ListNumber4Level3">
    <w:name w:val="List Number 4 (Level 3)"/>
    <w:basedOn w:val="Text4"/>
    <w:semiHidden/>
    <w:unhideWhenUsed/>
    <w:rsid w:val="00671023"/>
    <w:pPr>
      <w:numPr>
        <w:ilvl w:val="2"/>
        <w:numId w:val="7"/>
      </w:numPr>
    </w:pPr>
  </w:style>
  <w:style w:type="paragraph" w:customStyle="1" w:styleId="ListNumber4Level4">
    <w:name w:val="List Number 4 (Level 4)"/>
    <w:basedOn w:val="Text4"/>
    <w:semiHidden/>
    <w:unhideWhenUsed/>
    <w:rsid w:val="00671023"/>
    <w:pPr>
      <w:numPr>
        <w:ilvl w:val="3"/>
        <w:numId w:val="7"/>
      </w:numPr>
    </w:pPr>
  </w:style>
  <w:style w:type="paragraph" w:customStyle="1" w:styleId="Marking">
    <w:name w:val="Marking"/>
    <w:basedOn w:val="Normal"/>
    <w:rsid w:val="00671023"/>
    <w:pPr>
      <w:spacing w:line="276" w:lineRule="auto"/>
      <w:ind w:left="5102" w:right="-567"/>
      <w:contextualSpacing/>
      <w:jc w:val="left"/>
    </w:pPr>
    <w:rPr>
      <w:sz w:val="28"/>
    </w:rPr>
  </w:style>
  <w:style w:type="paragraph" w:customStyle="1" w:styleId="LegalNumPar">
    <w:name w:val="LegalNumPar"/>
    <w:basedOn w:val="Normal"/>
    <w:qFormat/>
    <w:rsid w:val="00671023"/>
    <w:pPr>
      <w:numPr>
        <w:numId w:val="17"/>
      </w:numPr>
      <w:tabs>
        <w:tab w:val="clear" w:pos="476"/>
        <w:tab w:val="num" w:pos="360"/>
      </w:tabs>
      <w:spacing w:line="360" w:lineRule="auto"/>
      <w:ind w:left="0" w:firstLine="0"/>
      <w:jc w:val="left"/>
    </w:pPr>
  </w:style>
  <w:style w:type="paragraph" w:customStyle="1" w:styleId="LegalNumPar2">
    <w:name w:val="LegalNumPar2"/>
    <w:basedOn w:val="Normal"/>
    <w:rsid w:val="00671023"/>
    <w:pPr>
      <w:numPr>
        <w:ilvl w:val="1"/>
        <w:numId w:val="17"/>
      </w:numPr>
      <w:tabs>
        <w:tab w:val="clear" w:pos="952"/>
        <w:tab w:val="num" w:pos="360"/>
      </w:tabs>
      <w:spacing w:line="360" w:lineRule="auto"/>
      <w:ind w:left="0" w:firstLine="0"/>
      <w:jc w:val="left"/>
    </w:pPr>
  </w:style>
  <w:style w:type="paragraph" w:customStyle="1" w:styleId="LegalNumPar3">
    <w:name w:val="LegalNumPar3"/>
    <w:basedOn w:val="Normal"/>
    <w:rsid w:val="00671023"/>
    <w:pPr>
      <w:numPr>
        <w:ilvl w:val="2"/>
        <w:numId w:val="17"/>
      </w:numPr>
      <w:tabs>
        <w:tab w:val="clear" w:pos="1429"/>
        <w:tab w:val="num" w:pos="360"/>
      </w:tabs>
      <w:spacing w:line="360" w:lineRule="auto"/>
      <w:ind w:left="0" w:firstLine="0"/>
      <w:jc w:val="left"/>
    </w:pPr>
  </w:style>
  <w:style w:type="paragraph" w:styleId="Header">
    <w:name w:val="header"/>
    <w:basedOn w:val="Normal"/>
    <w:link w:val="HeaderChar"/>
    <w:rsid w:val="00671023"/>
    <w:pPr>
      <w:tabs>
        <w:tab w:val="center" w:pos="4150"/>
        <w:tab w:val="right" w:pos="8306"/>
      </w:tabs>
      <w:spacing w:after="0"/>
    </w:pPr>
  </w:style>
  <w:style w:type="character" w:customStyle="1" w:styleId="HeaderChar">
    <w:name w:val="Header Char"/>
    <w:basedOn w:val="DefaultParagraphFont"/>
    <w:link w:val="Header"/>
    <w:rsid w:val="00671023"/>
    <w:rPr>
      <w:rFonts w:ascii="Times New Roman" w:eastAsia="Times New Roman" w:hAnsi="Times New Roman" w:cs="Times New Roman"/>
      <w:kern w:val="0"/>
      <w:sz w:val="24"/>
      <w:szCs w:val="20"/>
      <w:lang w:eastAsia="en-GB"/>
    </w:rPr>
  </w:style>
  <w:style w:type="table" w:customStyle="1" w:styleId="TableHistory">
    <w:name w:val="Table History"/>
    <w:basedOn w:val="TableNormal"/>
    <w:uiPriority w:val="99"/>
    <w:rsid w:val="00671023"/>
    <w:pPr>
      <w:spacing w:before="60" w:after="60" w:line="264" w:lineRule="auto"/>
    </w:pPr>
    <w:rPr>
      <w:rFonts w:ascii="Times New Roman" w:eastAsia="Times New Roman" w:hAnsi="Times New Roman" w:cs="Times New Roman"/>
      <w:kern w:val="0"/>
      <w:szCs w:val="20"/>
      <w:lang w:eastAsia="en-GB"/>
    </w:rPr>
    <w:tblPr>
      <w:tblInd w:w="142" w:type="dxa"/>
    </w:tblPr>
  </w:style>
  <w:style w:type="table" w:customStyle="1" w:styleId="TableLetterhead">
    <w:name w:val="Table Letterhead"/>
    <w:basedOn w:val="TableNormal"/>
    <w:uiPriority w:val="99"/>
    <w:rsid w:val="00671023"/>
    <w:pPr>
      <w:spacing w:after="0" w:line="240" w:lineRule="auto"/>
    </w:pPr>
    <w:rPr>
      <w:rFonts w:ascii="Times New Roman" w:eastAsia="Times New Roman" w:hAnsi="Times New Roman" w:cs="Times New Roman"/>
      <w:kern w:val="0"/>
      <w:sz w:val="24"/>
      <w:szCs w:val="20"/>
      <w:lang w:eastAsia="en-GB"/>
    </w:rPr>
    <w:tblPr/>
  </w:style>
  <w:style w:type="paragraph" w:customStyle="1" w:styleId="Default">
    <w:name w:val="Default"/>
    <w:rsid w:val="00671023"/>
    <w:pPr>
      <w:autoSpaceDE w:val="0"/>
      <w:autoSpaceDN w:val="0"/>
      <w:adjustRightInd w:val="0"/>
      <w:spacing w:after="0" w:line="240" w:lineRule="auto"/>
    </w:pPr>
    <w:rPr>
      <w:rFonts w:ascii="Garamond" w:hAnsi="Garamond" w:cs="Garamond"/>
      <w:color w:val="000000"/>
      <w:kern w:val="0"/>
      <w:sz w:val="24"/>
      <w:szCs w:val="24"/>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FootnotesymbolCarZchn"/>
    <w:uiPriority w:val="99"/>
    <w:unhideWhenUsed/>
    <w:qFormat/>
    <w:rsid w:val="0067102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671023"/>
    <w:pPr>
      <w:spacing w:after="160" w:line="240" w:lineRule="exact"/>
    </w:pPr>
    <w:rPr>
      <w:rFonts w:asciiTheme="minorHAnsi" w:eastAsiaTheme="minorHAnsi" w:hAnsiTheme="minorHAnsi" w:cstheme="minorBidi"/>
      <w:kern w:val="2"/>
      <w:sz w:val="22"/>
      <w:szCs w:val="22"/>
      <w:vertAlign w:val="superscript"/>
      <w:lang w:eastAsia="en-US"/>
    </w:rPr>
  </w:style>
  <w:style w:type="paragraph" w:styleId="BalloonText">
    <w:name w:val="Balloon Text"/>
    <w:basedOn w:val="Normal"/>
    <w:link w:val="BalloonTextChar"/>
    <w:semiHidden/>
    <w:rsid w:val="00671023"/>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671023"/>
    <w:rPr>
      <w:rFonts w:ascii="Segoe UI" w:eastAsia="Times New Roman" w:hAnsi="Segoe UI" w:cs="Segoe UI"/>
      <w:kern w:val="0"/>
      <w:sz w:val="18"/>
      <w:szCs w:val="18"/>
      <w:lang w:eastAsia="en-GB"/>
    </w:rPr>
  </w:style>
  <w:style w:type="character" w:styleId="Hyperlink">
    <w:name w:val="Hyperlink"/>
    <w:basedOn w:val="DefaultParagraphFont"/>
    <w:uiPriority w:val="99"/>
    <w:unhideWhenUsed/>
    <w:rsid w:val="00671023"/>
    <w:rPr>
      <w:color w:val="0000FF" w:themeColor="hyperlink"/>
      <w:u w:val="single"/>
    </w:rPr>
  </w:style>
  <w:style w:type="table" w:styleId="TableGrid">
    <w:name w:val="Table Grid"/>
    <w:basedOn w:val="TableNormal"/>
    <w:uiPriority w:val="59"/>
    <w:rsid w:val="00671023"/>
    <w:pPr>
      <w:spacing w:after="0" w:line="240" w:lineRule="auto"/>
    </w:pPr>
    <w:rPr>
      <w:rFonts w:ascii="Times New Roman" w:eastAsia="Times New Roman" w:hAnsi="Times New Roman" w:cs="Times New Roman"/>
      <w:kern w:val="0"/>
      <w:sz w:val="20"/>
      <w:szCs w:val="20"/>
      <w:lang w:eastAsia="en-GB"/>
    </w:rPr>
    <w:tblPr/>
  </w:style>
  <w:style w:type="character" w:styleId="CommentReference">
    <w:name w:val="annotation reference"/>
    <w:basedOn w:val="DefaultParagraphFont"/>
    <w:uiPriority w:val="99"/>
    <w:semiHidden/>
    <w:rsid w:val="00671023"/>
    <w:rPr>
      <w:sz w:val="16"/>
      <w:szCs w:val="16"/>
    </w:rPr>
  </w:style>
  <w:style w:type="paragraph" w:styleId="CommentText">
    <w:name w:val="annotation text"/>
    <w:basedOn w:val="Normal"/>
    <w:link w:val="CommentTextChar"/>
    <w:uiPriority w:val="99"/>
    <w:rsid w:val="00671023"/>
    <w:rPr>
      <w:sz w:val="20"/>
    </w:rPr>
  </w:style>
  <w:style w:type="character" w:customStyle="1" w:styleId="CommentTextChar">
    <w:name w:val="Comment Text Char"/>
    <w:basedOn w:val="DefaultParagraphFont"/>
    <w:link w:val="CommentText"/>
    <w:uiPriority w:val="99"/>
    <w:rsid w:val="00671023"/>
    <w:rPr>
      <w:rFonts w:ascii="Times New Roman" w:eastAsia="Times New Roman" w:hAnsi="Times New Roman" w:cs="Times New Roman"/>
      <w:kern w:val="0"/>
      <w:sz w:val="20"/>
      <w:szCs w:val="20"/>
      <w:lang w:eastAsia="en-GB"/>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671023"/>
  </w:style>
  <w:style w:type="paragraph" w:customStyle="1" w:styleId="Question">
    <w:name w:val="Question"/>
    <w:basedOn w:val="Normal"/>
    <w:qFormat/>
    <w:rsid w:val="00671023"/>
    <w:pPr>
      <w:jc w:val="left"/>
    </w:pPr>
    <w:rPr>
      <w:b/>
      <w:snapToGrid w:val="0"/>
      <w:sz w:val="20"/>
      <w:szCs w:val="24"/>
    </w:rPr>
  </w:style>
  <w:style w:type="paragraph" w:customStyle="1" w:styleId="bodytext">
    <w:name w:val="bodytext"/>
    <w:basedOn w:val="Normal"/>
    <w:rsid w:val="00671023"/>
    <w:pPr>
      <w:spacing w:before="100" w:beforeAutospacing="1" w:after="100" w:afterAutospacing="1"/>
      <w:jc w:val="left"/>
    </w:pPr>
    <w:rPr>
      <w:szCs w:val="24"/>
    </w:rPr>
  </w:style>
  <w:style w:type="paragraph" w:styleId="CommentSubject">
    <w:name w:val="annotation subject"/>
    <w:basedOn w:val="CommentText"/>
    <w:next w:val="CommentText"/>
    <w:link w:val="CommentSubjectChar"/>
    <w:semiHidden/>
    <w:unhideWhenUsed/>
    <w:rsid w:val="00671023"/>
    <w:rPr>
      <w:b/>
      <w:bCs/>
    </w:rPr>
  </w:style>
  <w:style w:type="character" w:customStyle="1" w:styleId="CommentSubjectChar">
    <w:name w:val="Comment Subject Char"/>
    <w:basedOn w:val="CommentTextChar"/>
    <w:link w:val="CommentSubject"/>
    <w:semiHidden/>
    <w:rsid w:val="00671023"/>
    <w:rPr>
      <w:rFonts w:ascii="Times New Roman" w:eastAsia="Times New Roman" w:hAnsi="Times New Roman" w:cs="Times New Roman"/>
      <w:b/>
      <w:bCs/>
      <w:kern w:val="0"/>
      <w:sz w:val="20"/>
      <w:szCs w:val="20"/>
      <w:lang w:eastAsia="en-GB"/>
    </w:rPr>
  </w:style>
  <w:style w:type="character" w:styleId="EndnoteReference">
    <w:name w:val="endnote reference"/>
    <w:basedOn w:val="DefaultParagraphFont"/>
    <w:semiHidden/>
    <w:rsid w:val="00671023"/>
    <w:rPr>
      <w:vertAlign w:val="superscript"/>
    </w:rPr>
  </w:style>
  <w:style w:type="paragraph" w:styleId="PlainText">
    <w:name w:val="Plain Text"/>
    <w:basedOn w:val="Normal"/>
    <w:link w:val="PlainTextChar"/>
    <w:uiPriority w:val="99"/>
    <w:unhideWhenUsed/>
    <w:rsid w:val="00671023"/>
    <w:pPr>
      <w:spacing w:after="0"/>
      <w:jc w:val="left"/>
    </w:pPr>
    <w:rPr>
      <w:rFonts w:ascii="Calibri" w:eastAsiaTheme="minorHAnsi" w:hAnsi="Calibri" w:cs="Calibri"/>
      <w:szCs w:val="24"/>
      <w:lang w:eastAsia="en-US"/>
    </w:rPr>
  </w:style>
  <w:style w:type="character" w:customStyle="1" w:styleId="PlainTextChar">
    <w:name w:val="Plain Text Char"/>
    <w:basedOn w:val="DefaultParagraphFont"/>
    <w:link w:val="PlainText"/>
    <w:uiPriority w:val="99"/>
    <w:rsid w:val="00671023"/>
    <w:rPr>
      <w:rFonts w:ascii="Calibri" w:hAnsi="Calibri" w:cs="Calibri"/>
      <w:kern w:val="0"/>
      <w:sz w:val="24"/>
      <w:szCs w:val="24"/>
    </w:rPr>
  </w:style>
  <w:style w:type="character" w:customStyle="1" w:styleId="UnresolvedMention1">
    <w:name w:val="Unresolved Mention1"/>
    <w:basedOn w:val="DefaultParagraphFont"/>
    <w:uiPriority w:val="99"/>
    <w:semiHidden/>
    <w:unhideWhenUsed/>
    <w:rsid w:val="00671023"/>
    <w:rPr>
      <w:color w:val="605E5C"/>
      <w:shd w:val="clear" w:color="auto" w:fill="E1DFDD"/>
    </w:rPr>
  </w:style>
  <w:style w:type="paragraph" w:styleId="Revision">
    <w:name w:val="Revision"/>
    <w:hidden/>
    <w:semiHidden/>
    <w:rsid w:val="00671023"/>
    <w:pPr>
      <w:spacing w:after="0" w:line="240" w:lineRule="auto"/>
    </w:pPr>
    <w:rPr>
      <w:rFonts w:ascii="Times New Roman" w:eastAsia="Times New Roman" w:hAnsi="Times New Roman" w:cs="Times New Roman"/>
      <w:kern w:val="0"/>
      <w:sz w:val="24"/>
      <w:szCs w:val="20"/>
      <w:lang w:eastAsia="en-GB"/>
    </w:rPr>
  </w:style>
  <w:style w:type="paragraph" w:customStyle="1" w:styleId="MeetingIntro">
    <w:name w:val="MeetingIntro"/>
    <w:basedOn w:val="Normal"/>
    <w:rsid w:val="00671023"/>
    <w:pPr>
      <w:spacing w:after="0"/>
      <w:jc w:val="left"/>
    </w:pPr>
    <w:rPr>
      <w:b/>
      <w:sz w:val="16"/>
      <w:szCs w:val="24"/>
      <w:lang w:eastAsia="en-US"/>
    </w:rPr>
  </w:style>
  <w:style w:type="paragraph" w:customStyle="1" w:styleId="Normal1">
    <w:name w:val="Normal1"/>
    <w:basedOn w:val="Normal"/>
    <w:rsid w:val="00671023"/>
    <w:pPr>
      <w:spacing w:before="100" w:beforeAutospacing="1" w:after="100" w:afterAutospacing="1"/>
      <w:jc w:val="left"/>
    </w:pPr>
    <w:rPr>
      <w:szCs w:val="24"/>
    </w:rPr>
  </w:style>
  <w:style w:type="numbering" w:customStyle="1" w:styleId="ImportedStyle2">
    <w:name w:val="Imported Style 2"/>
    <w:rsid w:val="00671023"/>
    <w:pPr>
      <w:numPr>
        <w:numId w:val="19"/>
      </w:numPr>
    </w:pPr>
  </w:style>
  <w:style w:type="paragraph" w:customStyle="1" w:styleId="doc-ti">
    <w:name w:val="doc-ti"/>
    <w:basedOn w:val="Normal"/>
    <w:uiPriority w:val="99"/>
    <w:rsid w:val="00671023"/>
    <w:pPr>
      <w:spacing w:before="100" w:beforeAutospacing="1" w:after="100" w:afterAutospacing="1"/>
      <w:jc w:val="left"/>
    </w:pPr>
    <w:rPr>
      <w:rFonts w:eastAsiaTheme="minorHAnsi"/>
      <w:szCs w:val="24"/>
    </w:rPr>
  </w:style>
  <w:style w:type="character" w:styleId="FollowedHyperlink">
    <w:name w:val="FollowedHyperlink"/>
    <w:basedOn w:val="DefaultParagraphFont"/>
    <w:semiHidden/>
    <w:unhideWhenUsed/>
    <w:rsid w:val="00671023"/>
    <w:rPr>
      <w:color w:val="800080" w:themeColor="followedHyperlink"/>
      <w:u w:val="single"/>
    </w:rPr>
  </w:style>
  <w:style w:type="numbering" w:customStyle="1" w:styleId="ImportedStyle3">
    <w:name w:val="Imported Style 3"/>
    <w:rsid w:val="00671023"/>
    <w:pPr>
      <w:numPr>
        <w:numId w:val="20"/>
      </w:numPr>
    </w:pPr>
  </w:style>
  <w:style w:type="paragraph" w:customStyle="1" w:styleId="Body">
    <w:name w:val="Body"/>
    <w:rsid w:val="00671023"/>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kern w:val="0"/>
      <w:sz w:val="24"/>
      <w:szCs w:val="24"/>
      <w:u w:color="000000"/>
      <w:bdr w:val="nil"/>
      <w:lang w:eastAsia="en-GB"/>
    </w:rPr>
  </w:style>
  <w:style w:type="character" w:customStyle="1" w:styleId="Onopgelostemelding1">
    <w:name w:val="Onopgeloste melding1"/>
    <w:basedOn w:val="DefaultParagraphFont"/>
    <w:uiPriority w:val="99"/>
    <w:semiHidden/>
    <w:unhideWhenUsed/>
    <w:rsid w:val="00671023"/>
    <w:rPr>
      <w:color w:val="605E5C"/>
      <w:shd w:val="clear" w:color="auto" w:fill="E1DFDD"/>
    </w:rPr>
  </w:style>
  <w:style w:type="paragraph" w:customStyle="1" w:styleId="Pagedecouverture">
    <w:name w:val="Page de couverture"/>
    <w:basedOn w:val="Normal"/>
    <w:next w:val="Normal"/>
    <w:rsid w:val="00671023"/>
    <w:pPr>
      <w:spacing w:after="0"/>
    </w:pPr>
    <w:rPr>
      <w:rFonts w:eastAsiaTheme="minorHAnsi"/>
      <w:szCs w:val="22"/>
      <w:lang w:eastAsia="en-US"/>
    </w:rPr>
  </w:style>
  <w:style w:type="paragraph" w:customStyle="1" w:styleId="FooterCoverPage">
    <w:name w:val="Footer Cover Page"/>
    <w:basedOn w:val="Normal"/>
    <w:link w:val="FooterCoverPageChar"/>
    <w:rsid w:val="0067102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71023"/>
    <w:rPr>
      <w:rFonts w:ascii="Times New Roman" w:eastAsia="Times New Roman" w:hAnsi="Times New Roman" w:cs="Times New Roman"/>
      <w:kern w:val="0"/>
      <w:sz w:val="24"/>
      <w:szCs w:val="20"/>
      <w:lang w:eastAsia="en-GB"/>
    </w:rPr>
  </w:style>
  <w:style w:type="paragraph" w:customStyle="1" w:styleId="HeaderCoverPage">
    <w:name w:val="Header Cover Page"/>
    <w:basedOn w:val="Normal"/>
    <w:link w:val="HeaderCoverPageChar"/>
    <w:rsid w:val="00671023"/>
    <w:pPr>
      <w:tabs>
        <w:tab w:val="center" w:pos="4535"/>
        <w:tab w:val="right" w:pos="9071"/>
      </w:tabs>
      <w:spacing w:after="120"/>
    </w:pPr>
  </w:style>
  <w:style w:type="character" w:customStyle="1" w:styleId="HeaderCoverPageChar">
    <w:name w:val="Header Cover Page Char"/>
    <w:basedOn w:val="DefaultParagraphFont"/>
    <w:link w:val="HeaderCoverPage"/>
    <w:rsid w:val="00671023"/>
    <w:rPr>
      <w:rFonts w:ascii="Times New Roman" w:eastAsia="Times New Roman" w:hAnsi="Times New Roman" w:cs="Times New Roman"/>
      <w:kern w:val="0"/>
      <w:sz w:val="24"/>
      <w:szCs w:val="20"/>
      <w:lang w:eastAsia="en-GB"/>
    </w:rPr>
  </w:style>
  <w:style w:type="character" w:customStyle="1" w:styleId="Marker">
    <w:name w:val="Marker"/>
    <w:basedOn w:val="DefaultParagraphFont"/>
    <w:rsid w:val="00671023"/>
    <w:rPr>
      <w:color w:val="0000FF"/>
      <w:shd w:val="clear" w:color="auto" w:fill="auto"/>
    </w:rPr>
  </w:style>
  <w:style w:type="paragraph" w:customStyle="1" w:styleId="FooterSensitivity">
    <w:name w:val="Footer Sensitivity"/>
    <w:basedOn w:val="Normal"/>
    <w:link w:val="FooterSensitivityChar"/>
    <w:rsid w:val="006710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671023"/>
    <w:rPr>
      <w:rFonts w:ascii="Times New Roman" w:eastAsia="Times New Roman" w:hAnsi="Times New Roman" w:cs="Times New Roman"/>
      <w:b/>
      <w:kern w:val="0"/>
      <w:sz w:val="32"/>
      <w:szCs w:val="20"/>
      <w:lang w:eastAsia="en-GB"/>
    </w:rPr>
  </w:style>
  <w:style w:type="paragraph" w:customStyle="1" w:styleId="HeaderSensitivity">
    <w:name w:val="Header Sensitivity"/>
    <w:basedOn w:val="Normal"/>
    <w:link w:val="HeaderSensitivityChar"/>
    <w:rsid w:val="0067102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671023"/>
    <w:rPr>
      <w:rFonts w:ascii="Times New Roman" w:eastAsia="Times New Roman" w:hAnsi="Times New Roman" w:cs="Times New Roman"/>
      <w:b/>
      <w:kern w:val="0"/>
      <w:sz w:val="32"/>
      <w:szCs w:val="20"/>
      <w:lang w:eastAsia="en-GB"/>
    </w:rPr>
  </w:style>
  <w:style w:type="paragraph" w:customStyle="1" w:styleId="HeaderSensitivityRight">
    <w:name w:val="Header Sensitivity Right"/>
    <w:basedOn w:val="Normal"/>
    <w:link w:val="HeaderSensitivityRightChar"/>
    <w:rsid w:val="00671023"/>
    <w:pPr>
      <w:spacing w:after="120"/>
      <w:jc w:val="right"/>
    </w:pPr>
    <w:rPr>
      <w:sz w:val="28"/>
    </w:rPr>
  </w:style>
  <w:style w:type="character" w:customStyle="1" w:styleId="HeaderSensitivityRightChar">
    <w:name w:val="Header Sensitivity Right Char"/>
    <w:basedOn w:val="DefaultParagraphFont"/>
    <w:link w:val="HeaderSensitivityRight"/>
    <w:rsid w:val="00671023"/>
    <w:rPr>
      <w:rFonts w:ascii="Times New Roman" w:eastAsia="Times New Roman" w:hAnsi="Times New Roman" w:cs="Times New Roman"/>
      <w:kern w:val="0"/>
      <w:sz w:val="28"/>
      <w:szCs w:val="20"/>
      <w:lang w:eastAsia="en-GB"/>
    </w:rPr>
  </w:style>
  <w:style w:type="paragraph" w:customStyle="1" w:styleId="whitespace-normal">
    <w:name w:val="whitespace-normal"/>
    <w:basedOn w:val="Normal"/>
    <w:rsid w:val="00671023"/>
    <w:pPr>
      <w:spacing w:before="100" w:beforeAutospacing="1" w:after="100" w:afterAutospacing="1"/>
      <w:jc w:val="left"/>
    </w:pPr>
    <w:rPr>
      <w:szCs w:val="24"/>
    </w:rPr>
  </w:style>
  <w:style w:type="character" w:customStyle="1" w:styleId="UnresolvedMention">
    <w:name w:val="Unresolved Mention"/>
    <w:basedOn w:val="DefaultParagraphFont"/>
    <w:uiPriority w:val="99"/>
    <w:semiHidden/>
    <w:unhideWhenUsed/>
    <w:rsid w:val="00671023"/>
    <w:rPr>
      <w:color w:val="605E5C"/>
      <w:shd w:val="clear" w:color="auto" w:fill="E1DFDD"/>
    </w:rPr>
  </w:style>
  <w:style w:type="paragraph" w:styleId="NormalWeb">
    <w:name w:val="Normal (Web)"/>
    <w:basedOn w:val="Normal"/>
    <w:semiHidden/>
    <w:unhideWhenUsed/>
    <w:rsid w:val="00671023"/>
    <w:rPr>
      <w:szCs w:val="24"/>
    </w:rPr>
  </w:style>
  <w:style w:type="character" w:customStyle="1" w:styleId="Mention">
    <w:name w:val="Mention"/>
    <w:basedOn w:val="DefaultParagraphFont"/>
    <w:uiPriority w:val="99"/>
    <w:unhideWhenUsed/>
    <w:rsid w:val="00671023"/>
    <w:rPr>
      <w:color w:val="2B579A"/>
      <w:shd w:val="clear" w:color="auto" w:fill="E1DFDD"/>
    </w:rPr>
  </w:style>
  <w:style w:type="paragraph" w:styleId="NoSpacing">
    <w:name w:val="No Spacing"/>
    <w:uiPriority w:val="1"/>
    <w:qFormat/>
    <w:rsid w:val="00671023"/>
    <w:pPr>
      <w:spacing w:after="0" w:line="240" w:lineRule="auto"/>
    </w:pPr>
    <w:rPr>
      <w:rFonts w:ascii="Times New Roman" w:eastAsia="Times New Roman" w:hAnsi="Times New Roman" w:cs="Times New Roman"/>
      <w:kern w:val="0"/>
      <w:sz w:val="24"/>
      <w:szCs w:val="20"/>
      <w:lang w:eastAsia="en-GB"/>
    </w:rPr>
  </w:style>
  <w:style w:type="paragraph" w:customStyle="1" w:styleId="Languesfaisantfoi">
    <w:name w:val="Langues faisant foi"/>
    <w:basedOn w:val="Normal"/>
    <w:next w:val="Normal"/>
    <w:rsid w:val="00776344"/>
    <w:pPr>
      <w:spacing w:before="360"/>
      <w:jc w:val="center"/>
    </w:pPr>
    <w:rPr>
      <w:rFonts w:eastAsiaTheme="minorHAnsi"/>
      <w:szCs w:val="22"/>
      <w:lang w:eastAsia="en-US"/>
      <w14:ligatures w14:val="none"/>
    </w:rPr>
  </w:style>
  <w:style w:type="paragraph" w:customStyle="1" w:styleId="LanguesfaisantfoiPagedecouverture">
    <w:name w:val="Langues faisant foi (Page de couverture)"/>
    <w:basedOn w:val="Normal"/>
    <w:next w:val="Normal"/>
    <w:rsid w:val="00776344"/>
    <w:pPr>
      <w:spacing w:before="360"/>
      <w:jc w:val="center"/>
    </w:pPr>
    <w:rPr>
      <w:rFonts w:eastAsiaTheme="minorHAnsi"/>
      <w:szCs w:val="22"/>
      <w:lang w:eastAsia="en-US"/>
      <w14:ligatures w14:val="none"/>
    </w:rPr>
  </w:style>
  <w:style w:type="paragraph" w:customStyle="1" w:styleId="IntrtEEE">
    <w:name w:val="Intérêt EEE"/>
    <w:basedOn w:val="Languesfaisantfoi"/>
    <w:next w:val="Normal"/>
    <w:rsid w:val="00776344"/>
    <w:pPr>
      <w:spacing w:after="0"/>
    </w:pPr>
  </w:style>
  <w:style w:type="paragraph" w:customStyle="1" w:styleId="IntrtEEEPagedecouverture">
    <w:name w:val="Intérêt EEE (Page de couverture)"/>
    <w:basedOn w:val="IntrtEEE"/>
    <w:next w:val="Normal"/>
    <w:rsid w:val="0077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4600">
      <w:bodyDiv w:val="1"/>
      <w:marLeft w:val="0"/>
      <w:marRight w:val="0"/>
      <w:marTop w:val="0"/>
      <w:marBottom w:val="0"/>
      <w:divBdr>
        <w:top w:val="none" w:sz="0" w:space="0" w:color="auto"/>
        <w:left w:val="none" w:sz="0" w:space="0" w:color="auto"/>
        <w:bottom w:val="none" w:sz="0" w:space="0" w:color="auto"/>
        <w:right w:val="none" w:sz="0" w:space="0" w:color="auto"/>
      </w:divBdr>
    </w:div>
    <w:div w:id="138617078">
      <w:bodyDiv w:val="1"/>
      <w:marLeft w:val="0"/>
      <w:marRight w:val="0"/>
      <w:marTop w:val="0"/>
      <w:marBottom w:val="0"/>
      <w:divBdr>
        <w:top w:val="none" w:sz="0" w:space="0" w:color="auto"/>
        <w:left w:val="none" w:sz="0" w:space="0" w:color="auto"/>
        <w:bottom w:val="none" w:sz="0" w:space="0" w:color="auto"/>
        <w:right w:val="none" w:sz="0" w:space="0" w:color="auto"/>
      </w:divBdr>
    </w:div>
    <w:div w:id="157500577">
      <w:bodyDiv w:val="1"/>
      <w:marLeft w:val="0"/>
      <w:marRight w:val="0"/>
      <w:marTop w:val="0"/>
      <w:marBottom w:val="0"/>
      <w:divBdr>
        <w:top w:val="none" w:sz="0" w:space="0" w:color="auto"/>
        <w:left w:val="none" w:sz="0" w:space="0" w:color="auto"/>
        <w:bottom w:val="none" w:sz="0" w:space="0" w:color="auto"/>
        <w:right w:val="none" w:sz="0" w:space="0" w:color="auto"/>
      </w:divBdr>
    </w:div>
    <w:div w:id="270434211">
      <w:bodyDiv w:val="1"/>
      <w:marLeft w:val="0"/>
      <w:marRight w:val="0"/>
      <w:marTop w:val="0"/>
      <w:marBottom w:val="0"/>
      <w:divBdr>
        <w:top w:val="none" w:sz="0" w:space="0" w:color="auto"/>
        <w:left w:val="none" w:sz="0" w:space="0" w:color="auto"/>
        <w:bottom w:val="none" w:sz="0" w:space="0" w:color="auto"/>
        <w:right w:val="none" w:sz="0" w:space="0" w:color="auto"/>
      </w:divBdr>
    </w:div>
    <w:div w:id="356200829">
      <w:bodyDiv w:val="1"/>
      <w:marLeft w:val="0"/>
      <w:marRight w:val="0"/>
      <w:marTop w:val="0"/>
      <w:marBottom w:val="0"/>
      <w:divBdr>
        <w:top w:val="none" w:sz="0" w:space="0" w:color="auto"/>
        <w:left w:val="none" w:sz="0" w:space="0" w:color="auto"/>
        <w:bottom w:val="none" w:sz="0" w:space="0" w:color="auto"/>
        <w:right w:val="none" w:sz="0" w:space="0" w:color="auto"/>
      </w:divBdr>
    </w:div>
    <w:div w:id="444007414">
      <w:bodyDiv w:val="1"/>
      <w:marLeft w:val="0"/>
      <w:marRight w:val="0"/>
      <w:marTop w:val="0"/>
      <w:marBottom w:val="0"/>
      <w:divBdr>
        <w:top w:val="none" w:sz="0" w:space="0" w:color="auto"/>
        <w:left w:val="none" w:sz="0" w:space="0" w:color="auto"/>
        <w:bottom w:val="none" w:sz="0" w:space="0" w:color="auto"/>
        <w:right w:val="none" w:sz="0" w:space="0" w:color="auto"/>
      </w:divBdr>
    </w:div>
    <w:div w:id="462576578">
      <w:bodyDiv w:val="1"/>
      <w:marLeft w:val="0"/>
      <w:marRight w:val="0"/>
      <w:marTop w:val="0"/>
      <w:marBottom w:val="0"/>
      <w:divBdr>
        <w:top w:val="none" w:sz="0" w:space="0" w:color="auto"/>
        <w:left w:val="none" w:sz="0" w:space="0" w:color="auto"/>
        <w:bottom w:val="none" w:sz="0" w:space="0" w:color="auto"/>
        <w:right w:val="none" w:sz="0" w:space="0" w:color="auto"/>
      </w:divBdr>
    </w:div>
    <w:div w:id="552153895">
      <w:bodyDiv w:val="1"/>
      <w:marLeft w:val="0"/>
      <w:marRight w:val="0"/>
      <w:marTop w:val="0"/>
      <w:marBottom w:val="0"/>
      <w:divBdr>
        <w:top w:val="none" w:sz="0" w:space="0" w:color="auto"/>
        <w:left w:val="none" w:sz="0" w:space="0" w:color="auto"/>
        <w:bottom w:val="none" w:sz="0" w:space="0" w:color="auto"/>
        <w:right w:val="none" w:sz="0" w:space="0" w:color="auto"/>
      </w:divBdr>
    </w:div>
    <w:div w:id="566840761">
      <w:bodyDiv w:val="1"/>
      <w:marLeft w:val="0"/>
      <w:marRight w:val="0"/>
      <w:marTop w:val="0"/>
      <w:marBottom w:val="0"/>
      <w:divBdr>
        <w:top w:val="none" w:sz="0" w:space="0" w:color="auto"/>
        <w:left w:val="none" w:sz="0" w:space="0" w:color="auto"/>
        <w:bottom w:val="none" w:sz="0" w:space="0" w:color="auto"/>
        <w:right w:val="none" w:sz="0" w:space="0" w:color="auto"/>
      </w:divBdr>
      <w:divsChild>
        <w:div w:id="62652836">
          <w:marLeft w:val="0"/>
          <w:marRight w:val="0"/>
          <w:marTop w:val="0"/>
          <w:marBottom w:val="0"/>
          <w:divBdr>
            <w:top w:val="none" w:sz="0" w:space="0" w:color="auto"/>
            <w:left w:val="none" w:sz="0" w:space="0" w:color="auto"/>
            <w:bottom w:val="none" w:sz="0" w:space="0" w:color="auto"/>
            <w:right w:val="none" w:sz="0" w:space="0" w:color="auto"/>
          </w:divBdr>
          <w:divsChild>
            <w:div w:id="461072753">
              <w:marLeft w:val="0"/>
              <w:marRight w:val="0"/>
              <w:marTop w:val="0"/>
              <w:marBottom w:val="0"/>
              <w:divBdr>
                <w:top w:val="none" w:sz="0" w:space="0" w:color="auto"/>
                <w:left w:val="none" w:sz="0" w:space="0" w:color="auto"/>
                <w:bottom w:val="none" w:sz="0" w:space="0" w:color="auto"/>
                <w:right w:val="none" w:sz="0" w:space="0" w:color="auto"/>
              </w:divBdr>
            </w:div>
            <w:div w:id="664482363">
              <w:marLeft w:val="0"/>
              <w:marRight w:val="0"/>
              <w:marTop w:val="0"/>
              <w:marBottom w:val="0"/>
              <w:divBdr>
                <w:top w:val="none" w:sz="0" w:space="0" w:color="auto"/>
                <w:left w:val="none" w:sz="0" w:space="0" w:color="auto"/>
                <w:bottom w:val="none" w:sz="0" w:space="0" w:color="auto"/>
                <w:right w:val="none" w:sz="0" w:space="0" w:color="auto"/>
              </w:divBdr>
            </w:div>
            <w:div w:id="829104865">
              <w:marLeft w:val="0"/>
              <w:marRight w:val="0"/>
              <w:marTop w:val="0"/>
              <w:marBottom w:val="0"/>
              <w:divBdr>
                <w:top w:val="none" w:sz="0" w:space="0" w:color="auto"/>
                <w:left w:val="none" w:sz="0" w:space="0" w:color="auto"/>
                <w:bottom w:val="none" w:sz="0" w:space="0" w:color="auto"/>
                <w:right w:val="none" w:sz="0" w:space="0" w:color="auto"/>
              </w:divBdr>
            </w:div>
            <w:div w:id="888882628">
              <w:marLeft w:val="0"/>
              <w:marRight w:val="0"/>
              <w:marTop w:val="0"/>
              <w:marBottom w:val="0"/>
              <w:divBdr>
                <w:top w:val="none" w:sz="0" w:space="0" w:color="auto"/>
                <w:left w:val="none" w:sz="0" w:space="0" w:color="auto"/>
                <w:bottom w:val="none" w:sz="0" w:space="0" w:color="auto"/>
                <w:right w:val="none" w:sz="0" w:space="0" w:color="auto"/>
              </w:divBdr>
            </w:div>
            <w:div w:id="897059423">
              <w:marLeft w:val="0"/>
              <w:marRight w:val="0"/>
              <w:marTop w:val="0"/>
              <w:marBottom w:val="0"/>
              <w:divBdr>
                <w:top w:val="none" w:sz="0" w:space="0" w:color="auto"/>
                <w:left w:val="none" w:sz="0" w:space="0" w:color="auto"/>
                <w:bottom w:val="none" w:sz="0" w:space="0" w:color="auto"/>
                <w:right w:val="none" w:sz="0" w:space="0" w:color="auto"/>
              </w:divBdr>
            </w:div>
            <w:div w:id="993485440">
              <w:marLeft w:val="0"/>
              <w:marRight w:val="0"/>
              <w:marTop w:val="0"/>
              <w:marBottom w:val="0"/>
              <w:divBdr>
                <w:top w:val="none" w:sz="0" w:space="0" w:color="auto"/>
                <w:left w:val="none" w:sz="0" w:space="0" w:color="auto"/>
                <w:bottom w:val="none" w:sz="0" w:space="0" w:color="auto"/>
                <w:right w:val="none" w:sz="0" w:space="0" w:color="auto"/>
              </w:divBdr>
            </w:div>
            <w:div w:id="1089354858">
              <w:marLeft w:val="0"/>
              <w:marRight w:val="0"/>
              <w:marTop w:val="0"/>
              <w:marBottom w:val="0"/>
              <w:divBdr>
                <w:top w:val="none" w:sz="0" w:space="0" w:color="auto"/>
                <w:left w:val="none" w:sz="0" w:space="0" w:color="auto"/>
                <w:bottom w:val="none" w:sz="0" w:space="0" w:color="auto"/>
                <w:right w:val="none" w:sz="0" w:space="0" w:color="auto"/>
              </w:divBdr>
            </w:div>
            <w:div w:id="1162620331">
              <w:marLeft w:val="0"/>
              <w:marRight w:val="0"/>
              <w:marTop w:val="0"/>
              <w:marBottom w:val="0"/>
              <w:divBdr>
                <w:top w:val="none" w:sz="0" w:space="0" w:color="auto"/>
                <w:left w:val="none" w:sz="0" w:space="0" w:color="auto"/>
                <w:bottom w:val="none" w:sz="0" w:space="0" w:color="auto"/>
                <w:right w:val="none" w:sz="0" w:space="0" w:color="auto"/>
              </w:divBdr>
            </w:div>
            <w:div w:id="1326519082">
              <w:marLeft w:val="0"/>
              <w:marRight w:val="0"/>
              <w:marTop w:val="0"/>
              <w:marBottom w:val="0"/>
              <w:divBdr>
                <w:top w:val="none" w:sz="0" w:space="0" w:color="auto"/>
                <w:left w:val="none" w:sz="0" w:space="0" w:color="auto"/>
                <w:bottom w:val="none" w:sz="0" w:space="0" w:color="auto"/>
                <w:right w:val="none" w:sz="0" w:space="0" w:color="auto"/>
              </w:divBdr>
            </w:div>
            <w:div w:id="1365446722">
              <w:marLeft w:val="0"/>
              <w:marRight w:val="0"/>
              <w:marTop w:val="0"/>
              <w:marBottom w:val="0"/>
              <w:divBdr>
                <w:top w:val="none" w:sz="0" w:space="0" w:color="auto"/>
                <w:left w:val="none" w:sz="0" w:space="0" w:color="auto"/>
                <w:bottom w:val="none" w:sz="0" w:space="0" w:color="auto"/>
                <w:right w:val="none" w:sz="0" w:space="0" w:color="auto"/>
              </w:divBdr>
            </w:div>
            <w:div w:id="1517496851">
              <w:marLeft w:val="0"/>
              <w:marRight w:val="0"/>
              <w:marTop w:val="0"/>
              <w:marBottom w:val="0"/>
              <w:divBdr>
                <w:top w:val="none" w:sz="0" w:space="0" w:color="auto"/>
                <w:left w:val="none" w:sz="0" w:space="0" w:color="auto"/>
                <w:bottom w:val="none" w:sz="0" w:space="0" w:color="auto"/>
                <w:right w:val="none" w:sz="0" w:space="0" w:color="auto"/>
              </w:divBdr>
            </w:div>
            <w:div w:id="1523742978">
              <w:marLeft w:val="0"/>
              <w:marRight w:val="0"/>
              <w:marTop w:val="0"/>
              <w:marBottom w:val="0"/>
              <w:divBdr>
                <w:top w:val="none" w:sz="0" w:space="0" w:color="auto"/>
                <w:left w:val="none" w:sz="0" w:space="0" w:color="auto"/>
                <w:bottom w:val="none" w:sz="0" w:space="0" w:color="auto"/>
                <w:right w:val="none" w:sz="0" w:space="0" w:color="auto"/>
              </w:divBdr>
            </w:div>
            <w:div w:id="1538277011">
              <w:marLeft w:val="0"/>
              <w:marRight w:val="0"/>
              <w:marTop w:val="0"/>
              <w:marBottom w:val="0"/>
              <w:divBdr>
                <w:top w:val="none" w:sz="0" w:space="0" w:color="auto"/>
                <w:left w:val="none" w:sz="0" w:space="0" w:color="auto"/>
                <w:bottom w:val="none" w:sz="0" w:space="0" w:color="auto"/>
                <w:right w:val="none" w:sz="0" w:space="0" w:color="auto"/>
              </w:divBdr>
            </w:div>
            <w:div w:id="1747527478">
              <w:marLeft w:val="0"/>
              <w:marRight w:val="0"/>
              <w:marTop w:val="0"/>
              <w:marBottom w:val="0"/>
              <w:divBdr>
                <w:top w:val="none" w:sz="0" w:space="0" w:color="auto"/>
                <w:left w:val="none" w:sz="0" w:space="0" w:color="auto"/>
                <w:bottom w:val="none" w:sz="0" w:space="0" w:color="auto"/>
                <w:right w:val="none" w:sz="0" w:space="0" w:color="auto"/>
              </w:divBdr>
            </w:div>
            <w:div w:id="1804619728">
              <w:marLeft w:val="0"/>
              <w:marRight w:val="0"/>
              <w:marTop w:val="0"/>
              <w:marBottom w:val="0"/>
              <w:divBdr>
                <w:top w:val="none" w:sz="0" w:space="0" w:color="auto"/>
                <w:left w:val="none" w:sz="0" w:space="0" w:color="auto"/>
                <w:bottom w:val="none" w:sz="0" w:space="0" w:color="auto"/>
                <w:right w:val="none" w:sz="0" w:space="0" w:color="auto"/>
              </w:divBdr>
            </w:div>
            <w:div w:id="1836262394">
              <w:marLeft w:val="0"/>
              <w:marRight w:val="0"/>
              <w:marTop w:val="0"/>
              <w:marBottom w:val="0"/>
              <w:divBdr>
                <w:top w:val="none" w:sz="0" w:space="0" w:color="auto"/>
                <w:left w:val="none" w:sz="0" w:space="0" w:color="auto"/>
                <w:bottom w:val="none" w:sz="0" w:space="0" w:color="auto"/>
                <w:right w:val="none" w:sz="0" w:space="0" w:color="auto"/>
              </w:divBdr>
            </w:div>
            <w:div w:id="1862234231">
              <w:marLeft w:val="0"/>
              <w:marRight w:val="0"/>
              <w:marTop w:val="0"/>
              <w:marBottom w:val="0"/>
              <w:divBdr>
                <w:top w:val="none" w:sz="0" w:space="0" w:color="auto"/>
                <w:left w:val="none" w:sz="0" w:space="0" w:color="auto"/>
                <w:bottom w:val="none" w:sz="0" w:space="0" w:color="auto"/>
                <w:right w:val="none" w:sz="0" w:space="0" w:color="auto"/>
              </w:divBdr>
            </w:div>
            <w:div w:id="1876428569">
              <w:marLeft w:val="0"/>
              <w:marRight w:val="0"/>
              <w:marTop w:val="0"/>
              <w:marBottom w:val="0"/>
              <w:divBdr>
                <w:top w:val="none" w:sz="0" w:space="0" w:color="auto"/>
                <w:left w:val="none" w:sz="0" w:space="0" w:color="auto"/>
                <w:bottom w:val="none" w:sz="0" w:space="0" w:color="auto"/>
                <w:right w:val="none" w:sz="0" w:space="0" w:color="auto"/>
              </w:divBdr>
            </w:div>
            <w:div w:id="1920939143">
              <w:marLeft w:val="0"/>
              <w:marRight w:val="0"/>
              <w:marTop w:val="0"/>
              <w:marBottom w:val="0"/>
              <w:divBdr>
                <w:top w:val="none" w:sz="0" w:space="0" w:color="auto"/>
                <w:left w:val="none" w:sz="0" w:space="0" w:color="auto"/>
                <w:bottom w:val="none" w:sz="0" w:space="0" w:color="auto"/>
                <w:right w:val="none" w:sz="0" w:space="0" w:color="auto"/>
              </w:divBdr>
            </w:div>
            <w:div w:id="2100245868">
              <w:marLeft w:val="0"/>
              <w:marRight w:val="0"/>
              <w:marTop w:val="0"/>
              <w:marBottom w:val="0"/>
              <w:divBdr>
                <w:top w:val="none" w:sz="0" w:space="0" w:color="auto"/>
                <w:left w:val="none" w:sz="0" w:space="0" w:color="auto"/>
                <w:bottom w:val="none" w:sz="0" w:space="0" w:color="auto"/>
                <w:right w:val="none" w:sz="0" w:space="0" w:color="auto"/>
              </w:divBdr>
            </w:div>
          </w:divsChild>
        </w:div>
        <w:div w:id="353121074">
          <w:marLeft w:val="0"/>
          <w:marRight w:val="0"/>
          <w:marTop w:val="0"/>
          <w:marBottom w:val="0"/>
          <w:divBdr>
            <w:top w:val="none" w:sz="0" w:space="0" w:color="auto"/>
            <w:left w:val="none" w:sz="0" w:space="0" w:color="auto"/>
            <w:bottom w:val="none" w:sz="0" w:space="0" w:color="auto"/>
            <w:right w:val="none" w:sz="0" w:space="0" w:color="auto"/>
          </w:divBdr>
          <w:divsChild>
            <w:div w:id="1254436256">
              <w:marLeft w:val="0"/>
              <w:marRight w:val="0"/>
              <w:marTop w:val="0"/>
              <w:marBottom w:val="0"/>
              <w:divBdr>
                <w:top w:val="none" w:sz="0" w:space="0" w:color="auto"/>
                <w:left w:val="none" w:sz="0" w:space="0" w:color="auto"/>
                <w:bottom w:val="none" w:sz="0" w:space="0" w:color="auto"/>
                <w:right w:val="none" w:sz="0" w:space="0" w:color="auto"/>
              </w:divBdr>
            </w:div>
            <w:div w:id="1751536633">
              <w:marLeft w:val="0"/>
              <w:marRight w:val="0"/>
              <w:marTop w:val="0"/>
              <w:marBottom w:val="0"/>
              <w:divBdr>
                <w:top w:val="none" w:sz="0" w:space="0" w:color="auto"/>
                <w:left w:val="none" w:sz="0" w:space="0" w:color="auto"/>
                <w:bottom w:val="none" w:sz="0" w:space="0" w:color="auto"/>
                <w:right w:val="none" w:sz="0" w:space="0" w:color="auto"/>
              </w:divBdr>
            </w:div>
          </w:divsChild>
        </w:div>
        <w:div w:id="629821307">
          <w:marLeft w:val="0"/>
          <w:marRight w:val="0"/>
          <w:marTop w:val="0"/>
          <w:marBottom w:val="0"/>
          <w:divBdr>
            <w:top w:val="none" w:sz="0" w:space="0" w:color="auto"/>
            <w:left w:val="none" w:sz="0" w:space="0" w:color="auto"/>
            <w:bottom w:val="none" w:sz="0" w:space="0" w:color="auto"/>
            <w:right w:val="none" w:sz="0" w:space="0" w:color="auto"/>
          </w:divBdr>
          <w:divsChild>
            <w:div w:id="76683060">
              <w:marLeft w:val="0"/>
              <w:marRight w:val="0"/>
              <w:marTop w:val="0"/>
              <w:marBottom w:val="0"/>
              <w:divBdr>
                <w:top w:val="none" w:sz="0" w:space="0" w:color="auto"/>
                <w:left w:val="none" w:sz="0" w:space="0" w:color="auto"/>
                <w:bottom w:val="none" w:sz="0" w:space="0" w:color="auto"/>
                <w:right w:val="none" w:sz="0" w:space="0" w:color="auto"/>
              </w:divBdr>
            </w:div>
            <w:div w:id="157501402">
              <w:marLeft w:val="0"/>
              <w:marRight w:val="0"/>
              <w:marTop w:val="0"/>
              <w:marBottom w:val="0"/>
              <w:divBdr>
                <w:top w:val="none" w:sz="0" w:space="0" w:color="auto"/>
                <w:left w:val="none" w:sz="0" w:space="0" w:color="auto"/>
                <w:bottom w:val="none" w:sz="0" w:space="0" w:color="auto"/>
                <w:right w:val="none" w:sz="0" w:space="0" w:color="auto"/>
              </w:divBdr>
            </w:div>
            <w:div w:id="470056876">
              <w:marLeft w:val="0"/>
              <w:marRight w:val="0"/>
              <w:marTop w:val="0"/>
              <w:marBottom w:val="0"/>
              <w:divBdr>
                <w:top w:val="none" w:sz="0" w:space="0" w:color="auto"/>
                <w:left w:val="none" w:sz="0" w:space="0" w:color="auto"/>
                <w:bottom w:val="none" w:sz="0" w:space="0" w:color="auto"/>
                <w:right w:val="none" w:sz="0" w:space="0" w:color="auto"/>
              </w:divBdr>
            </w:div>
            <w:div w:id="812481553">
              <w:marLeft w:val="0"/>
              <w:marRight w:val="0"/>
              <w:marTop w:val="0"/>
              <w:marBottom w:val="0"/>
              <w:divBdr>
                <w:top w:val="none" w:sz="0" w:space="0" w:color="auto"/>
                <w:left w:val="none" w:sz="0" w:space="0" w:color="auto"/>
                <w:bottom w:val="none" w:sz="0" w:space="0" w:color="auto"/>
                <w:right w:val="none" w:sz="0" w:space="0" w:color="auto"/>
              </w:divBdr>
            </w:div>
            <w:div w:id="1028334535">
              <w:marLeft w:val="0"/>
              <w:marRight w:val="0"/>
              <w:marTop w:val="0"/>
              <w:marBottom w:val="0"/>
              <w:divBdr>
                <w:top w:val="none" w:sz="0" w:space="0" w:color="auto"/>
                <w:left w:val="none" w:sz="0" w:space="0" w:color="auto"/>
                <w:bottom w:val="none" w:sz="0" w:space="0" w:color="auto"/>
                <w:right w:val="none" w:sz="0" w:space="0" w:color="auto"/>
              </w:divBdr>
            </w:div>
          </w:divsChild>
        </w:div>
        <w:div w:id="1863744889">
          <w:marLeft w:val="0"/>
          <w:marRight w:val="0"/>
          <w:marTop w:val="0"/>
          <w:marBottom w:val="0"/>
          <w:divBdr>
            <w:top w:val="none" w:sz="0" w:space="0" w:color="auto"/>
            <w:left w:val="none" w:sz="0" w:space="0" w:color="auto"/>
            <w:bottom w:val="none" w:sz="0" w:space="0" w:color="auto"/>
            <w:right w:val="none" w:sz="0" w:space="0" w:color="auto"/>
          </w:divBdr>
          <w:divsChild>
            <w:div w:id="3166595">
              <w:marLeft w:val="0"/>
              <w:marRight w:val="0"/>
              <w:marTop w:val="0"/>
              <w:marBottom w:val="0"/>
              <w:divBdr>
                <w:top w:val="none" w:sz="0" w:space="0" w:color="auto"/>
                <w:left w:val="none" w:sz="0" w:space="0" w:color="auto"/>
                <w:bottom w:val="none" w:sz="0" w:space="0" w:color="auto"/>
                <w:right w:val="none" w:sz="0" w:space="0" w:color="auto"/>
              </w:divBdr>
            </w:div>
            <w:div w:id="471605632">
              <w:marLeft w:val="0"/>
              <w:marRight w:val="0"/>
              <w:marTop w:val="0"/>
              <w:marBottom w:val="0"/>
              <w:divBdr>
                <w:top w:val="none" w:sz="0" w:space="0" w:color="auto"/>
                <w:left w:val="none" w:sz="0" w:space="0" w:color="auto"/>
                <w:bottom w:val="none" w:sz="0" w:space="0" w:color="auto"/>
                <w:right w:val="none" w:sz="0" w:space="0" w:color="auto"/>
              </w:divBdr>
            </w:div>
            <w:div w:id="484854061">
              <w:marLeft w:val="0"/>
              <w:marRight w:val="0"/>
              <w:marTop w:val="0"/>
              <w:marBottom w:val="0"/>
              <w:divBdr>
                <w:top w:val="none" w:sz="0" w:space="0" w:color="auto"/>
                <w:left w:val="none" w:sz="0" w:space="0" w:color="auto"/>
                <w:bottom w:val="none" w:sz="0" w:space="0" w:color="auto"/>
                <w:right w:val="none" w:sz="0" w:space="0" w:color="auto"/>
              </w:divBdr>
            </w:div>
            <w:div w:id="501356910">
              <w:marLeft w:val="0"/>
              <w:marRight w:val="0"/>
              <w:marTop w:val="0"/>
              <w:marBottom w:val="0"/>
              <w:divBdr>
                <w:top w:val="none" w:sz="0" w:space="0" w:color="auto"/>
                <w:left w:val="none" w:sz="0" w:space="0" w:color="auto"/>
                <w:bottom w:val="none" w:sz="0" w:space="0" w:color="auto"/>
                <w:right w:val="none" w:sz="0" w:space="0" w:color="auto"/>
              </w:divBdr>
            </w:div>
            <w:div w:id="592590246">
              <w:marLeft w:val="0"/>
              <w:marRight w:val="0"/>
              <w:marTop w:val="0"/>
              <w:marBottom w:val="0"/>
              <w:divBdr>
                <w:top w:val="none" w:sz="0" w:space="0" w:color="auto"/>
                <w:left w:val="none" w:sz="0" w:space="0" w:color="auto"/>
                <w:bottom w:val="none" w:sz="0" w:space="0" w:color="auto"/>
                <w:right w:val="none" w:sz="0" w:space="0" w:color="auto"/>
              </w:divBdr>
            </w:div>
            <w:div w:id="619338358">
              <w:marLeft w:val="0"/>
              <w:marRight w:val="0"/>
              <w:marTop w:val="0"/>
              <w:marBottom w:val="0"/>
              <w:divBdr>
                <w:top w:val="none" w:sz="0" w:space="0" w:color="auto"/>
                <w:left w:val="none" w:sz="0" w:space="0" w:color="auto"/>
                <w:bottom w:val="none" w:sz="0" w:space="0" w:color="auto"/>
                <w:right w:val="none" w:sz="0" w:space="0" w:color="auto"/>
              </w:divBdr>
            </w:div>
            <w:div w:id="767581086">
              <w:marLeft w:val="0"/>
              <w:marRight w:val="0"/>
              <w:marTop w:val="0"/>
              <w:marBottom w:val="0"/>
              <w:divBdr>
                <w:top w:val="none" w:sz="0" w:space="0" w:color="auto"/>
                <w:left w:val="none" w:sz="0" w:space="0" w:color="auto"/>
                <w:bottom w:val="none" w:sz="0" w:space="0" w:color="auto"/>
                <w:right w:val="none" w:sz="0" w:space="0" w:color="auto"/>
              </w:divBdr>
            </w:div>
            <w:div w:id="878279094">
              <w:marLeft w:val="0"/>
              <w:marRight w:val="0"/>
              <w:marTop w:val="0"/>
              <w:marBottom w:val="0"/>
              <w:divBdr>
                <w:top w:val="none" w:sz="0" w:space="0" w:color="auto"/>
                <w:left w:val="none" w:sz="0" w:space="0" w:color="auto"/>
                <w:bottom w:val="none" w:sz="0" w:space="0" w:color="auto"/>
                <w:right w:val="none" w:sz="0" w:space="0" w:color="auto"/>
              </w:divBdr>
            </w:div>
            <w:div w:id="965936468">
              <w:marLeft w:val="0"/>
              <w:marRight w:val="0"/>
              <w:marTop w:val="0"/>
              <w:marBottom w:val="0"/>
              <w:divBdr>
                <w:top w:val="none" w:sz="0" w:space="0" w:color="auto"/>
                <w:left w:val="none" w:sz="0" w:space="0" w:color="auto"/>
                <w:bottom w:val="none" w:sz="0" w:space="0" w:color="auto"/>
                <w:right w:val="none" w:sz="0" w:space="0" w:color="auto"/>
              </w:divBdr>
            </w:div>
            <w:div w:id="1125394199">
              <w:marLeft w:val="0"/>
              <w:marRight w:val="0"/>
              <w:marTop w:val="0"/>
              <w:marBottom w:val="0"/>
              <w:divBdr>
                <w:top w:val="none" w:sz="0" w:space="0" w:color="auto"/>
                <w:left w:val="none" w:sz="0" w:space="0" w:color="auto"/>
                <w:bottom w:val="none" w:sz="0" w:space="0" w:color="auto"/>
                <w:right w:val="none" w:sz="0" w:space="0" w:color="auto"/>
              </w:divBdr>
            </w:div>
            <w:div w:id="1138572692">
              <w:marLeft w:val="0"/>
              <w:marRight w:val="0"/>
              <w:marTop w:val="0"/>
              <w:marBottom w:val="0"/>
              <w:divBdr>
                <w:top w:val="none" w:sz="0" w:space="0" w:color="auto"/>
                <w:left w:val="none" w:sz="0" w:space="0" w:color="auto"/>
                <w:bottom w:val="none" w:sz="0" w:space="0" w:color="auto"/>
                <w:right w:val="none" w:sz="0" w:space="0" w:color="auto"/>
              </w:divBdr>
            </w:div>
            <w:div w:id="1175921591">
              <w:marLeft w:val="0"/>
              <w:marRight w:val="0"/>
              <w:marTop w:val="0"/>
              <w:marBottom w:val="0"/>
              <w:divBdr>
                <w:top w:val="none" w:sz="0" w:space="0" w:color="auto"/>
                <w:left w:val="none" w:sz="0" w:space="0" w:color="auto"/>
                <w:bottom w:val="none" w:sz="0" w:space="0" w:color="auto"/>
                <w:right w:val="none" w:sz="0" w:space="0" w:color="auto"/>
              </w:divBdr>
            </w:div>
            <w:div w:id="1192182118">
              <w:marLeft w:val="0"/>
              <w:marRight w:val="0"/>
              <w:marTop w:val="0"/>
              <w:marBottom w:val="0"/>
              <w:divBdr>
                <w:top w:val="none" w:sz="0" w:space="0" w:color="auto"/>
                <w:left w:val="none" w:sz="0" w:space="0" w:color="auto"/>
                <w:bottom w:val="none" w:sz="0" w:space="0" w:color="auto"/>
                <w:right w:val="none" w:sz="0" w:space="0" w:color="auto"/>
              </w:divBdr>
            </w:div>
            <w:div w:id="1220242516">
              <w:marLeft w:val="0"/>
              <w:marRight w:val="0"/>
              <w:marTop w:val="0"/>
              <w:marBottom w:val="0"/>
              <w:divBdr>
                <w:top w:val="none" w:sz="0" w:space="0" w:color="auto"/>
                <w:left w:val="none" w:sz="0" w:space="0" w:color="auto"/>
                <w:bottom w:val="none" w:sz="0" w:space="0" w:color="auto"/>
                <w:right w:val="none" w:sz="0" w:space="0" w:color="auto"/>
              </w:divBdr>
            </w:div>
            <w:div w:id="1366980922">
              <w:marLeft w:val="0"/>
              <w:marRight w:val="0"/>
              <w:marTop w:val="0"/>
              <w:marBottom w:val="0"/>
              <w:divBdr>
                <w:top w:val="none" w:sz="0" w:space="0" w:color="auto"/>
                <w:left w:val="none" w:sz="0" w:space="0" w:color="auto"/>
                <w:bottom w:val="none" w:sz="0" w:space="0" w:color="auto"/>
                <w:right w:val="none" w:sz="0" w:space="0" w:color="auto"/>
              </w:divBdr>
            </w:div>
            <w:div w:id="1447581249">
              <w:marLeft w:val="0"/>
              <w:marRight w:val="0"/>
              <w:marTop w:val="0"/>
              <w:marBottom w:val="0"/>
              <w:divBdr>
                <w:top w:val="none" w:sz="0" w:space="0" w:color="auto"/>
                <w:left w:val="none" w:sz="0" w:space="0" w:color="auto"/>
                <w:bottom w:val="none" w:sz="0" w:space="0" w:color="auto"/>
                <w:right w:val="none" w:sz="0" w:space="0" w:color="auto"/>
              </w:divBdr>
            </w:div>
            <w:div w:id="1721829097">
              <w:marLeft w:val="0"/>
              <w:marRight w:val="0"/>
              <w:marTop w:val="0"/>
              <w:marBottom w:val="0"/>
              <w:divBdr>
                <w:top w:val="none" w:sz="0" w:space="0" w:color="auto"/>
                <w:left w:val="none" w:sz="0" w:space="0" w:color="auto"/>
                <w:bottom w:val="none" w:sz="0" w:space="0" w:color="auto"/>
                <w:right w:val="none" w:sz="0" w:space="0" w:color="auto"/>
              </w:divBdr>
            </w:div>
            <w:div w:id="1792017043">
              <w:marLeft w:val="0"/>
              <w:marRight w:val="0"/>
              <w:marTop w:val="0"/>
              <w:marBottom w:val="0"/>
              <w:divBdr>
                <w:top w:val="none" w:sz="0" w:space="0" w:color="auto"/>
                <w:left w:val="none" w:sz="0" w:space="0" w:color="auto"/>
                <w:bottom w:val="none" w:sz="0" w:space="0" w:color="auto"/>
                <w:right w:val="none" w:sz="0" w:space="0" w:color="auto"/>
              </w:divBdr>
            </w:div>
            <w:div w:id="1822387357">
              <w:marLeft w:val="0"/>
              <w:marRight w:val="0"/>
              <w:marTop w:val="0"/>
              <w:marBottom w:val="0"/>
              <w:divBdr>
                <w:top w:val="none" w:sz="0" w:space="0" w:color="auto"/>
                <w:left w:val="none" w:sz="0" w:space="0" w:color="auto"/>
                <w:bottom w:val="none" w:sz="0" w:space="0" w:color="auto"/>
                <w:right w:val="none" w:sz="0" w:space="0" w:color="auto"/>
              </w:divBdr>
            </w:div>
            <w:div w:id="1940595966">
              <w:marLeft w:val="0"/>
              <w:marRight w:val="0"/>
              <w:marTop w:val="0"/>
              <w:marBottom w:val="0"/>
              <w:divBdr>
                <w:top w:val="none" w:sz="0" w:space="0" w:color="auto"/>
                <w:left w:val="none" w:sz="0" w:space="0" w:color="auto"/>
                <w:bottom w:val="none" w:sz="0" w:space="0" w:color="auto"/>
                <w:right w:val="none" w:sz="0" w:space="0" w:color="auto"/>
              </w:divBdr>
            </w:div>
          </w:divsChild>
        </w:div>
        <w:div w:id="1971858453">
          <w:marLeft w:val="0"/>
          <w:marRight w:val="0"/>
          <w:marTop w:val="0"/>
          <w:marBottom w:val="0"/>
          <w:divBdr>
            <w:top w:val="none" w:sz="0" w:space="0" w:color="auto"/>
            <w:left w:val="none" w:sz="0" w:space="0" w:color="auto"/>
            <w:bottom w:val="none" w:sz="0" w:space="0" w:color="auto"/>
            <w:right w:val="none" w:sz="0" w:space="0" w:color="auto"/>
          </w:divBdr>
          <w:divsChild>
            <w:div w:id="316228987">
              <w:marLeft w:val="0"/>
              <w:marRight w:val="0"/>
              <w:marTop w:val="0"/>
              <w:marBottom w:val="0"/>
              <w:divBdr>
                <w:top w:val="none" w:sz="0" w:space="0" w:color="auto"/>
                <w:left w:val="none" w:sz="0" w:space="0" w:color="auto"/>
                <w:bottom w:val="none" w:sz="0" w:space="0" w:color="auto"/>
                <w:right w:val="none" w:sz="0" w:space="0" w:color="auto"/>
              </w:divBdr>
            </w:div>
            <w:div w:id="316807767">
              <w:marLeft w:val="0"/>
              <w:marRight w:val="0"/>
              <w:marTop w:val="0"/>
              <w:marBottom w:val="0"/>
              <w:divBdr>
                <w:top w:val="none" w:sz="0" w:space="0" w:color="auto"/>
                <w:left w:val="none" w:sz="0" w:space="0" w:color="auto"/>
                <w:bottom w:val="none" w:sz="0" w:space="0" w:color="auto"/>
                <w:right w:val="none" w:sz="0" w:space="0" w:color="auto"/>
              </w:divBdr>
            </w:div>
            <w:div w:id="355158990">
              <w:marLeft w:val="0"/>
              <w:marRight w:val="0"/>
              <w:marTop w:val="0"/>
              <w:marBottom w:val="0"/>
              <w:divBdr>
                <w:top w:val="none" w:sz="0" w:space="0" w:color="auto"/>
                <w:left w:val="none" w:sz="0" w:space="0" w:color="auto"/>
                <w:bottom w:val="none" w:sz="0" w:space="0" w:color="auto"/>
                <w:right w:val="none" w:sz="0" w:space="0" w:color="auto"/>
              </w:divBdr>
            </w:div>
            <w:div w:id="436756933">
              <w:marLeft w:val="0"/>
              <w:marRight w:val="0"/>
              <w:marTop w:val="0"/>
              <w:marBottom w:val="0"/>
              <w:divBdr>
                <w:top w:val="none" w:sz="0" w:space="0" w:color="auto"/>
                <w:left w:val="none" w:sz="0" w:space="0" w:color="auto"/>
                <w:bottom w:val="none" w:sz="0" w:space="0" w:color="auto"/>
                <w:right w:val="none" w:sz="0" w:space="0" w:color="auto"/>
              </w:divBdr>
            </w:div>
            <w:div w:id="543952213">
              <w:marLeft w:val="0"/>
              <w:marRight w:val="0"/>
              <w:marTop w:val="0"/>
              <w:marBottom w:val="0"/>
              <w:divBdr>
                <w:top w:val="none" w:sz="0" w:space="0" w:color="auto"/>
                <w:left w:val="none" w:sz="0" w:space="0" w:color="auto"/>
                <w:bottom w:val="none" w:sz="0" w:space="0" w:color="auto"/>
                <w:right w:val="none" w:sz="0" w:space="0" w:color="auto"/>
              </w:divBdr>
            </w:div>
            <w:div w:id="689069521">
              <w:marLeft w:val="0"/>
              <w:marRight w:val="0"/>
              <w:marTop w:val="0"/>
              <w:marBottom w:val="0"/>
              <w:divBdr>
                <w:top w:val="none" w:sz="0" w:space="0" w:color="auto"/>
                <w:left w:val="none" w:sz="0" w:space="0" w:color="auto"/>
                <w:bottom w:val="none" w:sz="0" w:space="0" w:color="auto"/>
                <w:right w:val="none" w:sz="0" w:space="0" w:color="auto"/>
              </w:divBdr>
            </w:div>
            <w:div w:id="747726846">
              <w:marLeft w:val="0"/>
              <w:marRight w:val="0"/>
              <w:marTop w:val="0"/>
              <w:marBottom w:val="0"/>
              <w:divBdr>
                <w:top w:val="none" w:sz="0" w:space="0" w:color="auto"/>
                <w:left w:val="none" w:sz="0" w:space="0" w:color="auto"/>
                <w:bottom w:val="none" w:sz="0" w:space="0" w:color="auto"/>
                <w:right w:val="none" w:sz="0" w:space="0" w:color="auto"/>
              </w:divBdr>
            </w:div>
            <w:div w:id="747927017">
              <w:marLeft w:val="0"/>
              <w:marRight w:val="0"/>
              <w:marTop w:val="0"/>
              <w:marBottom w:val="0"/>
              <w:divBdr>
                <w:top w:val="none" w:sz="0" w:space="0" w:color="auto"/>
                <w:left w:val="none" w:sz="0" w:space="0" w:color="auto"/>
                <w:bottom w:val="none" w:sz="0" w:space="0" w:color="auto"/>
                <w:right w:val="none" w:sz="0" w:space="0" w:color="auto"/>
              </w:divBdr>
            </w:div>
            <w:div w:id="749232768">
              <w:marLeft w:val="0"/>
              <w:marRight w:val="0"/>
              <w:marTop w:val="0"/>
              <w:marBottom w:val="0"/>
              <w:divBdr>
                <w:top w:val="none" w:sz="0" w:space="0" w:color="auto"/>
                <w:left w:val="none" w:sz="0" w:space="0" w:color="auto"/>
                <w:bottom w:val="none" w:sz="0" w:space="0" w:color="auto"/>
                <w:right w:val="none" w:sz="0" w:space="0" w:color="auto"/>
              </w:divBdr>
            </w:div>
            <w:div w:id="752046135">
              <w:marLeft w:val="0"/>
              <w:marRight w:val="0"/>
              <w:marTop w:val="0"/>
              <w:marBottom w:val="0"/>
              <w:divBdr>
                <w:top w:val="none" w:sz="0" w:space="0" w:color="auto"/>
                <w:left w:val="none" w:sz="0" w:space="0" w:color="auto"/>
                <w:bottom w:val="none" w:sz="0" w:space="0" w:color="auto"/>
                <w:right w:val="none" w:sz="0" w:space="0" w:color="auto"/>
              </w:divBdr>
            </w:div>
            <w:div w:id="880896050">
              <w:marLeft w:val="0"/>
              <w:marRight w:val="0"/>
              <w:marTop w:val="0"/>
              <w:marBottom w:val="0"/>
              <w:divBdr>
                <w:top w:val="none" w:sz="0" w:space="0" w:color="auto"/>
                <w:left w:val="none" w:sz="0" w:space="0" w:color="auto"/>
                <w:bottom w:val="none" w:sz="0" w:space="0" w:color="auto"/>
                <w:right w:val="none" w:sz="0" w:space="0" w:color="auto"/>
              </w:divBdr>
            </w:div>
            <w:div w:id="1055859413">
              <w:marLeft w:val="0"/>
              <w:marRight w:val="0"/>
              <w:marTop w:val="0"/>
              <w:marBottom w:val="0"/>
              <w:divBdr>
                <w:top w:val="none" w:sz="0" w:space="0" w:color="auto"/>
                <w:left w:val="none" w:sz="0" w:space="0" w:color="auto"/>
                <w:bottom w:val="none" w:sz="0" w:space="0" w:color="auto"/>
                <w:right w:val="none" w:sz="0" w:space="0" w:color="auto"/>
              </w:divBdr>
            </w:div>
            <w:div w:id="1252810265">
              <w:marLeft w:val="0"/>
              <w:marRight w:val="0"/>
              <w:marTop w:val="0"/>
              <w:marBottom w:val="0"/>
              <w:divBdr>
                <w:top w:val="none" w:sz="0" w:space="0" w:color="auto"/>
                <w:left w:val="none" w:sz="0" w:space="0" w:color="auto"/>
                <w:bottom w:val="none" w:sz="0" w:space="0" w:color="auto"/>
                <w:right w:val="none" w:sz="0" w:space="0" w:color="auto"/>
              </w:divBdr>
            </w:div>
            <w:div w:id="1320647522">
              <w:marLeft w:val="0"/>
              <w:marRight w:val="0"/>
              <w:marTop w:val="0"/>
              <w:marBottom w:val="0"/>
              <w:divBdr>
                <w:top w:val="none" w:sz="0" w:space="0" w:color="auto"/>
                <w:left w:val="none" w:sz="0" w:space="0" w:color="auto"/>
                <w:bottom w:val="none" w:sz="0" w:space="0" w:color="auto"/>
                <w:right w:val="none" w:sz="0" w:space="0" w:color="auto"/>
              </w:divBdr>
            </w:div>
            <w:div w:id="1425997853">
              <w:marLeft w:val="0"/>
              <w:marRight w:val="0"/>
              <w:marTop w:val="0"/>
              <w:marBottom w:val="0"/>
              <w:divBdr>
                <w:top w:val="none" w:sz="0" w:space="0" w:color="auto"/>
                <w:left w:val="none" w:sz="0" w:space="0" w:color="auto"/>
                <w:bottom w:val="none" w:sz="0" w:space="0" w:color="auto"/>
                <w:right w:val="none" w:sz="0" w:space="0" w:color="auto"/>
              </w:divBdr>
            </w:div>
            <w:div w:id="1502433834">
              <w:marLeft w:val="0"/>
              <w:marRight w:val="0"/>
              <w:marTop w:val="0"/>
              <w:marBottom w:val="0"/>
              <w:divBdr>
                <w:top w:val="none" w:sz="0" w:space="0" w:color="auto"/>
                <w:left w:val="none" w:sz="0" w:space="0" w:color="auto"/>
                <w:bottom w:val="none" w:sz="0" w:space="0" w:color="auto"/>
                <w:right w:val="none" w:sz="0" w:space="0" w:color="auto"/>
              </w:divBdr>
            </w:div>
            <w:div w:id="1657032413">
              <w:marLeft w:val="0"/>
              <w:marRight w:val="0"/>
              <w:marTop w:val="0"/>
              <w:marBottom w:val="0"/>
              <w:divBdr>
                <w:top w:val="none" w:sz="0" w:space="0" w:color="auto"/>
                <w:left w:val="none" w:sz="0" w:space="0" w:color="auto"/>
                <w:bottom w:val="none" w:sz="0" w:space="0" w:color="auto"/>
                <w:right w:val="none" w:sz="0" w:space="0" w:color="auto"/>
              </w:divBdr>
            </w:div>
            <w:div w:id="1823616852">
              <w:marLeft w:val="0"/>
              <w:marRight w:val="0"/>
              <w:marTop w:val="0"/>
              <w:marBottom w:val="0"/>
              <w:divBdr>
                <w:top w:val="none" w:sz="0" w:space="0" w:color="auto"/>
                <w:left w:val="none" w:sz="0" w:space="0" w:color="auto"/>
                <w:bottom w:val="none" w:sz="0" w:space="0" w:color="auto"/>
                <w:right w:val="none" w:sz="0" w:space="0" w:color="auto"/>
              </w:divBdr>
            </w:div>
            <w:div w:id="1930188450">
              <w:marLeft w:val="0"/>
              <w:marRight w:val="0"/>
              <w:marTop w:val="0"/>
              <w:marBottom w:val="0"/>
              <w:divBdr>
                <w:top w:val="none" w:sz="0" w:space="0" w:color="auto"/>
                <w:left w:val="none" w:sz="0" w:space="0" w:color="auto"/>
                <w:bottom w:val="none" w:sz="0" w:space="0" w:color="auto"/>
                <w:right w:val="none" w:sz="0" w:space="0" w:color="auto"/>
              </w:divBdr>
            </w:div>
            <w:div w:id="21030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85472">
      <w:bodyDiv w:val="1"/>
      <w:marLeft w:val="0"/>
      <w:marRight w:val="0"/>
      <w:marTop w:val="0"/>
      <w:marBottom w:val="0"/>
      <w:divBdr>
        <w:top w:val="none" w:sz="0" w:space="0" w:color="auto"/>
        <w:left w:val="none" w:sz="0" w:space="0" w:color="auto"/>
        <w:bottom w:val="none" w:sz="0" w:space="0" w:color="auto"/>
        <w:right w:val="none" w:sz="0" w:space="0" w:color="auto"/>
      </w:divBdr>
      <w:divsChild>
        <w:div w:id="225267946">
          <w:marLeft w:val="0"/>
          <w:marRight w:val="0"/>
          <w:marTop w:val="0"/>
          <w:marBottom w:val="0"/>
          <w:divBdr>
            <w:top w:val="none" w:sz="0" w:space="0" w:color="auto"/>
            <w:left w:val="none" w:sz="0" w:space="0" w:color="auto"/>
            <w:bottom w:val="none" w:sz="0" w:space="0" w:color="auto"/>
            <w:right w:val="none" w:sz="0" w:space="0" w:color="auto"/>
          </w:divBdr>
          <w:divsChild>
            <w:div w:id="93672115">
              <w:marLeft w:val="0"/>
              <w:marRight w:val="0"/>
              <w:marTop w:val="0"/>
              <w:marBottom w:val="0"/>
              <w:divBdr>
                <w:top w:val="none" w:sz="0" w:space="0" w:color="auto"/>
                <w:left w:val="none" w:sz="0" w:space="0" w:color="auto"/>
                <w:bottom w:val="none" w:sz="0" w:space="0" w:color="auto"/>
                <w:right w:val="none" w:sz="0" w:space="0" w:color="auto"/>
              </w:divBdr>
            </w:div>
            <w:div w:id="334845539">
              <w:marLeft w:val="0"/>
              <w:marRight w:val="0"/>
              <w:marTop w:val="0"/>
              <w:marBottom w:val="0"/>
              <w:divBdr>
                <w:top w:val="none" w:sz="0" w:space="0" w:color="auto"/>
                <w:left w:val="none" w:sz="0" w:space="0" w:color="auto"/>
                <w:bottom w:val="none" w:sz="0" w:space="0" w:color="auto"/>
                <w:right w:val="none" w:sz="0" w:space="0" w:color="auto"/>
              </w:divBdr>
            </w:div>
            <w:div w:id="437720810">
              <w:marLeft w:val="0"/>
              <w:marRight w:val="0"/>
              <w:marTop w:val="0"/>
              <w:marBottom w:val="0"/>
              <w:divBdr>
                <w:top w:val="none" w:sz="0" w:space="0" w:color="auto"/>
                <w:left w:val="none" w:sz="0" w:space="0" w:color="auto"/>
                <w:bottom w:val="none" w:sz="0" w:space="0" w:color="auto"/>
                <w:right w:val="none" w:sz="0" w:space="0" w:color="auto"/>
              </w:divBdr>
            </w:div>
            <w:div w:id="484011794">
              <w:marLeft w:val="0"/>
              <w:marRight w:val="0"/>
              <w:marTop w:val="0"/>
              <w:marBottom w:val="0"/>
              <w:divBdr>
                <w:top w:val="none" w:sz="0" w:space="0" w:color="auto"/>
                <w:left w:val="none" w:sz="0" w:space="0" w:color="auto"/>
                <w:bottom w:val="none" w:sz="0" w:space="0" w:color="auto"/>
                <w:right w:val="none" w:sz="0" w:space="0" w:color="auto"/>
              </w:divBdr>
            </w:div>
            <w:div w:id="620306049">
              <w:marLeft w:val="0"/>
              <w:marRight w:val="0"/>
              <w:marTop w:val="0"/>
              <w:marBottom w:val="0"/>
              <w:divBdr>
                <w:top w:val="none" w:sz="0" w:space="0" w:color="auto"/>
                <w:left w:val="none" w:sz="0" w:space="0" w:color="auto"/>
                <w:bottom w:val="none" w:sz="0" w:space="0" w:color="auto"/>
                <w:right w:val="none" w:sz="0" w:space="0" w:color="auto"/>
              </w:divBdr>
            </w:div>
            <w:div w:id="707489302">
              <w:marLeft w:val="0"/>
              <w:marRight w:val="0"/>
              <w:marTop w:val="0"/>
              <w:marBottom w:val="0"/>
              <w:divBdr>
                <w:top w:val="none" w:sz="0" w:space="0" w:color="auto"/>
                <w:left w:val="none" w:sz="0" w:space="0" w:color="auto"/>
                <w:bottom w:val="none" w:sz="0" w:space="0" w:color="auto"/>
                <w:right w:val="none" w:sz="0" w:space="0" w:color="auto"/>
              </w:divBdr>
            </w:div>
            <w:div w:id="753088190">
              <w:marLeft w:val="0"/>
              <w:marRight w:val="0"/>
              <w:marTop w:val="0"/>
              <w:marBottom w:val="0"/>
              <w:divBdr>
                <w:top w:val="none" w:sz="0" w:space="0" w:color="auto"/>
                <w:left w:val="none" w:sz="0" w:space="0" w:color="auto"/>
                <w:bottom w:val="none" w:sz="0" w:space="0" w:color="auto"/>
                <w:right w:val="none" w:sz="0" w:space="0" w:color="auto"/>
              </w:divBdr>
            </w:div>
            <w:div w:id="840125778">
              <w:marLeft w:val="0"/>
              <w:marRight w:val="0"/>
              <w:marTop w:val="0"/>
              <w:marBottom w:val="0"/>
              <w:divBdr>
                <w:top w:val="none" w:sz="0" w:space="0" w:color="auto"/>
                <w:left w:val="none" w:sz="0" w:space="0" w:color="auto"/>
                <w:bottom w:val="none" w:sz="0" w:space="0" w:color="auto"/>
                <w:right w:val="none" w:sz="0" w:space="0" w:color="auto"/>
              </w:divBdr>
            </w:div>
            <w:div w:id="879245311">
              <w:marLeft w:val="0"/>
              <w:marRight w:val="0"/>
              <w:marTop w:val="0"/>
              <w:marBottom w:val="0"/>
              <w:divBdr>
                <w:top w:val="none" w:sz="0" w:space="0" w:color="auto"/>
                <w:left w:val="none" w:sz="0" w:space="0" w:color="auto"/>
                <w:bottom w:val="none" w:sz="0" w:space="0" w:color="auto"/>
                <w:right w:val="none" w:sz="0" w:space="0" w:color="auto"/>
              </w:divBdr>
            </w:div>
            <w:div w:id="1010644358">
              <w:marLeft w:val="0"/>
              <w:marRight w:val="0"/>
              <w:marTop w:val="0"/>
              <w:marBottom w:val="0"/>
              <w:divBdr>
                <w:top w:val="none" w:sz="0" w:space="0" w:color="auto"/>
                <w:left w:val="none" w:sz="0" w:space="0" w:color="auto"/>
                <w:bottom w:val="none" w:sz="0" w:space="0" w:color="auto"/>
                <w:right w:val="none" w:sz="0" w:space="0" w:color="auto"/>
              </w:divBdr>
            </w:div>
            <w:div w:id="1217474189">
              <w:marLeft w:val="0"/>
              <w:marRight w:val="0"/>
              <w:marTop w:val="0"/>
              <w:marBottom w:val="0"/>
              <w:divBdr>
                <w:top w:val="none" w:sz="0" w:space="0" w:color="auto"/>
                <w:left w:val="none" w:sz="0" w:space="0" w:color="auto"/>
                <w:bottom w:val="none" w:sz="0" w:space="0" w:color="auto"/>
                <w:right w:val="none" w:sz="0" w:space="0" w:color="auto"/>
              </w:divBdr>
            </w:div>
            <w:div w:id="1222407812">
              <w:marLeft w:val="0"/>
              <w:marRight w:val="0"/>
              <w:marTop w:val="0"/>
              <w:marBottom w:val="0"/>
              <w:divBdr>
                <w:top w:val="none" w:sz="0" w:space="0" w:color="auto"/>
                <w:left w:val="none" w:sz="0" w:space="0" w:color="auto"/>
                <w:bottom w:val="none" w:sz="0" w:space="0" w:color="auto"/>
                <w:right w:val="none" w:sz="0" w:space="0" w:color="auto"/>
              </w:divBdr>
            </w:div>
            <w:div w:id="1386759616">
              <w:marLeft w:val="0"/>
              <w:marRight w:val="0"/>
              <w:marTop w:val="0"/>
              <w:marBottom w:val="0"/>
              <w:divBdr>
                <w:top w:val="none" w:sz="0" w:space="0" w:color="auto"/>
                <w:left w:val="none" w:sz="0" w:space="0" w:color="auto"/>
                <w:bottom w:val="none" w:sz="0" w:space="0" w:color="auto"/>
                <w:right w:val="none" w:sz="0" w:space="0" w:color="auto"/>
              </w:divBdr>
            </w:div>
            <w:div w:id="1474758984">
              <w:marLeft w:val="0"/>
              <w:marRight w:val="0"/>
              <w:marTop w:val="0"/>
              <w:marBottom w:val="0"/>
              <w:divBdr>
                <w:top w:val="none" w:sz="0" w:space="0" w:color="auto"/>
                <w:left w:val="none" w:sz="0" w:space="0" w:color="auto"/>
                <w:bottom w:val="none" w:sz="0" w:space="0" w:color="auto"/>
                <w:right w:val="none" w:sz="0" w:space="0" w:color="auto"/>
              </w:divBdr>
            </w:div>
            <w:div w:id="1560706495">
              <w:marLeft w:val="0"/>
              <w:marRight w:val="0"/>
              <w:marTop w:val="0"/>
              <w:marBottom w:val="0"/>
              <w:divBdr>
                <w:top w:val="none" w:sz="0" w:space="0" w:color="auto"/>
                <w:left w:val="none" w:sz="0" w:space="0" w:color="auto"/>
                <w:bottom w:val="none" w:sz="0" w:space="0" w:color="auto"/>
                <w:right w:val="none" w:sz="0" w:space="0" w:color="auto"/>
              </w:divBdr>
            </w:div>
            <w:div w:id="1583953980">
              <w:marLeft w:val="0"/>
              <w:marRight w:val="0"/>
              <w:marTop w:val="0"/>
              <w:marBottom w:val="0"/>
              <w:divBdr>
                <w:top w:val="none" w:sz="0" w:space="0" w:color="auto"/>
                <w:left w:val="none" w:sz="0" w:space="0" w:color="auto"/>
                <w:bottom w:val="none" w:sz="0" w:space="0" w:color="auto"/>
                <w:right w:val="none" w:sz="0" w:space="0" w:color="auto"/>
              </w:divBdr>
            </w:div>
            <w:div w:id="1706712825">
              <w:marLeft w:val="0"/>
              <w:marRight w:val="0"/>
              <w:marTop w:val="0"/>
              <w:marBottom w:val="0"/>
              <w:divBdr>
                <w:top w:val="none" w:sz="0" w:space="0" w:color="auto"/>
                <w:left w:val="none" w:sz="0" w:space="0" w:color="auto"/>
                <w:bottom w:val="none" w:sz="0" w:space="0" w:color="auto"/>
                <w:right w:val="none" w:sz="0" w:space="0" w:color="auto"/>
              </w:divBdr>
            </w:div>
            <w:div w:id="1759056124">
              <w:marLeft w:val="0"/>
              <w:marRight w:val="0"/>
              <w:marTop w:val="0"/>
              <w:marBottom w:val="0"/>
              <w:divBdr>
                <w:top w:val="none" w:sz="0" w:space="0" w:color="auto"/>
                <w:left w:val="none" w:sz="0" w:space="0" w:color="auto"/>
                <w:bottom w:val="none" w:sz="0" w:space="0" w:color="auto"/>
                <w:right w:val="none" w:sz="0" w:space="0" w:color="auto"/>
              </w:divBdr>
            </w:div>
            <w:div w:id="2006014042">
              <w:marLeft w:val="0"/>
              <w:marRight w:val="0"/>
              <w:marTop w:val="0"/>
              <w:marBottom w:val="0"/>
              <w:divBdr>
                <w:top w:val="none" w:sz="0" w:space="0" w:color="auto"/>
                <w:left w:val="none" w:sz="0" w:space="0" w:color="auto"/>
                <w:bottom w:val="none" w:sz="0" w:space="0" w:color="auto"/>
                <w:right w:val="none" w:sz="0" w:space="0" w:color="auto"/>
              </w:divBdr>
            </w:div>
            <w:div w:id="2045667640">
              <w:marLeft w:val="0"/>
              <w:marRight w:val="0"/>
              <w:marTop w:val="0"/>
              <w:marBottom w:val="0"/>
              <w:divBdr>
                <w:top w:val="none" w:sz="0" w:space="0" w:color="auto"/>
                <w:left w:val="none" w:sz="0" w:space="0" w:color="auto"/>
                <w:bottom w:val="none" w:sz="0" w:space="0" w:color="auto"/>
                <w:right w:val="none" w:sz="0" w:space="0" w:color="auto"/>
              </w:divBdr>
            </w:div>
          </w:divsChild>
        </w:div>
        <w:div w:id="574127146">
          <w:marLeft w:val="0"/>
          <w:marRight w:val="0"/>
          <w:marTop w:val="0"/>
          <w:marBottom w:val="0"/>
          <w:divBdr>
            <w:top w:val="none" w:sz="0" w:space="0" w:color="auto"/>
            <w:left w:val="none" w:sz="0" w:space="0" w:color="auto"/>
            <w:bottom w:val="none" w:sz="0" w:space="0" w:color="auto"/>
            <w:right w:val="none" w:sz="0" w:space="0" w:color="auto"/>
          </w:divBdr>
          <w:divsChild>
            <w:div w:id="57870861">
              <w:marLeft w:val="0"/>
              <w:marRight w:val="0"/>
              <w:marTop w:val="0"/>
              <w:marBottom w:val="0"/>
              <w:divBdr>
                <w:top w:val="none" w:sz="0" w:space="0" w:color="auto"/>
                <w:left w:val="none" w:sz="0" w:space="0" w:color="auto"/>
                <w:bottom w:val="none" w:sz="0" w:space="0" w:color="auto"/>
                <w:right w:val="none" w:sz="0" w:space="0" w:color="auto"/>
              </w:divBdr>
            </w:div>
            <w:div w:id="91172760">
              <w:marLeft w:val="0"/>
              <w:marRight w:val="0"/>
              <w:marTop w:val="0"/>
              <w:marBottom w:val="0"/>
              <w:divBdr>
                <w:top w:val="none" w:sz="0" w:space="0" w:color="auto"/>
                <w:left w:val="none" w:sz="0" w:space="0" w:color="auto"/>
                <w:bottom w:val="none" w:sz="0" w:space="0" w:color="auto"/>
                <w:right w:val="none" w:sz="0" w:space="0" w:color="auto"/>
              </w:divBdr>
            </w:div>
            <w:div w:id="466749928">
              <w:marLeft w:val="0"/>
              <w:marRight w:val="0"/>
              <w:marTop w:val="0"/>
              <w:marBottom w:val="0"/>
              <w:divBdr>
                <w:top w:val="none" w:sz="0" w:space="0" w:color="auto"/>
                <w:left w:val="none" w:sz="0" w:space="0" w:color="auto"/>
                <w:bottom w:val="none" w:sz="0" w:space="0" w:color="auto"/>
                <w:right w:val="none" w:sz="0" w:space="0" w:color="auto"/>
              </w:divBdr>
            </w:div>
            <w:div w:id="586498012">
              <w:marLeft w:val="0"/>
              <w:marRight w:val="0"/>
              <w:marTop w:val="0"/>
              <w:marBottom w:val="0"/>
              <w:divBdr>
                <w:top w:val="none" w:sz="0" w:space="0" w:color="auto"/>
                <w:left w:val="none" w:sz="0" w:space="0" w:color="auto"/>
                <w:bottom w:val="none" w:sz="0" w:space="0" w:color="auto"/>
                <w:right w:val="none" w:sz="0" w:space="0" w:color="auto"/>
              </w:divBdr>
            </w:div>
            <w:div w:id="809178610">
              <w:marLeft w:val="0"/>
              <w:marRight w:val="0"/>
              <w:marTop w:val="0"/>
              <w:marBottom w:val="0"/>
              <w:divBdr>
                <w:top w:val="none" w:sz="0" w:space="0" w:color="auto"/>
                <w:left w:val="none" w:sz="0" w:space="0" w:color="auto"/>
                <w:bottom w:val="none" w:sz="0" w:space="0" w:color="auto"/>
                <w:right w:val="none" w:sz="0" w:space="0" w:color="auto"/>
              </w:divBdr>
            </w:div>
            <w:div w:id="1352031992">
              <w:marLeft w:val="0"/>
              <w:marRight w:val="0"/>
              <w:marTop w:val="0"/>
              <w:marBottom w:val="0"/>
              <w:divBdr>
                <w:top w:val="none" w:sz="0" w:space="0" w:color="auto"/>
                <w:left w:val="none" w:sz="0" w:space="0" w:color="auto"/>
                <w:bottom w:val="none" w:sz="0" w:space="0" w:color="auto"/>
                <w:right w:val="none" w:sz="0" w:space="0" w:color="auto"/>
              </w:divBdr>
            </w:div>
            <w:div w:id="1400053999">
              <w:marLeft w:val="0"/>
              <w:marRight w:val="0"/>
              <w:marTop w:val="0"/>
              <w:marBottom w:val="0"/>
              <w:divBdr>
                <w:top w:val="none" w:sz="0" w:space="0" w:color="auto"/>
                <w:left w:val="none" w:sz="0" w:space="0" w:color="auto"/>
                <w:bottom w:val="none" w:sz="0" w:space="0" w:color="auto"/>
                <w:right w:val="none" w:sz="0" w:space="0" w:color="auto"/>
              </w:divBdr>
            </w:div>
            <w:div w:id="1445421162">
              <w:marLeft w:val="0"/>
              <w:marRight w:val="0"/>
              <w:marTop w:val="0"/>
              <w:marBottom w:val="0"/>
              <w:divBdr>
                <w:top w:val="none" w:sz="0" w:space="0" w:color="auto"/>
                <w:left w:val="none" w:sz="0" w:space="0" w:color="auto"/>
                <w:bottom w:val="none" w:sz="0" w:space="0" w:color="auto"/>
                <w:right w:val="none" w:sz="0" w:space="0" w:color="auto"/>
              </w:divBdr>
            </w:div>
            <w:div w:id="1501045537">
              <w:marLeft w:val="0"/>
              <w:marRight w:val="0"/>
              <w:marTop w:val="0"/>
              <w:marBottom w:val="0"/>
              <w:divBdr>
                <w:top w:val="none" w:sz="0" w:space="0" w:color="auto"/>
                <w:left w:val="none" w:sz="0" w:space="0" w:color="auto"/>
                <w:bottom w:val="none" w:sz="0" w:space="0" w:color="auto"/>
                <w:right w:val="none" w:sz="0" w:space="0" w:color="auto"/>
              </w:divBdr>
            </w:div>
            <w:div w:id="1591429024">
              <w:marLeft w:val="0"/>
              <w:marRight w:val="0"/>
              <w:marTop w:val="0"/>
              <w:marBottom w:val="0"/>
              <w:divBdr>
                <w:top w:val="none" w:sz="0" w:space="0" w:color="auto"/>
                <w:left w:val="none" w:sz="0" w:space="0" w:color="auto"/>
                <w:bottom w:val="none" w:sz="0" w:space="0" w:color="auto"/>
                <w:right w:val="none" w:sz="0" w:space="0" w:color="auto"/>
              </w:divBdr>
            </w:div>
            <w:div w:id="1691956055">
              <w:marLeft w:val="0"/>
              <w:marRight w:val="0"/>
              <w:marTop w:val="0"/>
              <w:marBottom w:val="0"/>
              <w:divBdr>
                <w:top w:val="none" w:sz="0" w:space="0" w:color="auto"/>
                <w:left w:val="none" w:sz="0" w:space="0" w:color="auto"/>
                <w:bottom w:val="none" w:sz="0" w:space="0" w:color="auto"/>
                <w:right w:val="none" w:sz="0" w:space="0" w:color="auto"/>
              </w:divBdr>
            </w:div>
            <w:div w:id="1917008362">
              <w:marLeft w:val="0"/>
              <w:marRight w:val="0"/>
              <w:marTop w:val="0"/>
              <w:marBottom w:val="0"/>
              <w:divBdr>
                <w:top w:val="none" w:sz="0" w:space="0" w:color="auto"/>
                <w:left w:val="none" w:sz="0" w:space="0" w:color="auto"/>
                <w:bottom w:val="none" w:sz="0" w:space="0" w:color="auto"/>
                <w:right w:val="none" w:sz="0" w:space="0" w:color="auto"/>
              </w:divBdr>
            </w:div>
            <w:div w:id="1961261515">
              <w:marLeft w:val="0"/>
              <w:marRight w:val="0"/>
              <w:marTop w:val="0"/>
              <w:marBottom w:val="0"/>
              <w:divBdr>
                <w:top w:val="none" w:sz="0" w:space="0" w:color="auto"/>
                <w:left w:val="none" w:sz="0" w:space="0" w:color="auto"/>
                <w:bottom w:val="none" w:sz="0" w:space="0" w:color="auto"/>
                <w:right w:val="none" w:sz="0" w:space="0" w:color="auto"/>
              </w:divBdr>
            </w:div>
            <w:div w:id="2030908448">
              <w:marLeft w:val="0"/>
              <w:marRight w:val="0"/>
              <w:marTop w:val="0"/>
              <w:marBottom w:val="0"/>
              <w:divBdr>
                <w:top w:val="none" w:sz="0" w:space="0" w:color="auto"/>
                <w:left w:val="none" w:sz="0" w:space="0" w:color="auto"/>
                <w:bottom w:val="none" w:sz="0" w:space="0" w:color="auto"/>
                <w:right w:val="none" w:sz="0" w:space="0" w:color="auto"/>
              </w:divBdr>
            </w:div>
          </w:divsChild>
        </w:div>
        <w:div w:id="1007828330">
          <w:marLeft w:val="0"/>
          <w:marRight w:val="0"/>
          <w:marTop w:val="0"/>
          <w:marBottom w:val="0"/>
          <w:divBdr>
            <w:top w:val="none" w:sz="0" w:space="0" w:color="auto"/>
            <w:left w:val="none" w:sz="0" w:space="0" w:color="auto"/>
            <w:bottom w:val="none" w:sz="0" w:space="0" w:color="auto"/>
            <w:right w:val="none" w:sz="0" w:space="0" w:color="auto"/>
          </w:divBdr>
          <w:divsChild>
            <w:div w:id="424805081">
              <w:marLeft w:val="0"/>
              <w:marRight w:val="0"/>
              <w:marTop w:val="0"/>
              <w:marBottom w:val="0"/>
              <w:divBdr>
                <w:top w:val="none" w:sz="0" w:space="0" w:color="auto"/>
                <w:left w:val="none" w:sz="0" w:space="0" w:color="auto"/>
                <w:bottom w:val="none" w:sz="0" w:space="0" w:color="auto"/>
                <w:right w:val="none" w:sz="0" w:space="0" w:color="auto"/>
              </w:divBdr>
            </w:div>
            <w:div w:id="639505145">
              <w:marLeft w:val="0"/>
              <w:marRight w:val="0"/>
              <w:marTop w:val="0"/>
              <w:marBottom w:val="0"/>
              <w:divBdr>
                <w:top w:val="none" w:sz="0" w:space="0" w:color="auto"/>
                <w:left w:val="none" w:sz="0" w:space="0" w:color="auto"/>
                <w:bottom w:val="none" w:sz="0" w:space="0" w:color="auto"/>
                <w:right w:val="none" w:sz="0" w:space="0" w:color="auto"/>
              </w:divBdr>
            </w:div>
            <w:div w:id="1006521121">
              <w:marLeft w:val="0"/>
              <w:marRight w:val="0"/>
              <w:marTop w:val="0"/>
              <w:marBottom w:val="0"/>
              <w:divBdr>
                <w:top w:val="none" w:sz="0" w:space="0" w:color="auto"/>
                <w:left w:val="none" w:sz="0" w:space="0" w:color="auto"/>
                <w:bottom w:val="none" w:sz="0" w:space="0" w:color="auto"/>
                <w:right w:val="none" w:sz="0" w:space="0" w:color="auto"/>
              </w:divBdr>
            </w:div>
            <w:div w:id="1033766863">
              <w:marLeft w:val="0"/>
              <w:marRight w:val="0"/>
              <w:marTop w:val="0"/>
              <w:marBottom w:val="0"/>
              <w:divBdr>
                <w:top w:val="none" w:sz="0" w:space="0" w:color="auto"/>
                <w:left w:val="none" w:sz="0" w:space="0" w:color="auto"/>
                <w:bottom w:val="none" w:sz="0" w:space="0" w:color="auto"/>
                <w:right w:val="none" w:sz="0" w:space="0" w:color="auto"/>
              </w:divBdr>
            </w:div>
            <w:div w:id="1075009904">
              <w:marLeft w:val="0"/>
              <w:marRight w:val="0"/>
              <w:marTop w:val="0"/>
              <w:marBottom w:val="0"/>
              <w:divBdr>
                <w:top w:val="none" w:sz="0" w:space="0" w:color="auto"/>
                <w:left w:val="none" w:sz="0" w:space="0" w:color="auto"/>
                <w:bottom w:val="none" w:sz="0" w:space="0" w:color="auto"/>
                <w:right w:val="none" w:sz="0" w:space="0" w:color="auto"/>
              </w:divBdr>
            </w:div>
            <w:div w:id="1259603179">
              <w:marLeft w:val="0"/>
              <w:marRight w:val="0"/>
              <w:marTop w:val="0"/>
              <w:marBottom w:val="0"/>
              <w:divBdr>
                <w:top w:val="none" w:sz="0" w:space="0" w:color="auto"/>
                <w:left w:val="none" w:sz="0" w:space="0" w:color="auto"/>
                <w:bottom w:val="none" w:sz="0" w:space="0" w:color="auto"/>
                <w:right w:val="none" w:sz="0" w:space="0" w:color="auto"/>
              </w:divBdr>
            </w:div>
            <w:div w:id="1271744615">
              <w:marLeft w:val="0"/>
              <w:marRight w:val="0"/>
              <w:marTop w:val="0"/>
              <w:marBottom w:val="0"/>
              <w:divBdr>
                <w:top w:val="none" w:sz="0" w:space="0" w:color="auto"/>
                <w:left w:val="none" w:sz="0" w:space="0" w:color="auto"/>
                <w:bottom w:val="none" w:sz="0" w:space="0" w:color="auto"/>
                <w:right w:val="none" w:sz="0" w:space="0" w:color="auto"/>
              </w:divBdr>
            </w:div>
            <w:div w:id="1692682902">
              <w:marLeft w:val="0"/>
              <w:marRight w:val="0"/>
              <w:marTop w:val="0"/>
              <w:marBottom w:val="0"/>
              <w:divBdr>
                <w:top w:val="none" w:sz="0" w:space="0" w:color="auto"/>
                <w:left w:val="none" w:sz="0" w:space="0" w:color="auto"/>
                <w:bottom w:val="none" w:sz="0" w:space="0" w:color="auto"/>
                <w:right w:val="none" w:sz="0" w:space="0" w:color="auto"/>
              </w:divBdr>
            </w:div>
            <w:div w:id="1711806704">
              <w:marLeft w:val="0"/>
              <w:marRight w:val="0"/>
              <w:marTop w:val="0"/>
              <w:marBottom w:val="0"/>
              <w:divBdr>
                <w:top w:val="none" w:sz="0" w:space="0" w:color="auto"/>
                <w:left w:val="none" w:sz="0" w:space="0" w:color="auto"/>
                <w:bottom w:val="none" w:sz="0" w:space="0" w:color="auto"/>
                <w:right w:val="none" w:sz="0" w:space="0" w:color="auto"/>
              </w:divBdr>
            </w:div>
            <w:div w:id="1736515136">
              <w:marLeft w:val="0"/>
              <w:marRight w:val="0"/>
              <w:marTop w:val="0"/>
              <w:marBottom w:val="0"/>
              <w:divBdr>
                <w:top w:val="none" w:sz="0" w:space="0" w:color="auto"/>
                <w:left w:val="none" w:sz="0" w:space="0" w:color="auto"/>
                <w:bottom w:val="none" w:sz="0" w:space="0" w:color="auto"/>
                <w:right w:val="none" w:sz="0" w:space="0" w:color="auto"/>
              </w:divBdr>
            </w:div>
            <w:div w:id="20343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80058">
      <w:bodyDiv w:val="1"/>
      <w:marLeft w:val="0"/>
      <w:marRight w:val="0"/>
      <w:marTop w:val="0"/>
      <w:marBottom w:val="0"/>
      <w:divBdr>
        <w:top w:val="none" w:sz="0" w:space="0" w:color="auto"/>
        <w:left w:val="none" w:sz="0" w:space="0" w:color="auto"/>
        <w:bottom w:val="none" w:sz="0" w:space="0" w:color="auto"/>
        <w:right w:val="none" w:sz="0" w:space="0" w:color="auto"/>
      </w:divBdr>
      <w:divsChild>
        <w:div w:id="528645100">
          <w:marLeft w:val="0"/>
          <w:marRight w:val="0"/>
          <w:marTop w:val="0"/>
          <w:marBottom w:val="0"/>
          <w:divBdr>
            <w:top w:val="none" w:sz="0" w:space="0" w:color="auto"/>
            <w:left w:val="none" w:sz="0" w:space="0" w:color="auto"/>
            <w:bottom w:val="none" w:sz="0" w:space="0" w:color="auto"/>
            <w:right w:val="none" w:sz="0" w:space="0" w:color="auto"/>
          </w:divBdr>
          <w:divsChild>
            <w:div w:id="66467411">
              <w:marLeft w:val="0"/>
              <w:marRight w:val="0"/>
              <w:marTop w:val="0"/>
              <w:marBottom w:val="0"/>
              <w:divBdr>
                <w:top w:val="none" w:sz="0" w:space="0" w:color="auto"/>
                <w:left w:val="none" w:sz="0" w:space="0" w:color="auto"/>
                <w:bottom w:val="none" w:sz="0" w:space="0" w:color="auto"/>
                <w:right w:val="none" w:sz="0" w:space="0" w:color="auto"/>
              </w:divBdr>
            </w:div>
            <w:div w:id="507334092">
              <w:marLeft w:val="0"/>
              <w:marRight w:val="0"/>
              <w:marTop w:val="0"/>
              <w:marBottom w:val="0"/>
              <w:divBdr>
                <w:top w:val="none" w:sz="0" w:space="0" w:color="auto"/>
                <w:left w:val="none" w:sz="0" w:space="0" w:color="auto"/>
                <w:bottom w:val="none" w:sz="0" w:space="0" w:color="auto"/>
                <w:right w:val="none" w:sz="0" w:space="0" w:color="auto"/>
              </w:divBdr>
            </w:div>
            <w:div w:id="512762237">
              <w:marLeft w:val="0"/>
              <w:marRight w:val="0"/>
              <w:marTop w:val="0"/>
              <w:marBottom w:val="0"/>
              <w:divBdr>
                <w:top w:val="none" w:sz="0" w:space="0" w:color="auto"/>
                <w:left w:val="none" w:sz="0" w:space="0" w:color="auto"/>
                <w:bottom w:val="none" w:sz="0" w:space="0" w:color="auto"/>
                <w:right w:val="none" w:sz="0" w:space="0" w:color="auto"/>
              </w:divBdr>
            </w:div>
            <w:div w:id="534735465">
              <w:marLeft w:val="0"/>
              <w:marRight w:val="0"/>
              <w:marTop w:val="0"/>
              <w:marBottom w:val="0"/>
              <w:divBdr>
                <w:top w:val="none" w:sz="0" w:space="0" w:color="auto"/>
                <w:left w:val="none" w:sz="0" w:space="0" w:color="auto"/>
                <w:bottom w:val="none" w:sz="0" w:space="0" w:color="auto"/>
                <w:right w:val="none" w:sz="0" w:space="0" w:color="auto"/>
              </w:divBdr>
            </w:div>
            <w:div w:id="621230161">
              <w:marLeft w:val="0"/>
              <w:marRight w:val="0"/>
              <w:marTop w:val="0"/>
              <w:marBottom w:val="0"/>
              <w:divBdr>
                <w:top w:val="none" w:sz="0" w:space="0" w:color="auto"/>
                <w:left w:val="none" w:sz="0" w:space="0" w:color="auto"/>
                <w:bottom w:val="none" w:sz="0" w:space="0" w:color="auto"/>
                <w:right w:val="none" w:sz="0" w:space="0" w:color="auto"/>
              </w:divBdr>
            </w:div>
            <w:div w:id="739332029">
              <w:marLeft w:val="0"/>
              <w:marRight w:val="0"/>
              <w:marTop w:val="0"/>
              <w:marBottom w:val="0"/>
              <w:divBdr>
                <w:top w:val="none" w:sz="0" w:space="0" w:color="auto"/>
                <w:left w:val="none" w:sz="0" w:space="0" w:color="auto"/>
                <w:bottom w:val="none" w:sz="0" w:space="0" w:color="auto"/>
                <w:right w:val="none" w:sz="0" w:space="0" w:color="auto"/>
              </w:divBdr>
            </w:div>
            <w:div w:id="802886657">
              <w:marLeft w:val="0"/>
              <w:marRight w:val="0"/>
              <w:marTop w:val="0"/>
              <w:marBottom w:val="0"/>
              <w:divBdr>
                <w:top w:val="none" w:sz="0" w:space="0" w:color="auto"/>
                <w:left w:val="none" w:sz="0" w:space="0" w:color="auto"/>
                <w:bottom w:val="none" w:sz="0" w:space="0" w:color="auto"/>
                <w:right w:val="none" w:sz="0" w:space="0" w:color="auto"/>
              </w:divBdr>
            </w:div>
            <w:div w:id="827672310">
              <w:marLeft w:val="0"/>
              <w:marRight w:val="0"/>
              <w:marTop w:val="0"/>
              <w:marBottom w:val="0"/>
              <w:divBdr>
                <w:top w:val="none" w:sz="0" w:space="0" w:color="auto"/>
                <w:left w:val="none" w:sz="0" w:space="0" w:color="auto"/>
                <w:bottom w:val="none" w:sz="0" w:space="0" w:color="auto"/>
                <w:right w:val="none" w:sz="0" w:space="0" w:color="auto"/>
              </w:divBdr>
            </w:div>
            <w:div w:id="963654101">
              <w:marLeft w:val="0"/>
              <w:marRight w:val="0"/>
              <w:marTop w:val="0"/>
              <w:marBottom w:val="0"/>
              <w:divBdr>
                <w:top w:val="none" w:sz="0" w:space="0" w:color="auto"/>
                <w:left w:val="none" w:sz="0" w:space="0" w:color="auto"/>
                <w:bottom w:val="none" w:sz="0" w:space="0" w:color="auto"/>
                <w:right w:val="none" w:sz="0" w:space="0" w:color="auto"/>
              </w:divBdr>
            </w:div>
            <w:div w:id="1074281449">
              <w:marLeft w:val="0"/>
              <w:marRight w:val="0"/>
              <w:marTop w:val="0"/>
              <w:marBottom w:val="0"/>
              <w:divBdr>
                <w:top w:val="none" w:sz="0" w:space="0" w:color="auto"/>
                <w:left w:val="none" w:sz="0" w:space="0" w:color="auto"/>
                <w:bottom w:val="none" w:sz="0" w:space="0" w:color="auto"/>
                <w:right w:val="none" w:sz="0" w:space="0" w:color="auto"/>
              </w:divBdr>
            </w:div>
            <w:div w:id="1109622250">
              <w:marLeft w:val="0"/>
              <w:marRight w:val="0"/>
              <w:marTop w:val="0"/>
              <w:marBottom w:val="0"/>
              <w:divBdr>
                <w:top w:val="none" w:sz="0" w:space="0" w:color="auto"/>
                <w:left w:val="none" w:sz="0" w:space="0" w:color="auto"/>
                <w:bottom w:val="none" w:sz="0" w:space="0" w:color="auto"/>
                <w:right w:val="none" w:sz="0" w:space="0" w:color="auto"/>
              </w:divBdr>
            </w:div>
            <w:div w:id="1113088409">
              <w:marLeft w:val="0"/>
              <w:marRight w:val="0"/>
              <w:marTop w:val="0"/>
              <w:marBottom w:val="0"/>
              <w:divBdr>
                <w:top w:val="none" w:sz="0" w:space="0" w:color="auto"/>
                <w:left w:val="none" w:sz="0" w:space="0" w:color="auto"/>
                <w:bottom w:val="none" w:sz="0" w:space="0" w:color="auto"/>
                <w:right w:val="none" w:sz="0" w:space="0" w:color="auto"/>
              </w:divBdr>
            </w:div>
            <w:div w:id="1425808225">
              <w:marLeft w:val="0"/>
              <w:marRight w:val="0"/>
              <w:marTop w:val="0"/>
              <w:marBottom w:val="0"/>
              <w:divBdr>
                <w:top w:val="none" w:sz="0" w:space="0" w:color="auto"/>
                <w:left w:val="none" w:sz="0" w:space="0" w:color="auto"/>
                <w:bottom w:val="none" w:sz="0" w:space="0" w:color="auto"/>
                <w:right w:val="none" w:sz="0" w:space="0" w:color="auto"/>
              </w:divBdr>
            </w:div>
            <w:div w:id="1565604232">
              <w:marLeft w:val="0"/>
              <w:marRight w:val="0"/>
              <w:marTop w:val="0"/>
              <w:marBottom w:val="0"/>
              <w:divBdr>
                <w:top w:val="none" w:sz="0" w:space="0" w:color="auto"/>
                <w:left w:val="none" w:sz="0" w:space="0" w:color="auto"/>
                <w:bottom w:val="none" w:sz="0" w:space="0" w:color="auto"/>
                <w:right w:val="none" w:sz="0" w:space="0" w:color="auto"/>
              </w:divBdr>
            </w:div>
            <w:div w:id="1606883128">
              <w:marLeft w:val="0"/>
              <w:marRight w:val="0"/>
              <w:marTop w:val="0"/>
              <w:marBottom w:val="0"/>
              <w:divBdr>
                <w:top w:val="none" w:sz="0" w:space="0" w:color="auto"/>
                <w:left w:val="none" w:sz="0" w:space="0" w:color="auto"/>
                <w:bottom w:val="none" w:sz="0" w:space="0" w:color="auto"/>
                <w:right w:val="none" w:sz="0" w:space="0" w:color="auto"/>
              </w:divBdr>
            </w:div>
            <w:div w:id="1658606683">
              <w:marLeft w:val="0"/>
              <w:marRight w:val="0"/>
              <w:marTop w:val="0"/>
              <w:marBottom w:val="0"/>
              <w:divBdr>
                <w:top w:val="none" w:sz="0" w:space="0" w:color="auto"/>
                <w:left w:val="none" w:sz="0" w:space="0" w:color="auto"/>
                <w:bottom w:val="none" w:sz="0" w:space="0" w:color="auto"/>
                <w:right w:val="none" w:sz="0" w:space="0" w:color="auto"/>
              </w:divBdr>
            </w:div>
            <w:div w:id="1794521367">
              <w:marLeft w:val="0"/>
              <w:marRight w:val="0"/>
              <w:marTop w:val="0"/>
              <w:marBottom w:val="0"/>
              <w:divBdr>
                <w:top w:val="none" w:sz="0" w:space="0" w:color="auto"/>
                <w:left w:val="none" w:sz="0" w:space="0" w:color="auto"/>
                <w:bottom w:val="none" w:sz="0" w:space="0" w:color="auto"/>
                <w:right w:val="none" w:sz="0" w:space="0" w:color="auto"/>
              </w:divBdr>
            </w:div>
            <w:div w:id="1809469587">
              <w:marLeft w:val="0"/>
              <w:marRight w:val="0"/>
              <w:marTop w:val="0"/>
              <w:marBottom w:val="0"/>
              <w:divBdr>
                <w:top w:val="none" w:sz="0" w:space="0" w:color="auto"/>
                <w:left w:val="none" w:sz="0" w:space="0" w:color="auto"/>
                <w:bottom w:val="none" w:sz="0" w:space="0" w:color="auto"/>
                <w:right w:val="none" w:sz="0" w:space="0" w:color="auto"/>
              </w:divBdr>
            </w:div>
            <w:div w:id="1942494526">
              <w:marLeft w:val="0"/>
              <w:marRight w:val="0"/>
              <w:marTop w:val="0"/>
              <w:marBottom w:val="0"/>
              <w:divBdr>
                <w:top w:val="none" w:sz="0" w:space="0" w:color="auto"/>
                <w:left w:val="none" w:sz="0" w:space="0" w:color="auto"/>
                <w:bottom w:val="none" w:sz="0" w:space="0" w:color="auto"/>
                <w:right w:val="none" w:sz="0" w:space="0" w:color="auto"/>
              </w:divBdr>
            </w:div>
            <w:div w:id="1956252889">
              <w:marLeft w:val="0"/>
              <w:marRight w:val="0"/>
              <w:marTop w:val="0"/>
              <w:marBottom w:val="0"/>
              <w:divBdr>
                <w:top w:val="none" w:sz="0" w:space="0" w:color="auto"/>
                <w:left w:val="none" w:sz="0" w:space="0" w:color="auto"/>
                <w:bottom w:val="none" w:sz="0" w:space="0" w:color="auto"/>
                <w:right w:val="none" w:sz="0" w:space="0" w:color="auto"/>
              </w:divBdr>
            </w:div>
          </w:divsChild>
        </w:div>
        <w:div w:id="1556156395">
          <w:marLeft w:val="0"/>
          <w:marRight w:val="0"/>
          <w:marTop w:val="0"/>
          <w:marBottom w:val="0"/>
          <w:divBdr>
            <w:top w:val="none" w:sz="0" w:space="0" w:color="auto"/>
            <w:left w:val="none" w:sz="0" w:space="0" w:color="auto"/>
            <w:bottom w:val="none" w:sz="0" w:space="0" w:color="auto"/>
            <w:right w:val="none" w:sz="0" w:space="0" w:color="auto"/>
          </w:divBdr>
          <w:divsChild>
            <w:div w:id="41252288">
              <w:marLeft w:val="0"/>
              <w:marRight w:val="0"/>
              <w:marTop w:val="0"/>
              <w:marBottom w:val="0"/>
              <w:divBdr>
                <w:top w:val="none" w:sz="0" w:space="0" w:color="auto"/>
                <w:left w:val="none" w:sz="0" w:space="0" w:color="auto"/>
                <w:bottom w:val="none" w:sz="0" w:space="0" w:color="auto"/>
                <w:right w:val="none" w:sz="0" w:space="0" w:color="auto"/>
              </w:divBdr>
            </w:div>
            <w:div w:id="255871177">
              <w:marLeft w:val="0"/>
              <w:marRight w:val="0"/>
              <w:marTop w:val="0"/>
              <w:marBottom w:val="0"/>
              <w:divBdr>
                <w:top w:val="none" w:sz="0" w:space="0" w:color="auto"/>
                <w:left w:val="none" w:sz="0" w:space="0" w:color="auto"/>
                <w:bottom w:val="none" w:sz="0" w:space="0" w:color="auto"/>
                <w:right w:val="none" w:sz="0" w:space="0" w:color="auto"/>
              </w:divBdr>
            </w:div>
            <w:div w:id="552422899">
              <w:marLeft w:val="0"/>
              <w:marRight w:val="0"/>
              <w:marTop w:val="0"/>
              <w:marBottom w:val="0"/>
              <w:divBdr>
                <w:top w:val="none" w:sz="0" w:space="0" w:color="auto"/>
                <w:left w:val="none" w:sz="0" w:space="0" w:color="auto"/>
                <w:bottom w:val="none" w:sz="0" w:space="0" w:color="auto"/>
                <w:right w:val="none" w:sz="0" w:space="0" w:color="auto"/>
              </w:divBdr>
            </w:div>
            <w:div w:id="767165052">
              <w:marLeft w:val="0"/>
              <w:marRight w:val="0"/>
              <w:marTop w:val="0"/>
              <w:marBottom w:val="0"/>
              <w:divBdr>
                <w:top w:val="none" w:sz="0" w:space="0" w:color="auto"/>
                <w:left w:val="none" w:sz="0" w:space="0" w:color="auto"/>
                <w:bottom w:val="none" w:sz="0" w:space="0" w:color="auto"/>
                <w:right w:val="none" w:sz="0" w:space="0" w:color="auto"/>
              </w:divBdr>
            </w:div>
            <w:div w:id="1347560366">
              <w:marLeft w:val="0"/>
              <w:marRight w:val="0"/>
              <w:marTop w:val="0"/>
              <w:marBottom w:val="0"/>
              <w:divBdr>
                <w:top w:val="none" w:sz="0" w:space="0" w:color="auto"/>
                <w:left w:val="none" w:sz="0" w:space="0" w:color="auto"/>
                <w:bottom w:val="none" w:sz="0" w:space="0" w:color="auto"/>
                <w:right w:val="none" w:sz="0" w:space="0" w:color="auto"/>
              </w:divBdr>
            </w:div>
            <w:div w:id="1371295705">
              <w:marLeft w:val="0"/>
              <w:marRight w:val="0"/>
              <w:marTop w:val="0"/>
              <w:marBottom w:val="0"/>
              <w:divBdr>
                <w:top w:val="none" w:sz="0" w:space="0" w:color="auto"/>
                <w:left w:val="none" w:sz="0" w:space="0" w:color="auto"/>
                <w:bottom w:val="none" w:sz="0" w:space="0" w:color="auto"/>
                <w:right w:val="none" w:sz="0" w:space="0" w:color="auto"/>
              </w:divBdr>
            </w:div>
            <w:div w:id="1566719748">
              <w:marLeft w:val="0"/>
              <w:marRight w:val="0"/>
              <w:marTop w:val="0"/>
              <w:marBottom w:val="0"/>
              <w:divBdr>
                <w:top w:val="none" w:sz="0" w:space="0" w:color="auto"/>
                <w:left w:val="none" w:sz="0" w:space="0" w:color="auto"/>
                <w:bottom w:val="none" w:sz="0" w:space="0" w:color="auto"/>
                <w:right w:val="none" w:sz="0" w:space="0" w:color="auto"/>
              </w:divBdr>
            </w:div>
            <w:div w:id="1593539922">
              <w:marLeft w:val="0"/>
              <w:marRight w:val="0"/>
              <w:marTop w:val="0"/>
              <w:marBottom w:val="0"/>
              <w:divBdr>
                <w:top w:val="none" w:sz="0" w:space="0" w:color="auto"/>
                <w:left w:val="none" w:sz="0" w:space="0" w:color="auto"/>
                <w:bottom w:val="none" w:sz="0" w:space="0" w:color="auto"/>
                <w:right w:val="none" w:sz="0" w:space="0" w:color="auto"/>
              </w:divBdr>
            </w:div>
            <w:div w:id="1656566220">
              <w:marLeft w:val="0"/>
              <w:marRight w:val="0"/>
              <w:marTop w:val="0"/>
              <w:marBottom w:val="0"/>
              <w:divBdr>
                <w:top w:val="none" w:sz="0" w:space="0" w:color="auto"/>
                <w:left w:val="none" w:sz="0" w:space="0" w:color="auto"/>
                <w:bottom w:val="none" w:sz="0" w:space="0" w:color="auto"/>
                <w:right w:val="none" w:sz="0" w:space="0" w:color="auto"/>
              </w:divBdr>
            </w:div>
            <w:div w:id="1678846700">
              <w:marLeft w:val="0"/>
              <w:marRight w:val="0"/>
              <w:marTop w:val="0"/>
              <w:marBottom w:val="0"/>
              <w:divBdr>
                <w:top w:val="none" w:sz="0" w:space="0" w:color="auto"/>
                <w:left w:val="none" w:sz="0" w:space="0" w:color="auto"/>
                <w:bottom w:val="none" w:sz="0" w:space="0" w:color="auto"/>
                <w:right w:val="none" w:sz="0" w:space="0" w:color="auto"/>
              </w:divBdr>
            </w:div>
            <w:div w:id="1807626060">
              <w:marLeft w:val="0"/>
              <w:marRight w:val="0"/>
              <w:marTop w:val="0"/>
              <w:marBottom w:val="0"/>
              <w:divBdr>
                <w:top w:val="none" w:sz="0" w:space="0" w:color="auto"/>
                <w:left w:val="none" w:sz="0" w:space="0" w:color="auto"/>
                <w:bottom w:val="none" w:sz="0" w:space="0" w:color="auto"/>
                <w:right w:val="none" w:sz="0" w:space="0" w:color="auto"/>
              </w:divBdr>
            </w:div>
            <w:div w:id="2057846573">
              <w:marLeft w:val="0"/>
              <w:marRight w:val="0"/>
              <w:marTop w:val="0"/>
              <w:marBottom w:val="0"/>
              <w:divBdr>
                <w:top w:val="none" w:sz="0" w:space="0" w:color="auto"/>
                <w:left w:val="none" w:sz="0" w:space="0" w:color="auto"/>
                <w:bottom w:val="none" w:sz="0" w:space="0" w:color="auto"/>
                <w:right w:val="none" w:sz="0" w:space="0" w:color="auto"/>
              </w:divBdr>
            </w:div>
            <w:div w:id="2068644359">
              <w:marLeft w:val="0"/>
              <w:marRight w:val="0"/>
              <w:marTop w:val="0"/>
              <w:marBottom w:val="0"/>
              <w:divBdr>
                <w:top w:val="none" w:sz="0" w:space="0" w:color="auto"/>
                <w:left w:val="none" w:sz="0" w:space="0" w:color="auto"/>
                <w:bottom w:val="none" w:sz="0" w:space="0" w:color="auto"/>
                <w:right w:val="none" w:sz="0" w:space="0" w:color="auto"/>
              </w:divBdr>
            </w:div>
            <w:div w:id="2137748874">
              <w:marLeft w:val="0"/>
              <w:marRight w:val="0"/>
              <w:marTop w:val="0"/>
              <w:marBottom w:val="0"/>
              <w:divBdr>
                <w:top w:val="none" w:sz="0" w:space="0" w:color="auto"/>
                <w:left w:val="none" w:sz="0" w:space="0" w:color="auto"/>
                <w:bottom w:val="none" w:sz="0" w:space="0" w:color="auto"/>
                <w:right w:val="none" w:sz="0" w:space="0" w:color="auto"/>
              </w:divBdr>
            </w:div>
          </w:divsChild>
        </w:div>
        <w:div w:id="1897743269">
          <w:marLeft w:val="0"/>
          <w:marRight w:val="0"/>
          <w:marTop w:val="0"/>
          <w:marBottom w:val="0"/>
          <w:divBdr>
            <w:top w:val="none" w:sz="0" w:space="0" w:color="auto"/>
            <w:left w:val="none" w:sz="0" w:space="0" w:color="auto"/>
            <w:bottom w:val="none" w:sz="0" w:space="0" w:color="auto"/>
            <w:right w:val="none" w:sz="0" w:space="0" w:color="auto"/>
          </w:divBdr>
          <w:divsChild>
            <w:div w:id="104008589">
              <w:marLeft w:val="0"/>
              <w:marRight w:val="0"/>
              <w:marTop w:val="0"/>
              <w:marBottom w:val="0"/>
              <w:divBdr>
                <w:top w:val="none" w:sz="0" w:space="0" w:color="auto"/>
                <w:left w:val="none" w:sz="0" w:space="0" w:color="auto"/>
                <w:bottom w:val="none" w:sz="0" w:space="0" w:color="auto"/>
                <w:right w:val="none" w:sz="0" w:space="0" w:color="auto"/>
              </w:divBdr>
            </w:div>
            <w:div w:id="155801934">
              <w:marLeft w:val="0"/>
              <w:marRight w:val="0"/>
              <w:marTop w:val="0"/>
              <w:marBottom w:val="0"/>
              <w:divBdr>
                <w:top w:val="none" w:sz="0" w:space="0" w:color="auto"/>
                <w:left w:val="none" w:sz="0" w:space="0" w:color="auto"/>
                <w:bottom w:val="none" w:sz="0" w:space="0" w:color="auto"/>
                <w:right w:val="none" w:sz="0" w:space="0" w:color="auto"/>
              </w:divBdr>
            </w:div>
            <w:div w:id="365526711">
              <w:marLeft w:val="0"/>
              <w:marRight w:val="0"/>
              <w:marTop w:val="0"/>
              <w:marBottom w:val="0"/>
              <w:divBdr>
                <w:top w:val="none" w:sz="0" w:space="0" w:color="auto"/>
                <w:left w:val="none" w:sz="0" w:space="0" w:color="auto"/>
                <w:bottom w:val="none" w:sz="0" w:space="0" w:color="auto"/>
                <w:right w:val="none" w:sz="0" w:space="0" w:color="auto"/>
              </w:divBdr>
            </w:div>
            <w:div w:id="370108977">
              <w:marLeft w:val="0"/>
              <w:marRight w:val="0"/>
              <w:marTop w:val="0"/>
              <w:marBottom w:val="0"/>
              <w:divBdr>
                <w:top w:val="none" w:sz="0" w:space="0" w:color="auto"/>
                <w:left w:val="none" w:sz="0" w:space="0" w:color="auto"/>
                <w:bottom w:val="none" w:sz="0" w:space="0" w:color="auto"/>
                <w:right w:val="none" w:sz="0" w:space="0" w:color="auto"/>
              </w:divBdr>
            </w:div>
            <w:div w:id="505479278">
              <w:marLeft w:val="0"/>
              <w:marRight w:val="0"/>
              <w:marTop w:val="0"/>
              <w:marBottom w:val="0"/>
              <w:divBdr>
                <w:top w:val="none" w:sz="0" w:space="0" w:color="auto"/>
                <w:left w:val="none" w:sz="0" w:space="0" w:color="auto"/>
                <w:bottom w:val="none" w:sz="0" w:space="0" w:color="auto"/>
                <w:right w:val="none" w:sz="0" w:space="0" w:color="auto"/>
              </w:divBdr>
            </w:div>
            <w:div w:id="526796547">
              <w:marLeft w:val="0"/>
              <w:marRight w:val="0"/>
              <w:marTop w:val="0"/>
              <w:marBottom w:val="0"/>
              <w:divBdr>
                <w:top w:val="none" w:sz="0" w:space="0" w:color="auto"/>
                <w:left w:val="none" w:sz="0" w:space="0" w:color="auto"/>
                <w:bottom w:val="none" w:sz="0" w:space="0" w:color="auto"/>
                <w:right w:val="none" w:sz="0" w:space="0" w:color="auto"/>
              </w:divBdr>
            </w:div>
            <w:div w:id="1241256566">
              <w:marLeft w:val="0"/>
              <w:marRight w:val="0"/>
              <w:marTop w:val="0"/>
              <w:marBottom w:val="0"/>
              <w:divBdr>
                <w:top w:val="none" w:sz="0" w:space="0" w:color="auto"/>
                <w:left w:val="none" w:sz="0" w:space="0" w:color="auto"/>
                <w:bottom w:val="none" w:sz="0" w:space="0" w:color="auto"/>
                <w:right w:val="none" w:sz="0" w:space="0" w:color="auto"/>
              </w:divBdr>
            </w:div>
            <w:div w:id="1434282091">
              <w:marLeft w:val="0"/>
              <w:marRight w:val="0"/>
              <w:marTop w:val="0"/>
              <w:marBottom w:val="0"/>
              <w:divBdr>
                <w:top w:val="none" w:sz="0" w:space="0" w:color="auto"/>
                <w:left w:val="none" w:sz="0" w:space="0" w:color="auto"/>
                <w:bottom w:val="none" w:sz="0" w:space="0" w:color="auto"/>
                <w:right w:val="none" w:sz="0" w:space="0" w:color="auto"/>
              </w:divBdr>
            </w:div>
            <w:div w:id="1482113493">
              <w:marLeft w:val="0"/>
              <w:marRight w:val="0"/>
              <w:marTop w:val="0"/>
              <w:marBottom w:val="0"/>
              <w:divBdr>
                <w:top w:val="none" w:sz="0" w:space="0" w:color="auto"/>
                <w:left w:val="none" w:sz="0" w:space="0" w:color="auto"/>
                <w:bottom w:val="none" w:sz="0" w:space="0" w:color="auto"/>
                <w:right w:val="none" w:sz="0" w:space="0" w:color="auto"/>
              </w:divBdr>
            </w:div>
            <w:div w:id="1645508280">
              <w:marLeft w:val="0"/>
              <w:marRight w:val="0"/>
              <w:marTop w:val="0"/>
              <w:marBottom w:val="0"/>
              <w:divBdr>
                <w:top w:val="none" w:sz="0" w:space="0" w:color="auto"/>
                <w:left w:val="none" w:sz="0" w:space="0" w:color="auto"/>
                <w:bottom w:val="none" w:sz="0" w:space="0" w:color="auto"/>
                <w:right w:val="none" w:sz="0" w:space="0" w:color="auto"/>
              </w:divBdr>
            </w:div>
            <w:div w:id="19805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6634">
      <w:bodyDiv w:val="1"/>
      <w:marLeft w:val="0"/>
      <w:marRight w:val="0"/>
      <w:marTop w:val="0"/>
      <w:marBottom w:val="0"/>
      <w:divBdr>
        <w:top w:val="none" w:sz="0" w:space="0" w:color="auto"/>
        <w:left w:val="none" w:sz="0" w:space="0" w:color="auto"/>
        <w:bottom w:val="none" w:sz="0" w:space="0" w:color="auto"/>
        <w:right w:val="none" w:sz="0" w:space="0" w:color="auto"/>
      </w:divBdr>
      <w:divsChild>
        <w:div w:id="385642592">
          <w:marLeft w:val="0"/>
          <w:marRight w:val="0"/>
          <w:marTop w:val="0"/>
          <w:marBottom w:val="0"/>
          <w:divBdr>
            <w:top w:val="none" w:sz="0" w:space="0" w:color="auto"/>
            <w:left w:val="none" w:sz="0" w:space="0" w:color="auto"/>
            <w:bottom w:val="none" w:sz="0" w:space="0" w:color="auto"/>
            <w:right w:val="none" w:sz="0" w:space="0" w:color="auto"/>
          </w:divBdr>
          <w:divsChild>
            <w:div w:id="1656836262">
              <w:marLeft w:val="0"/>
              <w:marRight w:val="0"/>
              <w:marTop w:val="0"/>
              <w:marBottom w:val="0"/>
              <w:divBdr>
                <w:top w:val="none" w:sz="0" w:space="0" w:color="auto"/>
                <w:left w:val="none" w:sz="0" w:space="0" w:color="auto"/>
                <w:bottom w:val="none" w:sz="0" w:space="0" w:color="auto"/>
                <w:right w:val="none" w:sz="0" w:space="0" w:color="auto"/>
              </w:divBdr>
            </w:div>
          </w:divsChild>
        </w:div>
        <w:div w:id="1529100248">
          <w:marLeft w:val="0"/>
          <w:marRight w:val="0"/>
          <w:marTop w:val="0"/>
          <w:marBottom w:val="0"/>
          <w:divBdr>
            <w:top w:val="none" w:sz="0" w:space="0" w:color="auto"/>
            <w:left w:val="none" w:sz="0" w:space="0" w:color="auto"/>
            <w:bottom w:val="none" w:sz="0" w:space="0" w:color="auto"/>
            <w:right w:val="none" w:sz="0" w:space="0" w:color="auto"/>
          </w:divBdr>
          <w:divsChild>
            <w:div w:id="1991783186">
              <w:marLeft w:val="0"/>
              <w:marRight w:val="0"/>
              <w:marTop w:val="0"/>
              <w:marBottom w:val="0"/>
              <w:divBdr>
                <w:top w:val="none" w:sz="0" w:space="0" w:color="auto"/>
                <w:left w:val="none" w:sz="0" w:space="0" w:color="auto"/>
                <w:bottom w:val="none" w:sz="0" w:space="0" w:color="auto"/>
                <w:right w:val="none" w:sz="0" w:space="0" w:color="auto"/>
              </w:divBdr>
              <w:divsChild>
                <w:div w:id="150130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91534">
      <w:bodyDiv w:val="1"/>
      <w:marLeft w:val="0"/>
      <w:marRight w:val="0"/>
      <w:marTop w:val="0"/>
      <w:marBottom w:val="0"/>
      <w:divBdr>
        <w:top w:val="none" w:sz="0" w:space="0" w:color="auto"/>
        <w:left w:val="none" w:sz="0" w:space="0" w:color="auto"/>
        <w:bottom w:val="none" w:sz="0" w:space="0" w:color="auto"/>
        <w:right w:val="none" w:sz="0" w:space="0" w:color="auto"/>
      </w:divBdr>
    </w:div>
    <w:div w:id="1013612526">
      <w:bodyDiv w:val="1"/>
      <w:marLeft w:val="0"/>
      <w:marRight w:val="0"/>
      <w:marTop w:val="0"/>
      <w:marBottom w:val="0"/>
      <w:divBdr>
        <w:top w:val="none" w:sz="0" w:space="0" w:color="auto"/>
        <w:left w:val="none" w:sz="0" w:space="0" w:color="auto"/>
        <w:bottom w:val="none" w:sz="0" w:space="0" w:color="auto"/>
        <w:right w:val="none" w:sz="0" w:space="0" w:color="auto"/>
      </w:divBdr>
      <w:divsChild>
        <w:div w:id="359748906">
          <w:marLeft w:val="0"/>
          <w:marRight w:val="0"/>
          <w:marTop w:val="0"/>
          <w:marBottom w:val="0"/>
          <w:divBdr>
            <w:top w:val="none" w:sz="0" w:space="0" w:color="auto"/>
            <w:left w:val="none" w:sz="0" w:space="0" w:color="auto"/>
            <w:bottom w:val="none" w:sz="0" w:space="0" w:color="auto"/>
            <w:right w:val="none" w:sz="0" w:space="0" w:color="auto"/>
          </w:divBdr>
        </w:div>
        <w:div w:id="1129279507">
          <w:marLeft w:val="0"/>
          <w:marRight w:val="0"/>
          <w:marTop w:val="0"/>
          <w:marBottom w:val="0"/>
          <w:divBdr>
            <w:top w:val="none" w:sz="0" w:space="0" w:color="auto"/>
            <w:left w:val="none" w:sz="0" w:space="0" w:color="auto"/>
            <w:bottom w:val="none" w:sz="0" w:space="0" w:color="auto"/>
            <w:right w:val="none" w:sz="0" w:space="0" w:color="auto"/>
          </w:divBdr>
        </w:div>
      </w:divsChild>
    </w:div>
    <w:div w:id="1125779946">
      <w:bodyDiv w:val="1"/>
      <w:marLeft w:val="0"/>
      <w:marRight w:val="0"/>
      <w:marTop w:val="0"/>
      <w:marBottom w:val="0"/>
      <w:divBdr>
        <w:top w:val="none" w:sz="0" w:space="0" w:color="auto"/>
        <w:left w:val="none" w:sz="0" w:space="0" w:color="auto"/>
        <w:bottom w:val="none" w:sz="0" w:space="0" w:color="auto"/>
        <w:right w:val="none" w:sz="0" w:space="0" w:color="auto"/>
      </w:divBdr>
      <w:divsChild>
        <w:div w:id="665519516">
          <w:marLeft w:val="0"/>
          <w:marRight w:val="0"/>
          <w:marTop w:val="0"/>
          <w:marBottom w:val="0"/>
          <w:divBdr>
            <w:top w:val="none" w:sz="0" w:space="0" w:color="auto"/>
            <w:left w:val="none" w:sz="0" w:space="0" w:color="auto"/>
            <w:bottom w:val="none" w:sz="0" w:space="0" w:color="auto"/>
            <w:right w:val="none" w:sz="0" w:space="0" w:color="auto"/>
          </w:divBdr>
          <w:divsChild>
            <w:div w:id="16586087">
              <w:marLeft w:val="0"/>
              <w:marRight w:val="0"/>
              <w:marTop w:val="0"/>
              <w:marBottom w:val="0"/>
              <w:divBdr>
                <w:top w:val="none" w:sz="0" w:space="0" w:color="auto"/>
                <w:left w:val="none" w:sz="0" w:space="0" w:color="auto"/>
                <w:bottom w:val="none" w:sz="0" w:space="0" w:color="auto"/>
                <w:right w:val="none" w:sz="0" w:space="0" w:color="auto"/>
              </w:divBdr>
            </w:div>
            <w:div w:id="184440306">
              <w:marLeft w:val="0"/>
              <w:marRight w:val="0"/>
              <w:marTop w:val="0"/>
              <w:marBottom w:val="0"/>
              <w:divBdr>
                <w:top w:val="none" w:sz="0" w:space="0" w:color="auto"/>
                <w:left w:val="none" w:sz="0" w:space="0" w:color="auto"/>
                <w:bottom w:val="none" w:sz="0" w:space="0" w:color="auto"/>
                <w:right w:val="none" w:sz="0" w:space="0" w:color="auto"/>
              </w:divBdr>
            </w:div>
            <w:div w:id="351615299">
              <w:marLeft w:val="0"/>
              <w:marRight w:val="0"/>
              <w:marTop w:val="0"/>
              <w:marBottom w:val="0"/>
              <w:divBdr>
                <w:top w:val="none" w:sz="0" w:space="0" w:color="auto"/>
                <w:left w:val="none" w:sz="0" w:space="0" w:color="auto"/>
                <w:bottom w:val="none" w:sz="0" w:space="0" w:color="auto"/>
                <w:right w:val="none" w:sz="0" w:space="0" w:color="auto"/>
              </w:divBdr>
            </w:div>
            <w:div w:id="651183536">
              <w:marLeft w:val="0"/>
              <w:marRight w:val="0"/>
              <w:marTop w:val="0"/>
              <w:marBottom w:val="0"/>
              <w:divBdr>
                <w:top w:val="none" w:sz="0" w:space="0" w:color="auto"/>
                <w:left w:val="none" w:sz="0" w:space="0" w:color="auto"/>
                <w:bottom w:val="none" w:sz="0" w:space="0" w:color="auto"/>
                <w:right w:val="none" w:sz="0" w:space="0" w:color="auto"/>
              </w:divBdr>
            </w:div>
            <w:div w:id="718407102">
              <w:marLeft w:val="0"/>
              <w:marRight w:val="0"/>
              <w:marTop w:val="0"/>
              <w:marBottom w:val="0"/>
              <w:divBdr>
                <w:top w:val="none" w:sz="0" w:space="0" w:color="auto"/>
                <w:left w:val="none" w:sz="0" w:space="0" w:color="auto"/>
                <w:bottom w:val="none" w:sz="0" w:space="0" w:color="auto"/>
                <w:right w:val="none" w:sz="0" w:space="0" w:color="auto"/>
              </w:divBdr>
            </w:div>
            <w:div w:id="905412128">
              <w:marLeft w:val="0"/>
              <w:marRight w:val="0"/>
              <w:marTop w:val="0"/>
              <w:marBottom w:val="0"/>
              <w:divBdr>
                <w:top w:val="none" w:sz="0" w:space="0" w:color="auto"/>
                <w:left w:val="none" w:sz="0" w:space="0" w:color="auto"/>
                <w:bottom w:val="none" w:sz="0" w:space="0" w:color="auto"/>
                <w:right w:val="none" w:sz="0" w:space="0" w:color="auto"/>
              </w:divBdr>
            </w:div>
            <w:div w:id="1020204711">
              <w:marLeft w:val="0"/>
              <w:marRight w:val="0"/>
              <w:marTop w:val="0"/>
              <w:marBottom w:val="0"/>
              <w:divBdr>
                <w:top w:val="none" w:sz="0" w:space="0" w:color="auto"/>
                <w:left w:val="none" w:sz="0" w:space="0" w:color="auto"/>
                <w:bottom w:val="none" w:sz="0" w:space="0" w:color="auto"/>
                <w:right w:val="none" w:sz="0" w:space="0" w:color="auto"/>
              </w:divBdr>
            </w:div>
            <w:div w:id="1447625853">
              <w:marLeft w:val="0"/>
              <w:marRight w:val="0"/>
              <w:marTop w:val="0"/>
              <w:marBottom w:val="0"/>
              <w:divBdr>
                <w:top w:val="none" w:sz="0" w:space="0" w:color="auto"/>
                <w:left w:val="none" w:sz="0" w:space="0" w:color="auto"/>
                <w:bottom w:val="none" w:sz="0" w:space="0" w:color="auto"/>
                <w:right w:val="none" w:sz="0" w:space="0" w:color="auto"/>
              </w:divBdr>
            </w:div>
            <w:div w:id="1537305830">
              <w:marLeft w:val="0"/>
              <w:marRight w:val="0"/>
              <w:marTop w:val="0"/>
              <w:marBottom w:val="0"/>
              <w:divBdr>
                <w:top w:val="none" w:sz="0" w:space="0" w:color="auto"/>
                <w:left w:val="none" w:sz="0" w:space="0" w:color="auto"/>
                <w:bottom w:val="none" w:sz="0" w:space="0" w:color="auto"/>
                <w:right w:val="none" w:sz="0" w:space="0" w:color="auto"/>
              </w:divBdr>
            </w:div>
            <w:div w:id="1679968631">
              <w:marLeft w:val="0"/>
              <w:marRight w:val="0"/>
              <w:marTop w:val="0"/>
              <w:marBottom w:val="0"/>
              <w:divBdr>
                <w:top w:val="none" w:sz="0" w:space="0" w:color="auto"/>
                <w:left w:val="none" w:sz="0" w:space="0" w:color="auto"/>
                <w:bottom w:val="none" w:sz="0" w:space="0" w:color="auto"/>
                <w:right w:val="none" w:sz="0" w:space="0" w:color="auto"/>
              </w:divBdr>
            </w:div>
            <w:div w:id="1690832397">
              <w:marLeft w:val="0"/>
              <w:marRight w:val="0"/>
              <w:marTop w:val="0"/>
              <w:marBottom w:val="0"/>
              <w:divBdr>
                <w:top w:val="none" w:sz="0" w:space="0" w:color="auto"/>
                <w:left w:val="none" w:sz="0" w:space="0" w:color="auto"/>
                <w:bottom w:val="none" w:sz="0" w:space="0" w:color="auto"/>
                <w:right w:val="none" w:sz="0" w:space="0" w:color="auto"/>
              </w:divBdr>
            </w:div>
            <w:div w:id="1713798358">
              <w:marLeft w:val="0"/>
              <w:marRight w:val="0"/>
              <w:marTop w:val="0"/>
              <w:marBottom w:val="0"/>
              <w:divBdr>
                <w:top w:val="none" w:sz="0" w:space="0" w:color="auto"/>
                <w:left w:val="none" w:sz="0" w:space="0" w:color="auto"/>
                <w:bottom w:val="none" w:sz="0" w:space="0" w:color="auto"/>
                <w:right w:val="none" w:sz="0" w:space="0" w:color="auto"/>
              </w:divBdr>
            </w:div>
            <w:div w:id="1832283511">
              <w:marLeft w:val="0"/>
              <w:marRight w:val="0"/>
              <w:marTop w:val="0"/>
              <w:marBottom w:val="0"/>
              <w:divBdr>
                <w:top w:val="none" w:sz="0" w:space="0" w:color="auto"/>
                <w:left w:val="none" w:sz="0" w:space="0" w:color="auto"/>
                <w:bottom w:val="none" w:sz="0" w:space="0" w:color="auto"/>
                <w:right w:val="none" w:sz="0" w:space="0" w:color="auto"/>
              </w:divBdr>
            </w:div>
            <w:div w:id="1993481509">
              <w:marLeft w:val="0"/>
              <w:marRight w:val="0"/>
              <w:marTop w:val="0"/>
              <w:marBottom w:val="0"/>
              <w:divBdr>
                <w:top w:val="none" w:sz="0" w:space="0" w:color="auto"/>
                <w:left w:val="none" w:sz="0" w:space="0" w:color="auto"/>
                <w:bottom w:val="none" w:sz="0" w:space="0" w:color="auto"/>
                <w:right w:val="none" w:sz="0" w:space="0" w:color="auto"/>
              </w:divBdr>
            </w:div>
          </w:divsChild>
        </w:div>
        <w:div w:id="1158308476">
          <w:marLeft w:val="0"/>
          <w:marRight w:val="0"/>
          <w:marTop w:val="0"/>
          <w:marBottom w:val="0"/>
          <w:divBdr>
            <w:top w:val="none" w:sz="0" w:space="0" w:color="auto"/>
            <w:left w:val="none" w:sz="0" w:space="0" w:color="auto"/>
            <w:bottom w:val="none" w:sz="0" w:space="0" w:color="auto"/>
            <w:right w:val="none" w:sz="0" w:space="0" w:color="auto"/>
          </w:divBdr>
          <w:divsChild>
            <w:div w:id="357968149">
              <w:marLeft w:val="0"/>
              <w:marRight w:val="0"/>
              <w:marTop w:val="0"/>
              <w:marBottom w:val="0"/>
              <w:divBdr>
                <w:top w:val="none" w:sz="0" w:space="0" w:color="auto"/>
                <w:left w:val="none" w:sz="0" w:space="0" w:color="auto"/>
                <w:bottom w:val="none" w:sz="0" w:space="0" w:color="auto"/>
                <w:right w:val="none" w:sz="0" w:space="0" w:color="auto"/>
              </w:divBdr>
            </w:div>
            <w:div w:id="573710270">
              <w:marLeft w:val="0"/>
              <w:marRight w:val="0"/>
              <w:marTop w:val="0"/>
              <w:marBottom w:val="0"/>
              <w:divBdr>
                <w:top w:val="none" w:sz="0" w:space="0" w:color="auto"/>
                <w:left w:val="none" w:sz="0" w:space="0" w:color="auto"/>
                <w:bottom w:val="none" w:sz="0" w:space="0" w:color="auto"/>
                <w:right w:val="none" w:sz="0" w:space="0" w:color="auto"/>
              </w:divBdr>
            </w:div>
            <w:div w:id="668023184">
              <w:marLeft w:val="0"/>
              <w:marRight w:val="0"/>
              <w:marTop w:val="0"/>
              <w:marBottom w:val="0"/>
              <w:divBdr>
                <w:top w:val="none" w:sz="0" w:space="0" w:color="auto"/>
                <w:left w:val="none" w:sz="0" w:space="0" w:color="auto"/>
                <w:bottom w:val="none" w:sz="0" w:space="0" w:color="auto"/>
                <w:right w:val="none" w:sz="0" w:space="0" w:color="auto"/>
              </w:divBdr>
            </w:div>
            <w:div w:id="757409809">
              <w:marLeft w:val="0"/>
              <w:marRight w:val="0"/>
              <w:marTop w:val="0"/>
              <w:marBottom w:val="0"/>
              <w:divBdr>
                <w:top w:val="none" w:sz="0" w:space="0" w:color="auto"/>
                <w:left w:val="none" w:sz="0" w:space="0" w:color="auto"/>
                <w:bottom w:val="none" w:sz="0" w:space="0" w:color="auto"/>
                <w:right w:val="none" w:sz="0" w:space="0" w:color="auto"/>
              </w:divBdr>
            </w:div>
            <w:div w:id="943195158">
              <w:marLeft w:val="0"/>
              <w:marRight w:val="0"/>
              <w:marTop w:val="0"/>
              <w:marBottom w:val="0"/>
              <w:divBdr>
                <w:top w:val="none" w:sz="0" w:space="0" w:color="auto"/>
                <w:left w:val="none" w:sz="0" w:space="0" w:color="auto"/>
                <w:bottom w:val="none" w:sz="0" w:space="0" w:color="auto"/>
                <w:right w:val="none" w:sz="0" w:space="0" w:color="auto"/>
              </w:divBdr>
            </w:div>
            <w:div w:id="1023941203">
              <w:marLeft w:val="0"/>
              <w:marRight w:val="0"/>
              <w:marTop w:val="0"/>
              <w:marBottom w:val="0"/>
              <w:divBdr>
                <w:top w:val="none" w:sz="0" w:space="0" w:color="auto"/>
                <w:left w:val="none" w:sz="0" w:space="0" w:color="auto"/>
                <w:bottom w:val="none" w:sz="0" w:space="0" w:color="auto"/>
                <w:right w:val="none" w:sz="0" w:space="0" w:color="auto"/>
              </w:divBdr>
            </w:div>
            <w:div w:id="1082994382">
              <w:marLeft w:val="0"/>
              <w:marRight w:val="0"/>
              <w:marTop w:val="0"/>
              <w:marBottom w:val="0"/>
              <w:divBdr>
                <w:top w:val="none" w:sz="0" w:space="0" w:color="auto"/>
                <w:left w:val="none" w:sz="0" w:space="0" w:color="auto"/>
                <w:bottom w:val="none" w:sz="0" w:space="0" w:color="auto"/>
                <w:right w:val="none" w:sz="0" w:space="0" w:color="auto"/>
              </w:divBdr>
            </w:div>
            <w:div w:id="1367220880">
              <w:marLeft w:val="0"/>
              <w:marRight w:val="0"/>
              <w:marTop w:val="0"/>
              <w:marBottom w:val="0"/>
              <w:divBdr>
                <w:top w:val="none" w:sz="0" w:space="0" w:color="auto"/>
                <w:left w:val="none" w:sz="0" w:space="0" w:color="auto"/>
                <w:bottom w:val="none" w:sz="0" w:space="0" w:color="auto"/>
                <w:right w:val="none" w:sz="0" w:space="0" w:color="auto"/>
              </w:divBdr>
            </w:div>
            <w:div w:id="2013484158">
              <w:marLeft w:val="0"/>
              <w:marRight w:val="0"/>
              <w:marTop w:val="0"/>
              <w:marBottom w:val="0"/>
              <w:divBdr>
                <w:top w:val="none" w:sz="0" w:space="0" w:color="auto"/>
                <w:left w:val="none" w:sz="0" w:space="0" w:color="auto"/>
                <w:bottom w:val="none" w:sz="0" w:space="0" w:color="auto"/>
                <w:right w:val="none" w:sz="0" w:space="0" w:color="auto"/>
              </w:divBdr>
            </w:div>
            <w:div w:id="2042970137">
              <w:marLeft w:val="0"/>
              <w:marRight w:val="0"/>
              <w:marTop w:val="0"/>
              <w:marBottom w:val="0"/>
              <w:divBdr>
                <w:top w:val="none" w:sz="0" w:space="0" w:color="auto"/>
                <w:left w:val="none" w:sz="0" w:space="0" w:color="auto"/>
                <w:bottom w:val="none" w:sz="0" w:space="0" w:color="auto"/>
                <w:right w:val="none" w:sz="0" w:space="0" w:color="auto"/>
              </w:divBdr>
            </w:div>
            <w:div w:id="2045865905">
              <w:marLeft w:val="0"/>
              <w:marRight w:val="0"/>
              <w:marTop w:val="0"/>
              <w:marBottom w:val="0"/>
              <w:divBdr>
                <w:top w:val="none" w:sz="0" w:space="0" w:color="auto"/>
                <w:left w:val="none" w:sz="0" w:space="0" w:color="auto"/>
                <w:bottom w:val="none" w:sz="0" w:space="0" w:color="auto"/>
                <w:right w:val="none" w:sz="0" w:space="0" w:color="auto"/>
              </w:divBdr>
            </w:div>
          </w:divsChild>
        </w:div>
        <w:div w:id="1961372019">
          <w:marLeft w:val="0"/>
          <w:marRight w:val="0"/>
          <w:marTop w:val="0"/>
          <w:marBottom w:val="0"/>
          <w:divBdr>
            <w:top w:val="none" w:sz="0" w:space="0" w:color="auto"/>
            <w:left w:val="none" w:sz="0" w:space="0" w:color="auto"/>
            <w:bottom w:val="none" w:sz="0" w:space="0" w:color="auto"/>
            <w:right w:val="none" w:sz="0" w:space="0" w:color="auto"/>
          </w:divBdr>
          <w:divsChild>
            <w:div w:id="217283590">
              <w:marLeft w:val="0"/>
              <w:marRight w:val="0"/>
              <w:marTop w:val="0"/>
              <w:marBottom w:val="0"/>
              <w:divBdr>
                <w:top w:val="none" w:sz="0" w:space="0" w:color="auto"/>
                <w:left w:val="none" w:sz="0" w:space="0" w:color="auto"/>
                <w:bottom w:val="none" w:sz="0" w:space="0" w:color="auto"/>
                <w:right w:val="none" w:sz="0" w:space="0" w:color="auto"/>
              </w:divBdr>
            </w:div>
            <w:div w:id="295335545">
              <w:marLeft w:val="0"/>
              <w:marRight w:val="0"/>
              <w:marTop w:val="0"/>
              <w:marBottom w:val="0"/>
              <w:divBdr>
                <w:top w:val="none" w:sz="0" w:space="0" w:color="auto"/>
                <w:left w:val="none" w:sz="0" w:space="0" w:color="auto"/>
                <w:bottom w:val="none" w:sz="0" w:space="0" w:color="auto"/>
                <w:right w:val="none" w:sz="0" w:space="0" w:color="auto"/>
              </w:divBdr>
            </w:div>
            <w:div w:id="309746343">
              <w:marLeft w:val="0"/>
              <w:marRight w:val="0"/>
              <w:marTop w:val="0"/>
              <w:marBottom w:val="0"/>
              <w:divBdr>
                <w:top w:val="none" w:sz="0" w:space="0" w:color="auto"/>
                <w:left w:val="none" w:sz="0" w:space="0" w:color="auto"/>
                <w:bottom w:val="none" w:sz="0" w:space="0" w:color="auto"/>
                <w:right w:val="none" w:sz="0" w:space="0" w:color="auto"/>
              </w:divBdr>
            </w:div>
            <w:div w:id="415708503">
              <w:marLeft w:val="0"/>
              <w:marRight w:val="0"/>
              <w:marTop w:val="0"/>
              <w:marBottom w:val="0"/>
              <w:divBdr>
                <w:top w:val="none" w:sz="0" w:space="0" w:color="auto"/>
                <w:left w:val="none" w:sz="0" w:space="0" w:color="auto"/>
                <w:bottom w:val="none" w:sz="0" w:space="0" w:color="auto"/>
                <w:right w:val="none" w:sz="0" w:space="0" w:color="auto"/>
              </w:divBdr>
            </w:div>
            <w:div w:id="577404802">
              <w:marLeft w:val="0"/>
              <w:marRight w:val="0"/>
              <w:marTop w:val="0"/>
              <w:marBottom w:val="0"/>
              <w:divBdr>
                <w:top w:val="none" w:sz="0" w:space="0" w:color="auto"/>
                <w:left w:val="none" w:sz="0" w:space="0" w:color="auto"/>
                <w:bottom w:val="none" w:sz="0" w:space="0" w:color="auto"/>
                <w:right w:val="none" w:sz="0" w:space="0" w:color="auto"/>
              </w:divBdr>
            </w:div>
            <w:div w:id="695930742">
              <w:marLeft w:val="0"/>
              <w:marRight w:val="0"/>
              <w:marTop w:val="0"/>
              <w:marBottom w:val="0"/>
              <w:divBdr>
                <w:top w:val="none" w:sz="0" w:space="0" w:color="auto"/>
                <w:left w:val="none" w:sz="0" w:space="0" w:color="auto"/>
                <w:bottom w:val="none" w:sz="0" w:space="0" w:color="auto"/>
                <w:right w:val="none" w:sz="0" w:space="0" w:color="auto"/>
              </w:divBdr>
            </w:div>
            <w:div w:id="792134011">
              <w:marLeft w:val="0"/>
              <w:marRight w:val="0"/>
              <w:marTop w:val="0"/>
              <w:marBottom w:val="0"/>
              <w:divBdr>
                <w:top w:val="none" w:sz="0" w:space="0" w:color="auto"/>
                <w:left w:val="none" w:sz="0" w:space="0" w:color="auto"/>
                <w:bottom w:val="none" w:sz="0" w:space="0" w:color="auto"/>
                <w:right w:val="none" w:sz="0" w:space="0" w:color="auto"/>
              </w:divBdr>
            </w:div>
            <w:div w:id="1173254298">
              <w:marLeft w:val="0"/>
              <w:marRight w:val="0"/>
              <w:marTop w:val="0"/>
              <w:marBottom w:val="0"/>
              <w:divBdr>
                <w:top w:val="none" w:sz="0" w:space="0" w:color="auto"/>
                <w:left w:val="none" w:sz="0" w:space="0" w:color="auto"/>
                <w:bottom w:val="none" w:sz="0" w:space="0" w:color="auto"/>
                <w:right w:val="none" w:sz="0" w:space="0" w:color="auto"/>
              </w:divBdr>
            </w:div>
            <w:div w:id="1186745679">
              <w:marLeft w:val="0"/>
              <w:marRight w:val="0"/>
              <w:marTop w:val="0"/>
              <w:marBottom w:val="0"/>
              <w:divBdr>
                <w:top w:val="none" w:sz="0" w:space="0" w:color="auto"/>
                <w:left w:val="none" w:sz="0" w:space="0" w:color="auto"/>
                <w:bottom w:val="none" w:sz="0" w:space="0" w:color="auto"/>
                <w:right w:val="none" w:sz="0" w:space="0" w:color="auto"/>
              </w:divBdr>
            </w:div>
            <w:div w:id="1246458525">
              <w:marLeft w:val="0"/>
              <w:marRight w:val="0"/>
              <w:marTop w:val="0"/>
              <w:marBottom w:val="0"/>
              <w:divBdr>
                <w:top w:val="none" w:sz="0" w:space="0" w:color="auto"/>
                <w:left w:val="none" w:sz="0" w:space="0" w:color="auto"/>
                <w:bottom w:val="none" w:sz="0" w:space="0" w:color="auto"/>
                <w:right w:val="none" w:sz="0" w:space="0" w:color="auto"/>
              </w:divBdr>
            </w:div>
            <w:div w:id="1294756149">
              <w:marLeft w:val="0"/>
              <w:marRight w:val="0"/>
              <w:marTop w:val="0"/>
              <w:marBottom w:val="0"/>
              <w:divBdr>
                <w:top w:val="none" w:sz="0" w:space="0" w:color="auto"/>
                <w:left w:val="none" w:sz="0" w:space="0" w:color="auto"/>
                <w:bottom w:val="none" w:sz="0" w:space="0" w:color="auto"/>
                <w:right w:val="none" w:sz="0" w:space="0" w:color="auto"/>
              </w:divBdr>
            </w:div>
            <w:div w:id="1423648511">
              <w:marLeft w:val="0"/>
              <w:marRight w:val="0"/>
              <w:marTop w:val="0"/>
              <w:marBottom w:val="0"/>
              <w:divBdr>
                <w:top w:val="none" w:sz="0" w:space="0" w:color="auto"/>
                <w:left w:val="none" w:sz="0" w:space="0" w:color="auto"/>
                <w:bottom w:val="none" w:sz="0" w:space="0" w:color="auto"/>
                <w:right w:val="none" w:sz="0" w:space="0" w:color="auto"/>
              </w:divBdr>
            </w:div>
            <w:div w:id="1454204681">
              <w:marLeft w:val="0"/>
              <w:marRight w:val="0"/>
              <w:marTop w:val="0"/>
              <w:marBottom w:val="0"/>
              <w:divBdr>
                <w:top w:val="none" w:sz="0" w:space="0" w:color="auto"/>
                <w:left w:val="none" w:sz="0" w:space="0" w:color="auto"/>
                <w:bottom w:val="none" w:sz="0" w:space="0" w:color="auto"/>
                <w:right w:val="none" w:sz="0" w:space="0" w:color="auto"/>
              </w:divBdr>
            </w:div>
            <w:div w:id="1609775839">
              <w:marLeft w:val="0"/>
              <w:marRight w:val="0"/>
              <w:marTop w:val="0"/>
              <w:marBottom w:val="0"/>
              <w:divBdr>
                <w:top w:val="none" w:sz="0" w:space="0" w:color="auto"/>
                <w:left w:val="none" w:sz="0" w:space="0" w:color="auto"/>
                <w:bottom w:val="none" w:sz="0" w:space="0" w:color="auto"/>
                <w:right w:val="none" w:sz="0" w:space="0" w:color="auto"/>
              </w:divBdr>
            </w:div>
            <w:div w:id="1610166348">
              <w:marLeft w:val="0"/>
              <w:marRight w:val="0"/>
              <w:marTop w:val="0"/>
              <w:marBottom w:val="0"/>
              <w:divBdr>
                <w:top w:val="none" w:sz="0" w:space="0" w:color="auto"/>
                <w:left w:val="none" w:sz="0" w:space="0" w:color="auto"/>
                <w:bottom w:val="none" w:sz="0" w:space="0" w:color="auto"/>
                <w:right w:val="none" w:sz="0" w:space="0" w:color="auto"/>
              </w:divBdr>
            </w:div>
            <w:div w:id="1664090587">
              <w:marLeft w:val="0"/>
              <w:marRight w:val="0"/>
              <w:marTop w:val="0"/>
              <w:marBottom w:val="0"/>
              <w:divBdr>
                <w:top w:val="none" w:sz="0" w:space="0" w:color="auto"/>
                <w:left w:val="none" w:sz="0" w:space="0" w:color="auto"/>
                <w:bottom w:val="none" w:sz="0" w:space="0" w:color="auto"/>
                <w:right w:val="none" w:sz="0" w:space="0" w:color="auto"/>
              </w:divBdr>
            </w:div>
            <w:div w:id="1691292436">
              <w:marLeft w:val="0"/>
              <w:marRight w:val="0"/>
              <w:marTop w:val="0"/>
              <w:marBottom w:val="0"/>
              <w:divBdr>
                <w:top w:val="none" w:sz="0" w:space="0" w:color="auto"/>
                <w:left w:val="none" w:sz="0" w:space="0" w:color="auto"/>
                <w:bottom w:val="none" w:sz="0" w:space="0" w:color="auto"/>
                <w:right w:val="none" w:sz="0" w:space="0" w:color="auto"/>
              </w:divBdr>
            </w:div>
            <w:div w:id="1707637881">
              <w:marLeft w:val="0"/>
              <w:marRight w:val="0"/>
              <w:marTop w:val="0"/>
              <w:marBottom w:val="0"/>
              <w:divBdr>
                <w:top w:val="none" w:sz="0" w:space="0" w:color="auto"/>
                <w:left w:val="none" w:sz="0" w:space="0" w:color="auto"/>
                <w:bottom w:val="none" w:sz="0" w:space="0" w:color="auto"/>
                <w:right w:val="none" w:sz="0" w:space="0" w:color="auto"/>
              </w:divBdr>
            </w:div>
            <w:div w:id="1782458111">
              <w:marLeft w:val="0"/>
              <w:marRight w:val="0"/>
              <w:marTop w:val="0"/>
              <w:marBottom w:val="0"/>
              <w:divBdr>
                <w:top w:val="none" w:sz="0" w:space="0" w:color="auto"/>
                <w:left w:val="none" w:sz="0" w:space="0" w:color="auto"/>
                <w:bottom w:val="none" w:sz="0" w:space="0" w:color="auto"/>
                <w:right w:val="none" w:sz="0" w:space="0" w:color="auto"/>
              </w:divBdr>
            </w:div>
            <w:div w:id="181247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96796">
      <w:bodyDiv w:val="1"/>
      <w:marLeft w:val="0"/>
      <w:marRight w:val="0"/>
      <w:marTop w:val="0"/>
      <w:marBottom w:val="0"/>
      <w:divBdr>
        <w:top w:val="none" w:sz="0" w:space="0" w:color="auto"/>
        <w:left w:val="none" w:sz="0" w:space="0" w:color="auto"/>
        <w:bottom w:val="none" w:sz="0" w:space="0" w:color="auto"/>
        <w:right w:val="none" w:sz="0" w:space="0" w:color="auto"/>
      </w:divBdr>
      <w:divsChild>
        <w:div w:id="963734914">
          <w:marLeft w:val="0"/>
          <w:marRight w:val="0"/>
          <w:marTop w:val="0"/>
          <w:marBottom w:val="0"/>
          <w:divBdr>
            <w:top w:val="none" w:sz="0" w:space="0" w:color="auto"/>
            <w:left w:val="none" w:sz="0" w:space="0" w:color="auto"/>
            <w:bottom w:val="none" w:sz="0" w:space="0" w:color="auto"/>
            <w:right w:val="none" w:sz="0" w:space="0" w:color="auto"/>
          </w:divBdr>
          <w:divsChild>
            <w:div w:id="156581280">
              <w:marLeft w:val="0"/>
              <w:marRight w:val="0"/>
              <w:marTop w:val="0"/>
              <w:marBottom w:val="0"/>
              <w:divBdr>
                <w:top w:val="none" w:sz="0" w:space="0" w:color="auto"/>
                <w:left w:val="none" w:sz="0" w:space="0" w:color="auto"/>
                <w:bottom w:val="none" w:sz="0" w:space="0" w:color="auto"/>
                <w:right w:val="none" w:sz="0" w:space="0" w:color="auto"/>
              </w:divBdr>
            </w:div>
            <w:div w:id="217714881">
              <w:marLeft w:val="0"/>
              <w:marRight w:val="0"/>
              <w:marTop w:val="0"/>
              <w:marBottom w:val="0"/>
              <w:divBdr>
                <w:top w:val="none" w:sz="0" w:space="0" w:color="auto"/>
                <w:left w:val="none" w:sz="0" w:space="0" w:color="auto"/>
                <w:bottom w:val="none" w:sz="0" w:space="0" w:color="auto"/>
                <w:right w:val="none" w:sz="0" w:space="0" w:color="auto"/>
              </w:divBdr>
            </w:div>
            <w:div w:id="541676470">
              <w:marLeft w:val="0"/>
              <w:marRight w:val="0"/>
              <w:marTop w:val="0"/>
              <w:marBottom w:val="0"/>
              <w:divBdr>
                <w:top w:val="none" w:sz="0" w:space="0" w:color="auto"/>
                <w:left w:val="none" w:sz="0" w:space="0" w:color="auto"/>
                <w:bottom w:val="none" w:sz="0" w:space="0" w:color="auto"/>
                <w:right w:val="none" w:sz="0" w:space="0" w:color="auto"/>
              </w:divBdr>
            </w:div>
            <w:div w:id="543519401">
              <w:marLeft w:val="0"/>
              <w:marRight w:val="0"/>
              <w:marTop w:val="0"/>
              <w:marBottom w:val="0"/>
              <w:divBdr>
                <w:top w:val="none" w:sz="0" w:space="0" w:color="auto"/>
                <w:left w:val="none" w:sz="0" w:space="0" w:color="auto"/>
                <w:bottom w:val="none" w:sz="0" w:space="0" w:color="auto"/>
                <w:right w:val="none" w:sz="0" w:space="0" w:color="auto"/>
              </w:divBdr>
            </w:div>
            <w:div w:id="710809087">
              <w:marLeft w:val="0"/>
              <w:marRight w:val="0"/>
              <w:marTop w:val="0"/>
              <w:marBottom w:val="0"/>
              <w:divBdr>
                <w:top w:val="none" w:sz="0" w:space="0" w:color="auto"/>
                <w:left w:val="none" w:sz="0" w:space="0" w:color="auto"/>
                <w:bottom w:val="none" w:sz="0" w:space="0" w:color="auto"/>
                <w:right w:val="none" w:sz="0" w:space="0" w:color="auto"/>
              </w:divBdr>
            </w:div>
            <w:div w:id="1145901205">
              <w:marLeft w:val="0"/>
              <w:marRight w:val="0"/>
              <w:marTop w:val="0"/>
              <w:marBottom w:val="0"/>
              <w:divBdr>
                <w:top w:val="none" w:sz="0" w:space="0" w:color="auto"/>
                <w:left w:val="none" w:sz="0" w:space="0" w:color="auto"/>
                <w:bottom w:val="none" w:sz="0" w:space="0" w:color="auto"/>
                <w:right w:val="none" w:sz="0" w:space="0" w:color="auto"/>
              </w:divBdr>
            </w:div>
            <w:div w:id="1341588290">
              <w:marLeft w:val="0"/>
              <w:marRight w:val="0"/>
              <w:marTop w:val="0"/>
              <w:marBottom w:val="0"/>
              <w:divBdr>
                <w:top w:val="none" w:sz="0" w:space="0" w:color="auto"/>
                <w:left w:val="none" w:sz="0" w:space="0" w:color="auto"/>
                <w:bottom w:val="none" w:sz="0" w:space="0" w:color="auto"/>
                <w:right w:val="none" w:sz="0" w:space="0" w:color="auto"/>
              </w:divBdr>
            </w:div>
            <w:div w:id="1423524354">
              <w:marLeft w:val="0"/>
              <w:marRight w:val="0"/>
              <w:marTop w:val="0"/>
              <w:marBottom w:val="0"/>
              <w:divBdr>
                <w:top w:val="none" w:sz="0" w:space="0" w:color="auto"/>
                <w:left w:val="none" w:sz="0" w:space="0" w:color="auto"/>
                <w:bottom w:val="none" w:sz="0" w:space="0" w:color="auto"/>
                <w:right w:val="none" w:sz="0" w:space="0" w:color="auto"/>
              </w:divBdr>
            </w:div>
            <w:div w:id="1717895590">
              <w:marLeft w:val="0"/>
              <w:marRight w:val="0"/>
              <w:marTop w:val="0"/>
              <w:marBottom w:val="0"/>
              <w:divBdr>
                <w:top w:val="none" w:sz="0" w:space="0" w:color="auto"/>
                <w:left w:val="none" w:sz="0" w:space="0" w:color="auto"/>
                <w:bottom w:val="none" w:sz="0" w:space="0" w:color="auto"/>
                <w:right w:val="none" w:sz="0" w:space="0" w:color="auto"/>
              </w:divBdr>
            </w:div>
            <w:div w:id="1791363413">
              <w:marLeft w:val="0"/>
              <w:marRight w:val="0"/>
              <w:marTop w:val="0"/>
              <w:marBottom w:val="0"/>
              <w:divBdr>
                <w:top w:val="none" w:sz="0" w:space="0" w:color="auto"/>
                <w:left w:val="none" w:sz="0" w:space="0" w:color="auto"/>
                <w:bottom w:val="none" w:sz="0" w:space="0" w:color="auto"/>
                <w:right w:val="none" w:sz="0" w:space="0" w:color="auto"/>
              </w:divBdr>
            </w:div>
            <w:div w:id="2093890663">
              <w:marLeft w:val="0"/>
              <w:marRight w:val="0"/>
              <w:marTop w:val="0"/>
              <w:marBottom w:val="0"/>
              <w:divBdr>
                <w:top w:val="none" w:sz="0" w:space="0" w:color="auto"/>
                <w:left w:val="none" w:sz="0" w:space="0" w:color="auto"/>
                <w:bottom w:val="none" w:sz="0" w:space="0" w:color="auto"/>
                <w:right w:val="none" w:sz="0" w:space="0" w:color="auto"/>
              </w:divBdr>
            </w:div>
          </w:divsChild>
        </w:div>
        <w:div w:id="1183856726">
          <w:marLeft w:val="0"/>
          <w:marRight w:val="0"/>
          <w:marTop w:val="0"/>
          <w:marBottom w:val="0"/>
          <w:divBdr>
            <w:top w:val="none" w:sz="0" w:space="0" w:color="auto"/>
            <w:left w:val="none" w:sz="0" w:space="0" w:color="auto"/>
            <w:bottom w:val="none" w:sz="0" w:space="0" w:color="auto"/>
            <w:right w:val="none" w:sz="0" w:space="0" w:color="auto"/>
          </w:divBdr>
          <w:divsChild>
            <w:div w:id="667779">
              <w:marLeft w:val="0"/>
              <w:marRight w:val="0"/>
              <w:marTop w:val="0"/>
              <w:marBottom w:val="0"/>
              <w:divBdr>
                <w:top w:val="none" w:sz="0" w:space="0" w:color="auto"/>
                <w:left w:val="none" w:sz="0" w:space="0" w:color="auto"/>
                <w:bottom w:val="none" w:sz="0" w:space="0" w:color="auto"/>
                <w:right w:val="none" w:sz="0" w:space="0" w:color="auto"/>
              </w:divBdr>
            </w:div>
            <w:div w:id="139076623">
              <w:marLeft w:val="0"/>
              <w:marRight w:val="0"/>
              <w:marTop w:val="0"/>
              <w:marBottom w:val="0"/>
              <w:divBdr>
                <w:top w:val="none" w:sz="0" w:space="0" w:color="auto"/>
                <w:left w:val="none" w:sz="0" w:space="0" w:color="auto"/>
                <w:bottom w:val="none" w:sz="0" w:space="0" w:color="auto"/>
                <w:right w:val="none" w:sz="0" w:space="0" w:color="auto"/>
              </w:divBdr>
            </w:div>
            <w:div w:id="168908394">
              <w:marLeft w:val="0"/>
              <w:marRight w:val="0"/>
              <w:marTop w:val="0"/>
              <w:marBottom w:val="0"/>
              <w:divBdr>
                <w:top w:val="none" w:sz="0" w:space="0" w:color="auto"/>
                <w:left w:val="none" w:sz="0" w:space="0" w:color="auto"/>
                <w:bottom w:val="none" w:sz="0" w:space="0" w:color="auto"/>
                <w:right w:val="none" w:sz="0" w:space="0" w:color="auto"/>
              </w:divBdr>
            </w:div>
            <w:div w:id="490685428">
              <w:marLeft w:val="0"/>
              <w:marRight w:val="0"/>
              <w:marTop w:val="0"/>
              <w:marBottom w:val="0"/>
              <w:divBdr>
                <w:top w:val="none" w:sz="0" w:space="0" w:color="auto"/>
                <w:left w:val="none" w:sz="0" w:space="0" w:color="auto"/>
                <w:bottom w:val="none" w:sz="0" w:space="0" w:color="auto"/>
                <w:right w:val="none" w:sz="0" w:space="0" w:color="auto"/>
              </w:divBdr>
            </w:div>
            <w:div w:id="492066143">
              <w:marLeft w:val="0"/>
              <w:marRight w:val="0"/>
              <w:marTop w:val="0"/>
              <w:marBottom w:val="0"/>
              <w:divBdr>
                <w:top w:val="none" w:sz="0" w:space="0" w:color="auto"/>
                <w:left w:val="none" w:sz="0" w:space="0" w:color="auto"/>
                <w:bottom w:val="none" w:sz="0" w:space="0" w:color="auto"/>
                <w:right w:val="none" w:sz="0" w:space="0" w:color="auto"/>
              </w:divBdr>
            </w:div>
            <w:div w:id="809790279">
              <w:marLeft w:val="0"/>
              <w:marRight w:val="0"/>
              <w:marTop w:val="0"/>
              <w:marBottom w:val="0"/>
              <w:divBdr>
                <w:top w:val="none" w:sz="0" w:space="0" w:color="auto"/>
                <w:left w:val="none" w:sz="0" w:space="0" w:color="auto"/>
                <w:bottom w:val="none" w:sz="0" w:space="0" w:color="auto"/>
                <w:right w:val="none" w:sz="0" w:space="0" w:color="auto"/>
              </w:divBdr>
            </w:div>
            <w:div w:id="817501409">
              <w:marLeft w:val="0"/>
              <w:marRight w:val="0"/>
              <w:marTop w:val="0"/>
              <w:marBottom w:val="0"/>
              <w:divBdr>
                <w:top w:val="none" w:sz="0" w:space="0" w:color="auto"/>
                <w:left w:val="none" w:sz="0" w:space="0" w:color="auto"/>
                <w:bottom w:val="none" w:sz="0" w:space="0" w:color="auto"/>
                <w:right w:val="none" w:sz="0" w:space="0" w:color="auto"/>
              </w:divBdr>
            </w:div>
            <w:div w:id="859123168">
              <w:marLeft w:val="0"/>
              <w:marRight w:val="0"/>
              <w:marTop w:val="0"/>
              <w:marBottom w:val="0"/>
              <w:divBdr>
                <w:top w:val="none" w:sz="0" w:space="0" w:color="auto"/>
                <w:left w:val="none" w:sz="0" w:space="0" w:color="auto"/>
                <w:bottom w:val="none" w:sz="0" w:space="0" w:color="auto"/>
                <w:right w:val="none" w:sz="0" w:space="0" w:color="auto"/>
              </w:divBdr>
            </w:div>
            <w:div w:id="879245163">
              <w:marLeft w:val="0"/>
              <w:marRight w:val="0"/>
              <w:marTop w:val="0"/>
              <w:marBottom w:val="0"/>
              <w:divBdr>
                <w:top w:val="none" w:sz="0" w:space="0" w:color="auto"/>
                <w:left w:val="none" w:sz="0" w:space="0" w:color="auto"/>
                <w:bottom w:val="none" w:sz="0" w:space="0" w:color="auto"/>
                <w:right w:val="none" w:sz="0" w:space="0" w:color="auto"/>
              </w:divBdr>
            </w:div>
            <w:div w:id="888765823">
              <w:marLeft w:val="0"/>
              <w:marRight w:val="0"/>
              <w:marTop w:val="0"/>
              <w:marBottom w:val="0"/>
              <w:divBdr>
                <w:top w:val="none" w:sz="0" w:space="0" w:color="auto"/>
                <w:left w:val="none" w:sz="0" w:space="0" w:color="auto"/>
                <w:bottom w:val="none" w:sz="0" w:space="0" w:color="auto"/>
                <w:right w:val="none" w:sz="0" w:space="0" w:color="auto"/>
              </w:divBdr>
            </w:div>
            <w:div w:id="1631864940">
              <w:marLeft w:val="0"/>
              <w:marRight w:val="0"/>
              <w:marTop w:val="0"/>
              <w:marBottom w:val="0"/>
              <w:divBdr>
                <w:top w:val="none" w:sz="0" w:space="0" w:color="auto"/>
                <w:left w:val="none" w:sz="0" w:space="0" w:color="auto"/>
                <w:bottom w:val="none" w:sz="0" w:space="0" w:color="auto"/>
                <w:right w:val="none" w:sz="0" w:space="0" w:color="auto"/>
              </w:divBdr>
            </w:div>
            <w:div w:id="1796484028">
              <w:marLeft w:val="0"/>
              <w:marRight w:val="0"/>
              <w:marTop w:val="0"/>
              <w:marBottom w:val="0"/>
              <w:divBdr>
                <w:top w:val="none" w:sz="0" w:space="0" w:color="auto"/>
                <w:left w:val="none" w:sz="0" w:space="0" w:color="auto"/>
                <w:bottom w:val="none" w:sz="0" w:space="0" w:color="auto"/>
                <w:right w:val="none" w:sz="0" w:space="0" w:color="auto"/>
              </w:divBdr>
            </w:div>
            <w:div w:id="1913856662">
              <w:marLeft w:val="0"/>
              <w:marRight w:val="0"/>
              <w:marTop w:val="0"/>
              <w:marBottom w:val="0"/>
              <w:divBdr>
                <w:top w:val="none" w:sz="0" w:space="0" w:color="auto"/>
                <w:left w:val="none" w:sz="0" w:space="0" w:color="auto"/>
                <w:bottom w:val="none" w:sz="0" w:space="0" w:color="auto"/>
                <w:right w:val="none" w:sz="0" w:space="0" w:color="auto"/>
              </w:divBdr>
            </w:div>
            <w:div w:id="1927377048">
              <w:marLeft w:val="0"/>
              <w:marRight w:val="0"/>
              <w:marTop w:val="0"/>
              <w:marBottom w:val="0"/>
              <w:divBdr>
                <w:top w:val="none" w:sz="0" w:space="0" w:color="auto"/>
                <w:left w:val="none" w:sz="0" w:space="0" w:color="auto"/>
                <w:bottom w:val="none" w:sz="0" w:space="0" w:color="auto"/>
                <w:right w:val="none" w:sz="0" w:space="0" w:color="auto"/>
              </w:divBdr>
            </w:div>
          </w:divsChild>
        </w:div>
        <w:div w:id="1928030296">
          <w:marLeft w:val="0"/>
          <w:marRight w:val="0"/>
          <w:marTop w:val="0"/>
          <w:marBottom w:val="0"/>
          <w:divBdr>
            <w:top w:val="none" w:sz="0" w:space="0" w:color="auto"/>
            <w:left w:val="none" w:sz="0" w:space="0" w:color="auto"/>
            <w:bottom w:val="none" w:sz="0" w:space="0" w:color="auto"/>
            <w:right w:val="none" w:sz="0" w:space="0" w:color="auto"/>
          </w:divBdr>
          <w:divsChild>
            <w:div w:id="59639768">
              <w:marLeft w:val="0"/>
              <w:marRight w:val="0"/>
              <w:marTop w:val="0"/>
              <w:marBottom w:val="0"/>
              <w:divBdr>
                <w:top w:val="none" w:sz="0" w:space="0" w:color="auto"/>
                <w:left w:val="none" w:sz="0" w:space="0" w:color="auto"/>
                <w:bottom w:val="none" w:sz="0" w:space="0" w:color="auto"/>
                <w:right w:val="none" w:sz="0" w:space="0" w:color="auto"/>
              </w:divBdr>
            </w:div>
            <w:div w:id="169292890">
              <w:marLeft w:val="0"/>
              <w:marRight w:val="0"/>
              <w:marTop w:val="0"/>
              <w:marBottom w:val="0"/>
              <w:divBdr>
                <w:top w:val="none" w:sz="0" w:space="0" w:color="auto"/>
                <w:left w:val="none" w:sz="0" w:space="0" w:color="auto"/>
                <w:bottom w:val="none" w:sz="0" w:space="0" w:color="auto"/>
                <w:right w:val="none" w:sz="0" w:space="0" w:color="auto"/>
              </w:divBdr>
            </w:div>
            <w:div w:id="260728356">
              <w:marLeft w:val="0"/>
              <w:marRight w:val="0"/>
              <w:marTop w:val="0"/>
              <w:marBottom w:val="0"/>
              <w:divBdr>
                <w:top w:val="none" w:sz="0" w:space="0" w:color="auto"/>
                <w:left w:val="none" w:sz="0" w:space="0" w:color="auto"/>
                <w:bottom w:val="none" w:sz="0" w:space="0" w:color="auto"/>
                <w:right w:val="none" w:sz="0" w:space="0" w:color="auto"/>
              </w:divBdr>
            </w:div>
            <w:div w:id="493647149">
              <w:marLeft w:val="0"/>
              <w:marRight w:val="0"/>
              <w:marTop w:val="0"/>
              <w:marBottom w:val="0"/>
              <w:divBdr>
                <w:top w:val="none" w:sz="0" w:space="0" w:color="auto"/>
                <w:left w:val="none" w:sz="0" w:space="0" w:color="auto"/>
                <w:bottom w:val="none" w:sz="0" w:space="0" w:color="auto"/>
                <w:right w:val="none" w:sz="0" w:space="0" w:color="auto"/>
              </w:divBdr>
            </w:div>
            <w:div w:id="514464231">
              <w:marLeft w:val="0"/>
              <w:marRight w:val="0"/>
              <w:marTop w:val="0"/>
              <w:marBottom w:val="0"/>
              <w:divBdr>
                <w:top w:val="none" w:sz="0" w:space="0" w:color="auto"/>
                <w:left w:val="none" w:sz="0" w:space="0" w:color="auto"/>
                <w:bottom w:val="none" w:sz="0" w:space="0" w:color="auto"/>
                <w:right w:val="none" w:sz="0" w:space="0" w:color="auto"/>
              </w:divBdr>
            </w:div>
            <w:div w:id="609164947">
              <w:marLeft w:val="0"/>
              <w:marRight w:val="0"/>
              <w:marTop w:val="0"/>
              <w:marBottom w:val="0"/>
              <w:divBdr>
                <w:top w:val="none" w:sz="0" w:space="0" w:color="auto"/>
                <w:left w:val="none" w:sz="0" w:space="0" w:color="auto"/>
                <w:bottom w:val="none" w:sz="0" w:space="0" w:color="auto"/>
                <w:right w:val="none" w:sz="0" w:space="0" w:color="auto"/>
              </w:divBdr>
            </w:div>
            <w:div w:id="696276680">
              <w:marLeft w:val="0"/>
              <w:marRight w:val="0"/>
              <w:marTop w:val="0"/>
              <w:marBottom w:val="0"/>
              <w:divBdr>
                <w:top w:val="none" w:sz="0" w:space="0" w:color="auto"/>
                <w:left w:val="none" w:sz="0" w:space="0" w:color="auto"/>
                <w:bottom w:val="none" w:sz="0" w:space="0" w:color="auto"/>
                <w:right w:val="none" w:sz="0" w:space="0" w:color="auto"/>
              </w:divBdr>
            </w:div>
            <w:div w:id="696471893">
              <w:marLeft w:val="0"/>
              <w:marRight w:val="0"/>
              <w:marTop w:val="0"/>
              <w:marBottom w:val="0"/>
              <w:divBdr>
                <w:top w:val="none" w:sz="0" w:space="0" w:color="auto"/>
                <w:left w:val="none" w:sz="0" w:space="0" w:color="auto"/>
                <w:bottom w:val="none" w:sz="0" w:space="0" w:color="auto"/>
                <w:right w:val="none" w:sz="0" w:space="0" w:color="auto"/>
              </w:divBdr>
            </w:div>
            <w:div w:id="889536024">
              <w:marLeft w:val="0"/>
              <w:marRight w:val="0"/>
              <w:marTop w:val="0"/>
              <w:marBottom w:val="0"/>
              <w:divBdr>
                <w:top w:val="none" w:sz="0" w:space="0" w:color="auto"/>
                <w:left w:val="none" w:sz="0" w:space="0" w:color="auto"/>
                <w:bottom w:val="none" w:sz="0" w:space="0" w:color="auto"/>
                <w:right w:val="none" w:sz="0" w:space="0" w:color="auto"/>
              </w:divBdr>
            </w:div>
            <w:div w:id="967861171">
              <w:marLeft w:val="0"/>
              <w:marRight w:val="0"/>
              <w:marTop w:val="0"/>
              <w:marBottom w:val="0"/>
              <w:divBdr>
                <w:top w:val="none" w:sz="0" w:space="0" w:color="auto"/>
                <w:left w:val="none" w:sz="0" w:space="0" w:color="auto"/>
                <w:bottom w:val="none" w:sz="0" w:space="0" w:color="auto"/>
                <w:right w:val="none" w:sz="0" w:space="0" w:color="auto"/>
              </w:divBdr>
            </w:div>
            <w:div w:id="1030493968">
              <w:marLeft w:val="0"/>
              <w:marRight w:val="0"/>
              <w:marTop w:val="0"/>
              <w:marBottom w:val="0"/>
              <w:divBdr>
                <w:top w:val="none" w:sz="0" w:space="0" w:color="auto"/>
                <w:left w:val="none" w:sz="0" w:space="0" w:color="auto"/>
                <w:bottom w:val="none" w:sz="0" w:space="0" w:color="auto"/>
                <w:right w:val="none" w:sz="0" w:space="0" w:color="auto"/>
              </w:divBdr>
            </w:div>
            <w:div w:id="1162769544">
              <w:marLeft w:val="0"/>
              <w:marRight w:val="0"/>
              <w:marTop w:val="0"/>
              <w:marBottom w:val="0"/>
              <w:divBdr>
                <w:top w:val="none" w:sz="0" w:space="0" w:color="auto"/>
                <w:left w:val="none" w:sz="0" w:space="0" w:color="auto"/>
                <w:bottom w:val="none" w:sz="0" w:space="0" w:color="auto"/>
                <w:right w:val="none" w:sz="0" w:space="0" w:color="auto"/>
              </w:divBdr>
            </w:div>
            <w:div w:id="1304849560">
              <w:marLeft w:val="0"/>
              <w:marRight w:val="0"/>
              <w:marTop w:val="0"/>
              <w:marBottom w:val="0"/>
              <w:divBdr>
                <w:top w:val="none" w:sz="0" w:space="0" w:color="auto"/>
                <w:left w:val="none" w:sz="0" w:space="0" w:color="auto"/>
                <w:bottom w:val="none" w:sz="0" w:space="0" w:color="auto"/>
                <w:right w:val="none" w:sz="0" w:space="0" w:color="auto"/>
              </w:divBdr>
            </w:div>
            <w:div w:id="1398934186">
              <w:marLeft w:val="0"/>
              <w:marRight w:val="0"/>
              <w:marTop w:val="0"/>
              <w:marBottom w:val="0"/>
              <w:divBdr>
                <w:top w:val="none" w:sz="0" w:space="0" w:color="auto"/>
                <w:left w:val="none" w:sz="0" w:space="0" w:color="auto"/>
                <w:bottom w:val="none" w:sz="0" w:space="0" w:color="auto"/>
                <w:right w:val="none" w:sz="0" w:space="0" w:color="auto"/>
              </w:divBdr>
            </w:div>
            <w:div w:id="1447773103">
              <w:marLeft w:val="0"/>
              <w:marRight w:val="0"/>
              <w:marTop w:val="0"/>
              <w:marBottom w:val="0"/>
              <w:divBdr>
                <w:top w:val="none" w:sz="0" w:space="0" w:color="auto"/>
                <w:left w:val="none" w:sz="0" w:space="0" w:color="auto"/>
                <w:bottom w:val="none" w:sz="0" w:space="0" w:color="auto"/>
                <w:right w:val="none" w:sz="0" w:space="0" w:color="auto"/>
              </w:divBdr>
            </w:div>
            <w:div w:id="1616214656">
              <w:marLeft w:val="0"/>
              <w:marRight w:val="0"/>
              <w:marTop w:val="0"/>
              <w:marBottom w:val="0"/>
              <w:divBdr>
                <w:top w:val="none" w:sz="0" w:space="0" w:color="auto"/>
                <w:left w:val="none" w:sz="0" w:space="0" w:color="auto"/>
                <w:bottom w:val="none" w:sz="0" w:space="0" w:color="auto"/>
                <w:right w:val="none" w:sz="0" w:space="0" w:color="auto"/>
              </w:divBdr>
            </w:div>
            <w:div w:id="1739743646">
              <w:marLeft w:val="0"/>
              <w:marRight w:val="0"/>
              <w:marTop w:val="0"/>
              <w:marBottom w:val="0"/>
              <w:divBdr>
                <w:top w:val="none" w:sz="0" w:space="0" w:color="auto"/>
                <w:left w:val="none" w:sz="0" w:space="0" w:color="auto"/>
                <w:bottom w:val="none" w:sz="0" w:space="0" w:color="auto"/>
                <w:right w:val="none" w:sz="0" w:space="0" w:color="auto"/>
              </w:divBdr>
            </w:div>
            <w:div w:id="1834833672">
              <w:marLeft w:val="0"/>
              <w:marRight w:val="0"/>
              <w:marTop w:val="0"/>
              <w:marBottom w:val="0"/>
              <w:divBdr>
                <w:top w:val="none" w:sz="0" w:space="0" w:color="auto"/>
                <w:left w:val="none" w:sz="0" w:space="0" w:color="auto"/>
                <w:bottom w:val="none" w:sz="0" w:space="0" w:color="auto"/>
                <w:right w:val="none" w:sz="0" w:space="0" w:color="auto"/>
              </w:divBdr>
            </w:div>
            <w:div w:id="1979458245">
              <w:marLeft w:val="0"/>
              <w:marRight w:val="0"/>
              <w:marTop w:val="0"/>
              <w:marBottom w:val="0"/>
              <w:divBdr>
                <w:top w:val="none" w:sz="0" w:space="0" w:color="auto"/>
                <w:left w:val="none" w:sz="0" w:space="0" w:color="auto"/>
                <w:bottom w:val="none" w:sz="0" w:space="0" w:color="auto"/>
                <w:right w:val="none" w:sz="0" w:space="0" w:color="auto"/>
              </w:divBdr>
            </w:div>
            <w:div w:id="20403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4971">
      <w:bodyDiv w:val="1"/>
      <w:marLeft w:val="0"/>
      <w:marRight w:val="0"/>
      <w:marTop w:val="0"/>
      <w:marBottom w:val="0"/>
      <w:divBdr>
        <w:top w:val="none" w:sz="0" w:space="0" w:color="auto"/>
        <w:left w:val="none" w:sz="0" w:space="0" w:color="auto"/>
        <w:bottom w:val="none" w:sz="0" w:space="0" w:color="auto"/>
        <w:right w:val="none" w:sz="0" w:space="0" w:color="auto"/>
      </w:divBdr>
    </w:div>
    <w:div w:id="1477837817">
      <w:bodyDiv w:val="1"/>
      <w:marLeft w:val="0"/>
      <w:marRight w:val="0"/>
      <w:marTop w:val="0"/>
      <w:marBottom w:val="0"/>
      <w:divBdr>
        <w:top w:val="none" w:sz="0" w:space="0" w:color="auto"/>
        <w:left w:val="none" w:sz="0" w:space="0" w:color="auto"/>
        <w:bottom w:val="none" w:sz="0" w:space="0" w:color="auto"/>
        <w:right w:val="none" w:sz="0" w:space="0" w:color="auto"/>
      </w:divBdr>
    </w:div>
    <w:div w:id="1491562582">
      <w:bodyDiv w:val="1"/>
      <w:marLeft w:val="0"/>
      <w:marRight w:val="0"/>
      <w:marTop w:val="0"/>
      <w:marBottom w:val="0"/>
      <w:divBdr>
        <w:top w:val="none" w:sz="0" w:space="0" w:color="auto"/>
        <w:left w:val="none" w:sz="0" w:space="0" w:color="auto"/>
        <w:bottom w:val="none" w:sz="0" w:space="0" w:color="auto"/>
        <w:right w:val="none" w:sz="0" w:space="0" w:color="auto"/>
      </w:divBdr>
    </w:div>
    <w:div w:id="1508862706">
      <w:bodyDiv w:val="1"/>
      <w:marLeft w:val="0"/>
      <w:marRight w:val="0"/>
      <w:marTop w:val="0"/>
      <w:marBottom w:val="0"/>
      <w:divBdr>
        <w:top w:val="none" w:sz="0" w:space="0" w:color="auto"/>
        <w:left w:val="none" w:sz="0" w:space="0" w:color="auto"/>
        <w:bottom w:val="none" w:sz="0" w:space="0" w:color="auto"/>
        <w:right w:val="none" w:sz="0" w:space="0" w:color="auto"/>
      </w:divBdr>
    </w:div>
    <w:div w:id="1525828488">
      <w:bodyDiv w:val="1"/>
      <w:marLeft w:val="0"/>
      <w:marRight w:val="0"/>
      <w:marTop w:val="0"/>
      <w:marBottom w:val="0"/>
      <w:divBdr>
        <w:top w:val="none" w:sz="0" w:space="0" w:color="auto"/>
        <w:left w:val="none" w:sz="0" w:space="0" w:color="auto"/>
        <w:bottom w:val="none" w:sz="0" w:space="0" w:color="auto"/>
        <w:right w:val="none" w:sz="0" w:space="0" w:color="auto"/>
      </w:divBdr>
    </w:div>
    <w:div w:id="1623851600">
      <w:bodyDiv w:val="1"/>
      <w:marLeft w:val="0"/>
      <w:marRight w:val="0"/>
      <w:marTop w:val="0"/>
      <w:marBottom w:val="0"/>
      <w:divBdr>
        <w:top w:val="none" w:sz="0" w:space="0" w:color="auto"/>
        <w:left w:val="none" w:sz="0" w:space="0" w:color="auto"/>
        <w:bottom w:val="none" w:sz="0" w:space="0" w:color="auto"/>
        <w:right w:val="none" w:sz="0" w:space="0" w:color="auto"/>
      </w:divBdr>
      <w:divsChild>
        <w:div w:id="741677757">
          <w:marLeft w:val="0"/>
          <w:marRight w:val="0"/>
          <w:marTop w:val="0"/>
          <w:marBottom w:val="0"/>
          <w:divBdr>
            <w:top w:val="none" w:sz="0" w:space="0" w:color="auto"/>
            <w:left w:val="none" w:sz="0" w:space="0" w:color="auto"/>
            <w:bottom w:val="none" w:sz="0" w:space="0" w:color="auto"/>
            <w:right w:val="none" w:sz="0" w:space="0" w:color="auto"/>
          </w:divBdr>
        </w:div>
        <w:div w:id="1955668298">
          <w:marLeft w:val="0"/>
          <w:marRight w:val="0"/>
          <w:marTop w:val="0"/>
          <w:marBottom w:val="0"/>
          <w:divBdr>
            <w:top w:val="none" w:sz="0" w:space="0" w:color="auto"/>
            <w:left w:val="none" w:sz="0" w:space="0" w:color="auto"/>
            <w:bottom w:val="none" w:sz="0" w:space="0" w:color="auto"/>
            <w:right w:val="none" w:sz="0" w:space="0" w:color="auto"/>
          </w:divBdr>
        </w:div>
      </w:divsChild>
    </w:div>
    <w:div w:id="1640066550">
      <w:bodyDiv w:val="1"/>
      <w:marLeft w:val="0"/>
      <w:marRight w:val="0"/>
      <w:marTop w:val="0"/>
      <w:marBottom w:val="0"/>
      <w:divBdr>
        <w:top w:val="none" w:sz="0" w:space="0" w:color="auto"/>
        <w:left w:val="none" w:sz="0" w:space="0" w:color="auto"/>
        <w:bottom w:val="none" w:sz="0" w:space="0" w:color="auto"/>
        <w:right w:val="none" w:sz="0" w:space="0" w:color="auto"/>
      </w:divBdr>
    </w:div>
    <w:div w:id="1690528310">
      <w:bodyDiv w:val="1"/>
      <w:marLeft w:val="0"/>
      <w:marRight w:val="0"/>
      <w:marTop w:val="0"/>
      <w:marBottom w:val="0"/>
      <w:divBdr>
        <w:top w:val="none" w:sz="0" w:space="0" w:color="auto"/>
        <w:left w:val="none" w:sz="0" w:space="0" w:color="auto"/>
        <w:bottom w:val="none" w:sz="0" w:space="0" w:color="auto"/>
        <w:right w:val="none" w:sz="0" w:space="0" w:color="auto"/>
      </w:divBdr>
    </w:div>
    <w:div w:id="1694308825">
      <w:bodyDiv w:val="1"/>
      <w:marLeft w:val="0"/>
      <w:marRight w:val="0"/>
      <w:marTop w:val="0"/>
      <w:marBottom w:val="0"/>
      <w:divBdr>
        <w:top w:val="none" w:sz="0" w:space="0" w:color="auto"/>
        <w:left w:val="none" w:sz="0" w:space="0" w:color="auto"/>
        <w:bottom w:val="none" w:sz="0" w:space="0" w:color="auto"/>
        <w:right w:val="none" w:sz="0" w:space="0" w:color="auto"/>
      </w:divBdr>
    </w:div>
    <w:div w:id="1843886114">
      <w:bodyDiv w:val="1"/>
      <w:marLeft w:val="0"/>
      <w:marRight w:val="0"/>
      <w:marTop w:val="0"/>
      <w:marBottom w:val="0"/>
      <w:divBdr>
        <w:top w:val="none" w:sz="0" w:space="0" w:color="auto"/>
        <w:left w:val="none" w:sz="0" w:space="0" w:color="auto"/>
        <w:bottom w:val="none" w:sz="0" w:space="0" w:color="auto"/>
        <w:right w:val="none" w:sz="0" w:space="0" w:color="auto"/>
      </w:divBdr>
    </w:div>
    <w:div w:id="1896891418">
      <w:bodyDiv w:val="1"/>
      <w:marLeft w:val="0"/>
      <w:marRight w:val="0"/>
      <w:marTop w:val="0"/>
      <w:marBottom w:val="0"/>
      <w:divBdr>
        <w:top w:val="none" w:sz="0" w:space="0" w:color="auto"/>
        <w:left w:val="none" w:sz="0" w:space="0" w:color="auto"/>
        <w:bottom w:val="none" w:sz="0" w:space="0" w:color="auto"/>
        <w:right w:val="none" w:sz="0" w:space="0" w:color="auto"/>
      </w:divBdr>
    </w:div>
    <w:div w:id="1900902253">
      <w:bodyDiv w:val="1"/>
      <w:marLeft w:val="0"/>
      <w:marRight w:val="0"/>
      <w:marTop w:val="0"/>
      <w:marBottom w:val="0"/>
      <w:divBdr>
        <w:top w:val="none" w:sz="0" w:space="0" w:color="auto"/>
        <w:left w:val="none" w:sz="0" w:space="0" w:color="auto"/>
        <w:bottom w:val="none" w:sz="0" w:space="0" w:color="auto"/>
        <w:right w:val="none" w:sz="0" w:space="0" w:color="auto"/>
      </w:divBdr>
      <w:divsChild>
        <w:div w:id="1082029004">
          <w:marLeft w:val="0"/>
          <w:marRight w:val="0"/>
          <w:marTop w:val="0"/>
          <w:marBottom w:val="0"/>
          <w:divBdr>
            <w:top w:val="none" w:sz="0" w:space="0" w:color="auto"/>
            <w:left w:val="none" w:sz="0" w:space="0" w:color="auto"/>
            <w:bottom w:val="none" w:sz="0" w:space="0" w:color="auto"/>
            <w:right w:val="none" w:sz="0" w:space="0" w:color="auto"/>
          </w:divBdr>
          <w:divsChild>
            <w:div w:id="782923222">
              <w:marLeft w:val="0"/>
              <w:marRight w:val="0"/>
              <w:marTop w:val="0"/>
              <w:marBottom w:val="0"/>
              <w:divBdr>
                <w:top w:val="none" w:sz="0" w:space="0" w:color="auto"/>
                <w:left w:val="none" w:sz="0" w:space="0" w:color="auto"/>
                <w:bottom w:val="none" w:sz="0" w:space="0" w:color="auto"/>
                <w:right w:val="none" w:sz="0" w:space="0" w:color="auto"/>
              </w:divBdr>
            </w:div>
          </w:divsChild>
        </w:div>
        <w:div w:id="1291741616">
          <w:marLeft w:val="0"/>
          <w:marRight w:val="0"/>
          <w:marTop w:val="0"/>
          <w:marBottom w:val="0"/>
          <w:divBdr>
            <w:top w:val="none" w:sz="0" w:space="0" w:color="auto"/>
            <w:left w:val="none" w:sz="0" w:space="0" w:color="auto"/>
            <w:bottom w:val="none" w:sz="0" w:space="0" w:color="auto"/>
            <w:right w:val="none" w:sz="0" w:space="0" w:color="auto"/>
          </w:divBdr>
          <w:divsChild>
            <w:div w:id="798958766">
              <w:marLeft w:val="0"/>
              <w:marRight w:val="0"/>
              <w:marTop w:val="0"/>
              <w:marBottom w:val="0"/>
              <w:divBdr>
                <w:top w:val="none" w:sz="0" w:space="0" w:color="auto"/>
                <w:left w:val="none" w:sz="0" w:space="0" w:color="auto"/>
                <w:bottom w:val="none" w:sz="0" w:space="0" w:color="auto"/>
                <w:right w:val="none" w:sz="0" w:space="0" w:color="auto"/>
              </w:divBdr>
              <w:divsChild>
                <w:div w:id="113058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06534">
      <w:bodyDiv w:val="1"/>
      <w:marLeft w:val="0"/>
      <w:marRight w:val="0"/>
      <w:marTop w:val="0"/>
      <w:marBottom w:val="0"/>
      <w:divBdr>
        <w:top w:val="none" w:sz="0" w:space="0" w:color="auto"/>
        <w:left w:val="none" w:sz="0" w:space="0" w:color="auto"/>
        <w:bottom w:val="none" w:sz="0" w:space="0" w:color="auto"/>
        <w:right w:val="none" w:sz="0" w:space="0" w:color="auto"/>
      </w:divBdr>
    </w:div>
    <w:div w:id="1953826382">
      <w:bodyDiv w:val="1"/>
      <w:marLeft w:val="0"/>
      <w:marRight w:val="0"/>
      <w:marTop w:val="0"/>
      <w:marBottom w:val="0"/>
      <w:divBdr>
        <w:top w:val="none" w:sz="0" w:space="0" w:color="auto"/>
        <w:left w:val="none" w:sz="0" w:space="0" w:color="auto"/>
        <w:bottom w:val="none" w:sz="0" w:space="0" w:color="auto"/>
        <w:right w:val="none" w:sz="0" w:space="0" w:color="auto"/>
      </w:divBdr>
      <w:divsChild>
        <w:div w:id="680206325">
          <w:marLeft w:val="0"/>
          <w:marRight w:val="0"/>
          <w:marTop w:val="0"/>
          <w:marBottom w:val="0"/>
          <w:divBdr>
            <w:top w:val="none" w:sz="0" w:space="0" w:color="auto"/>
            <w:left w:val="none" w:sz="0" w:space="0" w:color="auto"/>
            <w:bottom w:val="none" w:sz="0" w:space="0" w:color="auto"/>
            <w:right w:val="none" w:sz="0" w:space="0" w:color="auto"/>
          </w:divBdr>
          <w:divsChild>
            <w:div w:id="17394320">
              <w:marLeft w:val="0"/>
              <w:marRight w:val="0"/>
              <w:marTop w:val="0"/>
              <w:marBottom w:val="0"/>
              <w:divBdr>
                <w:top w:val="none" w:sz="0" w:space="0" w:color="auto"/>
                <w:left w:val="none" w:sz="0" w:space="0" w:color="auto"/>
                <w:bottom w:val="none" w:sz="0" w:space="0" w:color="auto"/>
                <w:right w:val="none" w:sz="0" w:space="0" w:color="auto"/>
              </w:divBdr>
            </w:div>
            <w:div w:id="101803079">
              <w:marLeft w:val="0"/>
              <w:marRight w:val="0"/>
              <w:marTop w:val="0"/>
              <w:marBottom w:val="0"/>
              <w:divBdr>
                <w:top w:val="none" w:sz="0" w:space="0" w:color="auto"/>
                <w:left w:val="none" w:sz="0" w:space="0" w:color="auto"/>
                <w:bottom w:val="none" w:sz="0" w:space="0" w:color="auto"/>
                <w:right w:val="none" w:sz="0" w:space="0" w:color="auto"/>
              </w:divBdr>
            </w:div>
            <w:div w:id="115367681">
              <w:marLeft w:val="0"/>
              <w:marRight w:val="0"/>
              <w:marTop w:val="0"/>
              <w:marBottom w:val="0"/>
              <w:divBdr>
                <w:top w:val="none" w:sz="0" w:space="0" w:color="auto"/>
                <w:left w:val="none" w:sz="0" w:space="0" w:color="auto"/>
                <w:bottom w:val="none" w:sz="0" w:space="0" w:color="auto"/>
                <w:right w:val="none" w:sz="0" w:space="0" w:color="auto"/>
              </w:divBdr>
            </w:div>
            <w:div w:id="333807078">
              <w:marLeft w:val="0"/>
              <w:marRight w:val="0"/>
              <w:marTop w:val="0"/>
              <w:marBottom w:val="0"/>
              <w:divBdr>
                <w:top w:val="none" w:sz="0" w:space="0" w:color="auto"/>
                <w:left w:val="none" w:sz="0" w:space="0" w:color="auto"/>
                <w:bottom w:val="none" w:sz="0" w:space="0" w:color="auto"/>
                <w:right w:val="none" w:sz="0" w:space="0" w:color="auto"/>
              </w:divBdr>
            </w:div>
            <w:div w:id="456023116">
              <w:marLeft w:val="0"/>
              <w:marRight w:val="0"/>
              <w:marTop w:val="0"/>
              <w:marBottom w:val="0"/>
              <w:divBdr>
                <w:top w:val="none" w:sz="0" w:space="0" w:color="auto"/>
                <w:left w:val="none" w:sz="0" w:space="0" w:color="auto"/>
                <w:bottom w:val="none" w:sz="0" w:space="0" w:color="auto"/>
                <w:right w:val="none" w:sz="0" w:space="0" w:color="auto"/>
              </w:divBdr>
            </w:div>
            <w:div w:id="518009719">
              <w:marLeft w:val="0"/>
              <w:marRight w:val="0"/>
              <w:marTop w:val="0"/>
              <w:marBottom w:val="0"/>
              <w:divBdr>
                <w:top w:val="none" w:sz="0" w:space="0" w:color="auto"/>
                <w:left w:val="none" w:sz="0" w:space="0" w:color="auto"/>
                <w:bottom w:val="none" w:sz="0" w:space="0" w:color="auto"/>
                <w:right w:val="none" w:sz="0" w:space="0" w:color="auto"/>
              </w:divBdr>
            </w:div>
            <w:div w:id="556934816">
              <w:marLeft w:val="0"/>
              <w:marRight w:val="0"/>
              <w:marTop w:val="0"/>
              <w:marBottom w:val="0"/>
              <w:divBdr>
                <w:top w:val="none" w:sz="0" w:space="0" w:color="auto"/>
                <w:left w:val="none" w:sz="0" w:space="0" w:color="auto"/>
                <w:bottom w:val="none" w:sz="0" w:space="0" w:color="auto"/>
                <w:right w:val="none" w:sz="0" w:space="0" w:color="auto"/>
              </w:divBdr>
            </w:div>
            <w:div w:id="656962481">
              <w:marLeft w:val="0"/>
              <w:marRight w:val="0"/>
              <w:marTop w:val="0"/>
              <w:marBottom w:val="0"/>
              <w:divBdr>
                <w:top w:val="none" w:sz="0" w:space="0" w:color="auto"/>
                <w:left w:val="none" w:sz="0" w:space="0" w:color="auto"/>
                <w:bottom w:val="none" w:sz="0" w:space="0" w:color="auto"/>
                <w:right w:val="none" w:sz="0" w:space="0" w:color="auto"/>
              </w:divBdr>
            </w:div>
            <w:div w:id="792091207">
              <w:marLeft w:val="0"/>
              <w:marRight w:val="0"/>
              <w:marTop w:val="0"/>
              <w:marBottom w:val="0"/>
              <w:divBdr>
                <w:top w:val="none" w:sz="0" w:space="0" w:color="auto"/>
                <w:left w:val="none" w:sz="0" w:space="0" w:color="auto"/>
                <w:bottom w:val="none" w:sz="0" w:space="0" w:color="auto"/>
                <w:right w:val="none" w:sz="0" w:space="0" w:color="auto"/>
              </w:divBdr>
            </w:div>
            <w:div w:id="933249898">
              <w:marLeft w:val="0"/>
              <w:marRight w:val="0"/>
              <w:marTop w:val="0"/>
              <w:marBottom w:val="0"/>
              <w:divBdr>
                <w:top w:val="none" w:sz="0" w:space="0" w:color="auto"/>
                <w:left w:val="none" w:sz="0" w:space="0" w:color="auto"/>
                <w:bottom w:val="none" w:sz="0" w:space="0" w:color="auto"/>
                <w:right w:val="none" w:sz="0" w:space="0" w:color="auto"/>
              </w:divBdr>
            </w:div>
            <w:div w:id="1134835424">
              <w:marLeft w:val="0"/>
              <w:marRight w:val="0"/>
              <w:marTop w:val="0"/>
              <w:marBottom w:val="0"/>
              <w:divBdr>
                <w:top w:val="none" w:sz="0" w:space="0" w:color="auto"/>
                <w:left w:val="none" w:sz="0" w:space="0" w:color="auto"/>
                <w:bottom w:val="none" w:sz="0" w:space="0" w:color="auto"/>
                <w:right w:val="none" w:sz="0" w:space="0" w:color="auto"/>
              </w:divBdr>
            </w:div>
            <w:div w:id="1179588786">
              <w:marLeft w:val="0"/>
              <w:marRight w:val="0"/>
              <w:marTop w:val="0"/>
              <w:marBottom w:val="0"/>
              <w:divBdr>
                <w:top w:val="none" w:sz="0" w:space="0" w:color="auto"/>
                <w:left w:val="none" w:sz="0" w:space="0" w:color="auto"/>
                <w:bottom w:val="none" w:sz="0" w:space="0" w:color="auto"/>
                <w:right w:val="none" w:sz="0" w:space="0" w:color="auto"/>
              </w:divBdr>
            </w:div>
            <w:div w:id="1555577680">
              <w:marLeft w:val="0"/>
              <w:marRight w:val="0"/>
              <w:marTop w:val="0"/>
              <w:marBottom w:val="0"/>
              <w:divBdr>
                <w:top w:val="none" w:sz="0" w:space="0" w:color="auto"/>
                <w:left w:val="none" w:sz="0" w:space="0" w:color="auto"/>
                <w:bottom w:val="none" w:sz="0" w:space="0" w:color="auto"/>
                <w:right w:val="none" w:sz="0" w:space="0" w:color="auto"/>
              </w:divBdr>
            </w:div>
            <w:div w:id="1778062498">
              <w:marLeft w:val="0"/>
              <w:marRight w:val="0"/>
              <w:marTop w:val="0"/>
              <w:marBottom w:val="0"/>
              <w:divBdr>
                <w:top w:val="none" w:sz="0" w:space="0" w:color="auto"/>
                <w:left w:val="none" w:sz="0" w:space="0" w:color="auto"/>
                <w:bottom w:val="none" w:sz="0" w:space="0" w:color="auto"/>
                <w:right w:val="none" w:sz="0" w:space="0" w:color="auto"/>
              </w:divBdr>
            </w:div>
            <w:div w:id="1809936760">
              <w:marLeft w:val="0"/>
              <w:marRight w:val="0"/>
              <w:marTop w:val="0"/>
              <w:marBottom w:val="0"/>
              <w:divBdr>
                <w:top w:val="none" w:sz="0" w:space="0" w:color="auto"/>
                <w:left w:val="none" w:sz="0" w:space="0" w:color="auto"/>
                <w:bottom w:val="none" w:sz="0" w:space="0" w:color="auto"/>
                <w:right w:val="none" w:sz="0" w:space="0" w:color="auto"/>
              </w:divBdr>
            </w:div>
            <w:div w:id="1825775390">
              <w:marLeft w:val="0"/>
              <w:marRight w:val="0"/>
              <w:marTop w:val="0"/>
              <w:marBottom w:val="0"/>
              <w:divBdr>
                <w:top w:val="none" w:sz="0" w:space="0" w:color="auto"/>
                <w:left w:val="none" w:sz="0" w:space="0" w:color="auto"/>
                <w:bottom w:val="none" w:sz="0" w:space="0" w:color="auto"/>
                <w:right w:val="none" w:sz="0" w:space="0" w:color="auto"/>
              </w:divBdr>
            </w:div>
            <w:div w:id="1937328079">
              <w:marLeft w:val="0"/>
              <w:marRight w:val="0"/>
              <w:marTop w:val="0"/>
              <w:marBottom w:val="0"/>
              <w:divBdr>
                <w:top w:val="none" w:sz="0" w:space="0" w:color="auto"/>
                <w:left w:val="none" w:sz="0" w:space="0" w:color="auto"/>
                <w:bottom w:val="none" w:sz="0" w:space="0" w:color="auto"/>
                <w:right w:val="none" w:sz="0" w:space="0" w:color="auto"/>
              </w:divBdr>
            </w:div>
            <w:div w:id="2061980297">
              <w:marLeft w:val="0"/>
              <w:marRight w:val="0"/>
              <w:marTop w:val="0"/>
              <w:marBottom w:val="0"/>
              <w:divBdr>
                <w:top w:val="none" w:sz="0" w:space="0" w:color="auto"/>
                <w:left w:val="none" w:sz="0" w:space="0" w:color="auto"/>
                <w:bottom w:val="none" w:sz="0" w:space="0" w:color="auto"/>
                <w:right w:val="none" w:sz="0" w:space="0" w:color="auto"/>
              </w:divBdr>
            </w:div>
            <w:div w:id="2069261243">
              <w:marLeft w:val="0"/>
              <w:marRight w:val="0"/>
              <w:marTop w:val="0"/>
              <w:marBottom w:val="0"/>
              <w:divBdr>
                <w:top w:val="none" w:sz="0" w:space="0" w:color="auto"/>
                <w:left w:val="none" w:sz="0" w:space="0" w:color="auto"/>
                <w:bottom w:val="none" w:sz="0" w:space="0" w:color="auto"/>
                <w:right w:val="none" w:sz="0" w:space="0" w:color="auto"/>
              </w:divBdr>
            </w:div>
            <w:div w:id="2125072474">
              <w:marLeft w:val="0"/>
              <w:marRight w:val="0"/>
              <w:marTop w:val="0"/>
              <w:marBottom w:val="0"/>
              <w:divBdr>
                <w:top w:val="none" w:sz="0" w:space="0" w:color="auto"/>
                <w:left w:val="none" w:sz="0" w:space="0" w:color="auto"/>
                <w:bottom w:val="none" w:sz="0" w:space="0" w:color="auto"/>
                <w:right w:val="none" w:sz="0" w:space="0" w:color="auto"/>
              </w:divBdr>
            </w:div>
          </w:divsChild>
        </w:div>
        <w:div w:id="710344898">
          <w:marLeft w:val="0"/>
          <w:marRight w:val="0"/>
          <w:marTop w:val="0"/>
          <w:marBottom w:val="0"/>
          <w:divBdr>
            <w:top w:val="none" w:sz="0" w:space="0" w:color="auto"/>
            <w:left w:val="none" w:sz="0" w:space="0" w:color="auto"/>
            <w:bottom w:val="none" w:sz="0" w:space="0" w:color="auto"/>
            <w:right w:val="none" w:sz="0" w:space="0" w:color="auto"/>
          </w:divBdr>
          <w:divsChild>
            <w:div w:id="18434882">
              <w:marLeft w:val="0"/>
              <w:marRight w:val="0"/>
              <w:marTop w:val="0"/>
              <w:marBottom w:val="0"/>
              <w:divBdr>
                <w:top w:val="none" w:sz="0" w:space="0" w:color="auto"/>
                <w:left w:val="none" w:sz="0" w:space="0" w:color="auto"/>
                <w:bottom w:val="none" w:sz="0" w:space="0" w:color="auto"/>
                <w:right w:val="none" w:sz="0" w:space="0" w:color="auto"/>
              </w:divBdr>
            </w:div>
            <w:div w:id="1114591917">
              <w:marLeft w:val="0"/>
              <w:marRight w:val="0"/>
              <w:marTop w:val="0"/>
              <w:marBottom w:val="0"/>
              <w:divBdr>
                <w:top w:val="none" w:sz="0" w:space="0" w:color="auto"/>
                <w:left w:val="none" w:sz="0" w:space="0" w:color="auto"/>
                <w:bottom w:val="none" w:sz="0" w:space="0" w:color="auto"/>
                <w:right w:val="none" w:sz="0" w:space="0" w:color="auto"/>
              </w:divBdr>
            </w:div>
            <w:div w:id="1216426113">
              <w:marLeft w:val="0"/>
              <w:marRight w:val="0"/>
              <w:marTop w:val="0"/>
              <w:marBottom w:val="0"/>
              <w:divBdr>
                <w:top w:val="none" w:sz="0" w:space="0" w:color="auto"/>
                <w:left w:val="none" w:sz="0" w:space="0" w:color="auto"/>
                <w:bottom w:val="none" w:sz="0" w:space="0" w:color="auto"/>
                <w:right w:val="none" w:sz="0" w:space="0" w:color="auto"/>
              </w:divBdr>
            </w:div>
            <w:div w:id="1500852886">
              <w:marLeft w:val="0"/>
              <w:marRight w:val="0"/>
              <w:marTop w:val="0"/>
              <w:marBottom w:val="0"/>
              <w:divBdr>
                <w:top w:val="none" w:sz="0" w:space="0" w:color="auto"/>
                <w:left w:val="none" w:sz="0" w:space="0" w:color="auto"/>
                <w:bottom w:val="none" w:sz="0" w:space="0" w:color="auto"/>
                <w:right w:val="none" w:sz="0" w:space="0" w:color="auto"/>
              </w:divBdr>
            </w:div>
            <w:div w:id="1539126247">
              <w:marLeft w:val="0"/>
              <w:marRight w:val="0"/>
              <w:marTop w:val="0"/>
              <w:marBottom w:val="0"/>
              <w:divBdr>
                <w:top w:val="none" w:sz="0" w:space="0" w:color="auto"/>
                <w:left w:val="none" w:sz="0" w:space="0" w:color="auto"/>
                <w:bottom w:val="none" w:sz="0" w:space="0" w:color="auto"/>
                <w:right w:val="none" w:sz="0" w:space="0" w:color="auto"/>
              </w:divBdr>
            </w:div>
          </w:divsChild>
        </w:div>
        <w:div w:id="939065742">
          <w:marLeft w:val="0"/>
          <w:marRight w:val="0"/>
          <w:marTop w:val="0"/>
          <w:marBottom w:val="0"/>
          <w:divBdr>
            <w:top w:val="none" w:sz="0" w:space="0" w:color="auto"/>
            <w:left w:val="none" w:sz="0" w:space="0" w:color="auto"/>
            <w:bottom w:val="none" w:sz="0" w:space="0" w:color="auto"/>
            <w:right w:val="none" w:sz="0" w:space="0" w:color="auto"/>
          </w:divBdr>
          <w:divsChild>
            <w:div w:id="35854662">
              <w:marLeft w:val="0"/>
              <w:marRight w:val="0"/>
              <w:marTop w:val="0"/>
              <w:marBottom w:val="0"/>
              <w:divBdr>
                <w:top w:val="none" w:sz="0" w:space="0" w:color="auto"/>
                <w:left w:val="none" w:sz="0" w:space="0" w:color="auto"/>
                <w:bottom w:val="none" w:sz="0" w:space="0" w:color="auto"/>
                <w:right w:val="none" w:sz="0" w:space="0" w:color="auto"/>
              </w:divBdr>
            </w:div>
            <w:div w:id="395516216">
              <w:marLeft w:val="0"/>
              <w:marRight w:val="0"/>
              <w:marTop w:val="0"/>
              <w:marBottom w:val="0"/>
              <w:divBdr>
                <w:top w:val="none" w:sz="0" w:space="0" w:color="auto"/>
                <w:left w:val="none" w:sz="0" w:space="0" w:color="auto"/>
                <w:bottom w:val="none" w:sz="0" w:space="0" w:color="auto"/>
                <w:right w:val="none" w:sz="0" w:space="0" w:color="auto"/>
              </w:divBdr>
            </w:div>
            <w:div w:id="561448490">
              <w:marLeft w:val="0"/>
              <w:marRight w:val="0"/>
              <w:marTop w:val="0"/>
              <w:marBottom w:val="0"/>
              <w:divBdr>
                <w:top w:val="none" w:sz="0" w:space="0" w:color="auto"/>
                <w:left w:val="none" w:sz="0" w:space="0" w:color="auto"/>
                <w:bottom w:val="none" w:sz="0" w:space="0" w:color="auto"/>
                <w:right w:val="none" w:sz="0" w:space="0" w:color="auto"/>
              </w:divBdr>
            </w:div>
            <w:div w:id="575016003">
              <w:marLeft w:val="0"/>
              <w:marRight w:val="0"/>
              <w:marTop w:val="0"/>
              <w:marBottom w:val="0"/>
              <w:divBdr>
                <w:top w:val="none" w:sz="0" w:space="0" w:color="auto"/>
                <w:left w:val="none" w:sz="0" w:space="0" w:color="auto"/>
                <w:bottom w:val="none" w:sz="0" w:space="0" w:color="auto"/>
                <w:right w:val="none" w:sz="0" w:space="0" w:color="auto"/>
              </w:divBdr>
            </w:div>
            <w:div w:id="584148035">
              <w:marLeft w:val="0"/>
              <w:marRight w:val="0"/>
              <w:marTop w:val="0"/>
              <w:marBottom w:val="0"/>
              <w:divBdr>
                <w:top w:val="none" w:sz="0" w:space="0" w:color="auto"/>
                <w:left w:val="none" w:sz="0" w:space="0" w:color="auto"/>
                <w:bottom w:val="none" w:sz="0" w:space="0" w:color="auto"/>
                <w:right w:val="none" w:sz="0" w:space="0" w:color="auto"/>
              </w:divBdr>
            </w:div>
            <w:div w:id="665089365">
              <w:marLeft w:val="0"/>
              <w:marRight w:val="0"/>
              <w:marTop w:val="0"/>
              <w:marBottom w:val="0"/>
              <w:divBdr>
                <w:top w:val="none" w:sz="0" w:space="0" w:color="auto"/>
                <w:left w:val="none" w:sz="0" w:space="0" w:color="auto"/>
                <w:bottom w:val="none" w:sz="0" w:space="0" w:color="auto"/>
                <w:right w:val="none" w:sz="0" w:space="0" w:color="auto"/>
              </w:divBdr>
            </w:div>
            <w:div w:id="774446577">
              <w:marLeft w:val="0"/>
              <w:marRight w:val="0"/>
              <w:marTop w:val="0"/>
              <w:marBottom w:val="0"/>
              <w:divBdr>
                <w:top w:val="none" w:sz="0" w:space="0" w:color="auto"/>
                <w:left w:val="none" w:sz="0" w:space="0" w:color="auto"/>
                <w:bottom w:val="none" w:sz="0" w:space="0" w:color="auto"/>
                <w:right w:val="none" w:sz="0" w:space="0" w:color="auto"/>
              </w:divBdr>
            </w:div>
            <w:div w:id="825978863">
              <w:marLeft w:val="0"/>
              <w:marRight w:val="0"/>
              <w:marTop w:val="0"/>
              <w:marBottom w:val="0"/>
              <w:divBdr>
                <w:top w:val="none" w:sz="0" w:space="0" w:color="auto"/>
                <w:left w:val="none" w:sz="0" w:space="0" w:color="auto"/>
                <w:bottom w:val="none" w:sz="0" w:space="0" w:color="auto"/>
                <w:right w:val="none" w:sz="0" w:space="0" w:color="auto"/>
              </w:divBdr>
            </w:div>
            <w:div w:id="1064108144">
              <w:marLeft w:val="0"/>
              <w:marRight w:val="0"/>
              <w:marTop w:val="0"/>
              <w:marBottom w:val="0"/>
              <w:divBdr>
                <w:top w:val="none" w:sz="0" w:space="0" w:color="auto"/>
                <w:left w:val="none" w:sz="0" w:space="0" w:color="auto"/>
                <w:bottom w:val="none" w:sz="0" w:space="0" w:color="auto"/>
                <w:right w:val="none" w:sz="0" w:space="0" w:color="auto"/>
              </w:divBdr>
            </w:div>
            <w:div w:id="1118109802">
              <w:marLeft w:val="0"/>
              <w:marRight w:val="0"/>
              <w:marTop w:val="0"/>
              <w:marBottom w:val="0"/>
              <w:divBdr>
                <w:top w:val="none" w:sz="0" w:space="0" w:color="auto"/>
                <w:left w:val="none" w:sz="0" w:space="0" w:color="auto"/>
                <w:bottom w:val="none" w:sz="0" w:space="0" w:color="auto"/>
                <w:right w:val="none" w:sz="0" w:space="0" w:color="auto"/>
              </w:divBdr>
            </w:div>
            <w:div w:id="1130976603">
              <w:marLeft w:val="0"/>
              <w:marRight w:val="0"/>
              <w:marTop w:val="0"/>
              <w:marBottom w:val="0"/>
              <w:divBdr>
                <w:top w:val="none" w:sz="0" w:space="0" w:color="auto"/>
                <w:left w:val="none" w:sz="0" w:space="0" w:color="auto"/>
                <w:bottom w:val="none" w:sz="0" w:space="0" w:color="auto"/>
                <w:right w:val="none" w:sz="0" w:space="0" w:color="auto"/>
              </w:divBdr>
            </w:div>
            <w:div w:id="1157839137">
              <w:marLeft w:val="0"/>
              <w:marRight w:val="0"/>
              <w:marTop w:val="0"/>
              <w:marBottom w:val="0"/>
              <w:divBdr>
                <w:top w:val="none" w:sz="0" w:space="0" w:color="auto"/>
                <w:left w:val="none" w:sz="0" w:space="0" w:color="auto"/>
                <w:bottom w:val="none" w:sz="0" w:space="0" w:color="auto"/>
                <w:right w:val="none" w:sz="0" w:space="0" w:color="auto"/>
              </w:divBdr>
            </w:div>
            <w:div w:id="1194925210">
              <w:marLeft w:val="0"/>
              <w:marRight w:val="0"/>
              <w:marTop w:val="0"/>
              <w:marBottom w:val="0"/>
              <w:divBdr>
                <w:top w:val="none" w:sz="0" w:space="0" w:color="auto"/>
                <w:left w:val="none" w:sz="0" w:space="0" w:color="auto"/>
                <w:bottom w:val="none" w:sz="0" w:space="0" w:color="auto"/>
                <w:right w:val="none" w:sz="0" w:space="0" w:color="auto"/>
              </w:divBdr>
            </w:div>
            <w:div w:id="1658991566">
              <w:marLeft w:val="0"/>
              <w:marRight w:val="0"/>
              <w:marTop w:val="0"/>
              <w:marBottom w:val="0"/>
              <w:divBdr>
                <w:top w:val="none" w:sz="0" w:space="0" w:color="auto"/>
                <w:left w:val="none" w:sz="0" w:space="0" w:color="auto"/>
                <w:bottom w:val="none" w:sz="0" w:space="0" w:color="auto"/>
                <w:right w:val="none" w:sz="0" w:space="0" w:color="auto"/>
              </w:divBdr>
            </w:div>
            <w:div w:id="1664745691">
              <w:marLeft w:val="0"/>
              <w:marRight w:val="0"/>
              <w:marTop w:val="0"/>
              <w:marBottom w:val="0"/>
              <w:divBdr>
                <w:top w:val="none" w:sz="0" w:space="0" w:color="auto"/>
                <w:left w:val="none" w:sz="0" w:space="0" w:color="auto"/>
                <w:bottom w:val="none" w:sz="0" w:space="0" w:color="auto"/>
                <w:right w:val="none" w:sz="0" w:space="0" w:color="auto"/>
              </w:divBdr>
            </w:div>
            <w:div w:id="1665350208">
              <w:marLeft w:val="0"/>
              <w:marRight w:val="0"/>
              <w:marTop w:val="0"/>
              <w:marBottom w:val="0"/>
              <w:divBdr>
                <w:top w:val="none" w:sz="0" w:space="0" w:color="auto"/>
                <w:left w:val="none" w:sz="0" w:space="0" w:color="auto"/>
                <w:bottom w:val="none" w:sz="0" w:space="0" w:color="auto"/>
                <w:right w:val="none" w:sz="0" w:space="0" w:color="auto"/>
              </w:divBdr>
            </w:div>
            <w:div w:id="1770612698">
              <w:marLeft w:val="0"/>
              <w:marRight w:val="0"/>
              <w:marTop w:val="0"/>
              <w:marBottom w:val="0"/>
              <w:divBdr>
                <w:top w:val="none" w:sz="0" w:space="0" w:color="auto"/>
                <w:left w:val="none" w:sz="0" w:space="0" w:color="auto"/>
                <w:bottom w:val="none" w:sz="0" w:space="0" w:color="auto"/>
                <w:right w:val="none" w:sz="0" w:space="0" w:color="auto"/>
              </w:divBdr>
            </w:div>
            <w:div w:id="1842694273">
              <w:marLeft w:val="0"/>
              <w:marRight w:val="0"/>
              <w:marTop w:val="0"/>
              <w:marBottom w:val="0"/>
              <w:divBdr>
                <w:top w:val="none" w:sz="0" w:space="0" w:color="auto"/>
                <w:left w:val="none" w:sz="0" w:space="0" w:color="auto"/>
                <w:bottom w:val="none" w:sz="0" w:space="0" w:color="auto"/>
                <w:right w:val="none" w:sz="0" w:space="0" w:color="auto"/>
              </w:divBdr>
            </w:div>
            <w:div w:id="1978298342">
              <w:marLeft w:val="0"/>
              <w:marRight w:val="0"/>
              <w:marTop w:val="0"/>
              <w:marBottom w:val="0"/>
              <w:divBdr>
                <w:top w:val="none" w:sz="0" w:space="0" w:color="auto"/>
                <w:left w:val="none" w:sz="0" w:space="0" w:color="auto"/>
                <w:bottom w:val="none" w:sz="0" w:space="0" w:color="auto"/>
                <w:right w:val="none" w:sz="0" w:space="0" w:color="auto"/>
              </w:divBdr>
            </w:div>
            <w:div w:id="2050757634">
              <w:marLeft w:val="0"/>
              <w:marRight w:val="0"/>
              <w:marTop w:val="0"/>
              <w:marBottom w:val="0"/>
              <w:divBdr>
                <w:top w:val="none" w:sz="0" w:space="0" w:color="auto"/>
                <w:left w:val="none" w:sz="0" w:space="0" w:color="auto"/>
                <w:bottom w:val="none" w:sz="0" w:space="0" w:color="auto"/>
                <w:right w:val="none" w:sz="0" w:space="0" w:color="auto"/>
              </w:divBdr>
            </w:div>
          </w:divsChild>
        </w:div>
        <w:div w:id="1080518953">
          <w:marLeft w:val="0"/>
          <w:marRight w:val="0"/>
          <w:marTop w:val="0"/>
          <w:marBottom w:val="0"/>
          <w:divBdr>
            <w:top w:val="none" w:sz="0" w:space="0" w:color="auto"/>
            <w:left w:val="none" w:sz="0" w:space="0" w:color="auto"/>
            <w:bottom w:val="none" w:sz="0" w:space="0" w:color="auto"/>
            <w:right w:val="none" w:sz="0" w:space="0" w:color="auto"/>
          </w:divBdr>
          <w:divsChild>
            <w:div w:id="47919309">
              <w:marLeft w:val="0"/>
              <w:marRight w:val="0"/>
              <w:marTop w:val="0"/>
              <w:marBottom w:val="0"/>
              <w:divBdr>
                <w:top w:val="none" w:sz="0" w:space="0" w:color="auto"/>
                <w:left w:val="none" w:sz="0" w:space="0" w:color="auto"/>
                <w:bottom w:val="none" w:sz="0" w:space="0" w:color="auto"/>
                <w:right w:val="none" w:sz="0" w:space="0" w:color="auto"/>
              </w:divBdr>
            </w:div>
            <w:div w:id="57672922">
              <w:marLeft w:val="0"/>
              <w:marRight w:val="0"/>
              <w:marTop w:val="0"/>
              <w:marBottom w:val="0"/>
              <w:divBdr>
                <w:top w:val="none" w:sz="0" w:space="0" w:color="auto"/>
                <w:left w:val="none" w:sz="0" w:space="0" w:color="auto"/>
                <w:bottom w:val="none" w:sz="0" w:space="0" w:color="auto"/>
                <w:right w:val="none" w:sz="0" w:space="0" w:color="auto"/>
              </w:divBdr>
            </w:div>
            <w:div w:id="101457747">
              <w:marLeft w:val="0"/>
              <w:marRight w:val="0"/>
              <w:marTop w:val="0"/>
              <w:marBottom w:val="0"/>
              <w:divBdr>
                <w:top w:val="none" w:sz="0" w:space="0" w:color="auto"/>
                <w:left w:val="none" w:sz="0" w:space="0" w:color="auto"/>
                <w:bottom w:val="none" w:sz="0" w:space="0" w:color="auto"/>
                <w:right w:val="none" w:sz="0" w:space="0" w:color="auto"/>
              </w:divBdr>
            </w:div>
            <w:div w:id="197742202">
              <w:marLeft w:val="0"/>
              <w:marRight w:val="0"/>
              <w:marTop w:val="0"/>
              <w:marBottom w:val="0"/>
              <w:divBdr>
                <w:top w:val="none" w:sz="0" w:space="0" w:color="auto"/>
                <w:left w:val="none" w:sz="0" w:space="0" w:color="auto"/>
                <w:bottom w:val="none" w:sz="0" w:space="0" w:color="auto"/>
                <w:right w:val="none" w:sz="0" w:space="0" w:color="auto"/>
              </w:divBdr>
            </w:div>
            <w:div w:id="434330861">
              <w:marLeft w:val="0"/>
              <w:marRight w:val="0"/>
              <w:marTop w:val="0"/>
              <w:marBottom w:val="0"/>
              <w:divBdr>
                <w:top w:val="none" w:sz="0" w:space="0" w:color="auto"/>
                <w:left w:val="none" w:sz="0" w:space="0" w:color="auto"/>
                <w:bottom w:val="none" w:sz="0" w:space="0" w:color="auto"/>
                <w:right w:val="none" w:sz="0" w:space="0" w:color="auto"/>
              </w:divBdr>
            </w:div>
            <w:div w:id="666324645">
              <w:marLeft w:val="0"/>
              <w:marRight w:val="0"/>
              <w:marTop w:val="0"/>
              <w:marBottom w:val="0"/>
              <w:divBdr>
                <w:top w:val="none" w:sz="0" w:space="0" w:color="auto"/>
                <w:left w:val="none" w:sz="0" w:space="0" w:color="auto"/>
                <w:bottom w:val="none" w:sz="0" w:space="0" w:color="auto"/>
                <w:right w:val="none" w:sz="0" w:space="0" w:color="auto"/>
              </w:divBdr>
            </w:div>
            <w:div w:id="763645181">
              <w:marLeft w:val="0"/>
              <w:marRight w:val="0"/>
              <w:marTop w:val="0"/>
              <w:marBottom w:val="0"/>
              <w:divBdr>
                <w:top w:val="none" w:sz="0" w:space="0" w:color="auto"/>
                <w:left w:val="none" w:sz="0" w:space="0" w:color="auto"/>
                <w:bottom w:val="none" w:sz="0" w:space="0" w:color="auto"/>
                <w:right w:val="none" w:sz="0" w:space="0" w:color="auto"/>
              </w:divBdr>
            </w:div>
            <w:div w:id="822425270">
              <w:marLeft w:val="0"/>
              <w:marRight w:val="0"/>
              <w:marTop w:val="0"/>
              <w:marBottom w:val="0"/>
              <w:divBdr>
                <w:top w:val="none" w:sz="0" w:space="0" w:color="auto"/>
                <w:left w:val="none" w:sz="0" w:space="0" w:color="auto"/>
                <w:bottom w:val="none" w:sz="0" w:space="0" w:color="auto"/>
                <w:right w:val="none" w:sz="0" w:space="0" w:color="auto"/>
              </w:divBdr>
            </w:div>
            <w:div w:id="944776808">
              <w:marLeft w:val="0"/>
              <w:marRight w:val="0"/>
              <w:marTop w:val="0"/>
              <w:marBottom w:val="0"/>
              <w:divBdr>
                <w:top w:val="none" w:sz="0" w:space="0" w:color="auto"/>
                <w:left w:val="none" w:sz="0" w:space="0" w:color="auto"/>
                <w:bottom w:val="none" w:sz="0" w:space="0" w:color="auto"/>
                <w:right w:val="none" w:sz="0" w:space="0" w:color="auto"/>
              </w:divBdr>
            </w:div>
            <w:div w:id="980424137">
              <w:marLeft w:val="0"/>
              <w:marRight w:val="0"/>
              <w:marTop w:val="0"/>
              <w:marBottom w:val="0"/>
              <w:divBdr>
                <w:top w:val="none" w:sz="0" w:space="0" w:color="auto"/>
                <w:left w:val="none" w:sz="0" w:space="0" w:color="auto"/>
                <w:bottom w:val="none" w:sz="0" w:space="0" w:color="auto"/>
                <w:right w:val="none" w:sz="0" w:space="0" w:color="auto"/>
              </w:divBdr>
            </w:div>
            <w:div w:id="1020930538">
              <w:marLeft w:val="0"/>
              <w:marRight w:val="0"/>
              <w:marTop w:val="0"/>
              <w:marBottom w:val="0"/>
              <w:divBdr>
                <w:top w:val="none" w:sz="0" w:space="0" w:color="auto"/>
                <w:left w:val="none" w:sz="0" w:space="0" w:color="auto"/>
                <w:bottom w:val="none" w:sz="0" w:space="0" w:color="auto"/>
                <w:right w:val="none" w:sz="0" w:space="0" w:color="auto"/>
              </w:divBdr>
            </w:div>
            <w:div w:id="1026444119">
              <w:marLeft w:val="0"/>
              <w:marRight w:val="0"/>
              <w:marTop w:val="0"/>
              <w:marBottom w:val="0"/>
              <w:divBdr>
                <w:top w:val="none" w:sz="0" w:space="0" w:color="auto"/>
                <w:left w:val="none" w:sz="0" w:space="0" w:color="auto"/>
                <w:bottom w:val="none" w:sz="0" w:space="0" w:color="auto"/>
                <w:right w:val="none" w:sz="0" w:space="0" w:color="auto"/>
              </w:divBdr>
            </w:div>
            <w:div w:id="1070275632">
              <w:marLeft w:val="0"/>
              <w:marRight w:val="0"/>
              <w:marTop w:val="0"/>
              <w:marBottom w:val="0"/>
              <w:divBdr>
                <w:top w:val="none" w:sz="0" w:space="0" w:color="auto"/>
                <w:left w:val="none" w:sz="0" w:space="0" w:color="auto"/>
                <w:bottom w:val="none" w:sz="0" w:space="0" w:color="auto"/>
                <w:right w:val="none" w:sz="0" w:space="0" w:color="auto"/>
              </w:divBdr>
            </w:div>
            <w:div w:id="1095633507">
              <w:marLeft w:val="0"/>
              <w:marRight w:val="0"/>
              <w:marTop w:val="0"/>
              <w:marBottom w:val="0"/>
              <w:divBdr>
                <w:top w:val="none" w:sz="0" w:space="0" w:color="auto"/>
                <w:left w:val="none" w:sz="0" w:space="0" w:color="auto"/>
                <w:bottom w:val="none" w:sz="0" w:space="0" w:color="auto"/>
                <w:right w:val="none" w:sz="0" w:space="0" w:color="auto"/>
              </w:divBdr>
            </w:div>
            <w:div w:id="1388064508">
              <w:marLeft w:val="0"/>
              <w:marRight w:val="0"/>
              <w:marTop w:val="0"/>
              <w:marBottom w:val="0"/>
              <w:divBdr>
                <w:top w:val="none" w:sz="0" w:space="0" w:color="auto"/>
                <w:left w:val="none" w:sz="0" w:space="0" w:color="auto"/>
                <w:bottom w:val="none" w:sz="0" w:space="0" w:color="auto"/>
                <w:right w:val="none" w:sz="0" w:space="0" w:color="auto"/>
              </w:divBdr>
            </w:div>
            <w:div w:id="1592353427">
              <w:marLeft w:val="0"/>
              <w:marRight w:val="0"/>
              <w:marTop w:val="0"/>
              <w:marBottom w:val="0"/>
              <w:divBdr>
                <w:top w:val="none" w:sz="0" w:space="0" w:color="auto"/>
                <w:left w:val="none" w:sz="0" w:space="0" w:color="auto"/>
                <w:bottom w:val="none" w:sz="0" w:space="0" w:color="auto"/>
                <w:right w:val="none" w:sz="0" w:space="0" w:color="auto"/>
              </w:divBdr>
            </w:div>
            <w:div w:id="1730378175">
              <w:marLeft w:val="0"/>
              <w:marRight w:val="0"/>
              <w:marTop w:val="0"/>
              <w:marBottom w:val="0"/>
              <w:divBdr>
                <w:top w:val="none" w:sz="0" w:space="0" w:color="auto"/>
                <w:left w:val="none" w:sz="0" w:space="0" w:color="auto"/>
                <w:bottom w:val="none" w:sz="0" w:space="0" w:color="auto"/>
                <w:right w:val="none" w:sz="0" w:space="0" w:color="auto"/>
              </w:divBdr>
            </w:div>
            <w:div w:id="1831864314">
              <w:marLeft w:val="0"/>
              <w:marRight w:val="0"/>
              <w:marTop w:val="0"/>
              <w:marBottom w:val="0"/>
              <w:divBdr>
                <w:top w:val="none" w:sz="0" w:space="0" w:color="auto"/>
                <w:left w:val="none" w:sz="0" w:space="0" w:color="auto"/>
                <w:bottom w:val="none" w:sz="0" w:space="0" w:color="auto"/>
                <w:right w:val="none" w:sz="0" w:space="0" w:color="auto"/>
              </w:divBdr>
            </w:div>
            <w:div w:id="2055349410">
              <w:marLeft w:val="0"/>
              <w:marRight w:val="0"/>
              <w:marTop w:val="0"/>
              <w:marBottom w:val="0"/>
              <w:divBdr>
                <w:top w:val="none" w:sz="0" w:space="0" w:color="auto"/>
                <w:left w:val="none" w:sz="0" w:space="0" w:color="auto"/>
                <w:bottom w:val="none" w:sz="0" w:space="0" w:color="auto"/>
                <w:right w:val="none" w:sz="0" w:space="0" w:color="auto"/>
              </w:divBdr>
            </w:div>
            <w:div w:id="2121484086">
              <w:marLeft w:val="0"/>
              <w:marRight w:val="0"/>
              <w:marTop w:val="0"/>
              <w:marBottom w:val="0"/>
              <w:divBdr>
                <w:top w:val="none" w:sz="0" w:space="0" w:color="auto"/>
                <w:left w:val="none" w:sz="0" w:space="0" w:color="auto"/>
                <w:bottom w:val="none" w:sz="0" w:space="0" w:color="auto"/>
                <w:right w:val="none" w:sz="0" w:space="0" w:color="auto"/>
              </w:divBdr>
            </w:div>
          </w:divsChild>
        </w:div>
        <w:div w:id="1166090118">
          <w:marLeft w:val="0"/>
          <w:marRight w:val="0"/>
          <w:marTop w:val="0"/>
          <w:marBottom w:val="0"/>
          <w:divBdr>
            <w:top w:val="none" w:sz="0" w:space="0" w:color="auto"/>
            <w:left w:val="none" w:sz="0" w:space="0" w:color="auto"/>
            <w:bottom w:val="none" w:sz="0" w:space="0" w:color="auto"/>
            <w:right w:val="none" w:sz="0" w:space="0" w:color="auto"/>
          </w:divBdr>
          <w:divsChild>
            <w:div w:id="599918050">
              <w:marLeft w:val="0"/>
              <w:marRight w:val="0"/>
              <w:marTop w:val="0"/>
              <w:marBottom w:val="0"/>
              <w:divBdr>
                <w:top w:val="none" w:sz="0" w:space="0" w:color="auto"/>
                <w:left w:val="none" w:sz="0" w:space="0" w:color="auto"/>
                <w:bottom w:val="none" w:sz="0" w:space="0" w:color="auto"/>
                <w:right w:val="none" w:sz="0" w:space="0" w:color="auto"/>
              </w:divBdr>
            </w:div>
            <w:div w:id="120628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hyperlink" Target="https://ec.europa.eu/eurostat/databrowser/view/ROAD_PA_MOV/default/tabl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emf"/><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c.europa.eu/eurostat/databrowser/view/demo_pjan/default/table"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emf"/><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ec.europa.eu/eurostat/databrowser/view/road_eqs_carage/default/table?lang=fr&amp;category=road.road_eqs"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emf"/><Relationship Id="rId27" Type="http://schemas.openxmlformats.org/officeDocument/2006/relationships/hyperlink" Target="https://ec.europa.eu/eurostat/databrowser/view/demo_pjan/default/table" TargetMode="External"/><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chttps://road-safety.transport.ec.europa.eu/document/download/93e39cd2-9e71-4ee0-8a8e-4de4fddaf068_en?filename=NWA-Handbook8.pdf" TargetMode="External"/><Relationship Id="rId18" Type="http://schemas.openxmlformats.org/officeDocument/2006/relationships/hyperlink" Target="https://eur-lex.europa.eu/legal-content/FR/TXT/?uri=CELEX:32019R2144" TargetMode="External"/><Relationship Id="rId26" Type="http://schemas.openxmlformats.org/officeDocument/2006/relationships/hyperlink" Target="https://evoroads-project.eu/" TargetMode="External"/><Relationship Id="rId39" Type="http://schemas.openxmlformats.org/officeDocument/2006/relationships/hyperlink" Target="https://ec.europa.eu/eurostat/databrowser/view/demo_pjanbroad/default/table" TargetMode="External"/><Relationship Id="rId21" Type="http://schemas.openxmlformats.org/officeDocument/2006/relationships/hyperlink" Target="https://doi.org/10.1016/j.aap.2009.12.012" TargetMode="External"/><Relationship Id="rId34" Type="http://schemas.openxmlformats.org/officeDocument/2006/relationships/hyperlink" Target="https://protact-us.eu/" TargetMode="External"/><Relationship Id="rId42" Type="http://schemas.openxmlformats.org/officeDocument/2006/relationships/hyperlink" Target="https://etsc.eu/reducing-older-peoples-deaths-on-european-roads-pin-flash-45/" TargetMode="External"/><Relationship Id="rId47" Type="http://schemas.openxmlformats.org/officeDocument/2006/relationships/hyperlink" Target="https://data.europa.eu/doi/10.2832/2974277" TargetMode="External"/><Relationship Id="rId50" Type="http://schemas.openxmlformats.org/officeDocument/2006/relationships/hyperlink" Target="https://www.cedr.eu/download/Publications/2008/e_Road_Safety_Investments_Report.pdf" TargetMode="External"/><Relationship Id="rId55" Type="http://schemas.openxmlformats.org/officeDocument/2006/relationships/hyperlink" Target="https://op.europa.eu/fr/publication-detail/-/publication/4286a092-a55f-11ef-85f0-01aa75ed71a1" TargetMode="External"/><Relationship Id="rId63" Type="http://schemas.openxmlformats.org/officeDocument/2006/relationships/hyperlink" Target="https://eur-lex.europa.eu/legal-content/FR/TXT/?uri=celex:52025DC0095" TargetMode="External"/><Relationship Id="rId7" Type="http://schemas.openxmlformats.org/officeDocument/2006/relationships/hyperlink" Target="https://transport.ec.europa.eu/transport-themes/urban-transport/expert-group-urban-mobility_en?prefLang=fr" TargetMode="External"/><Relationship Id="rId2" Type="http://schemas.openxmlformats.org/officeDocument/2006/relationships/hyperlink" Target="https://eur-lex.europa.eu/legal-content/FR/TXT/?uri=celex:52018DC0293" TargetMode="External"/><Relationship Id="rId16" Type="http://schemas.openxmlformats.org/officeDocument/2006/relationships/hyperlink" Target="https://eur-lex.europa.eu/legal-content/fr/TXT/PDF/?uri=OJ:C_202402377" TargetMode="External"/><Relationship Id="rId20" Type="http://schemas.openxmlformats.org/officeDocument/2006/relationships/hyperlink" Target="https://www.who.int/publications/m/item/speed-management--a-road-safety-manual-for-decision-makers-and-practitioners.-2nd-edition." TargetMode="External"/><Relationship Id="rId29" Type="http://schemas.openxmlformats.org/officeDocument/2006/relationships/hyperlink" Target="https://www.safe-up.eu/" TargetMode="External"/><Relationship Id="rId41" Type="http://schemas.openxmlformats.org/officeDocument/2006/relationships/hyperlink" Target="https://road-safety.transport.ec.europa.eu/european-road-safety-observatory/data-and-analysis/thematic-reports_en?prefLang=fr" TargetMode="External"/><Relationship Id="rId54" Type="http://schemas.openxmlformats.org/officeDocument/2006/relationships/hyperlink" Target="https://transport.ec.europa.eu/transport-themes/urban-transport/expert-group-urban-mobility_en?prefLang=fr" TargetMode="External"/><Relationship Id="rId62" Type="http://schemas.openxmlformats.org/officeDocument/2006/relationships/hyperlink" Target="https://eur-lex.europa.eu/legal-content/FR/TXT/?uri=CELEX:32024L3237" TargetMode="External"/><Relationship Id="rId1" Type="http://schemas.openxmlformats.org/officeDocument/2006/relationships/hyperlink" Target="https://eur-lex.europa.eu/legal-content/FR/TXT/?uri=celex:52025DC0095" TargetMode="External"/><Relationship Id="rId6" Type="http://schemas.openxmlformats.org/officeDocument/2006/relationships/hyperlink" Target="https://road-safety.transport.ec.europa.eu/european-road-safety-observatory/methodology-and-research/care-database_en?prefLang=fr" TargetMode="External"/><Relationship Id="rId11" Type="http://schemas.openxmlformats.org/officeDocument/2006/relationships/hyperlink" Target="https://eur-lex.europa.eu/legal-content/fr/TXT/?uri=CELEX%3A32019L1936" TargetMode="External"/><Relationship Id="rId24" Type="http://schemas.openxmlformats.org/officeDocument/2006/relationships/hyperlink" Target="https://etsc.eu/projects/eu-road-safety-exchange/" TargetMode="External"/><Relationship Id="rId32" Type="http://schemas.openxmlformats.org/officeDocument/2006/relationships/hyperlink" Target="https://reallocatemobility.eu/" TargetMode="External"/><Relationship Id="rId37" Type="http://schemas.openxmlformats.org/officeDocument/2006/relationships/hyperlink" Target="https://eur-lex.europa.eu/homepage.html?locale=fr" TargetMode="External"/><Relationship Id="rId40" Type="http://schemas.openxmlformats.org/officeDocument/2006/relationships/hyperlink" Target="https://ec.europa.eu/eurostat/statistics-explained/index.php?title=Population_structure_and_ageing" TargetMode="External"/><Relationship Id="rId45" Type="http://schemas.openxmlformats.org/officeDocument/2006/relationships/hyperlink" Target="https://www.sciencedirect.com/science/article/pii/S2214140525001537" TargetMode="External"/><Relationship Id="rId53" Type="http://schemas.openxmlformats.org/officeDocument/2006/relationships/hyperlink" Target="https://eur-lex.europa.eu/legal-content/FR/AUTO/?uri=CELEX:32023L2661" TargetMode="External"/><Relationship Id="rId58" Type="http://schemas.openxmlformats.org/officeDocument/2006/relationships/hyperlink" Target="https://road-safety-charter.ec.europa.eu/content/excellence-road-safety-awards" TargetMode="External"/><Relationship Id="rId5" Type="http://schemas.openxmlformats.org/officeDocument/2006/relationships/hyperlink" Target="https://road-safety.transport.ec.europa.eu/european-road-safety-observatory/data-and-analysis/thematic-reports_en?prefLang=fr" TargetMode="External"/><Relationship Id="rId15" Type="http://schemas.openxmlformats.org/officeDocument/2006/relationships/hyperlink" Target="https://webgate.ec.europa.eu/tentec-maps/web/public/screen/home" TargetMode="External"/><Relationship Id="rId23" Type="http://schemas.openxmlformats.org/officeDocument/2006/relationships/hyperlink" Target="https://road-safety-charter.ec.europa.eu/" TargetMode="External"/><Relationship Id="rId28" Type="http://schemas.openxmlformats.org/officeDocument/2006/relationships/hyperlink" Target="https://soteriaproject.eu/" TargetMode="External"/><Relationship Id="rId36" Type="http://schemas.openxmlformats.org/officeDocument/2006/relationships/hyperlink" Target="https://road-safety.transport.ec.europa.eu/index_fr" TargetMode="External"/><Relationship Id="rId49" Type="http://schemas.openxmlformats.org/officeDocument/2006/relationships/hyperlink" Target="https://swov.nl/nl/publicatie/verkeersveiligheidseffecten-van-2e-tranchemaatregelen" TargetMode="External"/><Relationship Id="rId57" Type="http://schemas.openxmlformats.org/officeDocument/2006/relationships/hyperlink" Target="https://road-safety-charter.ec.europa.eu/" TargetMode="External"/><Relationship Id="rId61" Type="http://schemas.openxmlformats.org/officeDocument/2006/relationships/hyperlink" Target="https://eur-lex.europa.eu/legal-content/FR/TXT/?uri=CELEX%3A32025L2206" TargetMode="External"/><Relationship Id="rId10" Type="http://schemas.openxmlformats.org/officeDocument/2006/relationships/hyperlink" Target="https://road-safety.transport.ec.europa.eu/what-we-do/high-level-group-road-safety_en?prefLang=fr" TargetMode="External"/><Relationship Id="rId19" Type="http://schemas.openxmlformats.org/officeDocument/2006/relationships/hyperlink" Target="https://eur-lex.europa.eu/legal-content/FR/ALL/?uri=CELEX:32025L2205" TargetMode="External"/><Relationship Id="rId31" Type="http://schemas.openxmlformats.org/officeDocument/2006/relationships/hyperlink" Target="https://phoebe-project.eu/" TargetMode="External"/><Relationship Id="rId44" Type="http://schemas.openxmlformats.org/officeDocument/2006/relationships/hyperlink" Target="https://ec.europa.eu/eurostat/web/degree-of-urbanisation/publications" TargetMode="External"/><Relationship Id="rId52" Type="http://schemas.openxmlformats.org/officeDocument/2006/relationships/hyperlink" Target="https://road-safety.transport.ec.europa.eu/eu-road-safety-policy/priorities/infrastructure/road-infrastructure-guidelines_en?prefLang=fr" TargetMode="External"/><Relationship Id="rId60" Type="http://schemas.openxmlformats.org/officeDocument/2006/relationships/hyperlink" Target="https://eur-lex.europa.eu/legal-content/FR/TXT/?uri=CELEX%3A32025L2205" TargetMode="External"/><Relationship Id="rId4" Type="http://schemas.openxmlformats.org/officeDocument/2006/relationships/hyperlink" Target="https://trendlineproject.eu/" TargetMode="External"/><Relationship Id="rId9" Type="http://schemas.openxmlformats.org/officeDocument/2006/relationships/hyperlink" Target="https://road-safety.transport.ec.europa.eu/eu-road-safety-policy/priorities/safe-road-use/alcohol_en" TargetMode="External"/><Relationship Id="rId14" Type="http://schemas.openxmlformats.org/officeDocument/2006/relationships/hyperlink" Target="https://webgate.ec.europa.eu/tentec-maps/web/public/screen/home" TargetMode="External"/><Relationship Id="rId22" Type="http://schemas.openxmlformats.org/officeDocument/2006/relationships/hyperlink" Target="https://trendlineproject.eu/media/pages/trendline-results/c0a640421f-1764252485/kpi-post-crash-care-report.pdf" TargetMode="External"/><Relationship Id="rId27" Type="http://schemas.openxmlformats.org/officeDocument/2006/relationships/hyperlink" Target="https://idriving-project.eu/" TargetMode="External"/><Relationship Id="rId30" Type="http://schemas.openxmlformats.org/officeDocument/2006/relationships/hyperlink" Target="https://mediatorproject.eu/" TargetMode="External"/><Relationship Id="rId35" Type="http://schemas.openxmlformats.org/officeDocument/2006/relationships/hyperlink" Target="https://improva-roadsafety.eu/" TargetMode="External"/><Relationship Id="rId43" Type="http://schemas.openxmlformats.org/officeDocument/2006/relationships/hyperlink" Target="https://ec.europa.eu/eurostat/databrowser/view/cens_21urb01$defaultview/default/table?lang=fr" TargetMode="External"/><Relationship Id="rId48" Type="http://schemas.openxmlformats.org/officeDocument/2006/relationships/hyperlink" Target="https://op.europa.eu/en/" TargetMode="External"/><Relationship Id="rId56" Type="http://schemas.openxmlformats.org/officeDocument/2006/relationships/hyperlink" Target="https://urban-mobility-observatory.transport.ec.europa.eu/sustainable-urban-mobility-plans/expert-corner-sump-reference-materials_en?prefLang=fr" TargetMode="External"/><Relationship Id="rId8" Type="http://schemas.openxmlformats.org/officeDocument/2006/relationships/hyperlink" Target="https://road-safety.transport.ec.europa.eu/european-road-safety-observatory/data-and-analysis/thematic-reports_en" TargetMode="External"/><Relationship Id="rId51" Type="http://schemas.openxmlformats.org/officeDocument/2006/relationships/hyperlink" Target="https://www.acea.auto/publication/report-vehicles-on-european-roads-2025/." TargetMode="External"/><Relationship Id="rId3" Type="http://schemas.openxmlformats.org/officeDocument/2006/relationships/hyperlink" Target="https://baseline.vias.be/en/about-the-project" TargetMode="External"/><Relationship Id="rId12" Type="http://schemas.openxmlformats.org/officeDocument/2006/relationships/hyperlink" Target="http://data.europa.eu/eli/dir/2019/1936/oj" TargetMode="External"/><Relationship Id="rId17" Type="http://schemas.openxmlformats.org/officeDocument/2006/relationships/hyperlink" Target="http://data.europa.eu/eli/dir/2023/2661/oj" TargetMode="External"/><Relationship Id="rId25" Type="http://schemas.openxmlformats.org/officeDocument/2006/relationships/hyperlink" Target="https://www.eca.europa.eu/ECAPublications/SR-2024-04/SR-2024-04_fr.pdf" TargetMode="External"/><Relationship Id="rId33" Type="http://schemas.openxmlformats.org/officeDocument/2006/relationships/hyperlink" Target="https://panacea-project.eu/" TargetMode="External"/><Relationship Id="rId38" Type="http://schemas.openxmlformats.org/officeDocument/2006/relationships/hyperlink" Target="https://ec.europa.eu/eurostat/databrowser/view/proj_23np/default/table?category=proj.proj_23n" TargetMode="External"/><Relationship Id="rId46" Type="http://schemas.openxmlformats.org/officeDocument/2006/relationships/hyperlink" Target="https://eur-lex.europa.eu/eli/reg/2024/2847/oj/fra" TargetMode="External"/><Relationship Id="rId59" Type="http://schemas.openxmlformats.org/officeDocument/2006/relationships/hyperlink" Target="https://road-safety.transport.ec.europa.eu/european-road-safety-observatory_en?pref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7" ma:contentTypeDescription="Create a new document." ma:contentTypeScope="" ma:versionID="3f6025a07d42a7b82ca44aa5a0e00792">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a95fba7351d9136b54ec531a18d35295"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5c74af-aff0-46b1-b28f-24e3911f6a77}"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451CE-B3DF-47A8-8DCC-9EFEC2BC613A}">
  <ds:schemaRefs>
    <ds:schemaRef ds:uri="http://schemas.microsoft.com/sharepoint/v3/contenttype/forms"/>
  </ds:schemaRefs>
</ds:datastoreItem>
</file>

<file path=customXml/itemProps2.xml><?xml version="1.0" encoding="utf-8"?>
<ds:datastoreItem xmlns:ds="http://schemas.openxmlformats.org/officeDocument/2006/customXml" ds:itemID="{CDB62269-9C4D-4E08-B8F6-CFA2B4162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BA9472-77CB-46A1-A474-F2B26BD3838A}">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customXml/itemProps4.xml><?xml version="1.0" encoding="utf-8"?>
<ds:datastoreItem xmlns:ds="http://schemas.openxmlformats.org/officeDocument/2006/customXml" ds:itemID="{77A5EB64-D1F3-464E-B1DD-F808C474B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32</Pages>
  <Words>11100</Words>
  <Characters>63273</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2026-02-05T12:30:00Z</dcterms:created>
  <dcterms:modified xsi:type="dcterms:W3CDTF">2026-02-12T13:25:00Z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2025-08-20T17:00:15Z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a05d4eb7-dcb6-4ade-a2cb-db362161dc65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0x0101008B18F24F2D4E8140A461B5DCD99F9D2E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CP-014</vt:lpwstr>
  </property>
  <property fmtid="{D5CDD505-2E9C-101B-9397-08002B2CF9AE}" pid="17" name="Last edited using">
    <vt:lpwstr>LW 9.2, Build 20250828</vt:lpwstr>
  </property>
  <property fmtid="{D5CDD505-2E9C-101B-9397-08002B2CF9AE}" pid="18" name="Created using">
    <vt:lpwstr>LW 9.2, Build 20250828</vt:lpwstr>
  </property>
</Properties>
</file>