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76D6A" w14:textId="353017AD" w:rsidR="00671023" w:rsidRPr="00A207CB" w:rsidRDefault="00A91CD9" w:rsidP="00A91CD9">
      <w:pPr>
        <w:pStyle w:val="Pagedecouverture"/>
        <w:rPr>
          <w:noProof/>
        </w:rPr>
      </w:pPr>
      <w:bookmarkStart w:id="0" w:name="_Toc21600498"/>
      <w:bookmarkStart w:id="1" w:name="_Toc21618407"/>
      <w:bookmarkStart w:id="2" w:name="LW_BM_COVERPAGE"/>
      <w:r>
        <w:rPr>
          <w:noProof/>
        </w:rPr>
        <w:pict w14:anchorId="2C8E22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2C317A-D094-46C0-B163-901277FDD165" style="width:455.25pt;height:438pt">
            <v:imagedata r:id="rId11" o:title=""/>
          </v:shape>
        </w:pict>
      </w:r>
    </w:p>
    <w:bookmarkEnd w:id="2"/>
    <w:p w14:paraId="2F2D2DF0" w14:textId="77777777" w:rsidR="00671023" w:rsidRPr="00A207CB" w:rsidRDefault="00671023" w:rsidP="00671023">
      <w:pPr>
        <w:spacing w:after="120" w:line="23" w:lineRule="atLeast"/>
        <w:rPr>
          <w:noProof/>
        </w:rPr>
        <w:sectPr w:rsidR="00671023" w:rsidRPr="00A207CB" w:rsidSect="00A91CD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5D634EE4" w14:textId="3ACFDA12" w:rsidR="00671023" w:rsidRPr="00A207CB" w:rsidRDefault="00671023" w:rsidP="002B156C">
      <w:pPr>
        <w:pStyle w:val="TOCHeading"/>
        <w:rPr>
          <w:noProof/>
        </w:rPr>
      </w:pPr>
      <w:bookmarkStart w:id="3" w:name="_Toc25854784"/>
      <w:bookmarkStart w:id="4" w:name="_Toc25446676"/>
      <w:bookmarkStart w:id="5" w:name="_Toc25533747"/>
      <w:bookmarkStart w:id="6" w:name="_GoBack"/>
      <w:bookmarkEnd w:id="0"/>
      <w:bookmarkEnd w:id="1"/>
      <w:bookmarkEnd w:id="6"/>
    </w:p>
    <w:p w14:paraId="45D67258" w14:textId="77777777" w:rsidR="00671023" w:rsidRPr="00A207CB" w:rsidRDefault="00671023" w:rsidP="00AD2038">
      <w:pPr>
        <w:pStyle w:val="Heading1"/>
        <w:keepLines w:val="0"/>
        <w:numPr>
          <w:ilvl w:val="0"/>
          <w:numId w:val="40"/>
        </w:numPr>
        <w:tabs>
          <w:tab w:val="num" w:pos="482"/>
        </w:tabs>
        <w:spacing w:before="240" w:after="120" w:line="23" w:lineRule="atLeast"/>
        <w:ind w:left="482" w:hanging="482"/>
        <w:rPr>
          <w:rFonts w:ascii="Times New Roman" w:eastAsia="Times New Roman" w:hAnsi="Times New Roman" w:cs="Times New Roman"/>
          <w:b/>
          <w:smallCaps/>
          <w:noProof/>
          <w:color w:val="000000" w:themeColor="text1"/>
          <w:sz w:val="24"/>
          <w:szCs w:val="20"/>
          <w14:ligatures w14:val="none"/>
        </w:rPr>
      </w:pPr>
      <w:bookmarkStart w:id="7" w:name="_Toc206610415"/>
      <w:r w:rsidRPr="00A207CB">
        <w:rPr>
          <w:rFonts w:ascii="Times New Roman" w:hAnsi="Times New Roman"/>
          <w:b/>
          <w:smallCaps/>
          <w:noProof/>
          <w:color w:val="000000" w:themeColor="text1"/>
          <w:sz w:val="24"/>
        </w:rPr>
        <w:t>Introducere</w:t>
      </w:r>
      <w:bookmarkEnd w:id="7"/>
      <w:r w:rsidRPr="00A207CB">
        <w:rPr>
          <w:rFonts w:ascii="Times New Roman" w:hAnsi="Times New Roman"/>
          <w:b/>
          <w:smallCaps/>
          <w:noProof/>
          <w:color w:val="000000" w:themeColor="text1"/>
          <w:sz w:val="24"/>
        </w:rPr>
        <w:t xml:space="preserve"> </w:t>
      </w:r>
      <w:bookmarkEnd w:id="3"/>
      <w:bookmarkEnd w:id="4"/>
      <w:bookmarkEnd w:id="5"/>
    </w:p>
    <w:p w14:paraId="4EED7AED" w14:textId="278D4708" w:rsidR="00671023" w:rsidRPr="00A207CB" w:rsidRDefault="00671023" w:rsidP="2578396B">
      <w:pPr>
        <w:spacing w:after="120" w:line="23" w:lineRule="atLeast"/>
        <w:rPr>
          <w:noProof/>
        </w:rPr>
      </w:pPr>
      <w:bookmarkStart w:id="8" w:name="_Toc21618408"/>
      <w:r w:rsidRPr="00A207CB">
        <w:rPr>
          <w:noProof/>
        </w:rPr>
        <w:t>În fiecare an, pe drumurile din UE își pierd viața aproape 20 000 de oameni – un preț devastator, care nu este doar o simplă statistică, ci o realitate care distruge familii, lasă comunități în doliu și irosește pentru totdeauna un potențial uman nemăsurabil. De până la cinci ori mai multe persoane – 100 000 de oameni – suferă vătămări pe șosele care le modifică în mod fundamental cursul vieții. Aceste vătămări care le schimbă viața înseamnă adesea invaliditate permanentă, durere cronică și pierderea mijloacelor de subzistență; ele au un impact profund asupra calității vieții care se extinde cu mult dincolo de victimele imediate, la familii, îngrijitori și rețele sociale mai ample.</w:t>
      </w:r>
    </w:p>
    <w:p w14:paraId="0791B197" w14:textId="43DAD588" w:rsidR="00671023" w:rsidRPr="00A207CB" w:rsidRDefault="00671023" w:rsidP="534C8FBB">
      <w:pPr>
        <w:rPr>
          <w:noProof/>
        </w:rPr>
      </w:pPr>
      <w:r w:rsidRPr="00A207CB">
        <w:rPr>
          <w:noProof/>
        </w:rPr>
        <w:t>Costul uman al coliziunilor rutiere este dimensiunea cea mai vizibilă și mai tragică. Există însă și povara economică a accidentelor rutiere; în termeni monetari, costul accidentelor rutiere în UE a fost estimat la 2 % din PIB pe an</w:t>
      </w:r>
      <w:r w:rsidRPr="00A207CB">
        <w:rPr>
          <w:rStyle w:val="FootnoteReference"/>
          <w:rFonts w:eastAsia="Verdana"/>
          <w:noProof/>
        </w:rPr>
        <w:footnoteReference w:id="2"/>
      </w:r>
      <w:r w:rsidRPr="00A207CB">
        <w:rPr>
          <w:noProof/>
        </w:rPr>
        <w:t xml:space="preserve">. Aceste resurse ar putea contribui la inovare, educație, asistență medicală și alte investiții publice esențiale. Siguranța rutieră ar trebui să fie un pilon al competitivității economice a UE, deoarece ea influențează în mod direct circulația eficientă a mărfurilor și a forței de muncă, precum și costurile operaționale ale întreprinderilor din toate sectoarele. </w:t>
      </w:r>
    </w:p>
    <w:p w14:paraId="126B488D" w14:textId="3D6B7D75" w:rsidR="00BC21BD" w:rsidRPr="00A207CB" w:rsidRDefault="00574E56" w:rsidP="00BC21BD">
      <w:pPr>
        <w:spacing w:after="120" w:line="23" w:lineRule="atLeast"/>
        <w:rPr>
          <w:noProof/>
        </w:rPr>
      </w:pPr>
      <w:r w:rsidRPr="00A207CB">
        <w:rPr>
          <w:noProof/>
        </w:rPr>
        <w:t>Tranziția către o mobilitate mai sigură și mai durabilă este, de asemenea, esențială pentru menținerea poziției de lider industrial și a competitivității UE pe piețele mondiale</w:t>
      </w:r>
      <w:r w:rsidRPr="00A207CB">
        <w:rPr>
          <w:rStyle w:val="FootnoteReference"/>
          <w:noProof/>
        </w:rPr>
        <w:footnoteReference w:id="3"/>
      </w:r>
      <w:r w:rsidRPr="00A207CB">
        <w:rPr>
          <w:noProof/>
        </w:rPr>
        <w:t xml:space="preserve">. Producătorii europeni de autovehicule și rețelele lor de furnizori se află în avangarda dezvoltării de tehnologii de siguranță avansate, de la sisteme autonome de frânare de urgență la conectivitatea vehiculelor, poziționând UE ca lider mondial în inovarea în domeniul siguranței autovehiculelor. Angajamentele în materie de siguranță rutieră nu numai că salvează vieți, ci stimulează în același timp progresul tehnologic, creează locuri de muncă de înaltă calificare și mențin avantajul competitiv al UE pe o piață mondială a autovehiculelor aflată în rapidă evoluție. Investițiile în siguranța rutieră contribuie totodată la pregătirea și reziliența UE prin protejarea continuității și a fiabilității infrastructurii rutiere critice și a serviciilor conexe, în special acolo unde coridoarele și nodurile rutiere sprijină atât nevoile civile, cât și pe cele de apărare. </w:t>
      </w:r>
    </w:p>
    <w:p w14:paraId="4438F9E8" w14:textId="5AF6A1D2" w:rsidR="00671023" w:rsidRPr="00A207CB" w:rsidRDefault="00671023" w:rsidP="00671023">
      <w:pPr>
        <w:spacing w:after="120" w:line="23" w:lineRule="atLeast"/>
        <w:rPr>
          <w:noProof/>
        </w:rPr>
      </w:pPr>
      <w:r w:rsidRPr="00A207CB">
        <w:rPr>
          <w:noProof/>
        </w:rPr>
        <w:t>UE și statele sale membre și-au luat un angajament ferm în ceea ce privește siguranța rutieră. La nivelul UE, acest lucru s-a reflectat, cel mai recent, în Cadrul de politică al UE privind siguranța rutieră 2021-2030</w:t>
      </w:r>
      <w:r w:rsidRPr="00A207CB">
        <w:rPr>
          <w:rStyle w:val="FootnoteReference"/>
          <w:noProof/>
        </w:rPr>
        <w:footnoteReference w:id="4"/>
      </w:r>
      <w:r w:rsidRPr="00A207CB">
        <w:rPr>
          <w:noProof/>
        </w:rPr>
        <w:t>, care a reiterat obiectivele comune de înjumătățire a deceselor și vătămărilor grave cauzate de accidentele rutiere până în 2030</w:t>
      </w:r>
      <w:r w:rsidRPr="00A207CB">
        <w:rPr>
          <w:rStyle w:val="FootnoteReference"/>
          <w:noProof/>
        </w:rPr>
        <w:footnoteReference w:id="5"/>
      </w:r>
      <w:r w:rsidRPr="00A207CB">
        <w:rPr>
          <w:noProof/>
        </w:rPr>
        <w:t xml:space="preserve"> și de realizare a „Viziunii zero”, pentru a elimina cvasitotalitatea deceselor cauzate de accidentele rutiere până în 2050. În vederea atingerii acestor obiective, statele membre au adoptat și implementat strategii naționale, planuri de acțiune și alte forme de angajament, cum ar fi acordurile interministeriale și structurile federale de cooperare. </w:t>
      </w:r>
    </w:p>
    <w:p w14:paraId="58D80FD2" w14:textId="7D92BFD7" w:rsidR="00671023" w:rsidRPr="00A207CB" w:rsidRDefault="00671023" w:rsidP="00671023">
      <w:pPr>
        <w:spacing w:after="120" w:line="23" w:lineRule="atLeast"/>
        <w:rPr>
          <w:bCs/>
          <w:noProof/>
        </w:rPr>
      </w:pPr>
      <w:r w:rsidRPr="00A207CB">
        <w:rPr>
          <w:noProof/>
        </w:rPr>
        <w:t>Cadrul de politică al UE privind siguranța rutieră 2021-2030 a urmărit principalele domenii prioritare ale abordării „sistemului sigur”, cum ar fi drumuri și acostamente mai sigure, vehicule mai sigure, o utilizare mai sigură a drumurilor, ameliorarea intervențiilor post-coliziune și a colectării și analizării datelor. Acesta a subliniat importanța crucială a abordării principalilor factori de risc – viteza excesivă, conducerea sub influența alcoolului, distragerea atenției și neutilizarea echipamentelor de protecție – acordând în același timp o atenție deosebită utilizatorilor vulnerabili ai drumurilor, cum ar fi pietonii, bicicliștii și motocicliștii.</w:t>
      </w:r>
    </w:p>
    <w:p w14:paraId="73E3E39F" w14:textId="47626FD2" w:rsidR="00671023" w:rsidRPr="00A207CB" w:rsidRDefault="00671023" w:rsidP="00671023">
      <w:pPr>
        <w:spacing w:after="120" w:line="23" w:lineRule="atLeast"/>
        <w:rPr>
          <w:bCs/>
          <w:noProof/>
        </w:rPr>
      </w:pPr>
      <w:r w:rsidRPr="00A207CB">
        <w:rPr>
          <w:noProof/>
        </w:rPr>
        <w:t>Prezenta comunicare este un raport intermediar privind progresele înregistrate în direcția atingerii obiectivelor UE în materie de siguranță rutieră, care face bilanțul evoluțiilor înregistrate începând din 2019, identifică provocările emergente care nu au fost pe deplin anticipate de cadrul inițial și propune ajustări pentru a se asigura că UE rămâne pe drumul cel bun în îndeplinirea obiectivelor sale pentru 2030. Analiza sa evidențiază progrese încurajatoare în anumite domenii, dar indică și unele lacune semnificative care necesită o atenție imediată și acțiuni mai ferme pentru a salva vieți, a reduce sarcina economică și a consolida competitivitatea UE.</w:t>
      </w:r>
    </w:p>
    <w:p w14:paraId="06C50A5D" w14:textId="77777777" w:rsidR="00671023" w:rsidRPr="00A207CB" w:rsidRDefault="00671023" w:rsidP="00AD203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9" w:name="_Toc25673410"/>
      <w:bookmarkStart w:id="10" w:name="_Toc25673458"/>
      <w:bookmarkStart w:id="11" w:name="_Toc25673411"/>
      <w:bookmarkStart w:id="12" w:name="_Toc25673459"/>
      <w:bookmarkStart w:id="13" w:name="_Toc25673412"/>
      <w:bookmarkStart w:id="14" w:name="_Toc25673460"/>
      <w:bookmarkStart w:id="15" w:name="_Toc25673414"/>
      <w:bookmarkStart w:id="16" w:name="_Toc25673462"/>
      <w:bookmarkStart w:id="17" w:name="_Toc25673415"/>
      <w:bookmarkStart w:id="18" w:name="_Toc25673463"/>
      <w:bookmarkStart w:id="19" w:name="_Toc25673416"/>
      <w:bookmarkStart w:id="20" w:name="_Toc25673464"/>
      <w:bookmarkStart w:id="21" w:name="_Toc25673417"/>
      <w:bookmarkStart w:id="22" w:name="_Toc25673465"/>
      <w:bookmarkStart w:id="23" w:name="_Toc25673418"/>
      <w:bookmarkStart w:id="24" w:name="_Toc25673466"/>
      <w:bookmarkStart w:id="25" w:name="_Toc25673419"/>
      <w:bookmarkStart w:id="26" w:name="_Toc25673467"/>
      <w:bookmarkStart w:id="27" w:name="_Toc25527645"/>
      <w:bookmarkStart w:id="28" w:name="_Toc25531517"/>
      <w:bookmarkStart w:id="29" w:name="_Toc25533748"/>
      <w:bookmarkStart w:id="30" w:name="_Toc25533799"/>
      <w:bookmarkStart w:id="31" w:name="_Toc25535152"/>
      <w:bookmarkStart w:id="32" w:name="_Toc23855508"/>
      <w:bookmarkStart w:id="33" w:name="_Toc23855545"/>
      <w:bookmarkStart w:id="34" w:name="_Toc23855581"/>
      <w:bookmarkStart w:id="35" w:name="_Toc25673422"/>
      <w:bookmarkStart w:id="36" w:name="_Toc25673470"/>
      <w:bookmarkStart w:id="37" w:name="_Toc25673575"/>
      <w:bookmarkStart w:id="38" w:name="_Toc24475290"/>
      <w:bookmarkStart w:id="39" w:name="_Toc206610416"/>
      <w:bookmarkStart w:id="40" w:name="_Toc24044210"/>
      <w:bookmarkStart w:id="41" w:name="_Toc25446678"/>
      <w:bookmarkStart w:id="42" w:name="_Toc25533750"/>
      <w:bookmarkStart w:id="43" w:name="_Toc25685794"/>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A207CB">
        <w:rPr>
          <w:rFonts w:ascii="Times New Roman" w:hAnsi="Times New Roman"/>
          <w:b/>
          <w:smallCaps/>
          <w:noProof/>
          <w:color w:val="000000" w:themeColor="text1"/>
          <w:sz w:val="24"/>
        </w:rPr>
        <w:t>Progresele înregistrate în direcția atingerii obiectivelor de siguranță rutieră</w:t>
      </w:r>
      <w:bookmarkEnd w:id="39"/>
      <w:r w:rsidRPr="00A207CB">
        <w:rPr>
          <w:rFonts w:ascii="Times New Roman" w:hAnsi="Times New Roman"/>
          <w:b/>
          <w:smallCaps/>
          <w:noProof/>
          <w:color w:val="000000" w:themeColor="text1"/>
          <w:sz w:val="24"/>
        </w:rPr>
        <w:t xml:space="preserve"> </w:t>
      </w:r>
    </w:p>
    <w:p w14:paraId="502B3FA4" w14:textId="2668940C" w:rsidR="00671023" w:rsidRPr="00A207CB" w:rsidRDefault="00671023" w:rsidP="00671023">
      <w:pPr>
        <w:spacing w:after="120" w:line="23" w:lineRule="atLeast"/>
        <w:rPr>
          <w:noProof/>
        </w:rPr>
      </w:pPr>
      <w:bookmarkStart w:id="44" w:name="_Toc24027064"/>
      <w:bookmarkStart w:id="45" w:name="_Toc24044211"/>
      <w:bookmarkStart w:id="46" w:name="_Toc25446679"/>
      <w:bookmarkStart w:id="47" w:name="_Toc25533751"/>
      <w:bookmarkStart w:id="48" w:name="_Toc25685795"/>
      <w:bookmarkStart w:id="49" w:name="_Toc25854787"/>
      <w:bookmarkEnd w:id="44"/>
      <w:r w:rsidRPr="00A207CB">
        <w:rPr>
          <w:noProof/>
          <w:shd w:val="clear" w:color="auto" w:fill="FFFFFF" w:themeFill="background1"/>
        </w:rPr>
        <w:t xml:space="preserve">Cele mai recente date arată că 19 900 de persoane au fost ucise în accidente rutiere în UE în 2024. Aceasta înseamnă </w:t>
      </w:r>
      <w:r w:rsidRPr="00A207CB">
        <w:rPr>
          <w:noProof/>
        </w:rPr>
        <w:t>cu 440 mai puține pierderi de vieți omenești decât în 2023 – o scădere cu 2 %</w:t>
      </w:r>
      <w:r w:rsidRPr="00A207CB">
        <w:rPr>
          <w:rStyle w:val="FootnoteReference"/>
          <w:noProof/>
        </w:rPr>
        <w:footnoteReference w:id="6"/>
      </w:r>
      <w:r w:rsidRPr="00A207CB">
        <w:rPr>
          <w:noProof/>
        </w:rPr>
        <w:t xml:space="preserve">. Având în vedere creșterea numărului de vehicule per persoană și a numărului de kilometri parcurși, aceasta este o realizare semnificativă, care subliniază însă în același timp necesitatea unor eforturi susținute la toate nivelurile. </w:t>
      </w:r>
    </w:p>
    <w:p w14:paraId="2376CC85" w14:textId="77777777" w:rsidR="0091139A" w:rsidRPr="00A207CB" w:rsidRDefault="0091139A" w:rsidP="00671023">
      <w:pPr>
        <w:spacing w:after="120" w:line="23" w:lineRule="atLeast"/>
        <w:rPr>
          <w:noProof/>
        </w:rPr>
      </w:pPr>
    </w:p>
    <w:p w14:paraId="7FD8CEAE" w14:textId="3CD0E58A" w:rsidR="00617833" w:rsidRPr="00A207CB" w:rsidRDefault="000E7CA2" w:rsidP="00671023">
      <w:pPr>
        <w:spacing w:after="120" w:line="23" w:lineRule="atLeast"/>
        <w:rPr>
          <w:noProof/>
        </w:rPr>
      </w:pPr>
      <w:r w:rsidRPr="00A207CB">
        <w:rPr>
          <w:noProof/>
          <w:lang w:val="en-GB"/>
        </w:rPr>
        <w:drawing>
          <wp:inline distT="0" distB="0" distL="0" distR="0" wp14:anchorId="3502A365" wp14:editId="41431F60">
            <wp:extent cx="4572000" cy="2690283"/>
            <wp:effectExtent l="0" t="0" r="0" b="15240"/>
            <wp:docPr id="736411810" name="Chart 1">
              <a:extLst xmlns:a="http://schemas.openxmlformats.org/drawingml/2006/main">
                <a:ext uri="{FF2B5EF4-FFF2-40B4-BE49-F238E27FC236}">
                  <a16:creationId xmlns:a16="http://schemas.microsoft.com/office/drawing/2014/main" id="{F04790FC-2CDD-4340-A963-EC8D4F2884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A392D8" w14:textId="5E2A3DF2" w:rsidR="00855C16" w:rsidRPr="00A207CB" w:rsidRDefault="00934C54" w:rsidP="00BB60D9">
      <w:pPr>
        <w:rPr>
          <w:i/>
          <w:iCs/>
          <w:noProof/>
          <w:sz w:val="22"/>
          <w:szCs w:val="22"/>
        </w:rPr>
      </w:pPr>
      <w:r w:rsidRPr="00A207CB">
        <w:rPr>
          <w:i/>
          <w:noProof/>
          <w:sz w:val="22"/>
        </w:rPr>
        <w:t xml:space="preserve">Figura </w:t>
      </w:r>
      <w:r w:rsidRPr="00A207CB">
        <w:rPr>
          <w:i/>
          <w:noProof/>
          <w:sz w:val="22"/>
        </w:rPr>
        <w:fldChar w:fldCharType="begin"/>
      </w:r>
      <w:r w:rsidRPr="00A207CB">
        <w:rPr>
          <w:i/>
          <w:noProof/>
          <w:sz w:val="22"/>
        </w:rPr>
        <w:instrText xml:space="preserve"> SEQ Figure \* ARABIC </w:instrText>
      </w:r>
      <w:r w:rsidRPr="00A207CB">
        <w:rPr>
          <w:i/>
          <w:noProof/>
          <w:sz w:val="22"/>
        </w:rPr>
        <w:fldChar w:fldCharType="separate"/>
      </w:r>
      <w:r w:rsidRPr="00A207CB">
        <w:rPr>
          <w:i/>
          <w:noProof/>
          <w:sz w:val="22"/>
        </w:rPr>
        <w:t>1</w:t>
      </w:r>
      <w:r w:rsidRPr="00A207CB">
        <w:rPr>
          <w:i/>
          <w:noProof/>
          <w:sz w:val="22"/>
        </w:rPr>
        <w:fldChar w:fldCharType="end"/>
      </w:r>
      <w:r w:rsidRPr="00A207CB">
        <w:rPr>
          <w:i/>
          <w:noProof/>
          <w:sz w:val="22"/>
        </w:rPr>
        <w:t xml:space="preserve"> Tendințe în ceea ce privește numărul de decese și de milioane de autoturisme în UE în perioada 2010-2023. Surse: Baza de date EU CARE privind accidentele rutiere; pentru datele privind autoturismele, Eurostat (codul datelor online </w:t>
      </w:r>
      <w:hyperlink r:id="rId19" w:history="1">
        <w:r w:rsidRPr="00A207CB">
          <w:rPr>
            <w:rStyle w:val="Hyperlink"/>
            <w:i/>
            <w:noProof/>
            <w:sz w:val="22"/>
          </w:rPr>
          <w:t>road_eqs_carage</w:t>
        </w:r>
      </w:hyperlink>
      <w:r w:rsidRPr="00A207CB">
        <w:rPr>
          <w:i/>
          <w:noProof/>
          <w:sz w:val="22"/>
        </w:rPr>
        <w:t>)</w:t>
      </w:r>
    </w:p>
    <w:p w14:paraId="7642FB2E" w14:textId="77777777" w:rsidR="00855C16" w:rsidRPr="00A207CB" w:rsidRDefault="00855C16">
      <w:pPr>
        <w:spacing w:after="160" w:line="259" w:lineRule="auto"/>
        <w:jc w:val="left"/>
        <w:rPr>
          <w:i/>
          <w:noProof/>
          <w:sz w:val="22"/>
        </w:rPr>
      </w:pPr>
      <w:r w:rsidRPr="00A207CB">
        <w:rPr>
          <w:noProof/>
        </w:rPr>
        <w:br w:type="page"/>
      </w:r>
    </w:p>
    <w:p w14:paraId="363405C0" w14:textId="02F2B937" w:rsidR="00FA53E7" w:rsidRPr="00A207CB" w:rsidRDefault="000E7CA2" w:rsidP="00FA53E7">
      <w:pPr>
        <w:spacing w:after="120" w:line="23" w:lineRule="atLeast"/>
        <w:rPr>
          <w:noProof/>
        </w:rPr>
      </w:pPr>
      <w:r w:rsidRPr="00A207CB">
        <w:rPr>
          <w:noProof/>
          <w:lang w:val="en-GB"/>
        </w:rPr>
        <w:drawing>
          <wp:inline distT="0" distB="0" distL="0" distR="0" wp14:anchorId="34B82A5A" wp14:editId="183DA175">
            <wp:extent cx="4572000" cy="2667000"/>
            <wp:effectExtent l="0" t="0" r="0" b="0"/>
            <wp:docPr id="2074119782" name="Chart 1">
              <a:extLst xmlns:a="http://schemas.openxmlformats.org/drawingml/2006/main">
                <a:ext uri="{FF2B5EF4-FFF2-40B4-BE49-F238E27FC236}">
                  <a16:creationId xmlns:a16="http://schemas.microsoft.com/office/drawing/2014/main" id="{D2E38781-C786-4C80-3FCC-06F329EFE3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FAA6371" w14:textId="3418E3C0" w:rsidR="00E50D42" w:rsidRPr="00A207CB" w:rsidRDefault="00DF6AA0" w:rsidP="009F68F9">
      <w:pPr>
        <w:pStyle w:val="Caption"/>
        <w:spacing w:after="360"/>
        <w:rPr>
          <w:noProof/>
        </w:rPr>
      </w:pPr>
      <w:r w:rsidRPr="00A207CB">
        <w:rPr>
          <w:noProof/>
        </w:rPr>
        <w:t xml:space="preserve">Figura </w:t>
      </w:r>
      <w:r w:rsidRPr="00A207CB">
        <w:rPr>
          <w:noProof/>
        </w:rPr>
        <w:fldChar w:fldCharType="begin"/>
      </w:r>
      <w:r w:rsidRPr="00A207CB">
        <w:rPr>
          <w:noProof/>
        </w:rPr>
        <w:instrText xml:space="preserve"> SEQ Figure \* ARABIC </w:instrText>
      </w:r>
      <w:r w:rsidRPr="00A207CB">
        <w:rPr>
          <w:noProof/>
        </w:rPr>
        <w:fldChar w:fldCharType="separate"/>
      </w:r>
      <w:r w:rsidRPr="00A207CB">
        <w:rPr>
          <w:noProof/>
        </w:rPr>
        <w:t>2</w:t>
      </w:r>
      <w:r w:rsidRPr="00A207CB">
        <w:rPr>
          <w:noProof/>
        </w:rPr>
        <w:fldChar w:fldCharType="end"/>
      </w:r>
      <w:r w:rsidRPr="00A207CB">
        <w:rPr>
          <w:noProof/>
        </w:rPr>
        <w:t xml:space="preserve"> Tendințe în ceea ce privește numărul de decese și de miliarde de kilometri parcurși de autoturisme în UE în perioada 2010-2023. Surse: Baza de date EU CARE privind accidentele rutiere; pentru datele privind numărul autoturisme-kilometri, Eurostat (codul datelor online </w:t>
      </w:r>
      <w:hyperlink r:id="rId21" w:history="1">
        <w:r w:rsidRPr="00A207CB">
          <w:rPr>
            <w:rStyle w:val="Hyperlink"/>
            <w:noProof/>
          </w:rPr>
          <w:t>road_pa_mov</w:t>
        </w:r>
      </w:hyperlink>
      <w:r w:rsidRPr="00A207CB">
        <w:rPr>
          <w:noProof/>
        </w:rPr>
        <w:t>)</w:t>
      </w:r>
    </w:p>
    <w:p w14:paraId="263556B7" w14:textId="05C78DE6" w:rsidR="00671023" w:rsidRPr="00A207CB" w:rsidRDefault="00671023" w:rsidP="00671023">
      <w:pPr>
        <w:spacing w:after="120" w:line="23" w:lineRule="atLeast"/>
        <w:rPr>
          <w:noProof/>
        </w:rPr>
      </w:pPr>
      <w:r w:rsidRPr="00A207CB">
        <w:rPr>
          <w:noProof/>
        </w:rPr>
        <w:t>Din anul de referință 2019, decesele cauzate de accidentele rutiere au scăzut cu 12 % la nivelul UE, dar această îmbunătățire maschează diferențe considerabile între statele membre. Doar câteva state membre – Belgia, Bulgaria, Danemarca, Lituania, Malta, Polonia și Slovenia – sunt în prezent în grafic pentru a îndeplini obiectivul de reducere cu 50 % până în 2030. Unele state membre, inclusiv Irlanda și Estonia, au înregistrat creșteri ale numărului de decese cauzate de accidentele rutiere, în timp ce altele, cum ar fi Franța, Italia și Țările de Jos, au înregistrat doar îmbunătățiri marginale. În 2024, rata pierderilor de vieți omenești a variat de la 20 de decese la un milion de locuitori în Suedia la 78 de decese la un milion de locuitori în România.</w:t>
      </w:r>
    </w:p>
    <w:p w14:paraId="790DF033" w14:textId="475A1A6E" w:rsidR="00AE3BC4" w:rsidRPr="00A207CB" w:rsidRDefault="00671023" w:rsidP="00671023">
      <w:pPr>
        <w:spacing w:after="120" w:line="23" w:lineRule="atLeast"/>
        <w:rPr>
          <w:noProof/>
        </w:rPr>
      </w:pPr>
      <w:r w:rsidRPr="00A207CB">
        <w:rPr>
          <w:noProof/>
        </w:rPr>
        <w:t>Pentru a înțelege mai bine aceste tendințe, Comisia a colaborat cu statele membre pentru a le urmări performanțele pe baza unor indicatori-cheie de performanță legați de siguranța rutieră. Aceste proiecte, numite Baseline</w:t>
      </w:r>
      <w:r w:rsidRPr="00A207CB">
        <w:rPr>
          <w:rStyle w:val="FootnoteReference"/>
          <w:noProof/>
        </w:rPr>
        <w:footnoteReference w:id="7"/>
      </w:r>
      <w:r w:rsidRPr="00A207CB">
        <w:rPr>
          <w:noProof/>
        </w:rPr>
        <w:t xml:space="preserve"> și Trendline</w:t>
      </w:r>
      <w:r w:rsidRPr="00A207CB">
        <w:rPr>
          <w:rStyle w:val="FootnoteReference"/>
          <w:noProof/>
        </w:rPr>
        <w:footnoteReference w:id="8"/>
      </w:r>
      <w:r w:rsidRPr="00A207CB">
        <w:rPr>
          <w:noProof/>
        </w:rPr>
        <w:t>, au produs informații cu privire la factorii asociați riscurilor de accidente și de vătămări și au evidențiat diferențe semnificative între țări. A se vedea secțiunea </w:t>
      </w:r>
      <w:r w:rsidRPr="00A207CB">
        <w:rPr>
          <w:noProof/>
        </w:rPr>
        <w:fldChar w:fldCharType="begin"/>
      </w:r>
      <w:r w:rsidRPr="00A207CB">
        <w:rPr>
          <w:noProof/>
        </w:rPr>
        <w:instrText xml:space="preserve"> REF _Ref212126400 \r \h </w:instrText>
      </w:r>
      <w:r w:rsidRPr="00A207CB">
        <w:rPr>
          <w:noProof/>
        </w:rPr>
      </w:r>
      <w:r w:rsidRPr="00A207CB">
        <w:rPr>
          <w:noProof/>
        </w:rPr>
        <w:fldChar w:fldCharType="separate"/>
      </w:r>
      <w:r w:rsidRPr="00A207CB">
        <w:rPr>
          <w:noProof/>
        </w:rPr>
        <w:t>2</w:t>
      </w:r>
      <w:r w:rsidRPr="00A207CB">
        <w:rPr>
          <w:noProof/>
        </w:rPr>
        <w:fldChar w:fldCharType="end"/>
      </w:r>
      <w:r w:rsidRPr="00A207CB">
        <w:rPr>
          <w:noProof/>
        </w:rPr>
        <w:t xml:space="preserve"> de mai jos.</w:t>
      </w:r>
    </w:p>
    <w:p w14:paraId="7BD56026" w14:textId="77777777" w:rsidR="00AE3BC4" w:rsidRPr="00A207CB" w:rsidRDefault="00AE3BC4">
      <w:pPr>
        <w:spacing w:after="160" w:line="259" w:lineRule="auto"/>
        <w:jc w:val="left"/>
        <w:rPr>
          <w:noProof/>
        </w:rPr>
      </w:pPr>
      <w:r w:rsidRPr="00A207CB">
        <w:rPr>
          <w:noProof/>
        </w:rPr>
        <w:br w:type="page"/>
      </w:r>
    </w:p>
    <w:tbl>
      <w:tblPr>
        <w:tblStyle w:val="TableGrid"/>
        <w:tblW w:w="0" w:type="auto"/>
        <w:tblLook w:val="04A0" w:firstRow="1" w:lastRow="0" w:firstColumn="1" w:lastColumn="0" w:noHBand="0" w:noVBand="1"/>
      </w:tblPr>
      <w:tblGrid>
        <w:gridCol w:w="4193"/>
        <w:gridCol w:w="4641"/>
      </w:tblGrid>
      <w:tr w:rsidR="0053556D" w:rsidRPr="00A207CB" w14:paraId="3501F4FD" w14:textId="77777777" w:rsidTr="00511A27">
        <w:tc>
          <w:tcPr>
            <w:tcW w:w="4388" w:type="dxa"/>
          </w:tcPr>
          <w:p w14:paraId="2B51ACE5" w14:textId="187C177E" w:rsidR="0053556D" w:rsidRPr="00A207CB" w:rsidRDefault="00511A27" w:rsidP="00565444">
            <w:pPr>
              <w:spacing w:after="120" w:line="23" w:lineRule="atLeast"/>
              <w:rPr>
                <w:noProof/>
              </w:rPr>
            </w:pPr>
            <w:r w:rsidRPr="00A207CB">
              <w:rPr>
                <w:noProof/>
                <w:lang w:val="en-GB"/>
              </w:rPr>
              <w:drawing>
                <wp:inline distT="0" distB="0" distL="0" distR="0" wp14:anchorId="6B9E0BD2" wp14:editId="29386955">
                  <wp:extent cx="2520461" cy="2162907"/>
                  <wp:effectExtent l="0" t="0" r="13335" b="8890"/>
                  <wp:docPr id="1353321757" name="Chart 1">
                    <a:extLst xmlns:a="http://schemas.openxmlformats.org/drawingml/2006/main">
                      <a:ext uri="{FF2B5EF4-FFF2-40B4-BE49-F238E27FC236}">
                        <a16:creationId xmlns:a16="http://schemas.microsoft.com/office/drawing/2014/main" id="{0BBE1768-5A38-4B6C-8509-4E0435732F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446" w:type="dxa"/>
          </w:tcPr>
          <w:p w14:paraId="1B84140D" w14:textId="4425A1C3" w:rsidR="0053556D" w:rsidRPr="00A207CB" w:rsidRDefault="00511A27" w:rsidP="00565444">
            <w:pPr>
              <w:spacing w:after="120" w:line="23" w:lineRule="atLeast"/>
              <w:rPr>
                <w:noProof/>
              </w:rPr>
            </w:pPr>
            <w:r w:rsidRPr="00A207CB">
              <w:rPr>
                <w:noProof/>
                <w:lang w:val="en-GB"/>
              </w:rPr>
              <w:drawing>
                <wp:inline distT="0" distB="0" distL="0" distR="0" wp14:anchorId="72BB9213" wp14:editId="20DFD3BF">
                  <wp:extent cx="2807677" cy="2092568"/>
                  <wp:effectExtent l="0" t="0" r="12065" b="3175"/>
                  <wp:docPr id="1220388618" name="Chart 1">
                    <a:extLst xmlns:a="http://schemas.openxmlformats.org/drawingml/2006/main">
                      <a:ext uri="{FF2B5EF4-FFF2-40B4-BE49-F238E27FC236}">
                        <a16:creationId xmlns:a16="http://schemas.microsoft.com/office/drawing/2014/main" id="{12588577-92D1-4967-8597-20DF27D07B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746094C8" w14:textId="002B151D" w:rsidR="00970C23" w:rsidRPr="00A207CB" w:rsidRDefault="00DF6AA0" w:rsidP="009F68F9">
      <w:pPr>
        <w:pStyle w:val="Caption"/>
        <w:spacing w:after="360"/>
        <w:rPr>
          <w:noProof/>
        </w:rPr>
      </w:pPr>
      <w:r w:rsidRPr="00A207CB">
        <w:rPr>
          <w:noProof/>
        </w:rPr>
        <w:t xml:space="preserve">Figura </w:t>
      </w:r>
      <w:r w:rsidRPr="00A207CB">
        <w:rPr>
          <w:noProof/>
        </w:rPr>
        <w:fldChar w:fldCharType="begin"/>
      </w:r>
      <w:r w:rsidRPr="00A207CB">
        <w:rPr>
          <w:noProof/>
        </w:rPr>
        <w:instrText xml:space="preserve"> SEQ Figure \* ARABIC </w:instrText>
      </w:r>
      <w:r w:rsidRPr="00A207CB">
        <w:rPr>
          <w:noProof/>
        </w:rPr>
        <w:fldChar w:fldCharType="separate"/>
      </w:r>
      <w:r w:rsidRPr="00A207CB">
        <w:rPr>
          <w:noProof/>
        </w:rPr>
        <w:t>3</w:t>
      </w:r>
      <w:r w:rsidRPr="00A207CB">
        <w:rPr>
          <w:noProof/>
        </w:rPr>
        <w:fldChar w:fldCharType="end"/>
      </w:r>
      <w:r w:rsidRPr="00A207CB">
        <w:rPr>
          <w:noProof/>
        </w:rPr>
        <w:t xml:space="preserve"> Defalcarea deceselor cauzate de accidentele rutiere în UE pe sexe și grupe de vârstă, 2023. Surse: Baza de date EU CARE privind accidentele rutiere; pentru datele privind populația, Eurostat (codul datelor online </w:t>
      </w:r>
      <w:hyperlink r:id="rId24" w:history="1">
        <w:r w:rsidRPr="00A207CB">
          <w:rPr>
            <w:rStyle w:val="Hyperlink"/>
            <w:noProof/>
          </w:rPr>
          <w:t>demo_pjan</w:t>
        </w:r>
      </w:hyperlink>
      <w:r w:rsidRPr="00A207CB">
        <w:rPr>
          <w:noProof/>
        </w:rPr>
        <w:t>)</w:t>
      </w:r>
    </w:p>
    <w:p w14:paraId="05E1473F" w14:textId="752FD8F7" w:rsidR="00E202A4" w:rsidRPr="00A207CB" w:rsidRDefault="00E202A4" w:rsidP="00E202A4">
      <w:pPr>
        <w:spacing w:after="120" w:line="23" w:lineRule="atLeast"/>
        <w:rPr>
          <w:noProof/>
        </w:rPr>
      </w:pPr>
      <w:r w:rsidRPr="00A207CB">
        <w:rPr>
          <w:noProof/>
        </w:rPr>
        <w:t>În ceea ce privește defalcarea geografică și demografică a victimelor accidentelor rutiere, se conturează câteva tendințe clare. Drumurile rurale sunt în continuare cel mai periculos tip de drum. Numărul deceselor cauzate de accidentelor rutiere în rândul bărbaților depășește cu mult numărul deceselor în rândul femeilor. Ponderea disproporționat de mare a tinerilor și a persoanelor în vârstă în decesele cauzate de accidentele rutiere – în special în rândul persoanelor care merg pe jos și cu bicicleta – reprezintă, de asemenea, o preocupare din ce în ce mai mare.</w:t>
      </w:r>
    </w:p>
    <w:p w14:paraId="654697F6" w14:textId="77777777" w:rsidR="00671023" w:rsidRPr="00A207CB" w:rsidRDefault="00671023" w:rsidP="00671023">
      <w:pPr>
        <w:spacing w:after="120" w:line="23" w:lineRule="atLeast"/>
        <w:rPr>
          <w:noProof/>
        </w:rPr>
      </w:pPr>
      <w:bookmarkStart w:id="50" w:name="_Toc25445059"/>
      <w:bookmarkStart w:id="51" w:name="_Toc25447040"/>
      <w:bookmarkStart w:id="52" w:name="_Toc25527649"/>
      <w:bookmarkStart w:id="53" w:name="_Toc25531521"/>
      <w:bookmarkStart w:id="54" w:name="_Toc25533752"/>
      <w:bookmarkStart w:id="55" w:name="_Toc25533803"/>
      <w:bookmarkStart w:id="56" w:name="_Toc25535156"/>
      <w:bookmarkStart w:id="57" w:name="_Toc25330846"/>
      <w:bookmarkStart w:id="58" w:name="_Toc25330847"/>
      <w:bookmarkStart w:id="59" w:name="_Toc25330848"/>
      <w:bookmarkStart w:id="60" w:name="_Toc25330849"/>
      <w:bookmarkStart w:id="61" w:name="_Toc25330850"/>
      <w:bookmarkStart w:id="62" w:name="_Toc24027066"/>
      <w:bookmarkStart w:id="63" w:name="_Toc25330852"/>
      <w:bookmarkStart w:id="64" w:name="_Toc25854796"/>
      <w:bookmarkStart w:id="65" w:name="_Toc24044212"/>
      <w:bookmarkStart w:id="66" w:name="_Toc25446680"/>
      <w:bookmarkStart w:id="67" w:name="_Toc25533753"/>
      <w:bookmarkStart w:id="68" w:name="_Toc25685796"/>
      <w:bookmarkStart w:id="69" w:name="_Toc25854797"/>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A207CB">
        <w:rPr>
          <w:noProof/>
          <w:lang w:val="en-GB"/>
        </w:rPr>
        <w:drawing>
          <wp:inline distT="0" distB="0" distL="0" distR="0" wp14:anchorId="6D7D3D50" wp14:editId="1656003F">
            <wp:extent cx="5472430" cy="3076575"/>
            <wp:effectExtent l="0" t="0" r="0" b="9525"/>
            <wp:docPr id="961434310" name="Picture 1" descr="Un grafic al unui accident rutie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34310" name="Picture 1" descr="A chart of a traffic accident&#10;&#10;AI-generated content may be incorrect."/>
                    <pic:cNvPicPr/>
                  </pic:nvPicPr>
                  <pic:blipFill>
                    <a:blip r:embed="rId25"/>
                    <a:stretch>
                      <a:fillRect/>
                    </a:stretch>
                  </pic:blipFill>
                  <pic:spPr>
                    <a:xfrm>
                      <a:off x="0" y="0"/>
                      <a:ext cx="5472430" cy="3076575"/>
                    </a:xfrm>
                    <a:prstGeom prst="rect">
                      <a:avLst/>
                    </a:prstGeom>
                  </pic:spPr>
                </pic:pic>
              </a:graphicData>
            </a:graphic>
          </wp:inline>
        </w:drawing>
      </w:r>
    </w:p>
    <w:p w14:paraId="6040B4AC" w14:textId="206873DF" w:rsidR="00671023" w:rsidRPr="00A207CB" w:rsidRDefault="00DF6AA0" w:rsidP="000D0200">
      <w:pPr>
        <w:pStyle w:val="Caption"/>
        <w:spacing w:after="360"/>
        <w:rPr>
          <w:noProof/>
        </w:rPr>
      </w:pPr>
      <w:r w:rsidRPr="00A207CB">
        <w:rPr>
          <w:noProof/>
        </w:rPr>
        <w:t xml:space="preserve">Figura </w:t>
      </w:r>
      <w:r w:rsidRPr="00A207CB">
        <w:rPr>
          <w:noProof/>
        </w:rPr>
        <w:fldChar w:fldCharType="begin"/>
      </w:r>
      <w:r w:rsidRPr="00A207CB">
        <w:rPr>
          <w:noProof/>
        </w:rPr>
        <w:instrText xml:space="preserve"> SEQ Figure \* ARABIC </w:instrText>
      </w:r>
      <w:r w:rsidRPr="00A207CB">
        <w:rPr>
          <w:noProof/>
        </w:rPr>
        <w:fldChar w:fldCharType="separate"/>
      </w:r>
      <w:r w:rsidRPr="00A207CB">
        <w:rPr>
          <w:noProof/>
        </w:rPr>
        <w:t>4</w:t>
      </w:r>
      <w:r w:rsidRPr="00A207CB">
        <w:rPr>
          <w:noProof/>
        </w:rPr>
        <w:fldChar w:fldCharType="end"/>
      </w:r>
      <w:r w:rsidRPr="00A207CB">
        <w:rPr>
          <w:noProof/>
        </w:rPr>
        <w:t xml:space="preserve"> Matricea deceselor cauzate de accidentele rutiere în UE, în funcție de participanții la trafic și de alte vehicule principale implicate în accident, 2023. Sursa: Baza de date EU CARE privind accidentele rutiere</w:t>
      </w:r>
    </w:p>
    <w:p w14:paraId="2D601170" w14:textId="5C92F444" w:rsidR="00671023" w:rsidRPr="00A207CB" w:rsidRDefault="00EF3C2E" w:rsidP="00671023">
      <w:pPr>
        <w:spacing w:after="120" w:line="23" w:lineRule="atLeast"/>
        <w:rPr>
          <w:noProof/>
        </w:rPr>
      </w:pPr>
      <w:r w:rsidRPr="00A207CB">
        <w:rPr>
          <w:noProof/>
        </w:rPr>
        <w:t>În termeni absoluți, ocupanții autoturismelor au cea mai mare probabilitate să moară în accidente rutiere. Aceștia reprezintă aproximativ 44 % din totalul deceselor, fiind urmați de pietoni, motocicliști și bicicliști. Cu toate acestea, în raport cu numărul de vehicule aflate în circulație, motocicliștii sunt expuși unui risc mult mai mare de a muri într-un accident rutier. Lucrătorii rutieri și personalul de întreținere reprezintă un grup de risc specific. O analiză suplimentară a acestor defalcări geografice și demografice ale accidentelor rutiere mortale poate fi găsită în rapoartele Observatorului UE pentru siguranță rutieră</w:t>
      </w:r>
      <w:r w:rsidRPr="00A207CB">
        <w:rPr>
          <w:rStyle w:val="FootnoteReference"/>
          <w:noProof/>
        </w:rPr>
        <w:footnoteReference w:id="9"/>
      </w:r>
      <w:r w:rsidRPr="00A207CB">
        <w:rPr>
          <w:noProof/>
        </w:rPr>
        <w:t>.</w:t>
      </w:r>
    </w:p>
    <w:p w14:paraId="5989BF31" w14:textId="382AC6FE" w:rsidR="00671023" w:rsidRPr="00A207CB" w:rsidRDefault="00913975" w:rsidP="00671023">
      <w:pPr>
        <w:spacing w:after="120" w:line="23" w:lineRule="atLeast"/>
        <w:rPr>
          <w:noProof/>
        </w:rPr>
      </w:pPr>
      <w:r w:rsidRPr="00A207CB">
        <w:rPr>
          <w:noProof/>
        </w:rPr>
        <w:t>Rapoartele arată că un număr mare de decese în rândul ocupanților autovehiculelor și al motocicliștilor sunt cauzate de accidentele cu un singur vehicul, în timp ce pietonii și bicicliștii sunt deosebit de vulnerabili atunci când sunt implicați într-o coliziune cu un autovehicul.</w:t>
      </w:r>
    </w:p>
    <w:p w14:paraId="51487508" w14:textId="0CB1C240" w:rsidR="00671023" w:rsidRPr="00A207CB" w:rsidRDefault="00671023" w:rsidP="00671023">
      <w:pPr>
        <w:spacing w:after="120" w:line="23" w:lineRule="atLeast"/>
        <w:rPr>
          <w:noProof/>
        </w:rPr>
      </w:pPr>
      <w:bookmarkStart w:id="70" w:name="_Toc25446681"/>
      <w:bookmarkStart w:id="71" w:name="_Toc25533754"/>
      <w:bookmarkStart w:id="72" w:name="_Toc25685797"/>
      <w:bookmarkStart w:id="73" w:name="_Toc25854798"/>
      <w:bookmarkEnd w:id="65"/>
      <w:bookmarkEnd w:id="66"/>
      <w:bookmarkEnd w:id="67"/>
      <w:bookmarkEnd w:id="68"/>
      <w:bookmarkEnd w:id="69"/>
      <w:r w:rsidRPr="00A207CB">
        <w:rPr>
          <w:noProof/>
        </w:rPr>
        <w:t xml:space="preserve">Progresele înregistrate în ceea ce privește protejarea utilizatorilor vulnerabili ai drumurilor, cum ar fi pietonii, bicicliștii și utilizatorii dispozitivelor de mobilitate electrică ușoară, au fost inegale. Între 2019 și 2023, numărul pietonilor decedați a scăzut cu aproximativ 900. Cu toate acestea, reducerea numărului de decese în rândul bicicliștilor și al motocicliștilor a fost mult mai mică, cu scăderi de aproximativ 100 în fiecare categorie în întreaga UE. În orașe, aproape 70 % din persoanele decedate în accidente rutiere erau participanți la trafic vulnerabili. Acest procent a rămas ridicat, evidențiind nevoia critică de acțiune pentru îmbunătățirea siguranței rutiere în orașe. </w:t>
      </w:r>
    </w:p>
    <w:p w14:paraId="63BEA69F" w14:textId="2696C351" w:rsidR="00671023" w:rsidRPr="00A207CB" w:rsidRDefault="00671023" w:rsidP="00671023">
      <w:pPr>
        <w:spacing w:after="120" w:line="23" w:lineRule="atLeast"/>
        <w:rPr>
          <w:noProof/>
        </w:rPr>
      </w:pPr>
      <w:r w:rsidRPr="00A207CB">
        <w:rPr>
          <w:noProof/>
        </w:rPr>
        <w:t>În același timp, pe drumurile din UE s-a înregistrat o creștere puternică a altor dispozitive de mobilitate personală, cum ar fi trotinetele electrice, și o creștere proporțională a numărului de vătămări și decese în această categorie. Colectarea de date în baza de date CARE</w:t>
      </w:r>
      <w:r w:rsidRPr="00A207CB">
        <w:rPr>
          <w:rStyle w:val="FootnoteReference"/>
          <w:noProof/>
        </w:rPr>
        <w:footnoteReference w:id="10"/>
      </w:r>
      <w:r w:rsidRPr="00A207CB">
        <w:rPr>
          <w:noProof/>
        </w:rPr>
        <w:t xml:space="preserve"> pentru această categorie specifică de utilizatori ai drumurilor a început în 2023. În prezent, se analizează modul în care sunt abordate provocările în materie de siguranță pe care le prezintă această categorie. Un studiu al Comisiei</w:t>
      </w:r>
      <w:r w:rsidRPr="00A207CB">
        <w:rPr>
          <w:rStyle w:val="FootnoteReference"/>
          <w:noProof/>
        </w:rPr>
        <w:footnoteReference w:id="11"/>
      </w:r>
      <w:r w:rsidRPr="00A207CB">
        <w:rPr>
          <w:noProof/>
        </w:rPr>
        <w:t xml:space="preserve"> din 2024 a examinat provocările și oportunitățile asociate reglementării dispozitivelor de mobilitate personală și a recomandat norme armonizate pentru a aborda fragmentarea actuală la nivelul UE. </w:t>
      </w:r>
    </w:p>
    <w:p w14:paraId="54EA2E8A" w14:textId="059E6A96" w:rsidR="00050BA5" w:rsidRPr="00A207CB" w:rsidRDefault="00671023" w:rsidP="00492039">
      <w:pPr>
        <w:spacing w:after="120" w:line="23" w:lineRule="atLeast"/>
        <w:rPr>
          <w:noProof/>
        </w:rPr>
      </w:pPr>
      <w:r w:rsidRPr="00A207CB">
        <w:rPr>
          <w:noProof/>
        </w:rPr>
        <w:t>Grupul de experți privind mobilitatea urbană</w:t>
      </w:r>
      <w:r w:rsidRPr="00A207CB">
        <w:rPr>
          <w:rStyle w:val="FootnoteReference"/>
          <w:noProof/>
        </w:rPr>
        <w:footnoteReference w:id="12"/>
      </w:r>
      <w:r w:rsidRPr="00A207CB">
        <w:rPr>
          <w:noProof/>
        </w:rPr>
        <w:t xml:space="preserve"> a emis o serie de recomandări</w:t>
      </w:r>
      <w:r w:rsidRPr="00A207CB">
        <w:rPr>
          <w:rStyle w:val="FootnoteReference"/>
          <w:noProof/>
        </w:rPr>
        <w:footnoteReference w:id="13"/>
      </w:r>
      <w:r w:rsidRPr="00A207CB">
        <w:rPr>
          <w:noProof/>
        </w:rPr>
        <w:t xml:space="preserve"> axate pe protejarea utilizatorilor vulnerabili ai drumurilor. Acestea favorizează implementarea unei limite de viteză de 30 km/h în zonele urbane considerând că această măsură are cel mai mare impact, urmată de elaborarea unor cerințe de calitate pentru infrastructura rutieră care deservește aceste grupuri, cum ar fi trecerile de pietoni sigure și pistele separate pentru pietoni și biciclete.</w:t>
      </w:r>
    </w:p>
    <w:p w14:paraId="7A237625" w14:textId="77777777" w:rsidR="00050BA5" w:rsidRPr="00A207CB" w:rsidRDefault="00050BA5">
      <w:pPr>
        <w:spacing w:after="160" w:line="259" w:lineRule="auto"/>
        <w:jc w:val="left"/>
        <w:rPr>
          <w:noProof/>
        </w:rPr>
      </w:pPr>
      <w:r w:rsidRPr="00A207CB">
        <w:rPr>
          <w:noProof/>
        </w:rPr>
        <w:br w:type="page"/>
      </w:r>
    </w:p>
    <w:p w14:paraId="51E52F23" w14:textId="43B46ACB" w:rsidR="00671023" w:rsidRPr="00A207CB" w:rsidRDefault="00671023" w:rsidP="00AD2038">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75" w:name="_Toc206610420"/>
      <w:bookmarkStart w:id="76" w:name="_Ref212126400"/>
      <w:r w:rsidRPr="00A207CB">
        <w:rPr>
          <w:rFonts w:ascii="Times New Roman" w:hAnsi="Times New Roman"/>
          <w:b/>
          <w:smallCaps/>
          <w:noProof/>
          <w:color w:val="000000" w:themeColor="text1"/>
          <w:sz w:val="24"/>
        </w:rPr>
        <w:t xml:space="preserve">Principalii factori de risc comportamentali </w:t>
      </w:r>
      <w:bookmarkEnd w:id="75"/>
      <w:bookmarkEnd w:id="76"/>
    </w:p>
    <w:p w14:paraId="6C5F0EA5" w14:textId="5DFDD2A1" w:rsidR="003E4003" w:rsidRPr="00A207CB" w:rsidRDefault="00671023" w:rsidP="00213F79">
      <w:pPr>
        <w:spacing w:after="120" w:line="23" w:lineRule="atLeast"/>
        <w:rPr>
          <w:noProof/>
        </w:rPr>
      </w:pPr>
      <w:r w:rsidRPr="00A207CB">
        <w:rPr>
          <w:noProof/>
        </w:rPr>
        <w:t>În pofida deceniilor de investiții în siguranța rutieră, a campaniilor de sensibilizare și a măsurilor legislative, factorii de risc comportamentali continuă să provoace pierderi de vieți omenești. Principalele probleme sunt viteza excesivă sau inadecvată, conducerea sub influența alcoolului și/sau a drogurilor, distragerea atenției și nefolosirea centurii de siguranță. Detalii suplimentare cu privire la fiecare din acești factori de risc pot fi găsite în analiza publicată pe Observatorul UE pentru siguranță rutieră</w:t>
      </w:r>
      <w:r w:rsidRPr="00A207CB">
        <w:rPr>
          <w:rStyle w:val="FootnoteReference"/>
          <w:noProof/>
        </w:rPr>
        <w:footnoteReference w:id="14"/>
      </w:r>
      <w:r w:rsidRPr="00A207CB">
        <w:rPr>
          <w:noProof/>
        </w:rPr>
        <w:t>. Printre exemple se numără următoarele:</w:t>
      </w:r>
    </w:p>
    <w:p w14:paraId="4553E49E" w14:textId="46671288" w:rsidR="00DC3613" w:rsidRPr="00A207CB" w:rsidRDefault="00DC3613" w:rsidP="00C9652D">
      <w:pPr>
        <w:spacing w:after="120" w:line="23" w:lineRule="atLeast"/>
        <w:rPr>
          <w:noProof/>
        </w:rPr>
      </w:pPr>
      <w:r w:rsidRPr="00A207CB">
        <w:rPr>
          <w:b/>
          <w:noProof/>
        </w:rPr>
        <w:t xml:space="preserve">Conducerea sub influența alcoolului: </w:t>
      </w:r>
      <w:r w:rsidRPr="00A207CB">
        <w:rPr>
          <w:noProof/>
        </w:rPr>
        <w:t>aproximativ 25 % din totalul deceselor cauzate de accidentele rutiere în UE sunt legate de consumul de alcool. Testarea aleatorie în trafic a aerului expirat indică un nivel general ridicat de respectare a limitelor de alcoolemie, de aproximativ 98 %. Cu toate acestea, chiar și această rată de neconformitate aparent mică, de 2 %, se traduce prin aproximativ cinci milioane de conducători auto afectați pe drumurile din UE.</w:t>
      </w:r>
    </w:p>
    <w:p w14:paraId="5D57C7AD" w14:textId="7B3EC817" w:rsidR="00DC3613" w:rsidRPr="00A207CB" w:rsidRDefault="00DC3613" w:rsidP="00C9652D">
      <w:pPr>
        <w:spacing w:after="120" w:line="23" w:lineRule="atLeast"/>
        <w:rPr>
          <w:noProof/>
        </w:rPr>
      </w:pPr>
      <w:r w:rsidRPr="00A207CB">
        <w:rPr>
          <w:b/>
          <w:noProof/>
        </w:rPr>
        <w:t xml:space="preserve">Excesul de viteză: </w:t>
      </w:r>
      <w:r w:rsidRPr="00A207CB">
        <w:rPr>
          <w:noProof/>
        </w:rPr>
        <w:t>se estimează că viteza excesivă sau inadecvată este direct responsabilă pentru aproximativ 30 % din totalul accidentelor rutiere mortale din UE. În multe țări, respectarea limitelor de viteză este de sub 50 % pe drumurile urbane.</w:t>
      </w:r>
    </w:p>
    <w:p w14:paraId="2D994E99" w14:textId="18620C61" w:rsidR="00B92B84" w:rsidRPr="00A207CB" w:rsidRDefault="00B92B84" w:rsidP="00C9652D">
      <w:pPr>
        <w:spacing w:after="120" w:line="23" w:lineRule="atLeast"/>
        <w:rPr>
          <w:noProof/>
        </w:rPr>
      </w:pPr>
      <w:r w:rsidRPr="00A207CB">
        <w:rPr>
          <w:b/>
          <w:noProof/>
        </w:rPr>
        <w:t xml:space="preserve">Distragerea atenției: </w:t>
      </w:r>
      <w:r w:rsidRPr="00A207CB">
        <w:rPr>
          <w:noProof/>
        </w:rPr>
        <w:t>analizele aprofundate ale accidentelor la nivelul UE indică faptul că distragerea atenției conducătorului auto este un factor care contribuie la 10-30 % din accidentele mortale, în funcție de țară și de sursa de date.</w:t>
      </w:r>
    </w:p>
    <w:p w14:paraId="69F7D461" w14:textId="0481A9CD" w:rsidR="00DC3613" w:rsidRPr="00A207CB" w:rsidRDefault="00DC3613" w:rsidP="00B92B84">
      <w:pPr>
        <w:spacing w:after="120" w:line="23" w:lineRule="atLeast"/>
        <w:rPr>
          <w:noProof/>
        </w:rPr>
      </w:pPr>
      <w:r w:rsidRPr="00A207CB">
        <w:rPr>
          <w:b/>
          <w:noProof/>
        </w:rPr>
        <w:t>Nepurtarea centurii de siguranță</w:t>
      </w:r>
      <w:r w:rsidRPr="00A207CB">
        <w:rPr>
          <w:noProof/>
        </w:rPr>
        <w:t>: Peste un sfert dintre ocupanții autoturismelor decedați în accidente rutiere nu purtau centură de siguranță la momentul respectiv. Sondajele prin observare arată că unele țări raportează rate de conformare de sub 50 % pentru ocupanții locurilor din spate, ceea ce reprezintă o lacună semnificativă în materie de siguranță.</w:t>
      </w:r>
    </w:p>
    <w:p w14:paraId="1754365C" w14:textId="05C17F48" w:rsidR="00EF06D8" w:rsidRPr="00A207CB" w:rsidRDefault="007D0159" w:rsidP="00C9652D">
      <w:pPr>
        <w:spacing w:after="120" w:line="23" w:lineRule="atLeast"/>
        <w:rPr>
          <w:noProof/>
        </w:rPr>
      </w:pPr>
      <w:r w:rsidRPr="00A207CB">
        <w:rPr>
          <w:noProof/>
        </w:rPr>
        <w:t xml:space="preserve">Este necesar ca </w:t>
      </w:r>
      <w:r w:rsidR="00547EC6" w:rsidRPr="00A207CB">
        <w:rPr>
          <w:noProof/>
        </w:rPr>
        <w:t>m</w:t>
      </w:r>
      <w:r w:rsidRPr="00A207CB">
        <w:rPr>
          <w:noProof/>
        </w:rPr>
        <w:t xml:space="preserve">ăsurile de îmbunătățire a siguranței rutiere să aplice abordarea „sistemului sigur” pentru a soluționa aceste probleme comportamentale alături de alte măsuri de îmbunătățire a infrastructurii rutiere și a siguranței vehiculelor, precum și pentru a asigura o îngrijire eficace post-coliziune. </w:t>
      </w:r>
    </w:p>
    <w:p w14:paraId="44C64D12" w14:textId="0EE9A7AB" w:rsidR="00DC3613" w:rsidRPr="00A207CB" w:rsidRDefault="00DC3613" w:rsidP="00DC3613">
      <w:pPr>
        <w:spacing w:after="120" w:line="23" w:lineRule="atLeast"/>
        <w:rPr>
          <w:noProof/>
        </w:rPr>
      </w:pPr>
    </w:p>
    <w:p w14:paraId="6A27C4F0" w14:textId="4793DEA1" w:rsidR="00210F90" w:rsidRPr="00A207CB" w:rsidRDefault="00210F90" w:rsidP="00BE282E">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Principalele provocări sistemice</w:t>
      </w:r>
    </w:p>
    <w:p w14:paraId="3DDAC21B" w14:textId="0C8B9F0F" w:rsidR="00671023" w:rsidRPr="00A207CB" w:rsidRDefault="00671023" w:rsidP="00671023">
      <w:pPr>
        <w:spacing w:after="120" w:line="23" w:lineRule="atLeast"/>
        <w:rPr>
          <w:noProof/>
        </w:rPr>
      </w:pPr>
      <w:r w:rsidRPr="00A207CB">
        <w:rPr>
          <w:noProof/>
        </w:rPr>
        <w:t>Dovezile obținute din implementarea strategiilor, a planurilor de acțiune și a altor documente strategice de la nivelul UE și de la nivel național, precum și din feedbackul primit de la reprezentanții statelor membre sugerează că o serie de provocări sistemice continuă să împiedice progresele în direcția atingerii obiectivelor pentru 2030.</w:t>
      </w:r>
    </w:p>
    <w:p w14:paraId="6950AF4D" w14:textId="0492F9FC" w:rsidR="00574238" w:rsidRPr="00A207CB" w:rsidRDefault="00574238" w:rsidP="00574238">
      <w:pPr>
        <w:pStyle w:val="ListParagraph"/>
        <w:numPr>
          <w:ilvl w:val="0"/>
          <w:numId w:val="23"/>
        </w:numPr>
        <w:spacing w:after="120" w:line="23" w:lineRule="atLeast"/>
        <w:rPr>
          <w:noProof/>
        </w:rPr>
      </w:pPr>
      <w:r w:rsidRPr="00A207CB">
        <w:rPr>
          <w:b/>
          <w:noProof/>
        </w:rPr>
        <w:t>Asigurarea respectării</w:t>
      </w:r>
      <w:r w:rsidRPr="00A207CB">
        <w:rPr>
          <w:noProof/>
        </w:rPr>
        <w:t xml:space="preserve"> normelor de circulație rutieră rămâne o provocare, cu deficite structurale de agenți de poliție rutieră și o penurie de sisteme de camere automate.</w:t>
      </w:r>
    </w:p>
    <w:p w14:paraId="5761FD8E" w14:textId="665CAF9F" w:rsidR="00574238" w:rsidRPr="00A207CB" w:rsidRDefault="00574238" w:rsidP="00574238">
      <w:pPr>
        <w:pStyle w:val="ListParagraph"/>
        <w:numPr>
          <w:ilvl w:val="0"/>
          <w:numId w:val="23"/>
        </w:numPr>
        <w:spacing w:after="120" w:line="23" w:lineRule="atLeast"/>
        <w:rPr>
          <w:noProof/>
        </w:rPr>
      </w:pPr>
      <w:r w:rsidRPr="00A207CB">
        <w:rPr>
          <w:b/>
          <w:noProof/>
        </w:rPr>
        <w:t>Acceptarea societală limitată</w:t>
      </w:r>
      <w:r w:rsidRPr="00A207CB">
        <w:rPr>
          <w:noProof/>
        </w:rPr>
        <w:t xml:space="preserve">, în special a măsurilor de asigurare a respectării legislației. Rezistența publicului față de asigurarea automată a respectării legii, reducerea limitelor de viteză și sancțiunile mai stricte reflectă o indiferență culturală mai amplă față de necesitatea de a acorda prioritate siguranței în detrimentul confortului mobilității. Printre exemple se numără incendierea camerelor de luat vederi pentru măsurarea vitezei și îndepărtarea de către protestatari a măsurilor de calmare a traficului. </w:t>
      </w:r>
    </w:p>
    <w:p w14:paraId="6E0D6041" w14:textId="5F4E8B61" w:rsidR="00CE4505" w:rsidRPr="00A207CB" w:rsidRDefault="00CE4505" w:rsidP="00CE4505">
      <w:pPr>
        <w:pStyle w:val="ListParagraph"/>
        <w:numPr>
          <w:ilvl w:val="0"/>
          <w:numId w:val="23"/>
        </w:numPr>
        <w:spacing w:after="120" w:line="23" w:lineRule="atLeast"/>
        <w:rPr>
          <w:noProof/>
        </w:rPr>
      </w:pPr>
      <w:r w:rsidRPr="00A207CB">
        <w:rPr>
          <w:b/>
          <w:noProof/>
        </w:rPr>
        <w:t>Lipsa capacității:</w:t>
      </w:r>
      <w:r w:rsidRPr="00A207CB">
        <w:rPr>
          <w:noProof/>
        </w:rPr>
        <w:t xml:space="preserve"> adesea, autoritățile responsabile cu infrastructura de siguranță rutieră, cu adaptarea traficului și aplicarea legii, în special cele de la nivel municipal, nu dispun de personal calificat. În multe state membre ale UE există deficite persistente de instructori și examinatori auto și de persoane responsabile cu inspecția tehnică a vehiculelor.</w:t>
      </w:r>
    </w:p>
    <w:p w14:paraId="42575412" w14:textId="2DFCDF64" w:rsidR="00671023" w:rsidRPr="00A207CB" w:rsidRDefault="00671023" w:rsidP="00671023">
      <w:pPr>
        <w:pStyle w:val="ListParagraph"/>
        <w:numPr>
          <w:ilvl w:val="0"/>
          <w:numId w:val="23"/>
        </w:numPr>
        <w:spacing w:after="120" w:line="23" w:lineRule="atLeast"/>
        <w:rPr>
          <w:noProof/>
        </w:rPr>
      </w:pPr>
      <w:r w:rsidRPr="00A207CB">
        <w:rPr>
          <w:b/>
          <w:noProof/>
        </w:rPr>
        <w:t xml:space="preserve">Finanțare insuficientă: </w:t>
      </w:r>
      <w:r w:rsidRPr="00A207CB">
        <w:rPr>
          <w:noProof/>
        </w:rPr>
        <w:t>multe state membre nu dispun de bugete specifice pentru siguranța rutieră la nivel național și local și, prin urmare, nu pot angaja personal calificat pentru a concepe și implementa proiecte de siguranță a infrastructurii rutiere sau pentru a menține un număr adecvat de membri ai personalului responsabil cu aplicarea legii.</w:t>
      </w:r>
    </w:p>
    <w:p w14:paraId="2B411972" w14:textId="4DD20B3F" w:rsidR="00671023" w:rsidRPr="00A207CB" w:rsidRDefault="00671023" w:rsidP="00671023">
      <w:pPr>
        <w:pStyle w:val="ListParagraph"/>
        <w:numPr>
          <w:ilvl w:val="0"/>
          <w:numId w:val="23"/>
        </w:numPr>
        <w:spacing w:after="120" w:line="23" w:lineRule="atLeast"/>
        <w:rPr>
          <w:noProof/>
        </w:rPr>
      </w:pPr>
      <w:r w:rsidRPr="00A207CB">
        <w:rPr>
          <w:b/>
          <w:noProof/>
        </w:rPr>
        <w:t>Voința politică</w:t>
      </w:r>
      <w:r w:rsidRPr="00A207CB">
        <w:rPr>
          <w:noProof/>
        </w:rPr>
        <w:t xml:space="preserve"> rămâne inconsecventă de la un nivel la altul, siguranța rutieră fiind adesea tratată ca o chestiune mai degrabă tehnică decât politică. Este posibil ca o înțelegere deficitară a impactului economic, social și de mediu al traumelor cauzate de accidentele rutiere să stea la originea ezitării de a acționa.</w:t>
      </w:r>
    </w:p>
    <w:p w14:paraId="3A7EE99F" w14:textId="0E063EB7" w:rsidR="00C647C0" w:rsidRPr="00A207CB" w:rsidRDefault="00C647C0" w:rsidP="00882D00">
      <w:pPr>
        <w:pStyle w:val="ListParagraph"/>
        <w:numPr>
          <w:ilvl w:val="0"/>
          <w:numId w:val="23"/>
        </w:numPr>
        <w:spacing w:after="120" w:line="23" w:lineRule="atLeast"/>
        <w:ind w:left="714" w:hanging="357"/>
        <w:rPr>
          <w:i/>
          <w:iCs/>
          <w:noProof/>
        </w:rPr>
      </w:pPr>
      <w:r w:rsidRPr="00A207CB">
        <w:rPr>
          <w:b/>
          <w:noProof/>
        </w:rPr>
        <w:t xml:space="preserve">Provocările în materie de guvernanță </w:t>
      </w:r>
      <w:r w:rsidRPr="00A207CB">
        <w:rPr>
          <w:noProof/>
        </w:rPr>
        <w:t xml:space="preserve">persistă, responsabilitățile fiind fragmentate între diferitele niveluri și sectoare administrative. </w:t>
      </w:r>
    </w:p>
    <w:p w14:paraId="31D538D4" w14:textId="3B0662F4" w:rsidR="00C647C0" w:rsidRPr="00A207CB" w:rsidRDefault="00C647C0" w:rsidP="00C647C0">
      <w:pPr>
        <w:pStyle w:val="ListParagraph"/>
        <w:numPr>
          <w:ilvl w:val="1"/>
          <w:numId w:val="23"/>
        </w:numPr>
        <w:spacing w:after="120" w:line="23" w:lineRule="atLeast"/>
        <w:rPr>
          <w:i/>
          <w:iCs/>
          <w:noProof/>
        </w:rPr>
      </w:pPr>
      <w:r w:rsidRPr="00A207CB">
        <w:rPr>
          <w:noProof/>
        </w:rPr>
        <w:t xml:space="preserve">La </w:t>
      </w:r>
      <w:r w:rsidRPr="00A207CB">
        <w:rPr>
          <w:b/>
          <w:noProof/>
        </w:rPr>
        <w:t>nivelul UE</w:t>
      </w:r>
      <w:r w:rsidRPr="00A207CB">
        <w:rPr>
          <w:noProof/>
        </w:rPr>
        <w:t>, este posibil ca mandatul consolidat acordat Grupului la nivel înalt pentru siguranța rutieră</w:t>
      </w:r>
      <w:r w:rsidRPr="00A207CB">
        <w:rPr>
          <w:rStyle w:val="FootnoteReference"/>
          <w:noProof/>
        </w:rPr>
        <w:footnoteReference w:id="15"/>
      </w:r>
      <w:r w:rsidRPr="00A207CB">
        <w:rPr>
          <w:noProof/>
        </w:rPr>
        <w:t>, care îi permite acestuia să includă consiliere strategică și feedback mai frecvent, să nu fi condus întotdeauna la o monitorizare adecvată din partea Uniunii a problemelor ridicate de reprezentanții statelor membre ale UE în toate domeniile de politică legate de siguranța rutieră.</w:t>
      </w:r>
    </w:p>
    <w:p w14:paraId="5BF1DC1B" w14:textId="0C3120B7" w:rsidR="00C647C0" w:rsidRPr="00A207CB" w:rsidRDefault="008E6FB1" w:rsidP="00C647C0">
      <w:pPr>
        <w:pStyle w:val="ListParagraph"/>
        <w:numPr>
          <w:ilvl w:val="1"/>
          <w:numId w:val="23"/>
        </w:numPr>
        <w:spacing w:after="120" w:line="23" w:lineRule="atLeast"/>
        <w:rPr>
          <w:i/>
          <w:iCs/>
          <w:noProof/>
        </w:rPr>
      </w:pPr>
      <w:r w:rsidRPr="00A207CB">
        <w:rPr>
          <w:noProof/>
        </w:rPr>
        <w:t xml:space="preserve">Cadrul de guvernanță al UE în materie de siguranță rutieră </w:t>
      </w:r>
      <w:r w:rsidRPr="00A207CB">
        <w:rPr>
          <w:noProof/>
          <w:u w:val="single"/>
        </w:rPr>
        <w:t>nu</w:t>
      </w:r>
      <w:r w:rsidRPr="00A207CB">
        <w:rPr>
          <w:noProof/>
        </w:rPr>
        <w:t xml:space="preserve"> este suficient de structurat pentru a permite introducerea pe scară mai largă a vehiculelor automatizate în traficul rutier și nici pentru a exploata volumele mari de date în scopul acțiunilor în materie de siguranță rutieră. Au fost instituite agenții executive cu mandate în materie de siguranță pentru alte moduri de transport, dar nu există un cadru comun care să sprijine monitorizarea, coordonarea și activitatea tehnică necesare pentru introducerea în condiții de siguranță a vehiculelor automatizate pe drumurile din UE. Acest lucru poate reprezenta o oportunitate ratată atât pentru siguranța rutieră, cât și pentru economia Uniunii.</w:t>
      </w:r>
      <w:r w:rsidRPr="00A207CB">
        <w:rPr>
          <w:i/>
          <w:noProof/>
        </w:rPr>
        <w:t xml:space="preserve"> </w:t>
      </w:r>
    </w:p>
    <w:p w14:paraId="6895CF66" w14:textId="6D85AC64" w:rsidR="00C647C0" w:rsidRPr="00A207CB" w:rsidRDefault="00C647C0" w:rsidP="00C647C0">
      <w:pPr>
        <w:pStyle w:val="ListParagraph"/>
        <w:numPr>
          <w:ilvl w:val="1"/>
          <w:numId w:val="23"/>
        </w:numPr>
        <w:spacing w:after="120" w:line="23" w:lineRule="atLeast"/>
        <w:rPr>
          <w:noProof/>
        </w:rPr>
      </w:pPr>
      <w:r w:rsidRPr="00A207CB">
        <w:rPr>
          <w:noProof/>
        </w:rPr>
        <w:t xml:space="preserve">Între timp, la </w:t>
      </w:r>
      <w:r w:rsidRPr="00A207CB">
        <w:rPr>
          <w:b/>
          <w:noProof/>
        </w:rPr>
        <w:t>nivel național</w:t>
      </w:r>
      <w:r w:rsidRPr="00A207CB">
        <w:rPr>
          <w:noProof/>
        </w:rPr>
        <w:t>, în pofida numeroaselor exemple pozitive, lipsa de coordonare între autoritățile din domeniul transporturilor, economic, al sănătății, al justiției și al educației împiedică adesea aplicarea abordării holistice de care are nevoie siguranța rutieră</w:t>
      </w:r>
      <w:r w:rsidRPr="00A207CB">
        <w:rPr>
          <w:rStyle w:val="FootnoteReference"/>
          <w:noProof/>
        </w:rPr>
        <w:footnoteReference w:id="16"/>
      </w:r>
      <w:r w:rsidRPr="00A207CB">
        <w:rPr>
          <w:noProof/>
        </w:rPr>
        <w:t xml:space="preserve">. </w:t>
      </w:r>
    </w:p>
    <w:p w14:paraId="1E433E2F" w14:textId="79947756" w:rsidR="00671023" w:rsidRPr="00A207CB" w:rsidRDefault="00671023" w:rsidP="00047836">
      <w:pPr>
        <w:spacing w:after="120" w:line="23" w:lineRule="atLeast"/>
        <w:rPr>
          <w:noProof/>
        </w:rPr>
      </w:pPr>
    </w:p>
    <w:p w14:paraId="3B7EDECC" w14:textId="41E748E3" w:rsidR="00050BA5" w:rsidRPr="00A207CB" w:rsidRDefault="00050BA5">
      <w:pPr>
        <w:spacing w:after="160" w:line="259" w:lineRule="auto"/>
        <w:jc w:val="left"/>
        <w:rPr>
          <w:noProof/>
        </w:rPr>
      </w:pPr>
      <w:r w:rsidRPr="00A207CB">
        <w:rPr>
          <w:noProof/>
        </w:rPr>
        <w:br w:type="page"/>
      </w:r>
    </w:p>
    <w:p w14:paraId="0D360CC8" w14:textId="77777777" w:rsidR="00671023" w:rsidRPr="00A207CB" w:rsidRDefault="00671023" w:rsidP="00AD2038">
      <w:pPr>
        <w:pStyle w:val="Heading1"/>
        <w:keepLines w:val="0"/>
        <w:numPr>
          <w:ilvl w:val="0"/>
          <w:numId w:val="41"/>
        </w:numPr>
        <w:tabs>
          <w:tab w:val="num" w:pos="482"/>
        </w:tabs>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77" w:name="_Toc25673427"/>
      <w:bookmarkStart w:id="78" w:name="_Toc25673475"/>
      <w:bookmarkStart w:id="79" w:name="_Toc25673580"/>
      <w:bookmarkStart w:id="80" w:name="_Toc206602953"/>
      <w:bookmarkStart w:id="81" w:name="_Toc206603011"/>
      <w:bookmarkStart w:id="82" w:name="_Toc206602954"/>
      <w:bookmarkStart w:id="83" w:name="_Toc206603012"/>
      <w:bookmarkStart w:id="84" w:name="_Toc206602955"/>
      <w:bookmarkStart w:id="85" w:name="_Toc206603013"/>
      <w:bookmarkStart w:id="86" w:name="_Toc206602956"/>
      <w:bookmarkStart w:id="87" w:name="_Toc206603014"/>
      <w:bookmarkStart w:id="88" w:name="_Toc206602957"/>
      <w:bookmarkStart w:id="89" w:name="_Toc206603015"/>
      <w:bookmarkStart w:id="90" w:name="_Toc206602958"/>
      <w:bookmarkStart w:id="91" w:name="_Toc206603016"/>
      <w:bookmarkStart w:id="92" w:name="_Toc206602959"/>
      <w:bookmarkStart w:id="93" w:name="_Toc206603017"/>
      <w:bookmarkStart w:id="94" w:name="_Toc206602960"/>
      <w:bookmarkStart w:id="95" w:name="_Toc206603018"/>
      <w:bookmarkStart w:id="96" w:name="_Toc206610421"/>
      <w:bookmarkEnd w:id="70"/>
      <w:bookmarkEnd w:id="71"/>
      <w:bookmarkEnd w:id="72"/>
      <w:bookmarkEnd w:id="73"/>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A207CB">
        <w:rPr>
          <w:rFonts w:ascii="Times New Roman" w:hAnsi="Times New Roman"/>
          <w:b/>
          <w:smallCaps/>
          <w:noProof/>
          <w:color w:val="000000" w:themeColor="text1"/>
          <w:sz w:val="24"/>
        </w:rPr>
        <w:t>Ce s-a făcut până acum?</w:t>
      </w:r>
      <w:bookmarkEnd w:id="96"/>
    </w:p>
    <w:p w14:paraId="62471450" w14:textId="17437297" w:rsidR="00FA58E8" w:rsidRPr="00A207CB" w:rsidRDefault="00671023" w:rsidP="000A33DA">
      <w:pPr>
        <w:spacing w:after="120" w:line="23" w:lineRule="atLeast"/>
        <w:rPr>
          <w:noProof/>
        </w:rPr>
      </w:pPr>
      <w:r w:rsidRPr="00A207CB">
        <w:rPr>
          <w:noProof/>
        </w:rPr>
        <w:t>Cadrul de politică al UE privind siguranța rutieră 2021-2030</w:t>
      </w:r>
      <w:r w:rsidRPr="00A207CB">
        <w:rPr>
          <w:rStyle w:val="FootnoteReference"/>
          <w:noProof/>
        </w:rPr>
        <w:footnoteReference w:id="17"/>
      </w:r>
      <w:r w:rsidRPr="00A207CB">
        <w:rPr>
          <w:noProof/>
        </w:rPr>
        <w:t xml:space="preserve"> este documentul de politică strategică pentru deceniul actual. Acesta a identificat patru domenii principale de acțiune („domenii de intervenție”) care corespund celor patru piloni ai abordării „sistemului sigur”: drumuri și acostamente sigure; vehicule sigure; utilizarea drumurilor în condiții de siguranță și intervenții eficace în situații de urgență. Comisia a luat măsuri în fiecare dintre aceste domenii sub formă de legislație, finanțare, informare și consolidare a capacităților. </w:t>
      </w:r>
    </w:p>
    <w:p w14:paraId="05F86FFA" w14:textId="77777777" w:rsidR="000B3041" w:rsidRPr="00A207CB" w:rsidRDefault="000B3041" w:rsidP="000A33DA">
      <w:pPr>
        <w:spacing w:after="120" w:line="23" w:lineRule="atLeast"/>
        <w:rPr>
          <w:noProof/>
        </w:rPr>
      </w:pPr>
    </w:p>
    <w:p w14:paraId="504782D2" w14:textId="77777777" w:rsidR="00FA58E8" w:rsidRPr="00A207CB" w:rsidRDefault="00FA58E8" w:rsidP="001E5A65">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Siguranța infrastructurii </w:t>
      </w:r>
    </w:p>
    <w:p w14:paraId="6272805D" w14:textId="62D10E49" w:rsidR="00FA58E8" w:rsidRPr="00A207CB" w:rsidRDefault="00960E28" w:rsidP="00FA58E8">
      <w:pPr>
        <w:spacing w:after="120" w:line="23" w:lineRule="atLeast"/>
        <w:rPr>
          <w:noProof/>
        </w:rPr>
      </w:pPr>
      <w:r w:rsidRPr="00A207CB">
        <w:rPr>
          <w:noProof/>
        </w:rPr>
        <w:t>Construirea unor drumuri și a unor acostamente bune este esențială pentru sporirea siguranței participanților la trafic. În octombrie 2019, UE a adoptat o directivă revizuită privind gestionarea siguranței infrastructurii rutiere (Directiva RISM)</w:t>
      </w:r>
      <w:r w:rsidRPr="00A207CB">
        <w:rPr>
          <w:rStyle w:val="FootnoteReference"/>
          <w:noProof/>
        </w:rPr>
        <w:footnoteReference w:id="18"/>
      </w:r>
      <w:r w:rsidRPr="00A207CB">
        <w:rPr>
          <w:noProof/>
        </w:rPr>
        <w:t xml:space="preserve"> în vederea reducerii atât a numărului, cât și a gravității accidentelor. Normele revizuite au extins domeniul de aplicare al directivei dincolo de rețeaua transeuropeană de transport (TEN-T), la autostrăzi și drumuri principale și la toate drumurile din afara zonelor urbane care sunt construite cu ajutorul fondurilor UE. Aceasta înseamnă că drumurile rurale, unde se produc peste jumătate din totalul deceselor cauzate de accidentele rutiere, intră în prezent în domeniul de aplicare al directivei, asigurându-se faptul că siguranța este integrată în toate etapele de planificare, proiectare și exploatare a drumurilor.</w:t>
      </w:r>
    </w:p>
    <w:p w14:paraId="43A8FEF3" w14:textId="00680E23" w:rsidR="00FA58E8" w:rsidRPr="00A207CB" w:rsidRDefault="2D49CE45" w:rsidP="00FA58E8">
      <w:pPr>
        <w:spacing w:after="120" w:line="23" w:lineRule="atLeast"/>
        <w:rPr>
          <w:noProof/>
        </w:rPr>
      </w:pPr>
      <w:r w:rsidRPr="00A207CB">
        <w:rPr>
          <w:noProof/>
        </w:rPr>
        <w:t>Ca parte a acestui exercițiu major, statele membre trebuie să efectueze evaluări periodice la nivelul întregii rețele rutiere, pe baza unei metodologii de clasificare a riscurilor care să contribuie la o mai bună identificare a riscurilor de coliziune pe anumite tronsoane de drum. Astfel, inspecțiile în materie de siguranță rutieră vor viza tronsoanele cele mai periculoase și, prin urmare, vor contribui la direcționarea investițiilor acolo unde este cea mai mare nevoie de ele. Comisia a pus la dispoziție orientări</w:t>
      </w:r>
      <w:r w:rsidRPr="00A207CB">
        <w:rPr>
          <w:rStyle w:val="FootnoteReference"/>
          <w:noProof/>
        </w:rPr>
        <w:footnoteReference w:id="19"/>
      </w:r>
      <w:r w:rsidRPr="00A207CB">
        <w:rPr>
          <w:noProof/>
        </w:rPr>
        <w:t xml:space="preserve"> pentru a ajuta autoritățile naționale să își îndeplinească sarcina, precum și o hartă a Europei</w:t>
      </w:r>
      <w:r w:rsidRPr="00A207CB">
        <w:rPr>
          <w:rStyle w:val="FootnoteReference"/>
          <w:noProof/>
        </w:rPr>
        <w:footnoteReference w:id="20"/>
      </w:r>
      <w:r w:rsidRPr="00A207CB">
        <w:rPr>
          <w:noProof/>
        </w:rPr>
        <w:t xml:space="preserve"> care prezintă întreaga rețea rutieră aflată sub incidența directivei.</w:t>
      </w:r>
    </w:p>
    <w:p w14:paraId="45499069" w14:textId="1CDADDEA" w:rsidR="00FA58E8" w:rsidRPr="00A207CB" w:rsidRDefault="2D49CE45" w:rsidP="00FA58E8">
      <w:pPr>
        <w:spacing w:after="120" w:line="23" w:lineRule="atLeast"/>
        <w:rPr>
          <w:noProof/>
        </w:rPr>
      </w:pPr>
      <w:r w:rsidRPr="00A207CB">
        <w:rPr>
          <w:noProof/>
        </w:rPr>
        <w:t>În prezent, Comisia elaborează orientări privind proiectarea unor drumuri sigure și a unei infrastructuri rutiere ușor de utilizat de către utilizatorii vulnerabili ai drumurilor, ca urmare a Declarației europene privind deplasarea cu bicicleta</w:t>
      </w:r>
      <w:r w:rsidRPr="00A207CB">
        <w:rPr>
          <w:rStyle w:val="FootnoteReference"/>
          <w:noProof/>
        </w:rPr>
        <w:footnoteReference w:id="21"/>
      </w:r>
      <w:r w:rsidRPr="00A207CB">
        <w:rPr>
          <w:noProof/>
        </w:rPr>
        <w:t xml:space="preserve"> și a cerinței Directivei RISM ca utilizatorii vulnerabili să fie luați în considerare în mod sistematic în toate procedurile de gestionare a siguranței rutiere.</w:t>
      </w:r>
    </w:p>
    <w:p w14:paraId="5906E33E" w14:textId="0B7C1AF1" w:rsidR="00FA58E8" w:rsidRPr="00A207CB" w:rsidRDefault="37D994B7" w:rsidP="00FA58E8">
      <w:pPr>
        <w:spacing w:after="120" w:line="23" w:lineRule="atLeast"/>
        <w:rPr>
          <w:noProof/>
        </w:rPr>
      </w:pPr>
      <w:r w:rsidRPr="00A207CB">
        <w:rPr>
          <w:noProof/>
        </w:rPr>
        <w:t>Directiva privind sistemele de transport inteligente</w:t>
      </w:r>
      <w:r w:rsidRPr="00A207CB">
        <w:rPr>
          <w:rStyle w:val="FootnoteReference"/>
          <w:noProof/>
        </w:rPr>
        <w:footnoteReference w:id="22"/>
      </w:r>
      <w:r w:rsidRPr="00A207CB">
        <w:rPr>
          <w:noProof/>
        </w:rPr>
        <w:t xml:space="preserve"> prevede reglementări de trafic statice și dinamice, cum ar fi limitele de viteză pe rețeaua globală TEN-T, autostrăzi, drumuri principale și noduri urbane. Ea va îmbunătăți gradul de conformare al conducătorilor auto și va conduce la un trafic mai sigur și mai inteligent, oferind sprijin în ceea ce privește asistența inteligentă pentru controlul vitezei și mobilitatea cooperativă, conectată și automatizată.</w:t>
      </w:r>
    </w:p>
    <w:p w14:paraId="7848AF37" w14:textId="497EF5B1" w:rsidR="00FA58E8" w:rsidRPr="00A207CB" w:rsidRDefault="00FA58E8" w:rsidP="0010489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Siguranța vehiculelor </w:t>
      </w:r>
    </w:p>
    <w:p w14:paraId="1776CE30" w14:textId="33223F6E" w:rsidR="00FA58E8" w:rsidRPr="00A207CB" w:rsidRDefault="00FA58E8" w:rsidP="00FA58E8">
      <w:pPr>
        <w:spacing w:after="120" w:line="23" w:lineRule="atLeast"/>
        <w:rPr>
          <w:noProof/>
        </w:rPr>
      </w:pPr>
      <w:r w:rsidRPr="00A207CB">
        <w:rPr>
          <w:noProof/>
        </w:rPr>
        <w:t>Vehiculele sigure reprezintă al doilea pilon al abordării „sistemului sigur”. Vehiculele au un impact semnificativ asupra siguranței rutiere și, datorită schimbărilor tehnologice rapide, ele necesită o atenție constantă din partea autorităților de reglementare.</w:t>
      </w:r>
    </w:p>
    <w:p w14:paraId="43D0CEFE" w14:textId="0EABF902" w:rsidR="00FA58E8" w:rsidRPr="00A207CB" w:rsidRDefault="2D49CE45" w:rsidP="00FA58E8">
      <w:pPr>
        <w:spacing w:after="120" w:line="23" w:lineRule="atLeast"/>
        <w:rPr>
          <w:noProof/>
        </w:rPr>
      </w:pPr>
      <w:r w:rsidRPr="00A207CB">
        <w:rPr>
          <w:noProof/>
        </w:rPr>
        <w:t>Regulamentul privind siguranța generală a vehiculelor</w:t>
      </w:r>
      <w:r w:rsidRPr="00A207CB">
        <w:rPr>
          <w:rStyle w:val="FootnoteReference"/>
          <w:noProof/>
        </w:rPr>
        <w:footnoteReference w:id="23"/>
      </w:r>
      <w:r w:rsidRPr="00A207CB">
        <w:rPr>
          <w:noProof/>
        </w:rPr>
        <w:t>, care stabilește standarde minime de siguranță pentru toate vehiculele noi vândute pe piața UE, a intrat pe deplin în vigoare în iulie 2024. Aceasta a introdus cerințe cu un potențial semnificativ de îmbunătățire a siguranței, cum ar fi sistemul inteligent de asistență pentru controlul vitezei, sistemul de asistență pentru menținerea benzii de circulație, sistemul de informare privind unghiul mort și sistemul de avertizare la mersul înapoi, precum și zone extinse de protecție contra impacturilor la nivelul capului, capabile să atenueze vătămările cauzate de coliziunile cu utilizatori vulnerabili ai drumurilor, cum ar fi pietonii și bicicliștii. Comisia colaborează în permanență cu statele membre și cu părțile interesate pentru punerea în aplicare a regulamentului și a cadrului de reglementare pentru vehiculele automatizate.</w:t>
      </w:r>
    </w:p>
    <w:p w14:paraId="3CA1D205" w14:textId="611FB504" w:rsidR="00FA58E8" w:rsidRPr="00A207CB" w:rsidRDefault="5E55F97D" w:rsidP="00FA58E8">
      <w:pPr>
        <w:spacing w:after="120" w:line="23" w:lineRule="atLeast"/>
        <w:rPr>
          <w:noProof/>
        </w:rPr>
      </w:pPr>
      <w:r w:rsidRPr="00A207CB">
        <w:rPr>
          <w:noProof/>
        </w:rPr>
        <w:t>În aprilie 2025, Comisia a propus revizuirea normelor UE privind inspecția tehnică a vehiculelor</w:t>
      </w:r>
      <w:r w:rsidRPr="00A207CB">
        <w:rPr>
          <w:rStyle w:val="FootnoteReference"/>
          <w:noProof/>
        </w:rPr>
        <w:footnoteReference w:id="24"/>
      </w:r>
      <w:r w:rsidRPr="00A207CB">
        <w:rPr>
          <w:noProof/>
        </w:rPr>
        <w:t>. Obiectivul este de a garanta siguranța vehiculelor pe întreg parcursul vieții acestora și de a reduce emisiile de poluanți atmosferici și emisiile sonore, în special în contextul evoluțiilor tehnologice și al îmbătrânirii parcului de vehicule din UE. Noile norme propuse sunt menite să adapteze inspecțiile tehnice periodice la care sunt supuse vehiculele electrice și sistemele avansate de asistență pentru conducătorii auto, să introducă inspecții tehnice periodice obligatorii pentru motociclete și inspecții anuale pentru autoturismele și camionetele mai vechi, să implementeze metode avansate de testare a emisiilor pentru a detecta vehiculele cu emisii ridicate și să facă obligatorii inspecțiile privind fixarea încărcăturii în cadrul controalelor tehnice în trafic. Se estimează că, dacă vor fi puse în aplicare, toate acestea vor conduce la salvarea a aproximativ 7 000 de vieți și vor preveni aproximativ 65 000 de vătămări grave în perioada 2026-2050. </w:t>
      </w:r>
    </w:p>
    <w:p w14:paraId="5AD996B1" w14:textId="77777777" w:rsidR="000B3041" w:rsidRPr="00A207CB" w:rsidRDefault="000B3041" w:rsidP="00FA58E8">
      <w:pPr>
        <w:spacing w:after="120" w:line="23" w:lineRule="atLeast"/>
        <w:rPr>
          <w:noProof/>
        </w:rPr>
      </w:pPr>
    </w:p>
    <w:p w14:paraId="2702EB4D" w14:textId="77777777" w:rsidR="00FA58E8" w:rsidRPr="00A207CB" w:rsidRDefault="00FA58E8" w:rsidP="0083115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Utilizarea drumurilor în condiții de siguranță </w:t>
      </w:r>
    </w:p>
    <w:p w14:paraId="3609A883" w14:textId="1C715872" w:rsidR="00FA58E8" w:rsidRPr="00A207CB" w:rsidRDefault="00FA58E8" w:rsidP="00FA58E8">
      <w:pPr>
        <w:spacing w:after="120" w:line="23" w:lineRule="atLeast"/>
        <w:rPr>
          <w:noProof/>
        </w:rPr>
      </w:pPr>
      <w:r w:rsidRPr="00A207CB">
        <w:rPr>
          <w:noProof/>
        </w:rPr>
        <w:t>Utilizarea drumurilor în condiții de siguranță, care include niveluri de viteză adecvate, conducerea fără a fi sub influența alcoolului/drogurilor și fără distragerea atenției și utilizarea echipamentelor de siguranță, este al treilea domeniu de acțiune din actualul Cadru de politică al UE privind siguranța rutieră 2021-2030 și al treilea pilon al abordării „sistemului sigur”. Acordarea permiselor de conducere, educația specifică și sensibilizarea, precum și regimurile solide de asigurare a respectării legislației sunt componente semnificative ale unei structuri de stimulente care încurajează utilizarea în condiții de siguranță a drumurilor și a vehiculelor.</w:t>
      </w:r>
    </w:p>
    <w:p w14:paraId="2B9284A1" w14:textId="175A7610" w:rsidR="00FA58E8" w:rsidRPr="00A207CB" w:rsidRDefault="2D49CE45" w:rsidP="00FA58E8">
      <w:pPr>
        <w:spacing w:after="120" w:line="23" w:lineRule="atLeast"/>
        <w:rPr>
          <w:noProof/>
        </w:rPr>
      </w:pPr>
      <w:r w:rsidRPr="00A207CB">
        <w:rPr>
          <w:noProof/>
        </w:rPr>
        <w:t xml:space="preserve">În octombrie 2025, UE a adoptat o revizuire a </w:t>
      </w:r>
      <w:r w:rsidRPr="00A207CB">
        <w:rPr>
          <w:b/>
          <w:noProof/>
        </w:rPr>
        <w:t>Directivei privind permisele de conducere</w:t>
      </w:r>
      <w:r w:rsidRPr="00A207CB">
        <w:rPr>
          <w:rStyle w:val="FootnoteReference"/>
          <w:noProof/>
        </w:rPr>
        <w:footnoteReference w:id="25"/>
      </w:r>
      <w:r w:rsidRPr="00A207CB">
        <w:rPr>
          <w:noProof/>
        </w:rPr>
        <w:t xml:space="preserve">. Pe lângă introducerea permiselor de conducere mobile, noile norme prevăd conducerea însoțită pentru tinerii cursanți, norme și/sau sancțiuni mai stricte pentru conducătorii auto începători care conduc sub influența alcoolului și a drogurilor, o mai mare conștientizare a riscurilor, o mai bună protecție a utilizatorilor vulnerabili ai drumurilor și un nou cadru care permite statelor membre să verifice capacitatea mentală și fizică a unui conducător auto de a conduce pe întreaga durată a vieții sale. </w:t>
      </w:r>
    </w:p>
    <w:p w14:paraId="505E927E" w14:textId="01C07D5E" w:rsidR="00FA58E8" w:rsidRPr="00A207CB" w:rsidRDefault="2D49CE45" w:rsidP="000D459D">
      <w:pPr>
        <w:spacing w:line="23" w:lineRule="atLeast"/>
        <w:rPr>
          <w:noProof/>
        </w:rPr>
      </w:pPr>
      <w:r w:rsidRPr="00A207CB">
        <w:rPr>
          <w:noProof/>
        </w:rPr>
        <w:t xml:space="preserve">Deși normele anterioare ale UE au îmbunătățit respectarea de către conducătorii auto nerezidenți a reglementărilor în materie de siguranță rutieră, persistă o lacună semnificativă: aproximativ 40 % din infracțiunile transfrontaliere au rămas nepedepsite din cauza provocărilor legate de identificarea autorilor și de aplicarea atât a amenzilor, cât și a decăderii din dreptul de a conduce autovehicule. Aceste deficiențe au fost abordate în noua Directivă privind permisele de conducere. Pentru încălcări grave, cum ar fi conducerea sub influența alcoolului sau a drogurilor, depășirea limitei de viteză cu mai mult de 50 km sau încălcarea normelor de circulație rutieră având ca rezultat decesul sau vătămarea gravă a altor persoane, statul membru care eliberează un permis de conducere va avea obligația să impună o </w:t>
      </w:r>
      <w:r w:rsidRPr="00A207CB">
        <w:rPr>
          <w:b/>
          <w:noProof/>
        </w:rPr>
        <w:t xml:space="preserve">decădere din dreptul de a conduce autovehicule </w:t>
      </w:r>
      <w:r w:rsidRPr="00A207CB">
        <w:rPr>
          <w:noProof/>
        </w:rPr>
        <w:t xml:space="preserve">similară cu sancțiunea emisă de statul membru în care a avut loc încălcarea. Datorită acestui lucru, sancțiunea va avea efect la nivelul UE. În plus, recent adoptata </w:t>
      </w:r>
      <w:r w:rsidRPr="00A207CB">
        <w:rPr>
          <w:b/>
          <w:noProof/>
        </w:rPr>
        <w:t>Directivă privind asigurarea respectării normelor la nivel transfrontalier (CBE)</w:t>
      </w:r>
      <w:r w:rsidRPr="00A207CB">
        <w:rPr>
          <w:rStyle w:val="FootnoteReference"/>
          <w:bCs/>
          <w:noProof/>
        </w:rPr>
        <w:footnoteReference w:id="26"/>
      </w:r>
      <w:r w:rsidRPr="00A207CB">
        <w:rPr>
          <w:noProof/>
        </w:rPr>
        <w:t xml:space="preserve"> sporește cooperarea dintre statele membre prin stabilirea unei asistențe reciproce pentru aplicarea eficace a sancțiunilor financiare pentru o gamă mai largă de încălcări ale normelor de siguranță rutieră.  </w:t>
      </w:r>
    </w:p>
    <w:p w14:paraId="45698637" w14:textId="02C65769" w:rsidR="006D00F6" w:rsidRPr="00A207CB" w:rsidRDefault="7E3053E6" w:rsidP="00744F8F">
      <w:pPr>
        <w:pBdr>
          <w:top w:val="single" w:sz="4" w:space="1" w:color="auto"/>
          <w:left w:val="single" w:sz="4" w:space="4" w:color="auto"/>
          <w:bottom w:val="single" w:sz="4" w:space="1" w:color="auto"/>
          <w:right w:val="single" w:sz="4" w:space="4" w:color="auto"/>
        </w:pBdr>
        <w:spacing w:after="120" w:line="23" w:lineRule="atLeast"/>
        <w:rPr>
          <w:noProof/>
        </w:rPr>
      </w:pPr>
      <w:r w:rsidRPr="00A207CB">
        <w:rPr>
          <w:b/>
          <w:noProof/>
        </w:rPr>
        <w:t>Viteza</w:t>
      </w:r>
      <w:r w:rsidRPr="00A207CB">
        <w:rPr>
          <w:noProof/>
        </w:rPr>
        <w:t xml:space="preserve"> rămâne principalul factor care contribuie la accidentele rutiere. Viteza excesivă sau inadecvată este implicată în 10-15 % din totalul accidentelor și în aproximativ 30 % din accidentele mortale, ea exacerbând în același timp consecințele tuturor accidentelor. Dacă un pieton este lovit de un automobil care rulează cu viteza de 30 km/h, acesta are o șansă de supraviețuire de 90 %; la 50 km/h, șansa scade la 20 %</w:t>
      </w:r>
      <w:r w:rsidRPr="00A207CB">
        <w:rPr>
          <w:rStyle w:val="FootnoteReference"/>
          <w:noProof/>
        </w:rPr>
        <w:footnoteReference w:id="27"/>
      </w:r>
      <w:r w:rsidRPr="00A207CB">
        <w:rPr>
          <w:noProof/>
        </w:rPr>
        <w:t>. Deși viteza rămâne o chestiune sensibilă din punct de vedere politic și cultural, inițiativele de reducere a vitezei aduc beneficii semnificative, nu doar mai puține accidente rutiere, decese și vătămări corporale, ci și beneficii pentru mediu, și anume o reducere a emisiilor, nivelurilor de poluare fonică și consumului de combustibil.</w:t>
      </w:r>
    </w:p>
    <w:p w14:paraId="76700CA7" w14:textId="137B23DA" w:rsidR="003E678C" w:rsidRPr="00A207CB" w:rsidRDefault="077AF82E" w:rsidP="55381787">
      <w:pPr>
        <w:pBdr>
          <w:top w:val="single" w:sz="4" w:space="1" w:color="auto"/>
          <w:left w:val="single" w:sz="4" w:space="4" w:color="auto"/>
          <w:bottom w:val="single" w:sz="4" w:space="1" w:color="auto"/>
          <w:right w:val="single" w:sz="4" w:space="4" w:color="auto"/>
        </w:pBdr>
        <w:spacing w:after="120" w:line="23" w:lineRule="atLeast"/>
        <w:rPr>
          <w:noProof/>
        </w:rPr>
      </w:pPr>
      <w:r w:rsidRPr="00A207CB">
        <w:rPr>
          <w:noProof/>
        </w:rPr>
        <w:t>Multe inițiative promovate la nivelul UE abordează deja viteza în mod inerent. Printre acestea se numără Regulamentul UE privind siguranța generală a vehiculelor și Directiva CBE menționată mai sus. Multe autorități naționale, regionale și locale au introdus deja sau intenționează să introducă noi inițiative de gestionare a vitezei, cum ar fi zone de 30 km/h în orașe, în special în locurile în care utilizatorii activi și vulnerabili ai drumurilor și vehiculele se amestecă frecvent în mod planificat</w:t>
      </w:r>
      <w:r w:rsidRPr="00A207CB">
        <w:rPr>
          <w:rStyle w:val="FootnoteReference"/>
          <w:noProof/>
        </w:rPr>
        <w:footnoteReference w:id="28"/>
      </w:r>
      <w:r w:rsidRPr="00A207CB">
        <w:rPr>
          <w:noProof/>
        </w:rPr>
        <w:t xml:space="preserve">. </w:t>
      </w:r>
    </w:p>
    <w:p w14:paraId="7C4ED21B" w14:textId="61B582F2" w:rsidR="006D00F6" w:rsidRPr="00A207CB" w:rsidRDefault="006D00F6" w:rsidP="55381787">
      <w:pPr>
        <w:pBdr>
          <w:top w:val="single" w:sz="4" w:space="1" w:color="auto"/>
          <w:left w:val="single" w:sz="4" w:space="4" w:color="auto"/>
          <w:bottom w:val="single" w:sz="4" w:space="1" w:color="auto"/>
          <w:right w:val="single" w:sz="4" w:space="4" w:color="auto"/>
        </w:pBdr>
        <w:spacing w:after="120" w:line="23" w:lineRule="atLeast"/>
        <w:rPr>
          <w:noProof/>
        </w:rPr>
      </w:pPr>
      <w:r w:rsidRPr="00A207CB">
        <w:rPr>
          <w:noProof/>
        </w:rPr>
        <w:t>Altele au optat pentru alte măsuri: de exemplu, ele s-au axat pe o concepție îmbunătățită a infrastructurii pentru a proteja utilizatorii vulnerabili ai drumurilor, pe o mai bună identificare și gestionare a riscurilor sau pe separarea fluxurilor de trafic, asigurarea respectării limitelor de viteză și o mai bună educație și comunicare.  </w:t>
      </w:r>
    </w:p>
    <w:p w14:paraId="08A9F56E" w14:textId="77777777" w:rsidR="006D00F6" w:rsidRPr="00A207CB" w:rsidRDefault="006D00F6" w:rsidP="00FA58E8">
      <w:pPr>
        <w:spacing w:after="120" w:line="23" w:lineRule="atLeast"/>
        <w:rPr>
          <w:noProof/>
        </w:rPr>
      </w:pPr>
    </w:p>
    <w:p w14:paraId="5726BFFE" w14:textId="77777777" w:rsidR="00FA58E8" w:rsidRPr="00A207CB" w:rsidRDefault="00FA58E8" w:rsidP="0028238B">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Intervenții eficace în situații de urgență </w:t>
      </w:r>
    </w:p>
    <w:p w14:paraId="04A05369" w14:textId="11AAD65A" w:rsidR="00FA58E8" w:rsidRPr="00A207CB" w:rsidRDefault="19BC8CA7" w:rsidP="00FA58E8">
      <w:pPr>
        <w:spacing w:after="120" w:line="23" w:lineRule="atLeast"/>
        <w:rPr>
          <w:noProof/>
        </w:rPr>
      </w:pPr>
      <w:r w:rsidRPr="00A207CB">
        <w:rPr>
          <w:noProof/>
        </w:rPr>
        <w:t>Intervențiile rapide în situații de urgență sunt esențiale pentru salvarea de vieți omenești și pentru reducerea gravității vătămărilor. Acțiunea UE privind îngrijirile post-coliziune, al patrulea pilon al abordării „sistemului sigur”, urmărește să reducă intervalul de timp dintre accident și sosirea echipelor medicale la locul accidentului. O intervenție mai rapidă a serviciilor de urgență îmbunătățește în mod semnificativ șansele de supraviețuire: un studiu din Spania</w:t>
      </w:r>
      <w:r w:rsidRPr="00A207CB">
        <w:rPr>
          <w:rStyle w:val="FootnoteReference"/>
          <w:noProof/>
        </w:rPr>
        <w:footnoteReference w:id="29"/>
      </w:r>
      <w:r w:rsidRPr="00A207CB">
        <w:rPr>
          <w:noProof/>
        </w:rPr>
        <w:t xml:space="preserve"> a indicat că o reducere cu 10 minute a timpului de intervenție medicală este asociată cu o scădere cu o treime a probabilității de deces. </w:t>
      </w:r>
    </w:p>
    <w:p w14:paraId="15AC9859" w14:textId="6CC17DCF" w:rsidR="00FA58E8" w:rsidRPr="00A207CB" w:rsidRDefault="00FA58E8" w:rsidP="00FA58E8">
      <w:pPr>
        <w:spacing w:after="120" w:line="23" w:lineRule="atLeast"/>
        <w:rPr>
          <w:noProof/>
        </w:rPr>
      </w:pPr>
      <w:r w:rsidRPr="00A207CB">
        <w:rPr>
          <w:noProof/>
        </w:rPr>
        <w:t>Rezultatele studiului Trendline indică faptul că, în majoritatea țărilor europene, timpul de intervenție în situații de urgență este de maximum 10 minute pentru jumătate din incidente. În 95 % din cazuri, intervenția în caz de urgență are loc după circa maximum 25 de minute. Intervențiile din zonele rurale au loc, în medie, cu 10 minute mai târziu decât cele din zonele urbane.</w:t>
      </w:r>
    </w:p>
    <w:p w14:paraId="195D4076" w14:textId="7EA90D3B" w:rsidR="00FA58E8" w:rsidRPr="00A207CB" w:rsidRDefault="2D49CE45" w:rsidP="00FA58E8">
      <w:pPr>
        <w:spacing w:after="120" w:line="23" w:lineRule="atLeast"/>
        <w:rPr>
          <w:noProof/>
        </w:rPr>
      </w:pPr>
      <w:r w:rsidRPr="00A207CB">
        <w:rPr>
          <w:noProof/>
        </w:rPr>
        <w:t>Legislația UE privind eCall a introdus obligativitatea sistemelor automate de apel de urgență la numărul 112 în toate autoturismele noi vândute în UE începând cu 1 aprilie 2018. Analiza efectuată în Finlanda</w:t>
      </w:r>
      <w:r w:rsidRPr="00A207CB">
        <w:rPr>
          <w:rStyle w:val="FootnoteReference"/>
          <w:noProof/>
        </w:rPr>
        <w:footnoteReference w:id="30"/>
      </w:r>
      <w:r w:rsidRPr="00A207CB">
        <w:rPr>
          <w:noProof/>
        </w:rPr>
        <w:t xml:space="preserve"> indică faptul că utilizarea sistemului eCall reduce de la 25 la 22 de minute intervalul de timp dintre apelul inițial către serviciile de urgență și sosirea echipelor medicale la locul accidentului. În cazul autostrăzilor, ea reduce și mai mult timpul de intervenție, de la 20 la 14 minute.</w:t>
      </w:r>
    </w:p>
    <w:p w14:paraId="297EB633" w14:textId="128300E1" w:rsidR="00FA58E8" w:rsidRPr="00A207CB" w:rsidRDefault="2D49CE45" w:rsidP="00FA58E8">
      <w:pPr>
        <w:spacing w:after="120" w:line="23" w:lineRule="atLeast"/>
        <w:rPr>
          <w:noProof/>
        </w:rPr>
      </w:pPr>
      <w:r w:rsidRPr="00A207CB">
        <w:rPr>
          <w:noProof/>
        </w:rPr>
        <w:t>În 2024, Comisia a actualizat legislația privind eCall pentru a permite utilizarea sistemului eCall cu cele mai recente tehnologii de comunicare</w:t>
      </w:r>
      <w:r w:rsidRPr="00A207CB">
        <w:rPr>
          <w:rStyle w:val="FootnoteReference"/>
          <w:noProof/>
        </w:rPr>
        <w:footnoteReference w:id="31"/>
      </w:r>
      <w:r w:rsidRPr="00A207CB">
        <w:rPr>
          <w:noProof/>
        </w:rPr>
        <w:t>, de la 1 ianuarie 2026 pentru noile tipuri de vehicule și de la 1 ianuarie 2027 pentru toate vehiculele noi. Prin contrast, eliminarea treptată în următorii ani a rețelelor de comunicații mobile 2G și 3G în întreaga UE va crea riscul ca vehiculele existente echipate cu dispozitive eCall 2G-3G să nu mai poată utiliza serviciul eCall. </w:t>
      </w:r>
    </w:p>
    <w:p w14:paraId="7D20995E" w14:textId="4FB31454" w:rsidR="00FA58E8" w:rsidRPr="00A207CB" w:rsidRDefault="00FA58E8" w:rsidP="00FA58E8">
      <w:pPr>
        <w:spacing w:after="120" w:line="23" w:lineRule="atLeast"/>
        <w:rPr>
          <w:noProof/>
        </w:rPr>
      </w:pPr>
    </w:p>
    <w:p w14:paraId="66A898FE" w14:textId="77777777" w:rsidR="00FA58E8" w:rsidRPr="00A207CB" w:rsidRDefault="00FA58E8" w:rsidP="00606CB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Coordonarea și informarea la nivelul UE </w:t>
      </w:r>
    </w:p>
    <w:p w14:paraId="6D022D33" w14:textId="6B787C43" w:rsidR="00FA58E8" w:rsidRPr="00A207CB" w:rsidRDefault="00F97648" w:rsidP="00FA58E8">
      <w:pPr>
        <w:spacing w:after="120" w:line="23" w:lineRule="atLeast"/>
        <w:rPr>
          <w:noProof/>
        </w:rPr>
      </w:pPr>
      <w:r w:rsidRPr="00A207CB">
        <w:rPr>
          <w:noProof/>
        </w:rPr>
        <w:t>UE și statele sale membre au o responsabilitate comună și competențe partajate în ceea ce privește politica în domeniul siguranței rutiere. Îmbunătățirea siguranței necesită acțiuni coordonate din partea tuturor părților și la toate nivelurile de guvernanță: autorități publice, industrie, asociații de utilizatori, ONG-uri, școli și cercetători. </w:t>
      </w:r>
    </w:p>
    <w:p w14:paraId="078CF112" w14:textId="192C59A4" w:rsidR="00FA58E8" w:rsidRPr="00A207CB" w:rsidRDefault="00FA58E8" w:rsidP="00FA58E8">
      <w:pPr>
        <w:spacing w:after="120" w:line="23" w:lineRule="atLeast"/>
        <w:rPr>
          <w:noProof/>
        </w:rPr>
      </w:pPr>
      <w:r w:rsidRPr="00A207CB">
        <w:rPr>
          <w:noProof/>
        </w:rPr>
        <w:t xml:space="preserve">La nivelul UE, </w:t>
      </w:r>
      <w:r w:rsidRPr="00A207CB">
        <w:rPr>
          <w:b/>
          <w:noProof/>
        </w:rPr>
        <w:t>Grupul la nivel înalt pentru siguranța rutieră</w:t>
      </w:r>
      <w:r w:rsidRPr="00A207CB">
        <w:rPr>
          <w:noProof/>
        </w:rPr>
        <w:t>, format din reprezentanți naționali de rang înalt, este un forum pentru schimburi și consultări cu statele membre. Membrii grupului la nivel înalt discută despre progresele înregistrate la nivel național și ridică adesea probleme de interes comun cu privire la care ar dori să vadă acțiuni la nivelul UE, cum ar fi reglementarea dispozitivelor de mobilitate personală sau aplicarea normelor de circulație rutieră în cazul vehiculelor automatizate.  </w:t>
      </w:r>
    </w:p>
    <w:p w14:paraId="4508F69D" w14:textId="0AF365A9" w:rsidR="00FA58E8" w:rsidRPr="00A207CB" w:rsidRDefault="00FA58E8" w:rsidP="00FA58E8">
      <w:pPr>
        <w:spacing w:after="120" w:line="23" w:lineRule="atLeast"/>
        <w:rPr>
          <w:noProof/>
        </w:rPr>
      </w:pPr>
      <w:r w:rsidRPr="00A207CB">
        <w:rPr>
          <w:noProof/>
        </w:rPr>
        <w:t xml:space="preserve">Comisia organizează </w:t>
      </w:r>
      <w:r w:rsidRPr="00A207CB">
        <w:rPr>
          <w:b/>
          <w:noProof/>
        </w:rPr>
        <w:t xml:space="preserve">conferințe bienale privind rezultatele în materie de siguranță rutieră </w:t>
      </w:r>
      <w:r w:rsidRPr="00A207CB">
        <w:rPr>
          <w:noProof/>
        </w:rPr>
        <w:t xml:space="preserve">pentru a discuta progresele înregistrate, pentru a face schimb de bune practici și pentru a implica părțile interesate. Un </w:t>
      </w:r>
      <w:r w:rsidRPr="00A207CB">
        <w:rPr>
          <w:b/>
          <w:noProof/>
        </w:rPr>
        <w:t xml:space="preserve">coordonator european pentru siguranța rutieră </w:t>
      </w:r>
      <w:r w:rsidRPr="00A207CB">
        <w:rPr>
          <w:noProof/>
        </w:rPr>
        <w:t>coordonează eforturile împreună cu statele membre. </w:t>
      </w:r>
    </w:p>
    <w:p w14:paraId="367529C4" w14:textId="147DD4A5" w:rsidR="00FA58E8" w:rsidRPr="00A207CB" w:rsidRDefault="2D49CE45" w:rsidP="00FA58E8">
      <w:pPr>
        <w:spacing w:after="120" w:line="23" w:lineRule="atLeast"/>
        <w:rPr>
          <w:noProof/>
        </w:rPr>
      </w:pPr>
      <w:r w:rsidRPr="00A207CB">
        <w:rPr>
          <w:noProof/>
        </w:rPr>
        <w:t xml:space="preserve">Comisia încurajează angajamentele voluntare în temeiul </w:t>
      </w:r>
      <w:r w:rsidRPr="00A207CB">
        <w:rPr>
          <w:b/>
          <w:noProof/>
        </w:rPr>
        <w:t>Cartei europene a siguranței rutiere</w:t>
      </w:r>
      <w:r w:rsidRPr="00A207CB">
        <w:rPr>
          <w:rStyle w:val="FootnoteReference"/>
          <w:b/>
          <w:bCs/>
          <w:noProof/>
        </w:rPr>
        <w:footnoteReference w:id="32"/>
      </w:r>
      <w:r w:rsidRPr="00A207CB">
        <w:rPr>
          <w:noProof/>
        </w:rPr>
        <w:t>, care la nivel mondial este cea mai mare platformă a societății civile dedicată siguranței rutiere, cu peste 4 300 de membri. Premiile anuale recunosc inițiativele inovatoare, acordând de exemplu recunoaștere orașelor europene sigure. </w:t>
      </w:r>
    </w:p>
    <w:p w14:paraId="47D02469" w14:textId="0B6924B7" w:rsidR="00FA58E8" w:rsidRPr="00A207CB" w:rsidRDefault="17B2E09B" w:rsidP="00FA58E8">
      <w:pPr>
        <w:spacing w:after="120" w:line="23" w:lineRule="atLeast"/>
        <w:rPr>
          <w:noProof/>
        </w:rPr>
      </w:pPr>
      <w:r w:rsidRPr="00A207CB">
        <w:rPr>
          <w:noProof/>
        </w:rPr>
        <w:t xml:space="preserve">Utilizând finanțarea din partea Uniunii, </w:t>
      </w:r>
      <w:r w:rsidRPr="00A207CB">
        <w:rPr>
          <w:b/>
          <w:noProof/>
        </w:rPr>
        <w:t>Schimbul UE privind siguranța rutieră</w:t>
      </w:r>
      <w:r w:rsidRPr="00A207CB">
        <w:rPr>
          <w:rStyle w:val="FootnoteReference"/>
          <w:b/>
          <w:bCs/>
          <w:noProof/>
        </w:rPr>
        <w:footnoteReference w:id="33"/>
      </w:r>
      <w:r w:rsidRPr="00A207CB">
        <w:rPr>
          <w:noProof/>
        </w:rPr>
        <w:t xml:space="preserve"> oferă activități de consolidare a capacităților și de înfrățire pentru statele membre care au cel mai mare potențial de a-și îmbunătăți performanțele. Funcționarii construiesc parteneriate cu omologii lor din alte țări prin schimbul de bune practici și prezentarea inițiativelor de succes.   Au avut loc mai multe schimburi colaborative care au condus la progrese concrete în ceea ce privește planificarea și strategiile naționale în materie de siguranță rutieră. În urma unei colaborări cu Suedia, Lituania a demarat activitățile de extindere a implementării infrastructurii rutiere de tip 2+1</w:t>
      </w:r>
      <w:r w:rsidRPr="00A207CB">
        <w:rPr>
          <w:rStyle w:val="FootnoteReference"/>
          <w:noProof/>
        </w:rPr>
        <w:footnoteReference w:id="34"/>
      </w:r>
      <w:r w:rsidRPr="00A207CB">
        <w:rPr>
          <w:noProof/>
        </w:rPr>
        <w:t>. România a început pregătirile pentru instalarea unei rețele naționale de camere fixe de luat vederi pentru măsurarea vitezei, inspirată de sistemul spaniol, a cărei implementare este programată în prezent pentru 2026. Letonia a început să examineze potențialul de investigare aprofundată a accidentelor, bazându-se pe metodologia Finlandei. Între timp, ca parte a noii sale legi privind traficul rutier, Grecia a redus limitele de viteză din zonele urbane la 30 km/h și urmează să introducă măsuri suplimentare menite să îmbunătățească siguranța motocicliștilor, în urma activităților de schimb de cunoștințe cu Spania și Danemarca. </w:t>
      </w:r>
    </w:p>
    <w:p w14:paraId="2329E7C0" w14:textId="757B151B" w:rsidR="00606CB2" w:rsidRPr="00A207CB" w:rsidRDefault="00930790" w:rsidP="00FA58E8">
      <w:pPr>
        <w:spacing w:after="120" w:line="23" w:lineRule="atLeast"/>
        <w:rPr>
          <w:noProof/>
        </w:rPr>
      </w:pPr>
      <w:r w:rsidRPr="00A207CB">
        <w:rPr>
          <w:noProof/>
        </w:rPr>
        <w:t>Aceste eforturi de promovare au reușit să reunească părțile interesate din comunitatea siguranței rutiere și să promoveze un anumit nivel de evaluare și învățare reciprocă între statele membre. Cu toate acestea, prioritizarea siguranței rutiere la nivel de politică și integrarea preocupărilor legate de siguranța rutieră în alte sectoare, cum ar fi politica economică, sănătatea și siguranța la locul de muncă, rămân în mod predominant chestiuni de responsabilitate națională.</w:t>
      </w:r>
    </w:p>
    <w:p w14:paraId="1711B2AE" w14:textId="77777777" w:rsidR="00FA58E8" w:rsidRPr="00A207CB" w:rsidRDefault="00FA58E8" w:rsidP="00FA58E8">
      <w:pPr>
        <w:spacing w:after="120" w:line="23" w:lineRule="atLeast"/>
        <w:rPr>
          <w:noProof/>
        </w:rPr>
      </w:pPr>
      <w:r w:rsidRPr="00A207CB">
        <w:rPr>
          <w:noProof/>
        </w:rPr>
        <w:t xml:space="preserve"> </w:t>
      </w:r>
    </w:p>
    <w:p w14:paraId="1D006B38" w14:textId="77777777" w:rsidR="00FA58E8" w:rsidRPr="00A207CB" w:rsidRDefault="00FA58E8" w:rsidP="00606CB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Finanțarea siguranței rutiere </w:t>
      </w:r>
    </w:p>
    <w:p w14:paraId="341E0B0D" w14:textId="50037443" w:rsidR="00FA58E8" w:rsidRPr="00A207CB" w:rsidRDefault="00FA58E8" w:rsidP="00FA58E8">
      <w:pPr>
        <w:spacing w:after="120" w:line="23" w:lineRule="atLeast"/>
        <w:rPr>
          <w:noProof/>
        </w:rPr>
      </w:pPr>
      <w:r w:rsidRPr="00A207CB">
        <w:rPr>
          <w:noProof/>
        </w:rPr>
        <w:t>Finanțarea este esențială pentru implementarea soluțiilor de siguranță rutieră și pentru accelerarea progreselor în materie de siguranță rutieră în întreaga Europă, în special în țările ale căror performanțe în materie de siguranță rutieră sunt mai reduse.  </w:t>
      </w:r>
    </w:p>
    <w:p w14:paraId="7F9AC50A" w14:textId="3C11C188" w:rsidR="00FA58E8" w:rsidRPr="00A207CB" w:rsidRDefault="00FA58E8" w:rsidP="00FA58E8">
      <w:pPr>
        <w:spacing w:after="120" w:line="23" w:lineRule="atLeast"/>
        <w:rPr>
          <w:noProof/>
        </w:rPr>
      </w:pPr>
      <w:r w:rsidRPr="00A207CB">
        <w:rPr>
          <w:noProof/>
        </w:rPr>
        <w:t>UE a utilizat trei instrumente principale pentru a finanța proiecte naționale și regionale de infrastructură de transport care contribuie la siguranța rutieră: Fondul european de dezvoltare regională (FEDR) și Fondul de coeziune (FC), în cazul cărora gestiunea este partajată între Comisie și statele membre, și Mecanismul pentru interconectarea Europei (MIE), care este gestionat direct de Comisie. În plus, Mecanismul de redresare și reziliență a sprijinit proiecte care contribuie la siguranța rutieră.</w:t>
      </w:r>
    </w:p>
    <w:p w14:paraId="6F86103C" w14:textId="0E68EFFC" w:rsidR="00FA58E8" w:rsidRPr="00A207CB" w:rsidRDefault="00DE0315" w:rsidP="00FA58E8">
      <w:pPr>
        <w:spacing w:after="120" w:line="23" w:lineRule="atLeast"/>
        <w:rPr>
          <w:noProof/>
        </w:rPr>
      </w:pPr>
      <w:r w:rsidRPr="00A207CB">
        <w:rPr>
          <w:noProof/>
        </w:rPr>
        <w:t>În cadrul MIE, UE a finanțat totodată proiecte transfrontaliere de consolidare a capacităților, cum ar fi evaluările infrastructurii rutiere la nivelul întregii rețele, indicatorii-cheie de performanță, campaniile de asigurare a respectării legislației și implementarea serviciilor STI la nivel transfrontalier. </w:t>
      </w:r>
    </w:p>
    <w:p w14:paraId="668493FC" w14:textId="40873006" w:rsidR="00A336B3" w:rsidRPr="00A207CB" w:rsidRDefault="00A336B3" w:rsidP="00FA58E8">
      <w:pPr>
        <w:spacing w:after="120" w:line="23" w:lineRule="atLeast"/>
        <w:rPr>
          <w:noProof/>
        </w:rPr>
      </w:pPr>
    </w:p>
    <w:p w14:paraId="0529B487" w14:textId="6995A68E" w:rsidR="00FA58E8" w:rsidRPr="00A207CB" w:rsidRDefault="12E828A2" w:rsidP="00FA58E8">
      <w:pPr>
        <w:spacing w:after="120" w:line="23" w:lineRule="atLeast"/>
        <w:rPr>
          <w:noProof/>
        </w:rPr>
      </w:pPr>
      <w:r w:rsidRPr="00A207CB">
        <w:rPr>
          <w:noProof/>
        </w:rPr>
        <w:t>Un raport recent al Curții de Conturi Europene (CCE)</w:t>
      </w:r>
      <w:r w:rsidRPr="00A207CB">
        <w:rPr>
          <w:rStyle w:val="FootnoteReference"/>
          <w:noProof/>
        </w:rPr>
        <w:footnoteReference w:id="35"/>
      </w:r>
      <w:r w:rsidRPr="00A207CB">
        <w:rPr>
          <w:noProof/>
        </w:rPr>
        <w:t xml:space="preserve"> a estimat că, în ultimul deceniu, 6 663 de milioane EUR</w:t>
      </w:r>
      <w:r w:rsidRPr="00A207CB">
        <w:rPr>
          <w:rStyle w:val="FootnoteReference"/>
          <w:noProof/>
        </w:rPr>
        <w:footnoteReference w:id="36"/>
      </w:r>
      <w:r w:rsidRPr="00A207CB">
        <w:rPr>
          <w:noProof/>
        </w:rPr>
        <w:t xml:space="preserve"> din fondurile FEDR, FC și MIE – reprezentând puțin peste 2 % din valoarea acestor fonduri – au fost angajate pentru proiecte care implică siguranța rutieră. Aceste estimări acoperă însă și proiectele de infrastructură, precum și alte proiecte unde siguranța rutieră este doar un obiectiv auxiliar și nu principalul scop al acțiunii. Curtea a recomandat să se acorde prioritate cofinanțării din partea UE pentru inițiativele care ar avea cel mai mare impact asupra siguranței rutiere.</w:t>
      </w:r>
    </w:p>
    <w:p w14:paraId="13CC61AB" w14:textId="1D4A205C" w:rsidR="0024583F" w:rsidRPr="00A207CB" w:rsidRDefault="00FA58E8" w:rsidP="00FA58E8">
      <w:pPr>
        <w:spacing w:after="120" w:line="23" w:lineRule="atLeast"/>
        <w:rPr>
          <w:noProof/>
        </w:rPr>
      </w:pPr>
      <w:r w:rsidRPr="00A207CB">
        <w:rPr>
          <w:noProof/>
        </w:rPr>
        <w:t>De asemenea, au fost puse la dispoziție fonduri pentru cercetări suplimentare în cadrul programului Orizont Europa, inclusiv pentru infrastructură sigură, vehicule sigure, utilizarea în condiții de siguranță a drumurilor și îngrijirile post-coliziune. Pentru perioada 2021-2027, suma alocată proiectelor de cercetare în domeniul siguranței rutiere este de aproximativ 123 de milioane EUR, reprezentând aproximativ 0,13 % din valoarea totală a actualului program Orizont Europa.</w:t>
      </w:r>
    </w:p>
    <w:p w14:paraId="74F9D1C1" w14:textId="164BAE70" w:rsidR="00491FCB" w:rsidRPr="00A207CB" w:rsidRDefault="00FA0C10" w:rsidP="00491FCB">
      <w:pPr>
        <w:spacing w:after="160" w:line="259" w:lineRule="auto"/>
        <w:rPr>
          <w:noProof/>
        </w:rPr>
      </w:pPr>
      <w:r w:rsidRPr="00A207CB">
        <w:rPr>
          <w:noProof/>
        </w:rPr>
        <w:t>În ceea ce privește finanțarea, Banca Europeană de Investiții (BEI) a făcut din integrarea siguranței în toate investițiile rutiere o prioritate în politica sa de creditare în domeniul transporturilor din 2022, a cărei evaluare la jumătatea perioadei este programată în 2026. În plus, garanțiile de siguranță rutieră sunt integrate în standardele sociale și de mediu care se aplică tuturor operațiunilor BEI. Prin intermediul Platformei pentru un transport mai sigur, BEI a sprijinit investiții specifice în domeniul siguranței rutiere, a oferit sprijin consultativ și asistență tehnică, generând proiecte în mai multe state membre ale UE. În cadrul UE, BEI impune respectarea RISM și a Directivei privind siguranța tunelurilor</w:t>
      </w:r>
      <w:r w:rsidRPr="00A207CB">
        <w:rPr>
          <w:rStyle w:val="FootnoteReference"/>
          <w:noProof/>
        </w:rPr>
        <w:footnoteReference w:id="37"/>
      </w:r>
      <w:r w:rsidRPr="00A207CB">
        <w:rPr>
          <w:noProof/>
        </w:rPr>
        <w:t>, inclusiv evaluări ale impactului asupra siguranței rutiere, precum și audituri de siguranță rutieră.</w:t>
      </w:r>
    </w:p>
    <w:p w14:paraId="2BFF53B8" w14:textId="706FA952" w:rsidR="00FA58E8" w:rsidRPr="00A207CB" w:rsidRDefault="00FA58E8" w:rsidP="00FA58E8">
      <w:pPr>
        <w:spacing w:after="120" w:line="23" w:lineRule="atLeast"/>
        <w:rPr>
          <w:noProof/>
        </w:rPr>
      </w:pPr>
    </w:p>
    <w:p w14:paraId="6FDA268C" w14:textId="1F2115DB" w:rsidR="00FA58E8" w:rsidRPr="00A207CB" w:rsidRDefault="00FA58E8" w:rsidP="00461E25">
      <w:pPr>
        <w:pStyle w:val="Heading1"/>
        <w:keepLines w:val="0"/>
        <w:numPr>
          <w:ilvl w:val="2"/>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 Instantaneu al cercetării finanțate de UE în domeniul siguranței rutiere   </w:t>
      </w:r>
    </w:p>
    <w:p w14:paraId="1F05C385" w14:textId="53502549" w:rsidR="00FA58E8" w:rsidRPr="00A207CB" w:rsidRDefault="00FA58E8" w:rsidP="00FA58E8">
      <w:pPr>
        <w:spacing w:after="120" w:line="23" w:lineRule="atLeast"/>
        <w:rPr>
          <w:noProof/>
        </w:rPr>
      </w:pPr>
      <w:r w:rsidRPr="00A207CB">
        <w:rPr>
          <w:noProof/>
        </w:rPr>
        <w:t>Între 2021 și 2025, programul Orizont Europa a sprijinit peste 20 de proiecte de cercetare și inovare axate pe siguranța rutieră.  </w:t>
      </w:r>
    </w:p>
    <w:p w14:paraId="3B2A8621" w14:textId="42DAA49F" w:rsidR="00FA58E8" w:rsidRPr="00A207CB" w:rsidRDefault="00FA58E8" w:rsidP="00FA58E8">
      <w:pPr>
        <w:spacing w:after="120" w:line="23" w:lineRule="atLeast"/>
        <w:rPr>
          <w:noProof/>
        </w:rPr>
      </w:pPr>
      <w:r w:rsidRPr="00A207CB">
        <w:rPr>
          <w:noProof/>
        </w:rPr>
        <w:t>Activitățile de cercetare finanțate de UE în domeniul siguranței rutiere au acoperit patru domenii principale, care corespund celor patru piloni ai abordării „sistemului sigur”: infrastructură sigură, vehicule sigure, utilizarea în condiții de siguranță a drumurilor și asistență post-coliziune rapidă și eficace.</w:t>
      </w:r>
    </w:p>
    <w:p w14:paraId="69687E65" w14:textId="405D1BFE" w:rsidR="00FA58E8" w:rsidRPr="00A207CB" w:rsidRDefault="2D49CE45" w:rsidP="00FA58E8">
      <w:pPr>
        <w:spacing w:after="120" w:line="23" w:lineRule="atLeast"/>
        <w:rPr>
          <w:noProof/>
        </w:rPr>
      </w:pPr>
      <w:r w:rsidRPr="00A207CB">
        <w:rPr>
          <w:noProof/>
        </w:rPr>
        <w:t>Proiectele legate de infrastructură, care se desfășoară până în 2026-2027, vizează crearea unui cadru pentru evaluarea siguranței bazată pe date (Evoroads</w:t>
      </w:r>
      <w:r w:rsidRPr="00A207CB">
        <w:rPr>
          <w:rStyle w:val="FootnoteReference"/>
          <w:noProof/>
        </w:rPr>
        <w:footnoteReference w:id="38"/>
      </w:r>
      <w:r w:rsidRPr="00A207CB">
        <w:rPr>
          <w:noProof/>
        </w:rPr>
        <w:t>), dezvoltarea unei infrastructuri pentru monitorizarea optimă a siguranței rutiere (iDriving</w:t>
      </w:r>
      <w:r w:rsidRPr="00A207CB">
        <w:rPr>
          <w:rStyle w:val="FootnoteReference"/>
          <w:noProof/>
        </w:rPr>
        <w:footnoteReference w:id="39"/>
      </w:r>
      <w:r w:rsidRPr="00A207CB">
        <w:rPr>
          <w:noProof/>
        </w:rPr>
        <w:t>) și dezvoltarea de soluții de siguranță rutieră pentru utilizatorii vulnerabili ai drumurilor în contexte urbane (Soteria</w:t>
      </w:r>
      <w:r w:rsidRPr="00A207CB">
        <w:rPr>
          <w:rStyle w:val="FootnoteReference"/>
          <w:noProof/>
        </w:rPr>
        <w:footnoteReference w:id="40"/>
      </w:r>
      <w:r w:rsidRPr="00A207CB">
        <w:rPr>
          <w:noProof/>
        </w:rPr>
        <w:t>).   </w:t>
      </w:r>
    </w:p>
    <w:p w14:paraId="68C5E3CC" w14:textId="3169114C" w:rsidR="00FA58E8" w:rsidRPr="00A207CB" w:rsidRDefault="2D49CE45" w:rsidP="00FA58E8">
      <w:pPr>
        <w:spacing w:after="120" w:line="23" w:lineRule="atLeast"/>
        <w:rPr>
          <w:noProof/>
        </w:rPr>
      </w:pPr>
      <w:r w:rsidRPr="00A207CB">
        <w:rPr>
          <w:noProof/>
        </w:rPr>
        <w:t>În ceea ce privește siguranța vehiculelor, proiectele actuale acoperă subiecte precum dezvoltarea unor sisteme de siguranță activă și pasivă pentru viitoarele vehicule autonome (SAFE-UP</w:t>
      </w:r>
      <w:r w:rsidRPr="00A207CB">
        <w:rPr>
          <w:rStyle w:val="FootnoteReference"/>
          <w:noProof/>
        </w:rPr>
        <w:footnoteReference w:id="41"/>
      </w:r>
      <w:r w:rsidRPr="00A207CB">
        <w:rPr>
          <w:noProof/>
        </w:rPr>
        <w:t>) și medierea între conducerea umană și conducerea automată (Mediator</w:t>
      </w:r>
      <w:r w:rsidRPr="00A207CB">
        <w:rPr>
          <w:rStyle w:val="FootnoteReference"/>
          <w:noProof/>
        </w:rPr>
        <w:footnoteReference w:id="42"/>
      </w:r>
      <w:r w:rsidRPr="00A207CB">
        <w:rPr>
          <w:noProof/>
        </w:rPr>
        <w:t>).  </w:t>
      </w:r>
    </w:p>
    <w:p w14:paraId="0AC0F3A9" w14:textId="2DAD5A45" w:rsidR="00FA58E8" w:rsidRPr="00A207CB" w:rsidRDefault="25693138" w:rsidP="00FA58E8">
      <w:pPr>
        <w:spacing w:after="120" w:line="23" w:lineRule="atLeast"/>
        <w:rPr>
          <w:noProof/>
        </w:rPr>
      </w:pPr>
      <w:r w:rsidRPr="00A207CB">
        <w:rPr>
          <w:noProof/>
        </w:rPr>
        <w:t>Proiectele recente privind utilizarea în condiții de siguranță a drumurilor variază de la evaluarea siguranței pentru utilizatorii drumurilor din zonele urbane (PHOEBE</w:t>
      </w:r>
      <w:r w:rsidRPr="00A207CB">
        <w:rPr>
          <w:rStyle w:val="FootnoteReference"/>
          <w:noProof/>
        </w:rPr>
        <w:footnoteReference w:id="43"/>
      </w:r>
      <w:r w:rsidRPr="00A207CB">
        <w:rPr>
          <w:noProof/>
        </w:rPr>
        <w:t>) la gestionarea spațiului urban pentru modelele de mobilitate activă (REALLOCATE</w:t>
      </w:r>
      <w:r w:rsidRPr="00A207CB">
        <w:rPr>
          <w:rStyle w:val="FootnoteReference"/>
          <w:noProof/>
        </w:rPr>
        <w:footnoteReference w:id="44"/>
      </w:r>
      <w:r w:rsidRPr="00A207CB">
        <w:rPr>
          <w:noProof/>
        </w:rPr>
        <w:t>) și modalități de detectare a alcoolului, drogurilor și oboselii în rândul conducătorilor auto comerciali (PANACEA</w:t>
      </w:r>
      <w:r w:rsidRPr="00A207CB">
        <w:rPr>
          <w:rStyle w:val="FootnoteReference"/>
          <w:noProof/>
        </w:rPr>
        <w:footnoteReference w:id="45"/>
      </w:r>
      <w:r w:rsidRPr="00A207CB">
        <w:rPr>
          <w:noProof/>
        </w:rPr>
        <w:t>).  </w:t>
      </w:r>
    </w:p>
    <w:p w14:paraId="2750591D" w14:textId="59951EBB" w:rsidR="00FA58E8" w:rsidRPr="00A207CB" w:rsidRDefault="2D49CE45" w:rsidP="00FA58E8">
      <w:pPr>
        <w:spacing w:after="120" w:line="23" w:lineRule="atLeast"/>
        <w:rPr>
          <w:noProof/>
        </w:rPr>
      </w:pPr>
      <w:r w:rsidRPr="00A207CB">
        <w:rPr>
          <w:noProof/>
        </w:rPr>
        <w:t>În ceea ce privește asistența medicală post-coliziune rapidă și eficace, accentul se pune pe elaborarea unor contramăsuri și măsuri post-coliziune eficiente pentru toate metodele de transport rutier, pe conectarea instrumentelor medicale și de inginerie (ProAct_Us</w:t>
      </w:r>
      <w:r w:rsidRPr="00A207CB">
        <w:rPr>
          <w:rStyle w:val="FootnoteReference"/>
          <w:noProof/>
        </w:rPr>
        <w:footnoteReference w:id="46"/>
      </w:r>
      <w:r w:rsidRPr="00A207CB">
        <w:rPr>
          <w:noProof/>
        </w:rPr>
        <w:t>) și pe evaluarea consecințelor pe termen lung ale accidentelor rutiere (IMPROVA</w:t>
      </w:r>
      <w:r w:rsidRPr="00A207CB">
        <w:rPr>
          <w:rStyle w:val="FootnoteReference"/>
          <w:noProof/>
        </w:rPr>
        <w:footnoteReference w:id="47"/>
      </w:r>
      <w:r w:rsidRPr="00A207CB">
        <w:rPr>
          <w:noProof/>
        </w:rPr>
        <w:t>).  </w:t>
      </w:r>
    </w:p>
    <w:p w14:paraId="07A9E252" w14:textId="77777777" w:rsidR="00FA58E8" w:rsidRPr="00A207CB" w:rsidRDefault="00FA58E8" w:rsidP="000A33DA">
      <w:pPr>
        <w:spacing w:after="120" w:line="23" w:lineRule="atLeast"/>
        <w:rPr>
          <w:noProof/>
        </w:rPr>
      </w:pPr>
    </w:p>
    <w:p w14:paraId="0F7C5496" w14:textId="77777777" w:rsidR="00671023" w:rsidRPr="00A207CB" w:rsidRDefault="00671023" w:rsidP="00AD203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97" w:name="_Toc204955532"/>
      <w:bookmarkStart w:id="98" w:name="_Toc204955533"/>
      <w:bookmarkStart w:id="99" w:name="_Toc206610428"/>
      <w:bookmarkStart w:id="100" w:name="_Toc24044213"/>
      <w:bookmarkStart w:id="101" w:name="_Toc25446682"/>
      <w:bookmarkStart w:id="102" w:name="_Toc25533755"/>
      <w:bookmarkStart w:id="103" w:name="_Toc25685798"/>
      <w:bookmarkStart w:id="104" w:name="_Toc25854809"/>
      <w:bookmarkEnd w:id="40"/>
      <w:bookmarkEnd w:id="41"/>
      <w:bookmarkEnd w:id="42"/>
      <w:bookmarkEnd w:id="43"/>
      <w:bookmarkEnd w:id="97"/>
      <w:bookmarkEnd w:id="98"/>
      <w:r w:rsidRPr="00A207CB">
        <w:rPr>
          <w:rFonts w:ascii="Times New Roman" w:hAnsi="Times New Roman"/>
          <w:b/>
          <w:smallCaps/>
          <w:noProof/>
          <w:color w:val="000000" w:themeColor="text1"/>
          <w:sz w:val="24"/>
        </w:rPr>
        <w:t>Implementarea acțiunilor de siguranță rutieră la nivel național</w:t>
      </w:r>
      <w:bookmarkEnd w:id="99"/>
    </w:p>
    <w:p w14:paraId="2FC5B604" w14:textId="48D67AE6" w:rsidR="00671023" w:rsidRPr="00A207CB" w:rsidRDefault="00671023" w:rsidP="00671023">
      <w:pPr>
        <w:pStyle w:val="Text2"/>
        <w:ind w:left="0"/>
        <w:rPr>
          <w:noProof/>
        </w:rPr>
      </w:pPr>
      <w:r w:rsidRPr="00A207CB">
        <w:rPr>
          <w:noProof/>
        </w:rPr>
        <w:t xml:space="preserve">Deși la nivelul UE se urmăresc inițiative importante în ceea ce privește legislația, finanțarea, cercetarea și informarea, responsabilitatea principală pentru siguranța rutieră se află la nivel național, regional și municipal. </w:t>
      </w:r>
    </w:p>
    <w:p w14:paraId="4EE481C8" w14:textId="1E9AE670" w:rsidR="00671023" w:rsidRPr="00A207CB" w:rsidRDefault="00671023" w:rsidP="00671023">
      <w:pPr>
        <w:pStyle w:val="Text2"/>
        <w:ind w:left="0"/>
        <w:rPr>
          <w:noProof/>
        </w:rPr>
      </w:pPr>
      <w:r w:rsidRPr="00A207CB">
        <w:rPr>
          <w:noProof/>
        </w:rPr>
        <w:t xml:space="preserve">Rapoartele de țară publicate împreună cu prezentul raport prezintă numeroasele măsuri luate la nivel național. În majoritatea cazurilor, aceste măsuri sunt încadrate de strategii multianuale, planuri de acțiune sau programe de acțiune la nivel guvernamental care stabilesc priorități naționale distincte, alocă finanțare și stabilesc obiective specifice. </w:t>
      </w:r>
    </w:p>
    <w:p w14:paraId="2F53B6B1" w14:textId="35A40B92" w:rsidR="00671023" w:rsidRPr="00A207CB" w:rsidRDefault="00671023" w:rsidP="00671023">
      <w:pPr>
        <w:pStyle w:val="Text2"/>
        <w:ind w:left="0"/>
        <w:rPr>
          <w:noProof/>
        </w:rPr>
      </w:pPr>
      <w:r w:rsidRPr="00A207CB">
        <w:rPr>
          <w:noProof/>
        </w:rPr>
        <w:t>Din aceste rapoarte de țară reiese clar că acțiunile susținute, investițiile și acordarea de prioritate siguranței rutiere au dat roade în multe cazuri. De exemplu, deși se confruntă în continuare cu provocări, Polonia, Lituania și Slovenia au realizat fiecare o reducere cu 33-35 % a numărului de decese cauzate de accidentele rutiere în 2024 comparativ cu 2019, ceea ce le aduce pe calea către îndeplinirea obiectivului de reducere cu 50 % până în 2030.   Între timp, unele țări, inclusiv Bulgaria, România și Grecia, înregistrează în continuare un număr semnificativ mai mare de decese cauzate de accidentele rutiere decât media UE, ceea ce evidențiază necesitatea unor acțiuni suplimentare în aceste state membre. Deși în 2025 unele țări au introdus noi măsuri de politică în domeniul siguranței rutiere, impactul acestora nu se reflectă încă în datele privind siguranța rutieră.</w:t>
      </w:r>
    </w:p>
    <w:p w14:paraId="5CC62043" w14:textId="49AC2B29" w:rsidR="00C37701" w:rsidRPr="00A207CB" w:rsidRDefault="00D165EF" w:rsidP="00671023">
      <w:pPr>
        <w:pStyle w:val="Text2"/>
        <w:ind w:left="0"/>
        <w:rPr>
          <w:noProof/>
        </w:rPr>
      </w:pPr>
      <w:r w:rsidRPr="00A207CB">
        <w:rPr>
          <w:noProof/>
          <w:lang w:val="en-GB"/>
        </w:rPr>
        <w:drawing>
          <wp:inline distT="0" distB="0" distL="0" distR="0" wp14:anchorId="6D00A047" wp14:editId="405A8255">
            <wp:extent cx="5472430" cy="3891280"/>
            <wp:effectExtent l="0" t="0" r="0" b="0"/>
            <wp:docPr id="327326476" name="Chart 1">
              <a:extLst xmlns:a="http://schemas.openxmlformats.org/drawingml/2006/main">
                <a:ext uri="{FF2B5EF4-FFF2-40B4-BE49-F238E27FC236}">
                  <a16:creationId xmlns:a16="http://schemas.microsoft.com/office/drawing/2014/main" id="{18945D81-F299-4BD3-AEC2-28F1CC4F20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C42D019" w14:textId="0C861FBC" w:rsidR="00671023" w:rsidRPr="00A207CB" w:rsidRDefault="00DF6AA0" w:rsidP="00D27AF3">
      <w:pPr>
        <w:pStyle w:val="Caption"/>
        <w:spacing w:after="360"/>
        <w:rPr>
          <w:noProof/>
        </w:rPr>
      </w:pPr>
      <w:r w:rsidRPr="00A207CB">
        <w:rPr>
          <w:noProof/>
        </w:rPr>
        <w:t xml:space="preserve">Figura </w:t>
      </w:r>
      <w:r w:rsidRPr="00A207CB">
        <w:rPr>
          <w:noProof/>
        </w:rPr>
        <w:fldChar w:fldCharType="begin"/>
      </w:r>
      <w:r w:rsidRPr="00A207CB">
        <w:rPr>
          <w:noProof/>
        </w:rPr>
        <w:instrText xml:space="preserve"> SEQ Figure \* ARABIC </w:instrText>
      </w:r>
      <w:r w:rsidRPr="00A207CB">
        <w:rPr>
          <w:noProof/>
        </w:rPr>
        <w:fldChar w:fldCharType="separate"/>
      </w:r>
      <w:r w:rsidRPr="00A207CB">
        <w:rPr>
          <w:noProof/>
        </w:rPr>
        <w:t>5</w:t>
      </w:r>
      <w:r w:rsidRPr="00A207CB">
        <w:rPr>
          <w:noProof/>
        </w:rPr>
        <w:fldChar w:fldCharType="end"/>
      </w:r>
      <w:r w:rsidRPr="00A207CB">
        <w:rPr>
          <w:noProof/>
        </w:rPr>
        <w:t xml:space="preserve"> Numărul deceselor cauzate de accidentele rutiere în UE la un milion de locuitori în perioada 2019-2024. Surse: Baza de date EU CARE privind accidentele rutiere; pentru datele privind populația, Eurostat (codul datelor online </w:t>
      </w:r>
      <w:hyperlink r:id="rId27" w:history="1">
        <w:r w:rsidRPr="00A207CB">
          <w:rPr>
            <w:rStyle w:val="Hyperlink"/>
            <w:noProof/>
          </w:rPr>
          <w:t>demo_pjan</w:t>
        </w:r>
      </w:hyperlink>
      <w:r w:rsidRPr="00A207CB">
        <w:rPr>
          <w:noProof/>
        </w:rPr>
        <w:t>)</w:t>
      </w:r>
    </w:p>
    <w:p w14:paraId="648AFD2F" w14:textId="1D8C4599" w:rsidR="00290E62" w:rsidRPr="00A207CB" w:rsidRDefault="00671023" w:rsidP="00671023">
      <w:pPr>
        <w:pStyle w:val="Text2"/>
        <w:ind w:left="0"/>
        <w:rPr>
          <w:noProof/>
        </w:rPr>
      </w:pPr>
      <w:r w:rsidRPr="00A207CB">
        <w:rPr>
          <w:noProof/>
        </w:rPr>
        <w:t xml:space="preserve">Măsurile de succes pot varia în funcție de contextul național. Printre succesele notabile se numără investițiile adaptate în infrastructura rutieră și siguranța rutieră urbană în Polonia; punerea în aplicare a unei limite de viteză de 30 km/h în centrele urbane la nivel național în Spania; implementarea unei rețele globale de camere automate de supraveghere a traficului în Franța; o nouă platformă politică națională în materie de siguranță rutieră pentru toate nivelurile administrației federale și regionale în Belgia și campaniile de sensibilizare privind siguranța rutieră, bazate pe cercetare și bine executate, desfășurate în Danemarca. </w:t>
      </w:r>
    </w:p>
    <w:p w14:paraId="7A35F48B" w14:textId="39F21216" w:rsidR="00050BA5" w:rsidRPr="00A207CB" w:rsidRDefault="6A270876" w:rsidP="00671023">
      <w:pPr>
        <w:pStyle w:val="Text2"/>
        <w:ind w:left="0"/>
        <w:rPr>
          <w:noProof/>
        </w:rPr>
      </w:pPr>
      <w:r w:rsidRPr="00A207CB">
        <w:rPr>
          <w:noProof/>
        </w:rPr>
        <w:t>Detalii privind profilurile de siguranță rutieră ale fiecărui stat membru pot fi găsite în rapoartele de țară publicate împreună cu prezenta comunicare</w:t>
      </w:r>
      <w:r w:rsidRPr="00A207CB">
        <w:rPr>
          <w:rStyle w:val="FootnoteReference"/>
          <w:noProof/>
        </w:rPr>
        <w:footnoteReference w:id="48"/>
      </w:r>
      <w:r w:rsidRPr="00A207CB">
        <w:rPr>
          <w:noProof/>
        </w:rPr>
        <w:t xml:space="preserve">. </w:t>
      </w:r>
    </w:p>
    <w:p w14:paraId="3A4D489C" w14:textId="77777777" w:rsidR="00050BA5" w:rsidRPr="00A207CB" w:rsidRDefault="00050BA5">
      <w:pPr>
        <w:spacing w:after="160" w:line="259" w:lineRule="auto"/>
        <w:jc w:val="left"/>
        <w:rPr>
          <w:noProof/>
        </w:rPr>
      </w:pPr>
      <w:r w:rsidRPr="00A207CB">
        <w:rPr>
          <w:noProof/>
        </w:rPr>
        <w:br w:type="page"/>
      </w:r>
    </w:p>
    <w:p w14:paraId="2E81B67E" w14:textId="77777777" w:rsidR="00671023" w:rsidRPr="00A207CB" w:rsidRDefault="00671023" w:rsidP="00671023">
      <w:pPr>
        <w:pStyle w:val="Text2"/>
        <w:ind w:left="0"/>
        <w:rPr>
          <w:noProof/>
        </w:rPr>
      </w:pPr>
    </w:p>
    <w:p w14:paraId="5B7B4063" w14:textId="5D06233D" w:rsidR="00671023" w:rsidRPr="00A207CB"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b/>
          <w:noProof/>
        </w:rPr>
        <w:t xml:space="preserve"> </w:t>
      </w:r>
      <w:bookmarkStart w:id="105" w:name="_Toc25673429"/>
      <w:bookmarkStart w:id="106" w:name="_Toc25673477"/>
      <w:bookmarkStart w:id="107" w:name="_Toc25673582"/>
      <w:bookmarkStart w:id="108" w:name="_Toc206610429"/>
      <w:bookmarkEnd w:id="100"/>
      <w:bookmarkEnd w:id="101"/>
      <w:bookmarkEnd w:id="102"/>
      <w:bookmarkEnd w:id="103"/>
      <w:bookmarkEnd w:id="104"/>
      <w:bookmarkEnd w:id="105"/>
      <w:bookmarkEnd w:id="106"/>
      <w:bookmarkEnd w:id="107"/>
      <w:r w:rsidRPr="00A207CB">
        <w:rPr>
          <w:rFonts w:ascii="Times New Roman" w:hAnsi="Times New Roman"/>
          <w:b/>
          <w:smallCaps/>
          <w:noProof/>
          <w:color w:val="000000" w:themeColor="text1"/>
          <w:sz w:val="24"/>
        </w:rPr>
        <w:t>Tendințe societale și tehnologice cu impact asupra siguranței rutiere</w:t>
      </w:r>
      <w:bookmarkEnd w:id="108"/>
    </w:p>
    <w:p w14:paraId="2261EF22" w14:textId="5289A17F" w:rsidR="00671023" w:rsidRPr="00A207CB" w:rsidRDefault="00105D96" w:rsidP="00671023">
      <w:pPr>
        <w:pStyle w:val="Text1"/>
        <w:spacing w:after="120" w:line="23" w:lineRule="atLeast"/>
        <w:ind w:left="0"/>
        <w:rPr>
          <w:noProof/>
        </w:rPr>
      </w:pPr>
      <w:r w:rsidRPr="00A207CB">
        <w:rPr>
          <w:noProof/>
        </w:rPr>
        <w:t xml:space="preserve">În perioada scursă de la adoptarea Cadrului de politică al UE privind siguranța rutieră 2021-2030, o serie de aspecte care nu atrăseseră inițial multă atenție s-au evidențiat ca domenii ce necesită acțiuni specifice pentru a le reduce impactul asupra siguranței rutiere. </w:t>
      </w:r>
    </w:p>
    <w:p w14:paraId="37B2A905" w14:textId="77777777" w:rsidR="000B3041" w:rsidRPr="00A207CB" w:rsidRDefault="000B3041" w:rsidP="00671023">
      <w:pPr>
        <w:pStyle w:val="Text1"/>
        <w:spacing w:after="120" w:line="23" w:lineRule="atLeast"/>
        <w:ind w:left="0"/>
        <w:rPr>
          <w:noProof/>
        </w:rPr>
      </w:pPr>
    </w:p>
    <w:p w14:paraId="221FA4AD" w14:textId="77777777" w:rsidR="00671023" w:rsidRPr="00A207CB"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109" w:name="_Toc206602970"/>
      <w:bookmarkStart w:id="110" w:name="_Toc206603028"/>
      <w:bookmarkStart w:id="111" w:name="_Toc25673431"/>
      <w:bookmarkStart w:id="112" w:name="_Toc25673479"/>
      <w:bookmarkStart w:id="113" w:name="_Toc25673584"/>
      <w:bookmarkStart w:id="114" w:name="_Toc25445064"/>
      <w:bookmarkStart w:id="115" w:name="_Toc25447045"/>
      <w:bookmarkStart w:id="116" w:name="_Toc25527654"/>
      <w:bookmarkStart w:id="117" w:name="_Toc25531526"/>
      <w:bookmarkStart w:id="118" w:name="_Toc25533757"/>
      <w:bookmarkStart w:id="119" w:name="_Toc25533808"/>
      <w:bookmarkStart w:id="120" w:name="_Toc25535161"/>
      <w:bookmarkStart w:id="121" w:name="_Toc206610430"/>
      <w:bookmarkStart w:id="122" w:name="_Toc24044216"/>
      <w:bookmarkEnd w:id="109"/>
      <w:bookmarkEnd w:id="110"/>
      <w:bookmarkEnd w:id="111"/>
      <w:bookmarkEnd w:id="112"/>
      <w:bookmarkEnd w:id="113"/>
      <w:bookmarkEnd w:id="114"/>
      <w:bookmarkEnd w:id="115"/>
      <w:bookmarkEnd w:id="116"/>
      <w:bookmarkEnd w:id="117"/>
      <w:bookmarkEnd w:id="118"/>
      <w:bookmarkEnd w:id="119"/>
      <w:bookmarkEnd w:id="120"/>
      <w:r w:rsidRPr="00A207CB">
        <w:rPr>
          <w:rFonts w:ascii="Times New Roman" w:hAnsi="Times New Roman"/>
          <w:b/>
          <w:smallCaps/>
          <w:noProof/>
          <w:color w:val="000000" w:themeColor="text1"/>
          <w:sz w:val="24"/>
        </w:rPr>
        <w:t>Transformări demografice</w:t>
      </w:r>
      <w:bookmarkEnd w:id="121"/>
    </w:p>
    <w:bookmarkEnd w:id="122"/>
    <w:p w14:paraId="32FD329A" w14:textId="3DBF513A" w:rsidR="00671023" w:rsidRPr="00A207CB" w:rsidRDefault="6A270876" w:rsidP="00671023">
      <w:pPr>
        <w:spacing w:after="120" w:line="23" w:lineRule="atLeast"/>
        <w:rPr>
          <w:noProof/>
        </w:rPr>
      </w:pPr>
      <w:r w:rsidRPr="00A207CB">
        <w:rPr>
          <w:noProof/>
        </w:rPr>
        <w:t>Structura demografică a UE trece prin schimbări semnificative, cu implicații directe asupra siguranței rutiere. Populația îmbătrânește, proporția cetățenilor în vârstă de cel puțin 65 de ani urmând să crească, potrivit estimărilor, de la 22 % în 2024 la 30 % până în 2050</w:t>
      </w:r>
      <w:r w:rsidRPr="00A207CB">
        <w:rPr>
          <w:rStyle w:val="FootnoteReference"/>
          <w:noProof/>
        </w:rPr>
        <w:footnoteReference w:id="49"/>
      </w:r>
      <w:r w:rsidRPr="00A207CB">
        <w:rPr>
          <w:noProof/>
        </w:rPr>
        <w:t>. Această schimbare demografică prezintă provocări unice, deoarece participanții la trafic de vârstă înaintată devin mai vulnerabili din cauza fragilității fizice, a timpilor de reacție mai lenți și a ratelor mai ridicate de gravitate a vătămărilor</w:t>
      </w:r>
      <w:r w:rsidRPr="00A207CB">
        <w:rPr>
          <w:rStyle w:val="FootnoteReference"/>
          <w:noProof/>
        </w:rPr>
        <w:footnoteReference w:id="50"/>
      </w:r>
      <w:r w:rsidRPr="00A207CB">
        <w:rPr>
          <w:noProof/>
        </w:rPr>
        <w:t>.</w:t>
      </w:r>
    </w:p>
    <w:p w14:paraId="368B08CD" w14:textId="4B0ABF04" w:rsidR="00671023" w:rsidRPr="00A207CB" w:rsidRDefault="00B00E08" w:rsidP="00671023">
      <w:pPr>
        <w:spacing w:after="120" w:line="23" w:lineRule="atLeast"/>
        <w:rPr>
          <w:noProof/>
        </w:rPr>
      </w:pPr>
      <w:r w:rsidRPr="00A207CB">
        <w:rPr>
          <w:noProof/>
        </w:rPr>
        <w:t>Tendința către o mai mare urbanizare continuă, peste 75 % din populația UE trăind în prezent în zone urbane</w:t>
      </w:r>
      <w:r w:rsidRPr="00A207CB">
        <w:rPr>
          <w:rStyle w:val="FootnoteReference"/>
          <w:noProof/>
        </w:rPr>
        <w:footnoteReference w:id="51"/>
      </w:r>
      <w:r w:rsidRPr="00A207CB">
        <w:rPr>
          <w:noProof/>
        </w:rPr>
        <w:t>. Această concentrare a persoanelor în medii construite creează o nouă dinamică a mobilității, inclusiv o mai mare varietate de moduri de mobilitate, volume mai mari de pietoni și bicicliști și o densitate mai mare a traficului.</w:t>
      </w:r>
    </w:p>
    <w:p w14:paraId="2CF50369" w14:textId="77777777" w:rsidR="000B3041" w:rsidRPr="00A207CB" w:rsidRDefault="000B3041" w:rsidP="00671023">
      <w:pPr>
        <w:spacing w:after="120" w:line="23" w:lineRule="atLeast"/>
        <w:rPr>
          <w:noProof/>
        </w:rPr>
      </w:pPr>
    </w:p>
    <w:p w14:paraId="0EDD658F" w14:textId="2132A4AC" w:rsidR="00671023" w:rsidRPr="00A207CB"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123" w:name="_Toc206610431"/>
      <w:r w:rsidRPr="00A207CB">
        <w:rPr>
          <w:rFonts w:ascii="Times New Roman" w:hAnsi="Times New Roman"/>
          <w:b/>
          <w:smallCaps/>
          <w:noProof/>
          <w:color w:val="000000" w:themeColor="text1"/>
          <w:sz w:val="24"/>
        </w:rPr>
        <w:t>Progrese tehnologice</w:t>
      </w:r>
      <w:r w:rsidRPr="00A207CB">
        <w:rPr>
          <w:noProof/>
        </w:rPr>
        <w:tab/>
      </w:r>
      <w:bookmarkStart w:id="124" w:name="_Toc25330857"/>
      <w:bookmarkEnd w:id="123"/>
      <w:bookmarkEnd w:id="124"/>
    </w:p>
    <w:p w14:paraId="5E8DE48E" w14:textId="7CADF8E7" w:rsidR="00671023" w:rsidRPr="00A207CB" w:rsidRDefault="00671023" w:rsidP="00671023">
      <w:pPr>
        <w:spacing w:after="120" w:line="23" w:lineRule="atLeast"/>
        <w:rPr>
          <w:noProof/>
        </w:rPr>
      </w:pPr>
      <w:bookmarkStart w:id="125" w:name="_Toc25330874"/>
      <w:bookmarkStart w:id="126" w:name="_Toc25445067"/>
      <w:bookmarkStart w:id="127" w:name="_Toc25447048"/>
      <w:bookmarkStart w:id="128" w:name="_Toc25527657"/>
      <w:bookmarkStart w:id="129" w:name="_Toc25531529"/>
      <w:bookmarkStart w:id="130" w:name="_Toc25533760"/>
      <w:bookmarkStart w:id="131" w:name="_Toc25533811"/>
      <w:bookmarkStart w:id="132" w:name="_Toc25535164"/>
      <w:bookmarkStart w:id="133" w:name="_Toc25445068"/>
      <w:bookmarkStart w:id="134" w:name="_Toc25446686"/>
      <w:bookmarkStart w:id="135" w:name="_Toc25447049"/>
      <w:bookmarkStart w:id="136" w:name="_Toc25527658"/>
      <w:bookmarkStart w:id="137" w:name="_Toc25531530"/>
      <w:bookmarkStart w:id="138" w:name="_Toc25533761"/>
      <w:bookmarkStart w:id="139" w:name="_Toc25533812"/>
      <w:bookmarkStart w:id="140" w:name="_Toc25535165"/>
      <w:bookmarkStart w:id="141" w:name="_Toc25445069"/>
      <w:bookmarkStart w:id="142" w:name="_Toc25447050"/>
      <w:bookmarkStart w:id="143" w:name="_Toc25527659"/>
      <w:bookmarkStart w:id="144" w:name="_Toc25531531"/>
      <w:bookmarkStart w:id="145" w:name="_Toc25533762"/>
      <w:bookmarkStart w:id="146" w:name="_Toc25533813"/>
      <w:bookmarkStart w:id="147" w:name="_Toc25535166"/>
      <w:bookmarkStart w:id="148" w:name="_Toc25445070"/>
      <w:bookmarkStart w:id="149" w:name="_Toc25447051"/>
      <w:bookmarkStart w:id="150" w:name="_Toc25527660"/>
      <w:bookmarkStart w:id="151" w:name="_Toc25531532"/>
      <w:bookmarkStart w:id="152" w:name="_Toc25533763"/>
      <w:bookmarkStart w:id="153" w:name="_Toc25533814"/>
      <w:bookmarkStart w:id="154" w:name="_Toc25535167"/>
      <w:bookmarkStart w:id="155" w:name="_Toc25445071"/>
      <w:bookmarkStart w:id="156" w:name="_Toc25447052"/>
      <w:bookmarkStart w:id="157" w:name="_Toc25527661"/>
      <w:bookmarkStart w:id="158" w:name="_Toc25531533"/>
      <w:bookmarkStart w:id="159" w:name="_Toc25533764"/>
      <w:bookmarkStart w:id="160" w:name="_Toc25533815"/>
      <w:bookmarkStart w:id="161" w:name="_Toc25535168"/>
      <w:bookmarkStart w:id="162" w:name="_Toc25445072"/>
      <w:bookmarkStart w:id="163" w:name="_Toc25447053"/>
      <w:bookmarkStart w:id="164" w:name="_Toc25527662"/>
      <w:bookmarkStart w:id="165" w:name="_Toc25531534"/>
      <w:bookmarkStart w:id="166" w:name="_Toc25533765"/>
      <w:bookmarkStart w:id="167" w:name="_Toc25533816"/>
      <w:bookmarkStart w:id="168" w:name="_Toc25535169"/>
      <w:bookmarkStart w:id="169" w:name="_Toc25445073"/>
      <w:bookmarkStart w:id="170" w:name="_Toc25447054"/>
      <w:bookmarkStart w:id="171" w:name="_Toc25527663"/>
      <w:bookmarkStart w:id="172" w:name="_Toc25531535"/>
      <w:bookmarkStart w:id="173" w:name="_Toc25533766"/>
      <w:bookmarkStart w:id="174" w:name="_Toc25533817"/>
      <w:bookmarkStart w:id="175" w:name="_Toc25535170"/>
      <w:bookmarkStart w:id="176" w:name="_Toc25445074"/>
      <w:bookmarkStart w:id="177" w:name="_Toc25447055"/>
      <w:bookmarkStart w:id="178" w:name="_Toc25527664"/>
      <w:bookmarkStart w:id="179" w:name="_Toc25531536"/>
      <w:bookmarkStart w:id="180" w:name="_Toc25533767"/>
      <w:bookmarkStart w:id="181" w:name="_Toc25533818"/>
      <w:bookmarkStart w:id="182" w:name="_Toc25535171"/>
      <w:bookmarkStart w:id="183" w:name="_Toc25445075"/>
      <w:bookmarkStart w:id="184" w:name="_Toc25447056"/>
      <w:bookmarkStart w:id="185" w:name="_Toc25527665"/>
      <w:bookmarkStart w:id="186" w:name="_Toc25531537"/>
      <w:bookmarkStart w:id="187" w:name="_Toc25533768"/>
      <w:bookmarkStart w:id="188" w:name="_Toc25533819"/>
      <w:bookmarkStart w:id="189" w:name="_Toc25535172"/>
      <w:bookmarkStart w:id="190" w:name="_Toc24027092"/>
      <w:bookmarkStart w:id="191" w:name="_Toc24027093"/>
      <w:bookmarkStart w:id="192" w:name="_Toc24027094"/>
      <w:bookmarkStart w:id="193" w:name="_Toc24027095"/>
      <w:bookmarkStart w:id="194" w:name="_Toc24027096"/>
      <w:bookmarkStart w:id="195" w:name="_Toc24027097"/>
      <w:bookmarkStart w:id="196" w:name="_Toc24027098"/>
      <w:bookmarkStart w:id="197" w:name="_Toc24027099"/>
      <w:bookmarkStart w:id="198" w:name="_Toc24027100"/>
      <w:bookmarkStart w:id="199" w:name="_Toc24027101"/>
      <w:bookmarkStart w:id="200" w:name="_Toc23855519"/>
      <w:bookmarkStart w:id="201" w:name="_Toc23855556"/>
      <w:bookmarkStart w:id="202" w:name="_Toc23855592"/>
      <w:bookmarkStart w:id="203" w:name="_Toc24027106"/>
      <w:bookmarkStart w:id="204" w:name="_Toc24044219"/>
      <w:bookmarkStart w:id="205" w:name="_Toc25533771"/>
      <w:bookmarkStart w:id="206" w:name="_Toc25446688"/>
      <w:bookmarkStart w:id="207" w:name="_Toc2585483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Pr="00A207CB">
        <w:rPr>
          <w:noProof/>
        </w:rPr>
        <w:t>Sectorul autovehiculelor trece printr-o transformare tehnologică fără precedent, care are implicații semnificative în materie de siguranță. Sistemele avansate de asistență pentru conducătorul auto (</w:t>
      </w:r>
      <w:r w:rsidRPr="00A207CB">
        <w:rPr>
          <w:i/>
          <w:noProof/>
        </w:rPr>
        <w:t>Advanced Driver Assistance Systems</w:t>
      </w:r>
      <w:r w:rsidRPr="00A207CB">
        <w:rPr>
          <w:noProof/>
        </w:rPr>
        <w:t xml:space="preserve">, ADAS) devin caracteristici standard, tehnologii precum frânarea automată de urgență, asistența pentru menținerea benzii de circulație și asistența inteligentă pentru controlul vitezei aducând beneficii măsurabile în materie de siguranță. Asigurarea acceptării de către conducătorii a acestor caracteristici auto este esențială pentru succesul lor. </w:t>
      </w:r>
    </w:p>
    <w:p w14:paraId="048611FA" w14:textId="3CFE5E69" w:rsidR="00671023" w:rsidRPr="00A207CB" w:rsidRDefault="00671023" w:rsidP="00671023">
      <w:pPr>
        <w:spacing w:after="120" w:line="23" w:lineRule="atLeast"/>
        <w:rPr>
          <w:noProof/>
        </w:rPr>
      </w:pPr>
      <w:r w:rsidRPr="00A207CB">
        <w:rPr>
          <w:noProof/>
        </w:rPr>
        <w:t xml:space="preserve">Tehnologiile pentru vehiculele conectate permit avertizarea în timp real cu privire la pericole și optimizarea gestionării traficului. Comunicarea vehicul-vehicul (V2V) și vehicul-infrastructură poate alerta conducătorii auto cu privire la condițiile periculoase, locurile de producere a accidentelor și rutele optime. Implementarea în statele membre a acestor tipuri de comunicare a demonstrat valoarea lor adăugată. S-a dovedit că serviciile de urgență ajung la destinație mai rapid și mai sigur, iar operatorii de drumuri dispun de informații exacte în timp real cu privire la vitezele medii și la densitățile traficului. Sistemul devine mai eficace odată cu adăugarea fiecărui vehicul nou, dar nu s-a realizat încă o acoperire cuprinzătoare la nivelul UE, în special pentru serviciile V2V. </w:t>
      </w:r>
    </w:p>
    <w:p w14:paraId="266C5700" w14:textId="171D0551" w:rsidR="00671023" w:rsidRPr="00A207CB" w:rsidRDefault="00671023" w:rsidP="00671023">
      <w:pPr>
        <w:spacing w:after="120" w:line="23" w:lineRule="atLeast"/>
        <w:rPr>
          <w:noProof/>
        </w:rPr>
      </w:pPr>
      <w:r w:rsidRPr="00A207CB">
        <w:rPr>
          <w:noProof/>
        </w:rPr>
        <w:t xml:space="preserve">Introducerea treptată a vehiculelor automatizate prezintă atât oportunități, cât și provocări. Deși s-a demonstrat că nivelurile mai ridicate de automatizare reduc impactul erorilor umane, perioada de tranziție va aduce noi provocări, cum ar fi gestionarea interacțiunii sigure dintre vehiculele autonome și cele conduse de om în traficul mixt, asigurarea siguranței utilizatorilor nemotorizați ai drumurilor și stabilirea răspunderii pentru accidentele rutiere care implică vehicule automatizate. </w:t>
      </w:r>
    </w:p>
    <w:p w14:paraId="255250CD" w14:textId="77777777" w:rsidR="00671023" w:rsidRPr="00A207CB"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208" w:name="_Toc206610432"/>
      <w:r w:rsidRPr="00A207CB">
        <w:rPr>
          <w:rFonts w:ascii="Times New Roman" w:hAnsi="Times New Roman"/>
          <w:b/>
          <w:smallCaps/>
          <w:noProof/>
          <w:color w:val="000000" w:themeColor="text1"/>
          <w:sz w:val="24"/>
        </w:rPr>
        <w:t>Evoluția modelelor de mobilitate</w:t>
      </w:r>
      <w:bookmarkEnd w:id="208"/>
    </w:p>
    <w:p w14:paraId="61F28BFB" w14:textId="0E7CAB7B" w:rsidR="00671023" w:rsidRPr="00A207CB" w:rsidRDefault="00671023" w:rsidP="00671023">
      <w:pPr>
        <w:pStyle w:val="whitespace-normal"/>
        <w:spacing w:after="120" w:afterAutospacing="0" w:line="23" w:lineRule="atLeast"/>
        <w:jc w:val="both"/>
        <w:rPr>
          <w:noProof/>
          <w:szCs w:val="20"/>
        </w:rPr>
      </w:pPr>
      <w:bookmarkStart w:id="209" w:name="_Toc24044220"/>
      <w:bookmarkEnd w:id="204"/>
      <w:bookmarkEnd w:id="205"/>
      <w:bookmarkEnd w:id="206"/>
      <w:bookmarkEnd w:id="207"/>
      <w:r w:rsidRPr="00A207CB">
        <w:rPr>
          <w:noProof/>
        </w:rPr>
        <w:t>Sectorul transporturilor și al mobilității este în plină transformare datorită apariției de noi servicii și schimbării comportamentului participanților la trafic. Proliferarea soluțiilor de micromobilitate, cum ar fi trotinetele electrice, bicicletele electrice și alte dispozitive de mobilitate personală, a creat noi categorii de participanți la trafic vulnerabili; acești utilizatori trebuie adesea să împartă spațiul stradal urban limitat cu pietonii și bicicliștii.</w:t>
      </w:r>
    </w:p>
    <w:p w14:paraId="30F10F46" w14:textId="0D67557F" w:rsidR="00671023" w:rsidRPr="00A207CB" w:rsidRDefault="00671023" w:rsidP="00671023">
      <w:pPr>
        <w:pStyle w:val="whitespace-normal"/>
        <w:spacing w:after="120" w:afterAutospacing="0" w:line="23" w:lineRule="atLeast"/>
        <w:jc w:val="both"/>
        <w:rPr>
          <w:noProof/>
          <w:szCs w:val="20"/>
        </w:rPr>
      </w:pPr>
      <w:r w:rsidRPr="00A207CB">
        <w:rPr>
          <w:noProof/>
        </w:rPr>
        <w:t>Serviciile de curse la comandă (ride-hailing) și de car</w:t>
      </w:r>
      <w:r w:rsidR="00547EC6" w:rsidRPr="00A207CB">
        <w:rPr>
          <w:noProof/>
        </w:rPr>
        <w:t>-</w:t>
      </w:r>
      <w:r w:rsidRPr="00A207CB">
        <w:rPr>
          <w:noProof/>
        </w:rPr>
        <w:t xml:space="preserve">sharing au modificat modelele de deplasare, ceea ce ar putea duce la creșterea numărului de kilometri parcurși de vehiculele urbane, concentrând în același timp activitatea în perioadele de vârf. </w:t>
      </w:r>
    </w:p>
    <w:p w14:paraId="2AE3CA45" w14:textId="078B4F18" w:rsidR="00671023" w:rsidRPr="00A207CB" w:rsidRDefault="6A270876" w:rsidP="00671023">
      <w:pPr>
        <w:pStyle w:val="whitespace-normal"/>
        <w:spacing w:after="120" w:afterAutospacing="0" w:line="23" w:lineRule="atLeast"/>
        <w:jc w:val="both"/>
        <w:rPr>
          <w:noProof/>
        </w:rPr>
      </w:pPr>
      <w:r w:rsidRPr="00A207CB">
        <w:rPr>
          <w:noProof/>
        </w:rPr>
        <w:t>Economia muncii la comandă a extins serviciile de livrare, utilizând motociclete și biciclete operate de lucrători care se confruntă cu presiuni de timp și constrângeri economice care încurajează adesea comportamentele riscante</w:t>
      </w:r>
      <w:r w:rsidRPr="00A207CB">
        <w:rPr>
          <w:rStyle w:val="FootnoteReference"/>
          <w:noProof/>
        </w:rPr>
        <w:footnoteReference w:id="52"/>
      </w:r>
      <w:r w:rsidRPr="00A207CB">
        <w:rPr>
          <w:noProof/>
        </w:rPr>
        <w:t>, în timp ce tipurile de vehicule utilizate de conducătorii auto care efectuează livrări, inclusiv scuterele electrice importate ilegal sau mopedele neaprobate care depășesc limitele de viteză aplicabile, au sporit riscurile în materie de siguranță rutieră.</w:t>
      </w:r>
    </w:p>
    <w:p w14:paraId="4E0F5D44" w14:textId="77777777" w:rsidR="0041262B" w:rsidRPr="00A207CB" w:rsidRDefault="0041262B" w:rsidP="00671023">
      <w:pPr>
        <w:pStyle w:val="whitespace-normal"/>
        <w:spacing w:after="120" w:afterAutospacing="0" w:line="23" w:lineRule="atLeast"/>
        <w:jc w:val="both"/>
        <w:rPr>
          <w:noProof/>
          <w:szCs w:val="20"/>
        </w:rPr>
      </w:pPr>
    </w:p>
    <w:p w14:paraId="7FD38ABC" w14:textId="77777777" w:rsidR="00671023" w:rsidRPr="00A207CB"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210" w:name="_Toc206602974"/>
      <w:bookmarkStart w:id="211" w:name="_Toc206603032"/>
      <w:bookmarkStart w:id="212" w:name="_Toc206602975"/>
      <w:bookmarkStart w:id="213" w:name="_Toc206603033"/>
      <w:bookmarkStart w:id="214" w:name="_Toc206602976"/>
      <w:bookmarkStart w:id="215" w:name="_Toc206603034"/>
      <w:bookmarkStart w:id="216" w:name="_Toc24475323"/>
      <w:bookmarkStart w:id="217" w:name="_Toc24475324"/>
      <w:bookmarkStart w:id="218" w:name="_Toc24475325"/>
      <w:bookmarkStart w:id="219" w:name="_Toc24464402"/>
      <w:bookmarkStart w:id="220" w:name="_Toc24469060"/>
      <w:bookmarkStart w:id="221" w:name="_Toc24469903"/>
      <w:bookmarkStart w:id="222" w:name="_Toc24469947"/>
      <w:bookmarkStart w:id="223" w:name="_Toc24469992"/>
      <w:bookmarkStart w:id="224" w:name="_Toc23855510"/>
      <w:bookmarkStart w:id="225" w:name="_Toc23855547"/>
      <w:bookmarkStart w:id="226" w:name="_Toc23855583"/>
      <w:bookmarkStart w:id="227" w:name="_Toc23785217"/>
      <w:bookmarkStart w:id="228" w:name="_Toc23785505"/>
      <w:bookmarkStart w:id="229" w:name="_Toc23785603"/>
      <w:bookmarkStart w:id="230" w:name="_Toc23790496"/>
      <w:bookmarkStart w:id="231" w:name="_Toc23791340"/>
      <w:bookmarkStart w:id="232" w:name="_Toc23785220"/>
      <w:bookmarkStart w:id="233" w:name="_Toc23785461"/>
      <w:bookmarkStart w:id="234" w:name="_Toc23785508"/>
      <w:bookmarkStart w:id="235" w:name="_Toc23785606"/>
      <w:bookmarkStart w:id="236" w:name="_Toc23790499"/>
      <w:bookmarkStart w:id="237" w:name="_Toc23791343"/>
      <w:bookmarkStart w:id="238" w:name="_Toc23785222"/>
      <w:bookmarkStart w:id="239" w:name="_Toc23785463"/>
      <w:bookmarkStart w:id="240" w:name="_Toc23785510"/>
      <w:bookmarkStart w:id="241" w:name="_Toc23785608"/>
      <w:bookmarkStart w:id="242" w:name="_Toc23790501"/>
      <w:bookmarkStart w:id="243" w:name="_Toc23791345"/>
      <w:bookmarkStart w:id="244" w:name="_Toc24464403"/>
      <w:bookmarkStart w:id="245" w:name="_Toc24469061"/>
      <w:bookmarkStart w:id="246" w:name="_Toc24469904"/>
      <w:bookmarkStart w:id="247" w:name="_Toc24469948"/>
      <w:bookmarkStart w:id="248" w:name="_Toc24469993"/>
      <w:bookmarkStart w:id="249" w:name="_Toc24464404"/>
      <w:bookmarkStart w:id="250" w:name="_Toc24469062"/>
      <w:bookmarkStart w:id="251" w:name="_Toc24469905"/>
      <w:bookmarkStart w:id="252" w:name="_Toc24469949"/>
      <w:bookmarkStart w:id="253" w:name="_Toc24469994"/>
      <w:bookmarkStart w:id="254" w:name="_Toc24464405"/>
      <w:bookmarkStart w:id="255" w:name="_Toc24469063"/>
      <w:bookmarkStart w:id="256" w:name="_Toc24469906"/>
      <w:bookmarkStart w:id="257" w:name="_Toc24469950"/>
      <w:bookmarkStart w:id="258" w:name="_Toc24469995"/>
      <w:bookmarkStart w:id="259" w:name="_Toc24464406"/>
      <w:bookmarkStart w:id="260" w:name="_Toc24469064"/>
      <w:bookmarkStart w:id="261" w:name="_Toc24469907"/>
      <w:bookmarkStart w:id="262" w:name="_Toc24469951"/>
      <w:bookmarkStart w:id="263" w:name="_Toc24469996"/>
      <w:bookmarkStart w:id="264" w:name="_Toc24464407"/>
      <w:bookmarkStart w:id="265" w:name="_Toc24469065"/>
      <w:bookmarkStart w:id="266" w:name="_Toc24469908"/>
      <w:bookmarkStart w:id="267" w:name="_Toc24469952"/>
      <w:bookmarkStart w:id="268" w:name="_Toc24469997"/>
      <w:bookmarkStart w:id="269" w:name="_Toc24464408"/>
      <w:bookmarkStart w:id="270" w:name="_Toc24469066"/>
      <w:bookmarkStart w:id="271" w:name="_Toc24469909"/>
      <w:bookmarkStart w:id="272" w:name="_Toc24469953"/>
      <w:bookmarkStart w:id="273" w:name="_Toc24469998"/>
      <w:bookmarkStart w:id="274" w:name="_Toc24464409"/>
      <w:bookmarkStart w:id="275" w:name="_Toc24469067"/>
      <w:bookmarkStart w:id="276" w:name="_Toc24469910"/>
      <w:bookmarkStart w:id="277" w:name="_Toc24469954"/>
      <w:bookmarkStart w:id="278" w:name="_Toc24469999"/>
      <w:bookmarkStart w:id="279" w:name="_Toc24464413"/>
      <w:bookmarkStart w:id="280" w:name="_Toc24469071"/>
      <w:bookmarkStart w:id="281" w:name="_Toc24469914"/>
      <w:bookmarkStart w:id="282" w:name="_Toc24469958"/>
      <w:bookmarkStart w:id="283" w:name="_Toc24470003"/>
      <w:bookmarkStart w:id="284" w:name="_Toc25673437"/>
      <w:bookmarkStart w:id="285" w:name="_Toc25673485"/>
      <w:bookmarkStart w:id="286" w:name="_Toc25673590"/>
      <w:bookmarkStart w:id="287" w:name="_Toc206610433"/>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A207CB">
        <w:rPr>
          <w:rFonts w:ascii="Times New Roman" w:hAnsi="Times New Roman"/>
          <w:b/>
          <w:smallCaps/>
          <w:noProof/>
          <w:color w:val="000000" w:themeColor="text1"/>
          <w:sz w:val="24"/>
        </w:rPr>
        <w:t>Impactul schimbărilor climatice</w:t>
      </w:r>
      <w:bookmarkEnd w:id="287"/>
    </w:p>
    <w:p w14:paraId="717E4E0C" w14:textId="277304BF" w:rsidR="00671023" w:rsidRPr="00A207CB" w:rsidRDefault="00671023" w:rsidP="00671023">
      <w:pPr>
        <w:spacing w:after="120" w:line="23" w:lineRule="atLeast"/>
        <w:rPr>
          <w:noProof/>
        </w:rPr>
      </w:pPr>
      <w:bookmarkStart w:id="288" w:name="_Toc25445090"/>
      <w:bookmarkStart w:id="289" w:name="_Toc25446691"/>
      <w:bookmarkStart w:id="290" w:name="_Toc25447071"/>
      <w:bookmarkStart w:id="291" w:name="_Toc25527680"/>
      <w:bookmarkStart w:id="292" w:name="_Toc25531552"/>
      <w:bookmarkStart w:id="293" w:name="_Toc25533783"/>
      <w:bookmarkStart w:id="294" w:name="_Toc25533834"/>
      <w:bookmarkStart w:id="295" w:name="_Toc25535187"/>
      <w:bookmarkStart w:id="296" w:name="_Toc25446692"/>
      <w:bookmarkStart w:id="297" w:name="_Toc25533784"/>
      <w:bookmarkStart w:id="298" w:name="_Toc25685806"/>
      <w:bookmarkStart w:id="299" w:name="_Toc25854844"/>
      <w:bookmarkEnd w:id="288"/>
      <w:bookmarkEnd w:id="289"/>
      <w:bookmarkEnd w:id="290"/>
      <w:bookmarkEnd w:id="291"/>
      <w:bookmarkEnd w:id="292"/>
      <w:bookmarkEnd w:id="293"/>
      <w:bookmarkEnd w:id="294"/>
      <w:bookmarkEnd w:id="295"/>
      <w:r w:rsidRPr="00A207CB">
        <w:rPr>
          <w:noProof/>
        </w:rPr>
        <w:t>Schimbările climatice s-au dovedit a fi un factor semnificativ, dar subestimat, care afectează siguranța rutieră. Fenomenele meteorologice extreme devin din ce în ce mai frecvente și mai grave, creând condiții de conducere periculoase. Valurile de căldură pot cauza deteriorarea suprafețelor rutiere și pot afecta performanța conducătorilor auto, în timp ce frecvența crescută a furtunilor, a inundațiilor și a înghețului creează condiții periculoase care necesită o infrastructură adaptabilă și capacități de intervenție în situații de urgență.</w:t>
      </w:r>
    </w:p>
    <w:p w14:paraId="15851707" w14:textId="273B937A" w:rsidR="00671023" w:rsidRPr="00A207CB" w:rsidRDefault="00671023" w:rsidP="00671023">
      <w:pPr>
        <w:spacing w:after="120" w:line="23" w:lineRule="atLeast"/>
        <w:rPr>
          <w:noProof/>
        </w:rPr>
      </w:pPr>
      <w:r w:rsidRPr="00A207CB">
        <w:rPr>
          <w:noProof/>
        </w:rPr>
        <w:t>Creșterea temperaturilor afectează, de asemenea, performanța vehiculelor, în special a vehiculelor electrice, și poate crește riscul de defectare a pneurilor. Efectul de insulă termică urbană exacerbează aceste amenințări în orașe, unde temperaturile la suprafață pot depăși în mod semnificativ temperaturile aerului ambiant.</w:t>
      </w:r>
    </w:p>
    <w:p w14:paraId="55286711" w14:textId="77777777" w:rsidR="0041262B" w:rsidRPr="00A207CB" w:rsidRDefault="0041262B" w:rsidP="00671023">
      <w:pPr>
        <w:spacing w:after="120" w:line="23" w:lineRule="atLeast"/>
        <w:rPr>
          <w:noProof/>
        </w:rPr>
      </w:pPr>
    </w:p>
    <w:p w14:paraId="2DD113FA" w14:textId="77777777" w:rsidR="00671023" w:rsidRPr="00A207CB"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0" w:name="_Toc206602979"/>
      <w:bookmarkStart w:id="301" w:name="_Toc206603037"/>
      <w:bookmarkStart w:id="302" w:name="_Toc206602980"/>
      <w:bookmarkStart w:id="303" w:name="_Toc206603038"/>
      <w:bookmarkStart w:id="304" w:name="_Toc203583261"/>
      <w:bookmarkStart w:id="305" w:name="_Toc203583317"/>
      <w:bookmarkStart w:id="306" w:name="_Toc206610434"/>
      <w:bookmarkEnd w:id="296"/>
      <w:bookmarkEnd w:id="297"/>
      <w:bookmarkEnd w:id="298"/>
      <w:bookmarkEnd w:id="299"/>
      <w:bookmarkEnd w:id="300"/>
      <w:bookmarkEnd w:id="301"/>
      <w:bookmarkEnd w:id="302"/>
      <w:bookmarkEnd w:id="303"/>
      <w:bookmarkEnd w:id="304"/>
      <w:bookmarkEnd w:id="305"/>
      <w:r w:rsidRPr="00A207CB">
        <w:rPr>
          <w:rFonts w:ascii="Times New Roman" w:hAnsi="Times New Roman"/>
          <w:b/>
          <w:smallCaps/>
          <w:noProof/>
          <w:color w:val="000000" w:themeColor="text1"/>
          <w:sz w:val="24"/>
        </w:rPr>
        <w:t>Securitatea cibernetică și utilizarea datelor</w:t>
      </w:r>
      <w:bookmarkEnd w:id="306"/>
    </w:p>
    <w:p w14:paraId="48F82CA5" w14:textId="4E70ED3B" w:rsidR="00671023" w:rsidRPr="00A207CB" w:rsidRDefault="00687603" w:rsidP="00203454">
      <w:pPr>
        <w:rPr>
          <w:noProof/>
        </w:rPr>
      </w:pPr>
      <w:r w:rsidRPr="00A207CB">
        <w:rPr>
          <w:noProof/>
        </w:rPr>
        <w:t>Creșterea conectivității între vehicule a condus la noi vulnerabilități care fuseseră abia recunoscute la momentul elaborării pentru prima dată a Cadrului de politică al UE privind siguranța rutieră 2021-2030. Amenințările la adresa securității cibernetice a vehiculelor conectate și automatizate au potențialul de a provoca accidente, de a dezactiva sistemele de siguranță și de a compromite viața privată, aspect care va fi abordat și prin Actul privind reziliența cibernetică</w:t>
      </w:r>
      <w:r w:rsidRPr="00A207CB">
        <w:rPr>
          <w:rStyle w:val="FootnoteReference"/>
          <w:noProof/>
        </w:rPr>
        <w:footnoteReference w:id="53"/>
      </w:r>
      <w:r w:rsidRPr="00A207CB">
        <w:rPr>
          <w:noProof/>
        </w:rPr>
        <w:t xml:space="preserve">. </w:t>
      </w:r>
    </w:p>
    <w:p w14:paraId="73D59313" w14:textId="2866F75E" w:rsidR="00671023" w:rsidRPr="00A207CB" w:rsidRDefault="00671023" w:rsidP="00671023">
      <w:pPr>
        <w:spacing w:after="120" w:line="23" w:lineRule="atLeast"/>
        <w:rPr>
          <w:noProof/>
        </w:rPr>
      </w:pPr>
      <w:r w:rsidRPr="00A207CB">
        <w:rPr>
          <w:noProof/>
        </w:rPr>
        <w:t xml:space="preserve">Colectarea datelor a devenit mult mai răspândită în ultimii cinci ani, dar potențialul volumelor mari de date nu a fost încă transformat în informații utilizabile privind siguranța rutieră. Se întâmplă rar ca datele de la bordul vehiculelor, deținute de producătorii de vehicule, datele privind cererile de despăgubire referitoare la incidente, deținute de asigurători și datele privind incidentele medicale, deținute de spitale și de serviciile de ambulanță să fie partajate în scopuri de siguranță rutieră. De exemplu, datele provenite de la înregistratoarele electronice de date ale vehiculelor sunt accesibile numai în scopuri de cercetare specifice, cum ar fi cercetarea evenimentelor care s-au produs în secundele care precedă un anumit accident, dar nu sunt puse la dispoziție într-o formă dezagregată pentru a contribui la elaborarea politicilor. </w:t>
      </w:r>
    </w:p>
    <w:p w14:paraId="58C2E102" w14:textId="77777777" w:rsidR="002B156C" w:rsidRPr="00A207CB" w:rsidRDefault="002B156C" w:rsidP="00671023">
      <w:pPr>
        <w:spacing w:after="120" w:line="23" w:lineRule="atLeast"/>
        <w:rPr>
          <w:noProof/>
        </w:rPr>
      </w:pPr>
    </w:p>
    <w:p w14:paraId="637837A3" w14:textId="77777777" w:rsidR="00671023" w:rsidRPr="00A207CB"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7" w:name="_Toc206610435"/>
      <w:r w:rsidRPr="00A207CB">
        <w:rPr>
          <w:rFonts w:ascii="Times New Roman" w:hAnsi="Times New Roman"/>
          <w:b/>
          <w:smallCaps/>
          <w:noProof/>
          <w:color w:val="000000" w:themeColor="text1"/>
          <w:sz w:val="24"/>
        </w:rPr>
        <w:t>Consecințele economice ale neabordării siguranței rutiere</w:t>
      </w:r>
      <w:bookmarkEnd w:id="307"/>
    </w:p>
    <w:p w14:paraId="15FB4C3F" w14:textId="7C73D9FB" w:rsidR="00671023" w:rsidRPr="00A207CB" w:rsidRDefault="6A270876" w:rsidP="00671023">
      <w:pPr>
        <w:spacing w:after="120" w:line="23" w:lineRule="atLeast"/>
        <w:rPr>
          <w:noProof/>
        </w:rPr>
      </w:pPr>
      <w:r w:rsidRPr="00A207CB">
        <w:rPr>
          <w:noProof/>
        </w:rPr>
        <w:t>Accidentele rutiere impun o povară enormă asupra economiei UE, din punct de vedere social, economic și al sănătății. Costurile socioeconomice externe ale vătămărilor mortale, grave și minore sunt estimate la aproximativ 2 % din PIB-ul țărilor UE</w:t>
      </w:r>
      <w:r w:rsidRPr="00A207CB">
        <w:rPr>
          <w:rStyle w:val="FootnoteReference"/>
          <w:noProof/>
        </w:rPr>
        <w:footnoteReference w:id="54"/>
      </w:r>
      <w:r w:rsidRPr="00A207CB">
        <w:rPr>
          <w:noProof/>
        </w:rPr>
        <w:t>. Aceste costuri au rămas în mod constant ridicate, în pofida progreselor înregistrate în ceea ce privește reducerea frecvenței și a gravității accidentelor. Reducerea la jumătate a numărului deceselor cauzate de accidentele rutiere până în 2030 (față de 2019) ar preveni aproximativ 11 000 de decese și ar contribui la reducerea numărului celor aproximativ 100 000 de vătămări grave produse pe drumurile noastre în fiecare an.</w:t>
      </w:r>
    </w:p>
    <w:p w14:paraId="64A8D32B" w14:textId="2EA28497" w:rsidR="00671023" w:rsidRPr="00A207CB" w:rsidRDefault="6A270876" w:rsidP="00671023">
      <w:pPr>
        <w:spacing w:after="120" w:line="23" w:lineRule="atLeast"/>
        <w:rPr>
          <w:noProof/>
        </w:rPr>
      </w:pPr>
      <w:r w:rsidRPr="00A207CB">
        <w:rPr>
          <w:b/>
          <w:noProof/>
        </w:rPr>
        <w:t xml:space="preserve">Costurile asistenței medicale și ale reabilitării </w:t>
      </w:r>
      <w:r w:rsidRPr="00A207CB">
        <w:rPr>
          <w:noProof/>
        </w:rPr>
        <w:t>constituie impactul economic cel mai imediat și mai vizibil. Costurile serviciilor medicale de urgență, ale spitalizării, reabilitării și îngrijirii pe termen lung pentru victimele accidentelor rutiere exercită presiuni asupra bugetelor alocate asistenței medicale în toate statele membre</w:t>
      </w:r>
      <w:r w:rsidRPr="00A207CB">
        <w:rPr>
          <w:rStyle w:val="FootnoteReference"/>
          <w:noProof/>
        </w:rPr>
        <w:footnoteReference w:id="55"/>
      </w:r>
      <w:r w:rsidRPr="00A207CB">
        <w:rPr>
          <w:noProof/>
        </w:rPr>
        <w:t xml:space="preserve">. În plus, rata vătămărilor grave scade într-un ritm mai lent decât cea a deceselor. Costurile de abordare a problemei impactului asupra </w:t>
      </w:r>
      <w:r w:rsidRPr="00A207CB">
        <w:rPr>
          <w:b/>
          <w:bCs/>
          <w:noProof/>
        </w:rPr>
        <w:t>sănătății mintale</w:t>
      </w:r>
      <w:r w:rsidRPr="00A207CB">
        <w:rPr>
          <w:noProof/>
        </w:rPr>
        <w:t xml:space="preserve"> a supraviețuitorilor accidentelor și a familiilor acestora, precum și ale martorilor la accidente adaugă o sarcină economică suplimentară</w:t>
      </w:r>
      <w:r w:rsidRPr="00A207CB">
        <w:rPr>
          <w:rStyle w:val="FootnoteReference"/>
          <w:noProof/>
        </w:rPr>
        <w:footnoteReference w:id="56"/>
      </w:r>
      <w:r w:rsidRPr="00A207CB">
        <w:rPr>
          <w:noProof/>
        </w:rPr>
        <w:t>.</w:t>
      </w:r>
    </w:p>
    <w:p w14:paraId="3BBA00FF" w14:textId="225A69A2" w:rsidR="00671023" w:rsidRPr="00A207CB" w:rsidRDefault="00671023" w:rsidP="00671023">
      <w:pPr>
        <w:spacing w:after="120" w:line="23" w:lineRule="atLeast"/>
        <w:rPr>
          <w:noProof/>
          <w:szCs w:val="24"/>
        </w:rPr>
      </w:pPr>
      <w:r w:rsidRPr="00A207CB">
        <w:rPr>
          <w:b/>
          <w:noProof/>
        </w:rPr>
        <w:t>Pierderea productivității și a producției economice</w:t>
      </w:r>
      <w:r w:rsidRPr="00A207CB">
        <w:rPr>
          <w:noProof/>
        </w:rPr>
        <w:t xml:space="preserve"> reprezintă o a doua componentă majoră a impactului accidentelor. Fiecare deces cauzat de accidente rutiere echivalează cu decenii de viață pierdută, atât la domiciliu, cât și la locul de muncă, în timp ce vătămările grave conduc adesea la un handicap permanent sau la o capacitate redusă de muncă. Pierderile de productivitate sunt rezultatul reducerii timpului de lucru și al costurilor de înlocuire a capitalului uman, dar și al incapacității persoanelor afectate de a desfășura activități neremunerate, cum ar fi sarcinile casnice sau voluntariatul.</w:t>
      </w:r>
    </w:p>
    <w:p w14:paraId="69C51173" w14:textId="19ED0A97" w:rsidR="00671023" w:rsidRPr="00A207CB" w:rsidRDefault="00671023" w:rsidP="00671023">
      <w:pPr>
        <w:spacing w:after="120" w:line="23" w:lineRule="atLeast"/>
        <w:rPr>
          <w:noProof/>
        </w:rPr>
      </w:pPr>
      <w:r w:rsidRPr="00A207CB">
        <w:rPr>
          <w:b/>
          <w:noProof/>
        </w:rPr>
        <w:t xml:space="preserve">Costurile de infrastructură și de intervenție în caz de urgență </w:t>
      </w:r>
      <w:r w:rsidRPr="00A207CB">
        <w:rPr>
          <w:noProof/>
        </w:rPr>
        <w:t>includ desfășurarea serviciilor de urgență, gestionarea traficului în timpul degajării locului accidentelor, daunele materiale și repararea sau înlocuirea vehiculelor. Aceste costuri directe sunt în creștere pe măsură ce vehiculele și infrastructura rutieră devin mai sofisticate din punct de vedere tehnologic și, prin urmare, reparațiile sau înlocuirea acestora sunt mai scumpe.</w:t>
      </w:r>
    </w:p>
    <w:p w14:paraId="3B7D19FC" w14:textId="41940672" w:rsidR="00C1206D" w:rsidRPr="00A207CB" w:rsidRDefault="00C1206D" w:rsidP="00671023">
      <w:pPr>
        <w:spacing w:after="120" w:line="23" w:lineRule="atLeast"/>
        <w:rPr>
          <w:noProof/>
          <w:szCs w:val="24"/>
        </w:rPr>
      </w:pPr>
      <w:r w:rsidRPr="00A207CB">
        <w:rPr>
          <w:b/>
          <w:noProof/>
        </w:rPr>
        <w:t>Costurile administrative</w:t>
      </w:r>
      <w:r w:rsidRPr="00A207CB">
        <w:rPr>
          <w:noProof/>
        </w:rPr>
        <w:t xml:space="preserve"> decurg din cheltuielile de desfășurare a serviciilor de poliție, a serviciilor de pompieri și a altor servicii de urgență (nemedicale) la locul accidentelor. Există, de asemenea, costuri suplimentare asociate administrării justiției, cum ar fi costurile judiciare, costurile de urmărire penală a infractorilor și costurile proceselor și ale asigurărilor.</w:t>
      </w:r>
    </w:p>
    <w:p w14:paraId="483B4850" w14:textId="7875C5A1" w:rsidR="00671023" w:rsidRPr="00A207CB" w:rsidRDefault="002A2BC6" w:rsidP="00671023">
      <w:pPr>
        <w:pStyle w:val="whitespace-normal"/>
        <w:spacing w:after="120" w:afterAutospacing="0" w:line="23" w:lineRule="atLeast"/>
        <w:jc w:val="both"/>
        <w:rPr>
          <w:noProof/>
        </w:rPr>
      </w:pPr>
      <w:r w:rsidRPr="00A207CB">
        <w:rPr>
          <w:noProof/>
        </w:rPr>
        <w:t xml:space="preserve">Pe lângă costurile directe, accidentele rutiere generează efecte economice indirecte semnificative. Printre exemple se numără timpul pierdut și consumul crescut de combustibil generat de </w:t>
      </w:r>
      <w:r w:rsidRPr="00A207CB">
        <w:rPr>
          <w:b/>
          <w:noProof/>
        </w:rPr>
        <w:t xml:space="preserve">congestionarea traficului </w:t>
      </w:r>
      <w:r w:rsidRPr="00A207CB">
        <w:rPr>
          <w:noProof/>
        </w:rPr>
        <w:t xml:space="preserve">cauzată de accidente. </w:t>
      </w:r>
    </w:p>
    <w:p w14:paraId="5353F09E" w14:textId="7BA02CCE" w:rsidR="00671023" w:rsidRPr="00A207CB" w:rsidRDefault="00671023" w:rsidP="00671023">
      <w:pPr>
        <w:spacing w:after="120" w:line="23" w:lineRule="atLeast"/>
        <w:rPr>
          <w:noProof/>
        </w:rPr>
      </w:pPr>
    </w:p>
    <w:p w14:paraId="5642C818" w14:textId="4AE3CC47" w:rsidR="00671023" w:rsidRPr="00A207CB"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8" w:name="_Toc206603041"/>
      <w:bookmarkStart w:id="309" w:name="_Toc206610436"/>
      <w:bookmarkEnd w:id="308"/>
      <w:r w:rsidRPr="00A207CB">
        <w:rPr>
          <w:rFonts w:ascii="Times New Roman" w:hAnsi="Times New Roman"/>
          <w:b/>
          <w:smallCaps/>
          <w:noProof/>
          <w:color w:val="000000" w:themeColor="text1"/>
          <w:sz w:val="24"/>
        </w:rPr>
        <w:t xml:space="preserve">Nevoile </w:t>
      </w:r>
      <w:bookmarkEnd w:id="309"/>
      <w:r w:rsidRPr="00A207CB">
        <w:rPr>
          <w:rFonts w:ascii="Times New Roman" w:hAnsi="Times New Roman"/>
          <w:b/>
          <w:smallCaps/>
          <w:noProof/>
          <w:color w:val="000000" w:themeColor="text1"/>
          <w:sz w:val="24"/>
        </w:rPr>
        <w:t>de investiții</w:t>
      </w:r>
    </w:p>
    <w:p w14:paraId="28666940" w14:textId="7B447962" w:rsidR="00461051" w:rsidRPr="00A207CB" w:rsidRDefault="00A31768" w:rsidP="00671023">
      <w:pPr>
        <w:spacing w:after="120" w:line="23" w:lineRule="atLeast"/>
        <w:rPr>
          <w:noProof/>
        </w:rPr>
      </w:pPr>
      <w:r w:rsidRPr="00A207CB">
        <w:rPr>
          <w:noProof/>
        </w:rPr>
        <w:t xml:space="preserve">Valorificarea beneficiului economic potențial al prevenirii accidentelor rutiere necesită investiții substanțiale, dar eficiente din punctul de vedere al costurilor. Este necesară o finanțare coordonată la toate nivelurile administrației pentru a implementa îmbunătățiri ale infrastructurii, o mai bună aplicare a legii, tehnologii de siguranță a vehiculelor și programe educaționale. </w:t>
      </w:r>
    </w:p>
    <w:p w14:paraId="6DB78FBC" w14:textId="465E9CED" w:rsidR="009D5AD9" w:rsidRPr="00A207CB" w:rsidRDefault="6A270876" w:rsidP="00461051">
      <w:pPr>
        <w:pStyle w:val="whitespace-normal"/>
        <w:spacing w:after="120" w:afterAutospacing="0" w:line="23" w:lineRule="atLeast"/>
        <w:jc w:val="both"/>
        <w:rPr>
          <w:noProof/>
        </w:rPr>
      </w:pPr>
      <w:r w:rsidRPr="00A207CB">
        <w:rPr>
          <w:noProof/>
        </w:rPr>
        <w:t>Cercetările demonstrează însă că rentabilitatea economică a acestor investiții depășește în mod semnificativ costurile, ceea ce face ca îmbunătățirea siguranței rutiere să fie una dintre cele mai rentabile măsuri de politică publică disponibile</w:t>
      </w:r>
      <w:r w:rsidRPr="00A207CB">
        <w:rPr>
          <w:rStyle w:val="FootnoteReference"/>
          <w:noProof/>
        </w:rPr>
        <w:footnoteReference w:id="57"/>
      </w:r>
      <w:r w:rsidRPr="00A207CB">
        <w:rPr>
          <w:noProof/>
        </w:rPr>
        <w:t>. Argumentele economice pentru o acțiune accelerată în domeniul siguranței rutiere sunt convingătoare, costurile lipsei de acțiune depășind cu mult investițiile necesare pentru o acțiune eficace.</w:t>
      </w:r>
    </w:p>
    <w:p w14:paraId="6DFBF569" w14:textId="419F241D" w:rsidR="00671023" w:rsidRPr="00A207CB" w:rsidRDefault="6A270876" w:rsidP="00671023">
      <w:pPr>
        <w:spacing w:after="120" w:line="23" w:lineRule="atLeast"/>
        <w:rPr>
          <w:noProof/>
        </w:rPr>
      </w:pPr>
      <w:r w:rsidRPr="00A207CB">
        <w:rPr>
          <w:noProof/>
        </w:rPr>
        <w:t>În raportul său special din 2024, CCE a remarcat că, adesea, siguranța rutieră nu era un criteriu esențial în selectarea proiectelor de infrastructură cofinanțate de UE; criteriile de selecție au trecut adesea cu vederea tronsoanele de drum cu rate ridicate ale accidentelor. CCE a recomandat să se stabilească priorități mai clare, astfel încât viitoarele eforturi de finanțare să se concentreze asupra măsurilor cu cea mai mare probabilitate de reducere a deceselor și a vătămărilor grave.</w:t>
      </w:r>
    </w:p>
    <w:p w14:paraId="5BE90CDF" w14:textId="1E1083EE" w:rsidR="00776222" w:rsidRPr="00A207CB" w:rsidRDefault="6A270876" w:rsidP="00C429B5">
      <w:pPr>
        <w:spacing w:after="120" w:line="23" w:lineRule="atLeast"/>
        <w:rPr>
          <w:noProof/>
        </w:rPr>
      </w:pPr>
      <w:r w:rsidRPr="00A207CB">
        <w:rPr>
          <w:noProof/>
        </w:rPr>
        <w:t>În plus față de nevoia de investiții în infrastructuri rutiere noi și reproiectate, trebuie alocate fonduri și pentru întreținerea acestora. Pe lângă faptul că există mai multe vehicule noi pe drumurile din UE – începând din 2019 s-a înregistrat o creștere de aproape 5 milioane de autoturisme și de peste 270 000 de camioane</w:t>
      </w:r>
      <w:r w:rsidRPr="00A207CB">
        <w:rPr>
          <w:rStyle w:val="FootnoteReference"/>
          <w:noProof/>
        </w:rPr>
        <w:footnoteReference w:id="58"/>
      </w:r>
      <w:r w:rsidRPr="00A207CB">
        <w:rPr>
          <w:noProof/>
        </w:rPr>
        <w:t xml:space="preserve"> – impactul schimbărilor climatice se manifestă prin creșterea frecvenței și a intensității incendiilor, a furtunilor și a inundațiilor, toate acestea având un impact asupra integrității drumurilor și siguranței rutiere. Un alt aspect care trebuie luat în considerare este necesitatea tot mai mare de a facilita mobilitatea militară și  cerințele de dublă utilizare în întreaga UE, fapt ce impune modernizarea anumitor tronsoane de infrastructură rutieră (inclusiv drumuri, poduri și tuneluri) pentru a asigura robustețea structurală și reziliența operațională. Aceste modernizări ar trebui să fie concepute astfel încât să se evite crearea de noi blocaje și să se mențină funcționalitatea în condiții de sarcină și de stres crescute (de exemplu, creșterea fluxurilor de vehicule grele, redirecționarea în funcție de incidente).</w:t>
      </w:r>
    </w:p>
    <w:p w14:paraId="32EF121D" w14:textId="5CA58F8D" w:rsidR="00CB1971" w:rsidRPr="00A207CB" w:rsidRDefault="00CB1971" w:rsidP="00CB1971">
      <w:pPr>
        <w:spacing w:after="120" w:line="23" w:lineRule="atLeast"/>
        <w:rPr>
          <w:noProof/>
        </w:rPr>
      </w:pPr>
      <w:r w:rsidRPr="00A207CB">
        <w:rPr>
          <w:noProof/>
        </w:rPr>
        <w:t xml:space="preserve">Factorii de risc și provocările rutiere subliniază totodată necesitatea continuă de a investi în capabilități de detectare și asigurare a respectării normelor în ceea ce privește excesul de viteză, conducerea sub influența alcoolului și a drogurilor, distragerea atenției, nerespectarea culorii roșii a semaforului și nepurtarea centurii de siguranță. Este necesar ca aceste investiții să asigure, pe de o parte, resurse suficiente pentru serviciile de poliție pentru a gestiona controalele în trafic și, pe de altă parte, să sprijine sistemele automatizate de detectare și de aplicare a normelor folosind camere de luat vederi. </w:t>
      </w:r>
    </w:p>
    <w:p w14:paraId="1896A2C0" w14:textId="350366F6" w:rsidR="00CB1971" w:rsidRPr="00A207CB" w:rsidRDefault="40FA9506" w:rsidP="00CB1971">
      <w:pPr>
        <w:spacing w:after="120" w:line="23" w:lineRule="atLeast"/>
        <w:rPr>
          <w:noProof/>
        </w:rPr>
      </w:pPr>
      <w:r w:rsidRPr="00A207CB">
        <w:rPr>
          <w:noProof/>
        </w:rPr>
        <w:t>Asigurarea aplicării legii trebuie să fie însoțită de finanțarea unor campanii eficace de sensibilizare și educare cu privire la siguranța rutieră. Astfel de campanii trebuie să fie adaptate diferitelor categorii de public-țintă (copii, adolescenți, cursanți și conducători auto începători, conducători auto cu mai multă experiență și alți participanți la trafic, cum ar fi persoanele care merg cu bicicleta și care utilizează dispozitive de mobilitate personală) și diferitelor grupuri de risc, cum ar fi tinerii, persoanele în vârstă și motocicliștii. Este de preferat ca ele să se desfășoare la nivel național sau regional, dar autoritățile statelor membre au solicitat Uniunii să sprijine pregătirea și desfășurarea unor astfel de campanii</w:t>
      </w:r>
      <w:r w:rsidRPr="00A207CB">
        <w:rPr>
          <w:rStyle w:val="FootnoteReference"/>
          <w:noProof/>
        </w:rPr>
        <w:footnoteReference w:id="59"/>
      </w:r>
      <w:r w:rsidRPr="00A207CB">
        <w:rPr>
          <w:noProof/>
        </w:rPr>
        <w:t xml:space="preserve"> și să faciliteze schimburile de bune practici</w:t>
      </w:r>
      <w:r w:rsidRPr="00A207CB">
        <w:rPr>
          <w:rStyle w:val="FootnoteReference"/>
          <w:noProof/>
        </w:rPr>
        <w:footnoteReference w:id="60"/>
      </w:r>
      <w:r w:rsidRPr="00A207CB">
        <w:rPr>
          <w:noProof/>
        </w:rPr>
        <w:t>.</w:t>
      </w:r>
    </w:p>
    <w:p w14:paraId="0FF17F32" w14:textId="77777777" w:rsidR="00CB1971" w:rsidRPr="00A207CB" w:rsidRDefault="00CB1971" w:rsidP="00671023">
      <w:pPr>
        <w:spacing w:after="120" w:line="23" w:lineRule="atLeast"/>
        <w:rPr>
          <w:noProof/>
        </w:rPr>
      </w:pPr>
    </w:p>
    <w:p w14:paraId="6207326D" w14:textId="77777777" w:rsidR="00671023" w:rsidRPr="00A207CB"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10" w:name="_Toc206603043"/>
      <w:bookmarkStart w:id="311" w:name="_Toc206610437"/>
      <w:bookmarkEnd w:id="8"/>
      <w:bookmarkEnd w:id="209"/>
      <w:bookmarkEnd w:id="310"/>
      <w:r w:rsidRPr="00A207CB">
        <w:rPr>
          <w:rFonts w:ascii="Times New Roman" w:hAnsi="Times New Roman"/>
          <w:b/>
          <w:smallCaps/>
          <w:noProof/>
          <w:color w:val="000000" w:themeColor="text1"/>
          <w:sz w:val="24"/>
        </w:rPr>
        <w:t>Calea de urmat</w:t>
      </w:r>
      <w:bookmarkEnd w:id="311"/>
      <w:r w:rsidRPr="00A207CB">
        <w:rPr>
          <w:rFonts w:ascii="Times New Roman" w:hAnsi="Times New Roman"/>
          <w:b/>
          <w:smallCaps/>
          <w:noProof/>
          <w:color w:val="000000" w:themeColor="text1"/>
          <w:sz w:val="24"/>
        </w:rPr>
        <w:t xml:space="preserve"> </w:t>
      </w:r>
    </w:p>
    <w:p w14:paraId="26A90CC1" w14:textId="7C08DCC8" w:rsidR="00F7636E" w:rsidRPr="00A207CB" w:rsidRDefault="00671023" w:rsidP="00671023">
      <w:pPr>
        <w:spacing w:after="120" w:line="23" w:lineRule="atLeast"/>
        <w:rPr>
          <w:noProof/>
        </w:rPr>
      </w:pPr>
      <w:r w:rsidRPr="00A207CB">
        <w:rPr>
          <w:noProof/>
        </w:rPr>
        <w:t>Prezentul raport intermediar evidențiază necesitatea unor acțiuni accelerate și specifice în mai multe domenii. Comisia a identificat o serie de priorități pentru toate nivelurile relevante de guvernanță (UE și național), continuând acțiunile existente sau acțiunile noi care necesită o atenție imediată, un angajament susținut și o finanțare specifică din partea tuturor părților interesate.</w:t>
      </w:r>
    </w:p>
    <w:p w14:paraId="418836F5" w14:textId="77777777" w:rsidR="0041262B" w:rsidRPr="00A207CB" w:rsidRDefault="0041262B" w:rsidP="00671023">
      <w:pPr>
        <w:spacing w:after="120" w:line="23" w:lineRule="atLeast"/>
        <w:rPr>
          <w:noProof/>
        </w:rPr>
      </w:pPr>
    </w:p>
    <w:p w14:paraId="497A36B7" w14:textId="73B050F3" w:rsidR="00DF23B5" w:rsidRPr="00A207CB" w:rsidRDefault="00142E62" w:rsidP="001D3C25">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 xml:space="preserve"> Accelerarea îmbunătățirii siguranței infrastructurii și implementarea sistemelor de transport inteligente</w:t>
      </w:r>
    </w:p>
    <w:p w14:paraId="7091F567" w14:textId="00CF43B6" w:rsidR="00DF23B5" w:rsidRPr="00A207CB" w:rsidRDefault="00DF23B5" w:rsidP="00DF23B5">
      <w:pPr>
        <w:spacing w:after="120" w:line="23" w:lineRule="atLeast"/>
        <w:rPr>
          <w:noProof/>
        </w:rPr>
      </w:pPr>
      <w:r w:rsidRPr="00A207CB">
        <w:rPr>
          <w:noProof/>
        </w:rPr>
        <w:t>Provocarea continuă de a reduce decesele și vătămările grave cauzate de accidentele rutiere necesită prioritizarea investițiilor în modernizarea infrastructurii rutiere.</w:t>
      </w:r>
    </w:p>
    <w:p w14:paraId="2A8051FA" w14:textId="1984D17E" w:rsidR="00DF23B5" w:rsidRPr="00A207CB" w:rsidRDefault="00EF231D" w:rsidP="00DF23B5">
      <w:pPr>
        <w:spacing w:after="120" w:line="23" w:lineRule="atLeast"/>
        <w:rPr>
          <w:noProof/>
        </w:rPr>
      </w:pPr>
      <w:r w:rsidRPr="00A207CB">
        <w:rPr>
          <w:noProof/>
        </w:rPr>
        <w:t xml:space="preserve">În prezent, Comisia elaborează orientări pentru autoritățile responsabile cu infrastructura rutieră, referitoare la </w:t>
      </w:r>
      <w:r w:rsidR="00E52FB4" w:rsidRPr="00A207CB">
        <w:rPr>
          <w:noProof/>
        </w:rPr>
        <w:t>proiecta</w:t>
      </w:r>
      <w:r w:rsidRPr="00A207CB">
        <w:rPr>
          <w:noProof/>
        </w:rPr>
        <w:t>rea de „</w:t>
      </w:r>
      <w:r w:rsidR="00E52FB4" w:rsidRPr="00A207CB">
        <w:rPr>
          <w:noProof/>
        </w:rPr>
        <w:t>margini de drum</w:t>
      </w:r>
      <w:r w:rsidRPr="00A207CB">
        <w:rPr>
          <w:noProof/>
        </w:rPr>
        <w:t xml:space="preserve"> indulgente”, de „drumuri autoexplicative și </w:t>
      </w:r>
      <w:r w:rsidR="00E7319A" w:rsidRPr="00A207CB">
        <w:rPr>
          <w:noProof/>
        </w:rPr>
        <w:t>autoaplicabil</w:t>
      </w:r>
      <w:r w:rsidRPr="00A207CB">
        <w:rPr>
          <w:noProof/>
        </w:rPr>
        <w:t>e” și cerințe de calitate pentru infrastructura rutieră pentru utilizatorii vulnerabili ai drumurilor. Aceste orientări vor fi publicate în 2026. </w:t>
      </w:r>
    </w:p>
    <w:p w14:paraId="17D5AA7B" w14:textId="5B3B1865" w:rsidR="00DF23B5" w:rsidRPr="00A207CB" w:rsidRDefault="466A7F78" w:rsidP="00DF23B5">
      <w:pPr>
        <w:spacing w:after="120" w:line="23" w:lineRule="atLeast"/>
        <w:rPr>
          <w:noProof/>
        </w:rPr>
      </w:pPr>
      <w:r w:rsidRPr="00A207CB">
        <w:rPr>
          <w:noProof/>
        </w:rPr>
        <w:t>Regulamentul TEN-T</w:t>
      </w:r>
      <w:r w:rsidRPr="00A207CB">
        <w:rPr>
          <w:rStyle w:val="FootnoteReference"/>
          <w:noProof/>
        </w:rPr>
        <w:footnoteReference w:id="61"/>
      </w:r>
      <w:r w:rsidRPr="00A207CB">
        <w:rPr>
          <w:noProof/>
        </w:rPr>
        <w:t xml:space="preserve"> a fost, de asemenea, actualizat în 2024 pentru a include noi cerințe de siguranță pentru rețeaua europeană. Planurile de mobilitate urbană durabilă (PMUD) trebuie să abordeze acum și aspectele legate de siguranța rutieră, iar statele membre trebuie să colecteze date privind siguranța pentru fiecare nod urban. Planificarea infrastructurii trebuie să răspundă nevoilor operaționale, inclusiv celor legate de siguranță.</w:t>
      </w:r>
    </w:p>
    <w:p w14:paraId="7AF9EF2C" w14:textId="77777777" w:rsidR="00DF23B5" w:rsidRPr="00A207CB" w:rsidRDefault="00DF23B5" w:rsidP="00DF23B5">
      <w:pPr>
        <w:spacing w:after="120" w:line="23" w:lineRule="atLeast"/>
        <w:rPr>
          <w:noProof/>
        </w:rPr>
      </w:pPr>
      <w:r w:rsidRPr="00A207CB">
        <w:rPr>
          <w:noProof/>
        </w:rPr>
        <w:t>Comisia se angajează: </w:t>
      </w:r>
    </w:p>
    <w:p w14:paraId="555C6341" w14:textId="47A8CA7A" w:rsidR="008216AC" w:rsidRPr="00A207CB" w:rsidRDefault="00DC48D4" w:rsidP="0041262B">
      <w:pPr>
        <w:numPr>
          <w:ilvl w:val="0"/>
          <w:numId w:val="53"/>
        </w:numPr>
        <w:spacing w:after="120" w:line="23" w:lineRule="atLeast"/>
        <w:rPr>
          <w:noProof/>
        </w:rPr>
      </w:pPr>
      <w:r w:rsidRPr="00A207CB">
        <w:rPr>
          <w:noProof/>
        </w:rPr>
        <w:t>să sprijine în continuare statele membre în abordarea problemelor identificate în rapoartele de țară privind siguranța rutieră (anexate la prezentul raport), inclusiv atunci când un astfel de sprijin ar fi identificat de statele membre în planurile lor de parteneriat național și regional pentru investiții și reforme pentru perioada de finanțare 2028-2034;</w:t>
      </w:r>
    </w:p>
    <w:p w14:paraId="298187DD" w14:textId="00BA8F52" w:rsidR="008216AC" w:rsidRPr="00A207CB" w:rsidRDefault="2C383905" w:rsidP="008216AC">
      <w:pPr>
        <w:pStyle w:val="ListParagraph"/>
        <w:numPr>
          <w:ilvl w:val="0"/>
          <w:numId w:val="53"/>
        </w:numPr>
        <w:rPr>
          <w:noProof/>
        </w:rPr>
      </w:pPr>
      <w:r w:rsidRPr="00A207CB">
        <w:rPr>
          <w:noProof/>
        </w:rPr>
        <w:t>să condiționeze investițiile în infrastructura rutieră din UE de includerea unor elemente de siguranță rutieră în acele sectoare rutiere care au cel mai mare potențial de îmbunătățire a siguranței</w:t>
      </w:r>
      <w:r w:rsidRPr="00A207CB">
        <w:rPr>
          <w:rStyle w:val="FootnoteReference"/>
          <w:noProof/>
        </w:rPr>
        <w:footnoteReference w:id="62"/>
      </w:r>
      <w:r w:rsidRPr="00A207CB">
        <w:rPr>
          <w:noProof/>
        </w:rPr>
        <w:t xml:space="preserve"> și în care acțiunile specifice pot aduce cele mai mari îmbunătățiri</w:t>
      </w:r>
      <w:r w:rsidRPr="00A207CB">
        <w:rPr>
          <w:rStyle w:val="FootnoteReference"/>
          <w:noProof/>
        </w:rPr>
        <w:footnoteReference w:id="63"/>
      </w:r>
      <w:r w:rsidRPr="00A207CB">
        <w:rPr>
          <w:noProof/>
        </w:rPr>
        <w:t>, inclusiv pentru utilizatorii vulnerabili ai drumurilor;</w:t>
      </w:r>
    </w:p>
    <w:p w14:paraId="3B80C411" w14:textId="11BD1421" w:rsidR="00DF23B5" w:rsidRPr="00A207CB" w:rsidRDefault="00913501" w:rsidP="00DF23B5">
      <w:pPr>
        <w:numPr>
          <w:ilvl w:val="0"/>
          <w:numId w:val="53"/>
        </w:numPr>
        <w:spacing w:after="120" w:line="23" w:lineRule="atLeast"/>
        <w:rPr>
          <w:noProof/>
        </w:rPr>
      </w:pPr>
      <w:r w:rsidRPr="00A207CB">
        <w:rPr>
          <w:noProof/>
        </w:rPr>
        <w:t xml:space="preserve">să sprijine statele membre în punerea în aplicare, în cadrul investițiilor lor rutiere, a viitoarelor orientări din 2026 privind proiectarea </w:t>
      </w:r>
      <w:r w:rsidR="00E52FB4" w:rsidRPr="00A207CB">
        <w:rPr>
          <w:noProof/>
        </w:rPr>
        <w:t xml:space="preserve">marginilor de </w:t>
      </w:r>
      <w:r w:rsidRPr="00A207CB">
        <w:rPr>
          <w:noProof/>
        </w:rPr>
        <w:t xml:space="preserve">drum „indulgente” și a drumurilor și infrastructurii „autoexplicative și </w:t>
      </w:r>
      <w:r w:rsidR="00E7319A" w:rsidRPr="00A207CB">
        <w:rPr>
          <w:noProof/>
        </w:rPr>
        <w:t>autoaplicabil</w:t>
      </w:r>
      <w:r w:rsidRPr="00A207CB">
        <w:rPr>
          <w:noProof/>
        </w:rPr>
        <w:t>e” pentru utilizatorii vulnerabili ai drumurilor;</w:t>
      </w:r>
    </w:p>
    <w:p w14:paraId="55EEA614" w14:textId="59F7A960" w:rsidR="00DF23B5" w:rsidRPr="00A207CB" w:rsidRDefault="00913501" w:rsidP="00DF23B5">
      <w:pPr>
        <w:numPr>
          <w:ilvl w:val="0"/>
          <w:numId w:val="54"/>
        </w:numPr>
        <w:spacing w:after="120" w:line="23" w:lineRule="atLeast"/>
        <w:rPr>
          <w:noProof/>
        </w:rPr>
      </w:pPr>
      <w:r w:rsidRPr="00A207CB">
        <w:rPr>
          <w:noProof/>
        </w:rPr>
        <w:t xml:space="preserve">să sprijine statele membre în integrarea cerințelor de siguranță rutieră, reziliență și operabilitate în proiectele de întreținere și modernizare a drumurilor, întreprinse pentru a facilita mobilitatea militară sau dubla utilizare, în special în cele care abordează blocajele, cum ar fi podurile și tunelurile, inclusiv prin orientări privind proiectarea; în acest scop, procedurile de siguranță rutieră prevăzute în Directiva 2008/96/CE ar trebui luate în considerare pentru secțiunile de drum care nu intră în domeniul său de aplicare, dar care sunt relevante pentru mobilitatea militară; </w:t>
      </w:r>
    </w:p>
    <w:p w14:paraId="4D250669" w14:textId="072DBC3E" w:rsidR="00DF23B5" w:rsidRPr="00A207CB" w:rsidRDefault="2C383905" w:rsidP="00DF23B5">
      <w:pPr>
        <w:numPr>
          <w:ilvl w:val="0"/>
          <w:numId w:val="56"/>
        </w:numPr>
        <w:spacing w:after="120" w:line="23" w:lineRule="atLeast"/>
        <w:rPr>
          <w:noProof/>
        </w:rPr>
      </w:pPr>
      <w:r w:rsidRPr="00A207CB">
        <w:rPr>
          <w:noProof/>
        </w:rPr>
        <w:t>să sprijine furnizarea către utilizatori, în mod gratuit, a unei game mai largi de informații minime universale în materie de trafic referitoare la siguranța rutieră, care ar putea include evenimente precum „sfârșitul cozii” sau „se apropie vehicule de urgență” într-o rețea geografică extinsă; în acest scop, este planificată o revizuire a specificațiilor tehnice actuale</w:t>
      </w:r>
      <w:r w:rsidRPr="00A207CB">
        <w:rPr>
          <w:rStyle w:val="FootnoteReference"/>
          <w:noProof/>
        </w:rPr>
        <w:footnoteReference w:id="64"/>
      </w:r>
      <w:r w:rsidRPr="00A207CB">
        <w:rPr>
          <w:noProof/>
        </w:rPr>
        <w:t xml:space="preserve"> în temeiul Directivei privind sistemele de transport inteligente (STI)</w:t>
      </w:r>
      <w:r w:rsidRPr="00A207CB">
        <w:rPr>
          <w:rStyle w:val="FootnoteReference"/>
          <w:noProof/>
        </w:rPr>
        <w:footnoteReference w:id="65"/>
      </w:r>
      <w:r w:rsidRPr="00A207CB">
        <w:rPr>
          <w:noProof/>
        </w:rPr>
        <w:t xml:space="preserve">; </w:t>
      </w:r>
    </w:p>
    <w:p w14:paraId="7F981395" w14:textId="498E9416" w:rsidR="00DF23B5" w:rsidRPr="00A207CB" w:rsidRDefault="466A7F78" w:rsidP="7B46F355">
      <w:pPr>
        <w:numPr>
          <w:ilvl w:val="0"/>
          <w:numId w:val="57"/>
        </w:numPr>
        <w:spacing w:after="120" w:line="23" w:lineRule="atLeast"/>
        <w:rPr>
          <w:noProof/>
        </w:rPr>
      </w:pPr>
      <w:r w:rsidRPr="00A207CB">
        <w:rPr>
          <w:noProof/>
        </w:rPr>
        <w:t>să sprijine în continuare statele membre în introducerea unor soluții îmbunătățite de management al traficului și de asigurare inteligentă a respectării legii</w:t>
      </w:r>
      <w:r w:rsidRPr="00A207CB">
        <w:rPr>
          <w:rStyle w:val="FootnoteReference"/>
          <w:noProof/>
        </w:rPr>
        <w:footnoteReference w:id="66"/>
      </w:r>
      <w:r w:rsidRPr="00A207CB">
        <w:rPr>
          <w:noProof/>
        </w:rPr>
        <w:t xml:space="preserve">; </w:t>
      </w:r>
    </w:p>
    <w:p w14:paraId="15BF1A60" w14:textId="4DF0AD33" w:rsidR="00DF23B5" w:rsidRPr="00A207CB" w:rsidRDefault="00913501" w:rsidP="00DF23B5">
      <w:pPr>
        <w:numPr>
          <w:ilvl w:val="0"/>
          <w:numId w:val="58"/>
        </w:numPr>
        <w:spacing w:after="120" w:line="23" w:lineRule="atLeast"/>
        <w:rPr>
          <w:noProof/>
        </w:rPr>
      </w:pPr>
      <w:r w:rsidRPr="00A207CB">
        <w:rPr>
          <w:noProof/>
        </w:rPr>
        <w:t>să analizeze cele mai bune modalități de promovare a adoptării în continuare a sistemelor de transport inteligente cooperative (C-ITS), inclusiv prin specificații tehnice;</w:t>
      </w:r>
    </w:p>
    <w:p w14:paraId="0B9881EB" w14:textId="2872D109" w:rsidR="00DF23B5" w:rsidRPr="00A207CB" w:rsidRDefault="00913501" w:rsidP="4E7BDE2D">
      <w:pPr>
        <w:numPr>
          <w:ilvl w:val="0"/>
          <w:numId w:val="59"/>
        </w:numPr>
        <w:spacing w:after="120" w:line="23" w:lineRule="atLeast"/>
        <w:rPr>
          <w:noProof/>
        </w:rPr>
      </w:pPr>
      <w:r w:rsidRPr="00A207CB">
        <w:rPr>
          <w:noProof/>
        </w:rPr>
        <w:t>să emită un document de orientare pentru statele membre cu privire la continuitatea serviciului eCall pentru vehiculele echipate cu eCall 2G/3G, inclusiv cu privire la posibilele instrumente de reglementare la nivel național pentru a menține cel puțin o rețea cu comutare de circuite până în 2030.</w:t>
      </w:r>
    </w:p>
    <w:p w14:paraId="072D9875" w14:textId="77777777" w:rsidR="00047836" w:rsidRPr="00A207CB" w:rsidRDefault="00047836" w:rsidP="00047836">
      <w:pPr>
        <w:spacing w:after="120" w:line="23" w:lineRule="atLeast"/>
        <w:rPr>
          <w:noProof/>
        </w:rPr>
      </w:pPr>
    </w:p>
    <w:p w14:paraId="09642B82" w14:textId="31E692DE" w:rsidR="00DF23B5" w:rsidRPr="00A207CB" w:rsidRDefault="00DF23B5" w:rsidP="009B3984">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Consolidarea aplicării legii și a măsurilor de descurajare </w:t>
      </w:r>
    </w:p>
    <w:p w14:paraId="62E5CC5A" w14:textId="759D2E2E" w:rsidR="00DF23B5" w:rsidRPr="00A207CB" w:rsidRDefault="00DF23B5" w:rsidP="00DF23B5">
      <w:pPr>
        <w:spacing w:after="120" w:line="23" w:lineRule="atLeast"/>
        <w:rPr>
          <w:noProof/>
        </w:rPr>
      </w:pPr>
      <w:r w:rsidRPr="00A207CB">
        <w:rPr>
          <w:noProof/>
        </w:rPr>
        <w:t>Eficacitatea măsurilor de siguranță rutieră depinde în mod esențial de asigurarea consecventă și vizibilă a respectării normelor.</w:t>
      </w:r>
    </w:p>
    <w:p w14:paraId="24DD8664" w14:textId="2A018B41" w:rsidR="00DF23B5" w:rsidRPr="00A207CB" w:rsidRDefault="00DF23B5" w:rsidP="00DF23B5">
      <w:pPr>
        <w:spacing w:after="120" w:line="23" w:lineRule="atLeast"/>
        <w:rPr>
          <w:noProof/>
        </w:rPr>
      </w:pPr>
      <w:r w:rsidRPr="00A207CB">
        <w:rPr>
          <w:noProof/>
        </w:rPr>
        <w:t>Comisia va întreprinde următoarele acțiuni:</w:t>
      </w:r>
    </w:p>
    <w:p w14:paraId="6179812B" w14:textId="05AAC995" w:rsidR="00DF23B5" w:rsidRPr="00A207CB" w:rsidRDefault="008B1DA8" w:rsidP="00DF23B5">
      <w:pPr>
        <w:numPr>
          <w:ilvl w:val="0"/>
          <w:numId w:val="61"/>
        </w:numPr>
        <w:spacing w:after="120" w:line="23" w:lineRule="atLeast"/>
        <w:rPr>
          <w:noProof/>
        </w:rPr>
      </w:pPr>
      <w:r w:rsidRPr="00A207CB">
        <w:rPr>
          <w:noProof/>
        </w:rPr>
        <w:t>va sprijini în continuare statele membre în elaborarea unor strategii solide de asigurare a respectării legislației pentru a aborda provocările persistente legate de viteza excesivă, conducerea sub influența alcoolului și distragerea atenției, prin schimbul de bune practici prin inițiative și grupuri precum Grupul la nivel înalt pentru siguranța rutieră, Programul de schimb privind siguranța rutieră, Carta europeană a siguranței rutiere și grupul de experți CARE. Aceasta include utilizarea tehnologiilor automatizate de asigurare a respectării legii și punerea la dispoziție a rezultatelor unor cercetări bazate pe dovezi cu privire la abordările de succes;</w:t>
      </w:r>
    </w:p>
    <w:p w14:paraId="0D5D3C78" w14:textId="2BB4B8DA" w:rsidR="00DF23B5" w:rsidRPr="00A207CB" w:rsidRDefault="00963B64" w:rsidP="00DF23B5">
      <w:pPr>
        <w:numPr>
          <w:ilvl w:val="0"/>
          <w:numId w:val="62"/>
        </w:numPr>
        <w:spacing w:after="120" w:line="23" w:lineRule="atLeast"/>
        <w:rPr>
          <w:noProof/>
        </w:rPr>
      </w:pPr>
      <w:r w:rsidRPr="00A207CB">
        <w:rPr>
          <w:noProof/>
        </w:rPr>
        <w:t>va permite în continuare cooperarea eficace între autoritățile responsabile cu eliberarea permiselor de conducere și cu înmatricularea vehiculelor, inclusiv prin utilizarea unor instrumente informatice precum MoveHub; </w:t>
      </w:r>
    </w:p>
    <w:p w14:paraId="4CE58602" w14:textId="59553477" w:rsidR="00DF23B5" w:rsidRPr="00A207CB" w:rsidRDefault="00E80EEF" w:rsidP="00DF23B5">
      <w:pPr>
        <w:numPr>
          <w:ilvl w:val="0"/>
          <w:numId w:val="63"/>
        </w:numPr>
        <w:spacing w:after="120" w:line="23" w:lineRule="atLeast"/>
        <w:rPr>
          <w:noProof/>
        </w:rPr>
      </w:pPr>
      <w:r w:rsidRPr="00A207CB">
        <w:rPr>
          <w:noProof/>
        </w:rPr>
        <w:t>va spori eficacitatea asistenței reciproce în ceea ce privește sancționarea încălcărilor normelor de circulație care afectează siguranța rutieră, prin proceduri mai bine definite, și va oferi sprijin financiar în acest scop;</w:t>
      </w:r>
    </w:p>
    <w:p w14:paraId="1C52E055" w14:textId="03BA5BBC" w:rsidR="00DF23B5" w:rsidRPr="00A207CB" w:rsidRDefault="002D58CF" w:rsidP="00DF23B5">
      <w:pPr>
        <w:numPr>
          <w:ilvl w:val="0"/>
          <w:numId w:val="64"/>
        </w:numPr>
        <w:spacing w:after="120" w:line="23" w:lineRule="atLeast"/>
        <w:rPr>
          <w:noProof/>
        </w:rPr>
      </w:pPr>
      <w:r w:rsidRPr="00A207CB">
        <w:rPr>
          <w:noProof/>
        </w:rPr>
        <w:t>va emite orientări pentru statele membre cu privire la gestionarea vitezei. </w:t>
      </w:r>
    </w:p>
    <w:p w14:paraId="3274DC0B" w14:textId="77777777" w:rsidR="00DF23B5" w:rsidRPr="00A207CB" w:rsidRDefault="00DF23B5" w:rsidP="00DF23B5">
      <w:pPr>
        <w:spacing w:after="120" w:line="23" w:lineRule="atLeast"/>
        <w:rPr>
          <w:noProof/>
        </w:rPr>
      </w:pPr>
      <w:r w:rsidRPr="00A207CB">
        <w:rPr>
          <w:noProof/>
        </w:rPr>
        <w:t xml:space="preserve"> </w:t>
      </w:r>
    </w:p>
    <w:p w14:paraId="482A708E" w14:textId="423AF58C" w:rsidR="00DF23B5" w:rsidRPr="00A207CB" w:rsidRDefault="00DF23B5" w:rsidP="002E0ADA">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 xml:space="preserve">Promovarea tehnologiilor de siguranță a vehiculelor </w:t>
      </w:r>
    </w:p>
    <w:p w14:paraId="1F2CDA45" w14:textId="7B425D43" w:rsidR="00DF23B5" w:rsidRPr="00A207CB" w:rsidRDefault="00333EB1" w:rsidP="00DF23B5">
      <w:pPr>
        <w:spacing w:after="120" w:line="23" w:lineRule="atLeast"/>
        <w:rPr>
          <w:noProof/>
        </w:rPr>
      </w:pPr>
      <w:r w:rsidRPr="00A207CB">
        <w:rPr>
          <w:noProof/>
        </w:rPr>
        <w:t>Pornind de la decenii de reglementare a siguranței vehiculelor, cel mai recent fiind Regulamentul privind siguranța generală a vehiculelor</w:t>
      </w:r>
      <w:r w:rsidRPr="00A207CB">
        <w:rPr>
          <w:rStyle w:val="FootnoteReference"/>
          <w:noProof/>
        </w:rPr>
        <w:footnoteReference w:id="67"/>
      </w:r>
      <w:r w:rsidRPr="00A207CB">
        <w:rPr>
          <w:noProof/>
        </w:rPr>
        <w:t>, Comisia va întreprinde următoarele acțiuni:</w:t>
      </w:r>
    </w:p>
    <w:p w14:paraId="1C6A438E" w14:textId="79C0DC1E" w:rsidR="00DF23B5" w:rsidRPr="00A207CB" w:rsidRDefault="00E1269D" w:rsidP="3CB25EAC">
      <w:pPr>
        <w:numPr>
          <w:ilvl w:val="0"/>
          <w:numId w:val="66"/>
        </w:numPr>
        <w:spacing w:after="120" w:line="23" w:lineRule="atLeast"/>
        <w:rPr>
          <w:noProof/>
        </w:rPr>
      </w:pPr>
      <w:r w:rsidRPr="00A207CB">
        <w:rPr>
          <w:noProof/>
        </w:rPr>
        <w:t>va depune eforturi pentru a accelera implementarea sistemelor avansate de siguranță și pentru a sprijini tranziția către vehicule conectate și automatizate;</w:t>
      </w:r>
    </w:p>
    <w:p w14:paraId="33AE72A8" w14:textId="0BADDBC7" w:rsidR="00DF23B5" w:rsidRPr="00A207CB" w:rsidRDefault="00E1269D" w:rsidP="008C0DDD">
      <w:pPr>
        <w:numPr>
          <w:ilvl w:val="0"/>
          <w:numId w:val="68"/>
        </w:numPr>
        <w:spacing w:line="23" w:lineRule="atLeast"/>
        <w:ind w:left="714" w:hanging="357"/>
        <w:rPr>
          <w:noProof/>
        </w:rPr>
      </w:pPr>
      <w:r w:rsidRPr="00A207CB">
        <w:rPr>
          <w:noProof/>
        </w:rPr>
        <w:t>va efectua o evaluare a măsurilor de siguranță din Regulamentul privind siguranța generală a vehiculelor în 2027.</w:t>
      </w:r>
    </w:p>
    <w:p w14:paraId="4671693A" w14:textId="19564670" w:rsidR="00DF23B5" w:rsidRPr="00A207CB" w:rsidRDefault="00DF23B5" w:rsidP="00DF23B5">
      <w:pPr>
        <w:spacing w:after="120" w:line="23" w:lineRule="atLeast"/>
        <w:rPr>
          <w:noProof/>
        </w:rPr>
      </w:pPr>
      <w:r w:rsidRPr="00A207CB">
        <w:rPr>
          <w:noProof/>
        </w:rPr>
        <w:t>În plus, Comisia facilitează în prezent crearea de bancuri de încercare transfrontaliere, permițând desfășurarea prealabilă pe scară largă a vehiculelor autonome atât pentru transportul de călători, cât și pentru transportul de mărfuri în cadrul unui sistem de autorizare transfrontalier unic. Aceste bancuri de încercare ar trebui să contribuie la pregătirea pentru piață și să faciliteze comercializarea vehiculelor autonome, și ar trebui să identifice caracteristicile care ar putea necesita ajustări în scopuri de siguranță. Inițiativa va permite statelor membre să implementeze în continuare infrastructura conectată [inclusiv sistemele de transport inteligente cooperative (C-ITS)] pentru a face schimb de date mai rapid între vehicule și infrastructură, îmbunătățind și mai mult siguranța rutieră.</w:t>
      </w:r>
    </w:p>
    <w:p w14:paraId="274E2B67" w14:textId="77777777" w:rsidR="00A902C3" w:rsidRPr="00A207CB" w:rsidRDefault="00A902C3" w:rsidP="00DF23B5">
      <w:pPr>
        <w:spacing w:after="120" w:line="23" w:lineRule="atLeast"/>
        <w:rPr>
          <w:noProof/>
        </w:rPr>
      </w:pPr>
    </w:p>
    <w:p w14:paraId="07DEB9E1" w14:textId="4274794B" w:rsidR="00DF23B5" w:rsidRPr="00A207CB" w:rsidRDefault="00DF23B5">
      <w:pPr>
        <w:pStyle w:val="Heading1"/>
        <w:keepLines w:val="0"/>
        <w:numPr>
          <w:ilvl w:val="1"/>
          <w:numId w:val="41"/>
        </w:numPr>
        <w:spacing w:before="240" w:after="120" w:line="23" w:lineRule="atLeast"/>
        <w:rPr>
          <w:rFonts w:ascii="Times New Roman" w:eastAsia="Times New Roman" w:hAnsi="Times New Roman" w:cs="Times New Roman"/>
          <w:b/>
          <w:bCs/>
          <w:smallCaps/>
          <w:noProof/>
          <w:color w:val="000000" w:themeColor="text1"/>
          <w:sz w:val="24"/>
          <w:szCs w:val="24"/>
        </w:rPr>
      </w:pPr>
      <w:r w:rsidRPr="00A207CB">
        <w:rPr>
          <w:rFonts w:ascii="Times New Roman" w:hAnsi="Times New Roman"/>
          <w:b/>
          <w:smallCaps/>
          <w:noProof/>
          <w:color w:val="000000" w:themeColor="text1"/>
          <w:sz w:val="24"/>
        </w:rPr>
        <w:t>Noi forme de mobilitate </w:t>
      </w:r>
    </w:p>
    <w:p w14:paraId="068D9E1F" w14:textId="5682EB11" w:rsidR="00DF23B5" w:rsidRPr="00A207CB" w:rsidRDefault="346473D8" w:rsidP="00DF23B5">
      <w:pPr>
        <w:spacing w:after="120" w:line="23" w:lineRule="atLeast"/>
        <w:rPr>
          <w:noProof/>
        </w:rPr>
      </w:pPr>
      <w:r w:rsidRPr="00A207CB">
        <w:rPr>
          <w:noProof/>
        </w:rPr>
        <w:t>Pe baza unui studiu</w:t>
      </w:r>
      <w:r w:rsidRPr="00A207CB">
        <w:rPr>
          <w:rStyle w:val="FootnoteReference"/>
          <w:noProof/>
        </w:rPr>
        <w:footnoteReference w:id="68"/>
      </w:r>
      <w:r w:rsidRPr="00A207CB">
        <w:rPr>
          <w:noProof/>
        </w:rPr>
        <w:t xml:space="preserve"> care examinează provocările și oportunitățile asociate reglementării dispozitivelor de mobilitate personală, Comisia se angajează:</w:t>
      </w:r>
    </w:p>
    <w:p w14:paraId="47648E93" w14:textId="201CDD74" w:rsidR="003F2027" w:rsidRPr="00A207CB" w:rsidRDefault="7A22645C" w:rsidP="00DF23B5">
      <w:pPr>
        <w:numPr>
          <w:ilvl w:val="0"/>
          <w:numId w:val="71"/>
        </w:numPr>
        <w:spacing w:after="120" w:line="23" w:lineRule="atLeast"/>
        <w:rPr>
          <w:noProof/>
        </w:rPr>
      </w:pPr>
      <w:r w:rsidRPr="00A207CB">
        <w:rPr>
          <w:noProof/>
        </w:rPr>
        <w:t>Formularea de concluzii cu privire la beneficiile potențiale ale armonizării specificațiilor tehnice ale dispozitivelor de mobilitate personală</w:t>
      </w:r>
      <w:r w:rsidRPr="00A207CB">
        <w:rPr>
          <w:rStyle w:val="FootnoteReference"/>
          <w:noProof/>
        </w:rPr>
        <w:footnoteReference w:id="69"/>
      </w:r>
      <w:r w:rsidRPr="00A207CB">
        <w:rPr>
          <w:noProof/>
        </w:rPr>
        <w:t>.</w:t>
      </w:r>
    </w:p>
    <w:p w14:paraId="16A55E1F" w14:textId="36B81B1D" w:rsidR="00DF23B5" w:rsidRPr="00A207CB" w:rsidRDefault="00FB7DD8" w:rsidP="00DF23B5">
      <w:pPr>
        <w:numPr>
          <w:ilvl w:val="0"/>
          <w:numId w:val="71"/>
        </w:numPr>
        <w:spacing w:after="120" w:line="23" w:lineRule="atLeast"/>
        <w:rPr>
          <w:noProof/>
        </w:rPr>
      </w:pPr>
      <w:r w:rsidRPr="00A207CB">
        <w:rPr>
          <w:noProof/>
        </w:rPr>
        <w:t>să elaboreze orientări pentru statele membre și administrațiile regionale și locale cu privire la aspectele care ar trebui luate în considerare pentru a asigura siguranța conducătorilor și a altor utilizatori ai drumurilor în timpul utilizării dispozitivelor de mobilitate personală; acestea vor extinde orientările prevăzute în Ghidul tematic PMUD din 2021 privind utilizarea în condiții de siguranță a micromobilității</w:t>
      </w:r>
      <w:r w:rsidRPr="00A207CB">
        <w:rPr>
          <w:rStyle w:val="FootnoteReference"/>
          <w:noProof/>
        </w:rPr>
        <w:footnoteReference w:id="70"/>
      </w:r>
      <w:r w:rsidRPr="00A207CB">
        <w:rPr>
          <w:noProof/>
        </w:rPr>
        <w:t>.</w:t>
      </w:r>
    </w:p>
    <w:p w14:paraId="61188EFF" w14:textId="77777777" w:rsidR="00DF23B5" w:rsidRPr="00A207CB" w:rsidRDefault="00DF23B5" w:rsidP="00DF23B5">
      <w:pPr>
        <w:spacing w:after="120" w:line="23" w:lineRule="atLeast"/>
        <w:rPr>
          <w:noProof/>
        </w:rPr>
      </w:pPr>
      <w:r w:rsidRPr="00A207CB">
        <w:rPr>
          <w:noProof/>
        </w:rPr>
        <w:t xml:space="preserve"> </w:t>
      </w:r>
    </w:p>
    <w:p w14:paraId="0632C546" w14:textId="05651B76" w:rsidR="00DF23B5" w:rsidRPr="00A207CB" w:rsidRDefault="00DF23B5" w:rsidP="00724F11">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Inițiativele de cercetare și inovare  </w:t>
      </w:r>
    </w:p>
    <w:p w14:paraId="64C6D2D6" w14:textId="00D24E2F" w:rsidR="00DF23B5" w:rsidRPr="00A207CB" w:rsidRDefault="00DF23B5" w:rsidP="00DF23B5">
      <w:pPr>
        <w:spacing w:after="120" w:line="23" w:lineRule="atLeast"/>
        <w:rPr>
          <w:noProof/>
        </w:rPr>
      </w:pPr>
      <w:r w:rsidRPr="00A207CB">
        <w:rPr>
          <w:noProof/>
        </w:rPr>
        <w:t>Actualul program Orizont Europa pentru perioada 2021-2027 va acorda în continuare prioritate cercetării și inovării în domeniul siguranței rutiere, cu un accent deosebit pe înțelegerea și abordarea provocărilor emergente. Printre domeniile prioritare de cercetare se numără siguranța rutieră și reziliența rutieră în zonele rurale, siguranța utilizatorilor vulnerabili ai drumurilor, cum ar fi pietonii, bicicliștii și utilizatorii dispozitivelor de micromobilitate, precum și utilizarea inteligenței artificiale și a volumelor mari de date pentru a anticipa și a evita accidentele rutiere.</w:t>
      </w:r>
    </w:p>
    <w:p w14:paraId="3A9355BA" w14:textId="7F2DD804" w:rsidR="00DF23B5" w:rsidRPr="00A207CB" w:rsidRDefault="00DF23B5" w:rsidP="00DF23B5">
      <w:pPr>
        <w:spacing w:after="120" w:line="23" w:lineRule="atLeast"/>
        <w:rPr>
          <w:noProof/>
        </w:rPr>
      </w:pPr>
      <w:r w:rsidRPr="00A207CB">
        <w:rPr>
          <w:noProof/>
        </w:rPr>
        <w:t>Comisia va sprijini, de asemenea, inovarea în domeniul tehnologiilor de siguranță a vehiculelor, inclusiv interfețele om-tehnologie din sistemele vehiculelor. Aceasta va încuraja în continuare colaborarea dintre producătorii de autovehicule, întreprinderile tehnologice și instituțiile de cercetare prin intermediul parteneriatului pentru mobilitate conectată, cooperativă și automatizată (parteneriatul CCAM).</w:t>
      </w:r>
    </w:p>
    <w:p w14:paraId="414C8F52" w14:textId="2A52192D" w:rsidR="00DF23B5" w:rsidRPr="00A207CB" w:rsidRDefault="00DF23B5" w:rsidP="00DF23B5">
      <w:pPr>
        <w:spacing w:after="120" w:line="23" w:lineRule="atLeast"/>
        <w:rPr>
          <w:noProof/>
        </w:rPr>
      </w:pPr>
    </w:p>
    <w:p w14:paraId="312312F5" w14:textId="2A9CAEC3" w:rsidR="00DF23B5" w:rsidRPr="00A207CB" w:rsidRDefault="00DF23B5" w:rsidP="00724F11">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Educație și sensibilizare </w:t>
      </w:r>
    </w:p>
    <w:p w14:paraId="299B1680" w14:textId="747AB52C" w:rsidR="00DF23B5" w:rsidRPr="00A207CB" w:rsidRDefault="00DF23B5" w:rsidP="00DF23B5">
      <w:pPr>
        <w:spacing w:after="120" w:line="23" w:lineRule="atLeast"/>
        <w:rPr>
          <w:noProof/>
        </w:rPr>
      </w:pPr>
      <w:r w:rsidRPr="00A207CB">
        <w:rPr>
          <w:noProof/>
        </w:rPr>
        <w:t>Comisia va continua să sprijine schimburile de bune practici privind educația și sensibilizarea în domeniul siguranței rutiere, în special prin intermediul Cartei UE privind siguranța rutieră</w:t>
      </w:r>
      <w:r w:rsidRPr="00A207CB">
        <w:rPr>
          <w:rStyle w:val="FootnoteReference"/>
          <w:noProof/>
        </w:rPr>
        <w:footnoteReference w:id="71"/>
      </w:r>
      <w:r w:rsidRPr="00A207CB">
        <w:rPr>
          <w:noProof/>
        </w:rPr>
        <w:t>, al Schimbului UE în materie de siguranță rutieră și al conferințelor sale bienale.  </w:t>
      </w:r>
    </w:p>
    <w:p w14:paraId="3DBAE9A4" w14:textId="5796A2FE" w:rsidR="00DF23B5" w:rsidRPr="00A207CB" w:rsidRDefault="00DF23B5" w:rsidP="00DF23B5">
      <w:pPr>
        <w:spacing w:after="120" w:line="23" w:lineRule="atLeast"/>
        <w:rPr>
          <w:noProof/>
        </w:rPr>
      </w:pPr>
      <w:r w:rsidRPr="00A207CB">
        <w:rPr>
          <w:noProof/>
        </w:rPr>
        <w:t>Comisia va depune, de asemenea, eforturi pentru a integra educația și sensibilizarea în domeniul siguranței rutiere în alte instrumente de finanțare și de informare ale UE, inclusiv în Erasmus+ și atunci când sunt identificate de statele membre în planurile lor de parteneriat național și regional pentru perioada de finanțare 2028-2034, în special în ceea ce privește mobilitatea urbană și rurală.</w:t>
      </w:r>
    </w:p>
    <w:p w14:paraId="46A21ACF" w14:textId="6B2E0886" w:rsidR="00DF23B5" w:rsidRPr="00A207CB" w:rsidRDefault="00DF23B5" w:rsidP="00DF23B5">
      <w:pPr>
        <w:spacing w:after="120" w:line="23" w:lineRule="atLeast"/>
        <w:rPr>
          <w:noProof/>
        </w:rPr>
      </w:pPr>
    </w:p>
    <w:p w14:paraId="53EB560F" w14:textId="08C25FF0" w:rsidR="00DF23B5" w:rsidRPr="00A207CB" w:rsidRDefault="002510D1"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Rolul sectorului privat și al angajatorilor în siguranța rutieră </w:t>
      </w:r>
    </w:p>
    <w:p w14:paraId="065155A5" w14:textId="7C398368" w:rsidR="00DF23B5" w:rsidRPr="00A207CB" w:rsidRDefault="466A7F78" w:rsidP="00DF23B5">
      <w:pPr>
        <w:spacing w:after="120" w:line="23" w:lineRule="atLeast"/>
        <w:rPr>
          <w:noProof/>
        </w:rPr>
      </w:pPr>
      <w:r w:rsidRPr="00A207CB">
        <w:rPr>
          <w:noProof/>
        </w:rPr>
        <w:t>Comisia va solicita atât angajatorilor din sectorul privat, cât și celor din sectorul public să adopte politici corporative care să acorde prioritate siguranței în operațiunile comerciale. Acestea ar putea fi elaborate pe baza recomandărilor grupului de experți din mediul academic, formulate pentru cea de a 4-a Conferință ministerială mondială privind siguranța rutieră</w:t>
      </w:r>
      <w:r w:rsidRPr="00A207CB">
        <w:rPr>
          <w:rStyle w:val="FootnoteReference"/>
          <w:noProof/>
        </w:rPr>
        <w:footnoteReference w:id="72"/>
      </w:r>
      <w:r w:rsidRPr="00A207CB">
        <w:rPr>
          <w:noProof/>
        </w:rPr>
        <w:t>, care a avut loc la Marrakech, Maroc, în aprilie 2025.</w:t>
      </w:r>
    </w:p>
    <w:p w14:paraId="794F4666" w14:textId="3D3437B4" w:rsidR="00DF23B5" w:rsidRPr="00A207CB" w:rsidRDefault="00DF23B5" w:rsidP="00DF23B5">
      <w:pPr>
        <w:spacing w:after="120" w:line="23" w:lineRule="atLeast"/>
        <w:rPr>
          <w:noProof/>
        </w:rPr>
      </w:pPr>
      <w:r w:rsidRPr="00A207CB">
        <w:rPr>
          <w:noProof/>
        </w:rPr>
        <w:t xml:space="preserve">Printre aceste recomandări se numără asigurarea faptului că siguranța rutieră este integrată în reglementările și practicile în materie de siguranță la locul de muncă, la autoritățile guvernamentale și la organizațiile deschizătoare de drumuri. Acest lucru ar putea fi realizat prin implementarea unei culturi a siguranței la nivelul mai multor organizații și prin aplicarea unor sisteme de management al siguranței precum ISO 45001 sau ISO 39001. </w:t>
      </w:r>
    </w:p>
    <w:p w14:paraId="714C9E61" w14:textId="41D3E0F1" w:rsidR="00DF23B5" w:rsidRPr="00A207CB" w:rsidRDefault="00DF23B5" w:rsidP="00DF23B5">
      <w:pPr>
        <w:spacing w:after="120" w:line="23" w:lineRule="atLeast"/>
        <w:rPr>
          <w:noProof/>
        </w:rPr>
      </w:pPr>
      <w:r w:rsidRPr="00A207CB">
        <w:rPr>
          <w:noProof/>
        </w:rPr>
        <w:t>Organizațiile societății civile, inclusiv grupurile de promovare a siguranței rutiere, organizațiile de sprijinire a victimelor și asociațiile profesionale, joacă un rol esențial în menținerea sensibilizării publicului, în sprijinirea elaborării de politici și în furnizarea de servicii pentru victimele accidentelor rutiere și familiile acestora.</w:t>
      </w:r>
    </w:p>
    <w:p w14:paraId="0FECE552" w14:textId="67E24E4E" w:rsidR="00DF23B5" w:rsidRPr="00A207CB" w:rsidRDefault="466A7F78" w:rsidP="00537049">
      <w:pPr>
        <w:spacing w:after="120" w:line="23" w:lineRule="atLeast"/>
        <w:rPr>
          <w:noProof/>
        </w:rPr>
      </w:pPr>
      <w:r w:rsidRPr="00A207CB">
        <w:rPr>
          <w:noProof/>
        </w:rPr>
        <w:t>Comisia va insista în continuare pentru o astfel de implicare a sectorului privat și a celui terțiar în siguranța rutieră, inclusiv prin: conferințele sale bienale, Carta UE privind siguranța rutieră și Premiile anuale ale UE pentru excelență în siguranța rutieră</w:t>
      </w:r>
      <w:r w:rsidRPr="00A207CB">
        <w:rPr>
          <w:rStyle w:val="FootnoteReference"/>
          <w:noProof/>
        </w:rPr>
        <w:footnoteReference w:id="73"/>
      </w:r>
      <w:r w:rsidRPr="00A207CB">
        <w:rPr>
          <w:noProof/>
        </w:rPr>
        <w:t>.</w:t>
      </w:r>
    </w:p>
    <w:p w14:paraId="0E26377C" w14:textId="6FE2F946" w:rsidR="00DF23B5" w:rsidRPr="00A207CB" w:rsidRDefault="00DF23B5" w:rsidP="00DF23B5">
      <w:pPr>
        <w:spacing w:after="120" w:line="23" w:lineRule="atLeast"/>
        <w:rPr>
          <w:noProof/>
        </w:rPr>
      </w:pPr>
    </w:p>
    <w:p w14:paraId="6B2B4877" w14:textId="1F2F5AA8" w:rsidR="00DF23B5" w:rsidRPr="00A207CB" w:rsidRDefault="00DF23B5"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Monitorizare și responsabilizare</w:t>
      </w:r>
    </w:p>
    <w:p w14:paraId="7687F4D0" w14:textId="5C9517F4" w:rsidR="00DF23B5" w:rsidRPr="00A207CB" w:rsidRDefault="00DF23B5" w:rsidP="00DF23B5">
      <w:pPr>
        <w:spacing w:after="120" w:line="23" w:lineRule="atLeast"/>
        <w:rPr>
          <w:noProof/>
        </w:rPr>
      </w:pPr>
      <w:r w:rsidRPr="00A207CB">
        <w:rPr>
          <w:noProof/>
        </w:rPr>
        <w:t>Comisia va oferi în continuare practicienilor din domeniul siguranței rutiere mecanisme de monitorizare și de responsabilizare pentru a stimula progresele în direcția atingerii obiectivelor pentru 2030 și, în cele din urmă, pentru a atinge obiectivul „Viziunea zero” până în 2050. Acest lucru se va realiza cu ajutorul:</w:t>
      </w:r>
    </w:p>
    <w:p w14:paraId="58C7CBDE" w14:textId="09CA751B" w:rsidR="00DF23B5" w:rsidRPr="00A207CB" w:rsidRDefault="005C2FC2" w:rsidP="00DF23B5">
      <w:pPr>
        <w:numPr>
          <w:ilvl w:val="0"/>
          <w:numId w:val="79"/>
        </w:numPr>
        <w:spacing w:after="120" w:line="23" w:lineRule="atLeast"/>
        <w:rPr>
          <w:noProof/>
        </w:rPr>
      </w:pPr>
      <w:r w:rsidRPr="00A207CB">
        <w:rPr>
          <w:noProof/>
        </w:rPr>
        <w:t>bazei de date CARE și al grupului de experți pentru colectarea datelor privind decesele și vătămările cauzate de accidentele rutiere, utilizând instrumente standardizate de raportare, precum și prin colaborarea cu statele membre în vederea îmbunătățirii calității datelor colectate referitor la vătămările grave și a defalcării datelor pentru anumite tipuri de vehicule;</w:t>
      </w:r>
    </w:p>
    <w:p w14:paraId="03E4EAAE" w14:textId="5988B7A0" w:rsidR="00DF23B5" w:rsidRPr="00A207CB" w:rsidRDefault="009A05BF" w:rsidP="00DF23B5">
      <w:pPr>
        <w:numPr>
          <w:ilvl w:val="0"/>
          <w:numId w:val="80"/>
        </w:numPr>
        <w:spacing w:after="120" w:line="23" w:lineRule="atLeast"/>
        <w:rPr>
          <w:noProof/>
        </w:rPr>
      </w:pPr>
      <w:r w:rsidRPr="00A207CB">
        <w:rPr>
          <w:noProof/>
        </w:rPr>
        <w:t>Observatorul european pentru siguranță rutieră</w:t>
      </w:r>
      <w:r w:rsidRPr="00A207CB">
        <w:rPr>
          <w:rStyle w:val="FootnoteReference"/>
          <w:noProof/>
        </w:rPr>
        <w:footnoteReference w:id="74"/>
      </w:r>
      <w:r w:rsidRPr="00A207CB">
        <w:rPr>
          <w:rStyle w:val="FootnoteReference"/>
          <w:noProof/>
        </w:rPr>
        <w:t xml:space="preserve"> </w:t>
      </w:r>
      <w:r w:rsidRPr="00A207CB">
        <w:rPr>
          <w:noProof/>
        </w:rPr>
        <w:t xml:space="preserve"> și publicarea unor date fiabile și comparabile privind accidentele rutiere, precum și a unei analize și a unor informații aprofundate privind tendințele, practicile și politicile în materie de siguranță rutieră în UE.</w:t>
      </w:r>
    </w:p>
    <w:p w14:paraId="000BBF53" w14:textId="77777777" w:rsidR="00DF23B5" w:rsidRPr="00A207CB" w:rsidRDefault="00DF23B5" w:rsidP="00DF23B5">
      <w:pPr>
        <w:spacing w:after="120" w:line="23" w:lineRule="atLeast"/>
        <w:rPr>
          <w:noProof/>
        </w:rPr>
      </w:pPr>
      <w:r w:rsidRPr="00A207CB">
        <w:rPr>
          <w:noProof/>
        </w:rPr>
        <w:t xml:space="preserve"> </w:t>
      </w:r>
    </w:p>
    <w:p w14:paraId="5DB789C6" w14:textId="6CF9660A" w:rsidR="00DF23B5" w:rsidRPr="00A207CB" w:rsidRDefault="00DF23B5"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sidRPr="00A207CB">
        <w:rPr>
          <w:rFonts w:ascii="Times New Roman" w:hAnsi="Times New Roman"/>
          <w:b/>
          <w:smallCaps/>
          <w:noProof/>
          <w:color w:val="000000" w:themeColor="text1"/>
          <w:sz w:val="24"/>
        </w:rPr>
        <w:t>Abordarea aspectelor legate de guvernanță </w:t>
      </w:r>
    </w:p>
    <w:p w14:paraId="5FE0966A" w14:textId="5CE04CAD" w:rsidR="00ED33A1" w:rsidRPr="00A207CB" w:rsidRDefault="00071D31" w:rsidP="00537049">
      <w:pPr>
        <w:rPr>
          <w:noProof/>
        </w:rPr>
      </w:pPr>
      <w:r w:rsidRPr="00A207CB">
        <w:rPr>
          <w:noProof/>
        </w:rPr>
        <w:t xml:space="preserve">Se preconizează că schimburile continue de bune practici între statele membre și monitorizarea adecvată a problemelor ridicate prin intermediul Grupului la nivel înalt pentru siguranța rutieră, facilitate de Comisie, vor conduce la îmbunătățiri suplimentare. </w:t>
      </w:r>
    </w:p>
    <w:p w14:paraId="794A967B" w14:textId="70398D72" w:rsidR="0094081D" w:rsidRPr="00A207CB" w:rsidRDefault="00896FDE" w:rsidP="00537049">
      <w:pPr>
        <w:rPr>
          <w:noProof/>
        </w:rPr>
      </w:pPr>
      <w:r w:rsidRPr="00A207CB">
        <w:rPr>
          <w:noProof/>
        </w:rPr>
        <w:t>Abordarea noilor provocări poate fi realizată prin omologarea de tip, măsuri naționale sau legislația UE. Construirea unei infrastructuri mai bune se bazează în principal pe finanțarea națională, iar siguranța rutieră trebuie să concureze cu alte priorități politice naționale. Educația și asigurarea respectării legii vor rămâne o responsabilitate națională, sub rezerva alocării de resurse și a voinței politice. Odată cu intrarea în vigoare a recentului pachet legislativ al UE privind siguranța rutieră</w:t>
      </w:r>
      <w:r w:rsidRPr="00A207CB">
        <w:rPr>
          <w:rStyle w:val="FootnoteReference"/>
          <w:noProof/>
        </w:rPr>
        <w:footnoteReference w:id="75"/>
      </w:r>
      <w:r w:rsidRPr="00A207CB">
        <w:rPr>
          <w:noProof/>
        </w:rPr>
        <w:t xml:space="preserve"> și sub rezerva rezultatului propunerilor privind inspecția tehnică auto, măsurile legate de siguranța rutieră care intră în sfera de competență a UE au fost actualizate. În general, este probabil ca progresele să fie constante, dar incrementale și să depindă în mare măsură de voința politică. </w:t>
      </w:r>
    </w:p>
    <w:p w14:paraId="277898C8" w14:textId="4B47F507" w:rsidR="000C26BE" w:rsidRPr="00A207CB" w:rsidRDefault="54B9FB36" w:rsidP="00F01D3B">
      <w:pPr>
        <w:rPr>
          <w:noProof/>
        </w:rPr>
      </w:pPr>
      <w:r w:rsidRPr="00A207CB">
        <w:rPr>
          <w:noProof/>
        </w:rPr>
        <w:t>În același timp, ecosistemul părților interesate din domeniul siguranței rutiere din UE nu este creat pentru a profita de beneficiile potențial semnificative în materie de siguranță rutieră pe care le promit progresele în domeniul tehnologiilor de automatizare a vehiculelor. Deși planul de acțiune pentru sectorul autovehiculelor</w:t>
      </w:r>
      <w:r w:rsidRPr="00A207CB">
        <w:rPr>
          <w:rStyle w:val="FootnoteReference"/>
          <w:noProof/>
        </w:rPr>
        <w:footnoteReference w:id="76"/>
      </w:r>
      <w:r w:rsidRPr="00A207CB">
        <w:rPr>
          <w:noProof/>
        </w:rPr>
        <w:t xml:space="preserve"> identifică acest domeniu ca fiind o componentă esențială a viitoarei agende a UE privind competitivitatea, nu a fost încă instituit cadrul instituțional dincolo de faza de încercări. Cu toate acestea, există un potențial semnificativ ca astfel de structuri să fie finanțate în mare parte prin taxe de utilizare. </w:t>
      </w:r>
    </w:p>
    <w:p w14:paraId="461DC70B" w14:textId="3796F079" w:rsidR="002227FC" w:rsidRPr="00A207CB" w:rsidRDefault="005427E9" w:rsidP="00F01D3B">
      <w:pPr>
        <w:rPr>
          <w:noProof/>
        </w:rPr>
      </w:pPr>
      <w:r w:rsidRPr="00A207CB">
        <w:rPr>
          <w:noProof/>
        </w:rPr>
        <w:t>Atunci când se analizează aspectele legate de guvernanță, ar trebui luate în considerare nevoile coridoarelor și ale nodurilor transfrontaliere strategice, inclusiv ale celor care deservesc funcții cu dublă utilizare. Aceasta include asigurarea coerenței între aspectele legate de siguranța rutieră, implementarea TEN-T, securitatea cibernetică și reziliență.</w:t>
      </w:r>
    </w:p>
    <w:p w14:paraId="652D5ABA" w14:textId="77777777" w:rsidR="00DF23B5" w:rsidRPr="00A207CB" w:rsidRDefault="00DF23B5" w:rsidP="00DF23B5">
      <w:pPr>
        <w:spacing w:after="120" w:line="23" w:lineRule="atLeast"/>
        <w:rPr>
          <w:noProof/>
        </w:rPr>
      </w:pPr>
      <w:r w:rsidRPr="00A207CB">
        <w:rPr>
          <w:noProof/>
        </w:rPr>
        <w:t>Comisia se angajează: </w:t>
      </w:r>
    </w:p>
    <w:p w14:paraId="17FE8B55" w14:textId="06E89E0D" w:rsidR="00DF23B5" w:rsidRPr="00A207CB" w:rsidRDefault="00DF23B5" w:rsidP="00DF23B5">
      <w:pPr>
        <w:numPr>
          <w:ilvl w:val="0"/>
          <w:numId w:val="82"/>
        </w:numPr>
        <w:spacing w:after="120" w:line="23" w:lineRule="atLeast"/>
        <w:rPr>
          <w:noProof/>
        </w:rPr>
      </w:pPr>
      <w:r w:rsidRPr="00A207CB">
        <w:rPr>
          <w:noProof/>
        </w:rPr>
        <w:t>să extindă proiectele de consolidare a capacităților și schimburile de bune practici privind siguranța rutieră între autoritățile de la toate nivelurile administrației;</w:t>
      </w:r>
    </w:p>
    <w:p w14:paraId="68BD7C6C" w14:textId="64452E4B" w:rsidR="00AC1E3E" w:rsidRPr="00A207CB" w:rsidRDefault="009B1792" w:rsidP="00DF23B5">
      <w:pPr>
        <w:numPr>
          <w:ilvl w:val="0"/>
          <w:numId w:val="82"/>
        </w:numPr>
        <w:spacing w:after="120" w:line="23" w:lineRule="atLeast"/>
        <w:rPr>
          <w:noProof/>
        </w:rPr>
      </w:pPr>
      <w:r w:rsidRPr="00A207CB">
        <w:rPr>
          <w:noProof/>
        </w:rPr>
        <w:t>să furnizeze un feedback mai structurat statelor membre cu privire la preocupările comune exprimate de acestea în cadrul Grupului la nivel înalt pentru siguranța rutieră;</w:t>
      </w:r>
    </w:p>
    <w:p w14:paraId="076D6346" w14:textId="28B4D1CF" w:rsidR="0013585B" w:rsidRPr="00A207CB" w:rsidRDefault="002F515B" w:rsidP="00DF23B5">
      <w:pPr>
        <w:numPr>
          <w:ilvl w:val="0"/>
          <w:numId w:val="82"/>
        </w:numPr>
        <w:spacing w:after="120" w:line="23" w:lineRule="atLeast"/>
        <w:rPr>
          <w:noProof/>
        </w:rPr>
      </w:pPr>
      <w:r w:rsidRPr="00A207CB">
        <w:rPr>
          <w:noProof/>
        </w:rPr>
        <w:t>să reflecteze asupra necesității unor modificări ale structurilor de guvernanță ale UE în ceea ce privește introducerea în condiții de siguranță a vehiculelor conectate și automatizate.</w:t>
      </w:r>
    </w:p>
    <w:p w14:paraId="628F754B" w14:textId="64AF5D62" w:rsidR="00344F92" w:rsidRPr="00A207CB" w:rsidRDefault="00344F92" w:rsidP="00344F92">
      <w:pPr>
        <w:spacing w:after="120" w:line="23" w:lineRule="atLeast"/>
        <w:ind w:left="360"/>
        <w:rPr>
          <w:noProof/>
        </w:rPr>
      </w:pPr>
    </w:p>
    <w:p w14:paraId="1B33F5BA" w14:textId="3BE1B3FD" w:rsidR="00DF23B5" w:rsidRPr="00A207CB" w:rsidRDefault="00DF23B5" w:rsidP="00D32297">
      <w:pPr>
        <w:spacing w:after="120" w:line="23" w:lineRule="atLeast"/>
        <w:rPr>
          <w:noProof/>
        </w:rPr>
      </w:pPr>
      <w:bookmarkStart w:id="312" w:name="_Hlk214562753"/>
      <w:r w:rsidRPr="00A207CB">
        <w:rPr>
          <w:noProof/>
        </w:rPr>
        <w:t>Comisia invită statele membre:</w:t>
      </w:r>
    </w:p>
    <w:p w14:paraId="33669CBD" w14:textId="34EC5BD3" w:rsidR="00DF23B5" w:rsidRPr="00A207CB" w:rsidRDefault="00CD31E5" w:rsidP="00DF23B5">
      <w:pPr>
        <w:numPr>
          <w:ilvl w:val="0"/>
          <w:numId w:val="83"/>
        </w:numPr>
        <w:spacing w:after="120" w:line="23" w:lineRule="atLeast"/>
        <w:rPr>
          <w:noProof/>
        </w:rPr>
      </w:pPr>
      <w:r w:rsidRPr="00A207CB">
        <w:rPr>
          <w:noProof/>
        </w:rPr>
        <w:t>să se asigure că dispun de structuri și entități funcționale de guvernanță și coordonare în materie de siguranță rutieră;</w:t>
      </w:r>
    </w:p>
    <w:p w14:paraId="0297D309" w14:textId="0FCF4D4C" w:rsidR="00DF23B5" w:rsidRPr="00A207CB" w:rsidRDefault="002F3FD5" w:rsidP="00DF23B5">
      <w:pPr>
        <w:numPr>
          <w:ilvl w:val="0"/>
          <w:numId w:val="84"/>
        </w:numPr>
        <w:spacing w:after="120" w:line="23" w:lineRule="atLeast"/>
        <w:rPr>
          <w:noProof/>
        </w:rPr>
      </w:pPr>
      <w:r w:rsidRPr="00A207CB">
        <w:rPr>
          <w:noProof/>
        </w:rPr>
        <w:t xml:space="preserve">să aloce fonduri adecvate pentru programele de siguranță; </w:t>
      </w:r>
    </w:p>
    <w:p w14:paraId="1587A19E" w14:textId="1ED523A5" w:rsidR="00DF23B5" w:rsidRPr="00A207CB" w:rsidRDefault="00B227B1" w:rsidP="00DF23B5">
      <w:pPr>
        <w:numPr>
          <w:ilvl w:val="0"/>
          <w:numId w:val="85"/>
        </w:numPr>
        <w:spacing w:after="120" w:line="23" w:lineRule="atLeast"/>
        <w:rPr>
          <w:noProof/>
        </w:rPr>
      </w:pPr>
      <w:r w:rsidRPr="00A207CB">
        <w:rPr>
          <w:noProof/>
        </w:rPr>
        <w:t>să se angajeze să monitorizeze și să raporteze periodic progresele înregistrate. </w:t>
      </w:r>
    </w:p>
    <w:p w14:paraId="0F4FD75C" w14:textId="71C52BE8" w:rsidR="00DF23B5" w:rsidRPr="00A207CB" w:rsidRDefault="00DF23B5" w:rsidP="00DF23B5">
      <w:pPr>
        <w:spacing w:after="120" w:line="23" w:lineRule="atLeast"/>
        <w:rPr>
          <w:noProof/>
        </w:rPr>
      </w:pPr>
      <w:r w:rsidRPr="00A207CB">
        <w:rPr>
          <w:noProof/>
        </w:rPr>
        <w:t>Comisia invită autoritățile locale și regionale:</w:t>
      </w:r>
    </w:p>
    <w:p w14:paraId="0505AE4E" w14:textId="31E2031D" w:rsidR="00DF23B5" w:rsidRPr="00A207CB" w:rsidRDefault="003A7465" w:rsidP="00DF23B5">
      <w:pPr>
        <w:numPr>
          <w:ilvl w:val="0"/>
          <w:numId w:val="86"/>
        </w:numPr>
        <w:spacing w:after="120" w:line="23" w:lineRule="atLeast"/>
        <w:rPr>
          <w:noProof/>
        </w:rPr>
      </w:pPr>
      <w:r w:rsidRPr="00A207CB">
        <w:rPr>
          <w:noProof/>
        </w:rPr>
        <w:t xml:space="preserve">să adopte abordări cuprinzătoare în materie de siguranță rutieră, care să integreze siguranța în planificarea utilizării terenurilor și a transporturilor; </w:t>
      </w:r>
    </w:p>
    <w:p w14:paraId="45FC9D8F" w14:textId="40C5414F" w:rsidR="00DF23B5" w:rsidRPr="00A207CB" w:rsidRDefault="007D31AA" w:rsidP="00DF23B5">
      <w:pPr>
        <w:numPr>
          <w:ilvl w:val="0"/>
          <w:numId w:val="87"/>
        </w:numPr>
        <w:spacing w:after="120" w:line="23" w:lineRule="atLeast"/>
        <w:rPr>
          <w:noProof/>
        </w:rPr>
      </w:pPr>
      <w:r w:rsidRPr="00A207CB">
        <w:rPr>
          <w:noProof/>
        </w:rPr>
        <w:t>să implementeze strategii de gestionare a vitezei;</w:t>
      </w:r>
    </w:p>
    <w:p w14:paraId="07354BC6" w14:textId="14D4DE50" w:rsidR="00DF23B5" w:rsidRPr="00A207CB" w:rsidRDefault="007D31AA" w:rsidP="00DF23B5">
      <w:pPr>
        <w:numPr>
          <w:ilvl w:val="0"/>
          <w:numId w:val="88"/>
        </w:numPr>
        <w:spacing w:after="120" w:line="23" w:lineRule="atLeast"/>
        <w:rPr>
          <w:noProof/>
        </w:rPr>
      </w:pPr>
      <w:r w:rsidRPr="00A207CB">
        <w:rPr>
          <w:noProof/>
        </w:rPr>
        <w:t>să asigure o infrastructură adecvată pentru utilizatorii vulnerabili ai drumurilor;</w:t>
      </w:r>
    </w:p>
    <w:p w14:paraId="22A88FB9" w14:textId="45615BEF" w:rsidR="00DF23B5" w:rsidRPr="00A207CB" w:rsidRDefault="007D31AA" w:rsidP="00DF23B5">
      <w:pPr>
        <w:numPr>
          <w:ilvl w:val="0"/>
          <w:numId w:val="89"/>
        </w:numPr>
        <w:spacing w:after="120" w:line="23" w:lineRule="atLeast"/>
        <w:rPr>
          <w:noProof/>
        </w:rPr>
      </w:pPr>
      <w:r w:rsidRPr="00A207CB">
        <w:rPr>
          <w:noProof/>
        </w:rPr>
        <w:t>să dezvolte capacități de intervenție în situații de urgență. </w:t>
      </w:r>
    </w:p>
    <w:p w14:paraId="58A0F26F" w14:textId="77777777" w:rsidR="00671023" w:rsidRPr="00A207CB" w:rsidRDefault="00671023" w:rsidP="0013585B">
      <w:pPr>
        <w:spacing w:after="120" w:line="23" w:lineRule="atLeast"/>
        <w:rPr>
          <w:noProof/>
        </w:rPr>
      </w:pPr>
      <w:bookmarkStart w:id="313" w:name="_Toc200986955"/>
      <w:bookmarkStart w:id="314" w:name="_Toc203583267"/>
      <w:bookmarkStart w:id="315" w:name="_Toc203583323"/>
      <w:bookmarkStart w:id="316" w:name="_Toc203583270"/>
      <w:bookmarkStart w:id="317" w:name="_Toc203583326"/>
      <w:bookmarkStart w:id="318" w:name="_Toc200986959"/>
      <w:bookmarkStart w:id="319" w:name="_Toc203583271"/>
      <w:bookmarkStart w:id="320" w:name="_Toc203583327"/>
      <w:bookmarkStart w:id="321" w:name="_Toc204955552"/>
      <w:bookmarkStart w:id="322" w:name="_Toc204955553"/>
      <w:bookmarkStart w:id="323" w:name="_Toc204955554"/>
      <w:bookmarkStart w:id="324" w:name="_Toc204955555"/>
      <w:bookmarkStart w:id="325" w:name="_Toc200986961"/>
      <w:bookmarkStart w:id="326" w:name="_Toc203583274"/>
      <w:bookmarkStart w:id="327" w:name="_Toc203583330"/>
      <w:bookmarkStart w:id="328" w:name="_Toc204955556"/>
      <w:bookmarkStart w:id="329" w:name="_Toc204955557"/>
      <w:bookmarkStart w:id="330" w:name="_Toc204955558"/>
      <w:bookmarkStart w:id="331" w:name="_Toc204955559"/>
      <w:bookmarkStart w:id="332" w:name="_Toc204955560"/>
      <w:bookmarkStart w:id="333" w:name="_Toc204955561"/>
      <w:bookmarkStart w:id="334" w:name="_Toc204955562"/>
      <w:bookmarkStart w:id="335" w:name="_Toc204955563"/>
      <w:bookmarkStart w:id="336" w:name="_Toc204955564"/>
      <w:bookmarkStart w:id="337" w:name="_Toc204955565"/>
      <w:bookmarkStart w:id="338" w:name="_Toc204955566"/>
      <w:bookmarkStart w:id="339" w:name="_Toc204955567"/>
      <w:bookmarkStart w:id="340" w:name="_Toc204955568"/>
      <w:bookmarkStart w:id="341" w:name="_Toc204955569"/>
      <w:bookmarkStart w:id="342" w:name="_Toc204955570"/>
      <w:bookmarkStart w:id="343" w:name="_Toc204955571"/>
      <w:bookmarkStart w:id="344" w:name="_Toc204955572"/>
      <w:bookmarkStart w:id="345" w:name="_Toc200986963"/>
      <w:bookmarkStart w:id="346" w:name="_Toc203583276"/>
      <w:bookmarkStart w:id="347" w:name="_Toc203583332"/>
      <w:bookmarkStart w:id="348" w:name="_Toc200986964"/>
      <w:bookmarkStart w:id="349" w:name="_Toc203583277"/>
      <w:bookmarkStart w:id="350" w:name="_Toc203583333"/>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1817A2C" w14:textId="77777777" w:rsidR="00671023" w:rsidRPr="00A207CB"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51" w:name="_Toc206610447"/>
      <w:r w:rsidRPr="00A207CB">
        <w:rPr>
          <w:rFonts w:ascii="Times New Roman" w:hAnsi="Times New Roman"/>
          <w:b/>
          <w:smallCaps/>
          <w:noProof/>
          <w:color w:val="000000" w:themeColor="text1"/>
          <w:sz w:val="24"/>
        </w:rPr>
        <w:t>Concluzii</w:t>
      </w:r>
      <w:bookmarkEnd w:id="351"/>
    </w:p>
    <w:p w14:paraId="325B948B" w14:textId="36386E8B" w:rsidR="00B652E3" w:rsidRPr="00A207CB" w:rsidRDefault="00671023" w:rsidP="00671023">
      <w:pPr>
        <w:spacing w:after="120" w:line="23" w:lineRule="atLeast"/>
        <w:rPr>
          <w:noProof/>
        </w:rPr>
      </w:pPr>
      <w:r w:rsidRPr="00A207CB">
        <w:rPr>
          <w:noProof/>
        </w:rPr>
        <w:t>Prezenta examinare a punerii în aplicare a Cadrului de politică al UE privind siguranța rutieră 2021-2030 dezvăluie o realitate gravă: deși s-au înregistrat progrese, ritmul îmbunătățirilor din multe state membre este insuficient pentru a atinge obiectivul UE pentru 2030. Examinarea pune însă în lumină și unele aspecte pozitive: ea evidențiază unele măsuri eficace care ar putea fi reproduse sau extinse și relatează cu privire la introducerea promițătoare de noi tehnologii și metode care pot îmbunătăți siguranța rutieră. În plus, unele acțiuni și investiții necesită timp pentru a avea un impact și nu se regăsesc imediat în datele privind siguranța rutieră. Este important ca statele membre și Comisia să continue să ia măsuri pentru a obține efecte pozitive atât pe termen scurt, cât și pe termen lung.</w:t>
      </w:r>
    </w:p>
    <w:p w14:paraId="2A1ABBBC" w14:textId="7AB39DD8" w:rsidR="00537049" w:rsidRPr="00A207CB" w:rsidRDefault="00537049" w:rsidP="00537049">
      <w:pPr>
        <w:rPr>
          <w:noProof/>
        </w:rPr>
      </w:pPr>
      <w:r w:rsidRPr="00A207CB">
        <w:rPr>
          <w:noProof/>
        </w:rPr>
        <w:t xml:space="preserve">Rezultatele sintetizate în prezentul raport ilustrează cât de mult se poate realiza atunci când actorii de la toate nivelurile – începând cu persoanele fizice și mergând până la structurile de conducere de la nivelul UE – contribuie la abordarea „sistemului sigur” în domeniile lor de responsabilitate. Cu toate acestea, încetinirea progreselor către realizarea viziunii zero – în contextul creșterii sporite a traficului și al noilor tendințe societale și tehnologice – pune sub semnul întrebării adecvarea pentru viitor a actualului „set de instrumente” în materie de siguranță rutieră. </w:t>
      </w:r>
    </w:p>
    <w:p w14:paraId="4BA136A8" w14:textId="79FE2122" w:rsidR="00671023" w:rsidRPr="00A207CB" w:rsidRDefault="00671023" w:rsidP="00671023">
      <w:pPr>
        <w:spacing w:after="120" w:line="23" w:lineRule="atLeast"/>
        <w:rPr>
          <w:noProof/>
        </w:rPr>
      </w:pPr>
      <w:r w:rsidRPr="00A207CB">
        <w:rPr>
          <w:noProof/>
        </w:rPr>
        <w:t xml:space="preserve">Analiza arată că provocările în materie de siguranță rutieră devin din ce în ce mai complexe, influențate de schimbările demografice, de transformarea tehnologică, de schimbările climatice și de modele de mobilitate în schimbare care nu au fost anticipate pe deplin la momentul elaborării Cadrului de politică al UE privind siguranța rutieră 2021-2030. </w:t>
      </w:r>
    </w:p>
    <w:p w14:paraId="062CAA6B" w14:textId="27F74B2D" w:rsidR="00351FD5" w:rsidRPr="00A207CB" w:rsidRDefault="00671023" w:rsidP="00671023">
      <w:pPr>
        <w:spacing w:after="120" w:line="23" w:lineRule="atLeast"/>
        <w:rPr>
          <w:noProof/>
        </w:rPr>
      </w:pPr>
      <w:r w:rsidRPr="00A207CB">
        <w:rPr>
          <w:noProof/>
        </w:rPr>
        <w:t xml:space="preserve">Cu toate acestea, raportul evidențiază, de asemenea, oportunități semnificative de a realiza progrese. Progresele tehnologice în domeniul siguranței vehiculelor, conștientizarea din ce în ce mai mare a beneficiilor economice ale investițiilor în siguranță și accentul politic tot mai mare pe mobilitatea durabilă creează condiții favorabile pentru o acțiune accelerată. </w:t>
      </w:r>
    </w:p>
    <w:p w14:paraId="02BAB090" w14:textId="378B32FA" w:rsidR="00671023" w:rsidRPr="00A207CB" w:rsidRDefault="00671023" w:rsidP="00671023">
      <w:pPr>
        <w:spacing w:after="120" w:line="23" w:lineRule="atLeast"/>
        <w:rPr>
          <w:noProof/>
        </w:rPr>
      </w:pPr>
      <w:r w:rsidRPr="00A207CB">
        <w:rPr>
          <w:noProof/>
        </w:rPr>
        <w:t>Cheia este valorificarea acestor oportunități prin eforturi coordonate, susținute, și dotate cu resurse adecvate în întreaga UE și în cadrul statelor membre, la toate nivelurile administrației și în societate. Investițiile în siguranța rutieră generează beneficii substanțiale, nu numai sub forma costurilor evitate, ci și sub forma îmbunătățirii calității vieții și a productivității economice. Argumentul în favoarea acțiunii este convingător atât din punct de vedere social, cât și din punct de vedere economic.</w:t>
      </w:r>
    </w:p>
    <w:p w14:paraId="4F143C82" w14:textId="3A2BF2EC" w:rsidR="00671023" w:rsidRPr="00A207CB" w:rsidRDefault="007C065C" w:rsidP="00671023">
      <w:pPr>
        <w:spacing w:after="120" w:line="23" w:lineRule="atLeast"/>
        <w:rPr>
          <w:noProof/>
        </w:rPr>
      </w:pPr>
      <w:r w:rsidRPr="00A207CB">
        <w:rPr>
          <w:noProof/>
        </w:rPr>
        <w:t>Succesul va depinde de un angajament politic reînnoit, de o finanțare adecvată, de o mai bună cooperare între părțile interesate și de disponibilitatea de a adopta abordări inovatoare la provocările persistente. Comisia este pregătită să sprijine statele membre și părțile interesate în acest efort esențial, ținând seama de faptul că realizarea obiectivului „viziunea zero” va necesita acțiuni colective și responsabilitate comună.</w:t>
      </w:r>
    </w:p>
    <w:p w14:paraId="566229E9" w14:textId="57BB66D9" w:rsidR="00671023" w:rsidRPr="00A207CB" w:rsidRDefault="00671023" w:rsidP="00671023">
      <w:pPr>
        <w:spacing w:after="120" w:line="23" w:lineRule="atLeast"/>
        <w:rPr>
          <w:noProof/>
        </w:rPr>
      </w:pPr>
      <w:r w:rsidRPr="00A207CB">
        <w:rPr>
          <w:noProof/>
        </w:rPr>
        <w:t xml:space="preserve">Viețile care pot fi salvate, vătămările care pot fi prevenite și beneficiile economice care pot fi obținute justifică eforturile susținute care vor fi necesare pentru atingerea obiectivelor UE în materie de siguranță rutieră. </w:t>
      </w:r>
    </w:p>
    <w:p w14:paraId="13F8C6AB" w14:textId="4B656494" w:rsidR="007918E9" w:rsidRPr="00A207CB" w:rsidRDefault="00671023" w:rsidP="007918E9">
      <w:pPr>
        <w:pStyle w:val="Text2"/>
        <w:ind w:left="0"/>
        <w:rPr>
          <w:noProof/>
        </w:rPr>
      </w:pPr>
      <w:r w:rsidRPr="00A207CB">
        <w:rPr>
          <w:noProof/>
        </w:rPr>
        <w:t xml:space="preserve">Comisia invită statele membre și toate părțile interesate să accepte urgent provocarea de a crea un viitor în care UE să se apropie cât mai mult posibil de obiectivul „zero decese” în transportul rutier, iar mobilitatea să fie durabilă și sigură. Fără un angajament, investiții și acțiuni reînnoite în toate statele membre și la nivelul UE, acest efort de a salva vieți pe drumurile noastre va rămâne o simplă aspirație.  </w:t>
      </w:r>
    </w:p>
    <w:p w14:paraId="3746135B" w14:textId="49EA4245" w:rsidR="00507872" w:rsidRPr="00A207CB" w:rsidRDefault="00507872" w:rsidP="001E2B4E">
      <w:pPr>
        <w:spacing w:after="120" w:line="23" w:lineRule="atLeast"/>
        <w:rPr>
          <w:noProof/>
        </w:rPr>
      </w:pPr>
    </w:p>
    <w:sectPr w:rsidR="00507872" w:rsidRPr="00A207CB" w:rsidSect="00671023">
      <w:headerReference w:type="even" r:id="rId28"/>
      <w:headerReference w:type="default" r:id="rId29"/>
      <w:footerReference w:type="even" r:id="rId30"/>
      <w:footerReference w:type="default" r:id="rId31"/>
      <w:headerReference w:type="first" r:id="rId32"/>
      <w:footerReference w:type="first" r:id="rId33"/>
      <w:pgSz w:w="11906" w:h="16838"/>
      <w:pgMar w:top="1020" w:right="1701" w:bottom="1020" w:left="1587" w:header="601" w:footer="1077"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6A79D" w14:textId="77777777" w:rsidR="00F40908" w:rsidRPr="008A49B6" w:rsidRDefault="00F40908" w:rsidP="00671023">
      <w:pPr>
        <w:spacing w:after="0"/>
      </w:pPr>
      <w:r>
        <w:separator/>
      </w:r>
    </w:p>
  </w:endnote>
  <w:endnote w:type="continuationSeparator" w:id="0">
    <w:p w14:paraId="34C174BA" w14:textId="77777777" w:rsidR="00F40908" w:rsidRPr="008A49B6" w:rsidRDefault="00F40908" w:rsidP="00671023">
      <w:pPr>
        <w:spacing w:after="0"/>
      </w:pPr>
      <w:r>
        <w:continuationSeparator/>
      </w:r>
    </w:p>
  </w:endnote>
  <w:endnote w:type="continuationNotice" w:id="1">
    <w:p w14:paraId="4E75BBDC" w14:textId="77777777" w:rsidR="00F40908" w:rsidRPr="008A49B6" w:rsidRDefault="00F4090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4484D" w14:textId="458DD01A" w:rsidR="00A91CD9" w:rsidRPr="00A91CD9" w:rsidRDefault="00A91CD9" w:rsidP="00A91CD9">
    <w:pPr>
      <w:pStyle w:val="FooterCoverPage"/>
      <w:rPr>
        <w:rFonts w:ascii="Arial" w:hAnsi="Arial" w:cs="Arial"/>
        <w:b/>
        <w:sz w:val="48"/>
      </w:rPr>
    </w:pPr>
    <w:r w:rsidRPr="00A91CD9">
      <w:rPr>
        <w:rFonts w:ascii="Arial" w:hAnsi="Arial" w:cs="Arial"/>
        <w:b/>
        <w:sz w:val="48"/>
      </w:rPr>
      <w:t>RO</w:t>
    </w:r>
    <w:r w:rsidRPr="00A91CD9">
      <w:rPr>
        <w:rFonts w:ascii="Arial" w:hAnsi="Arial" w:cs="Arial"/>
        <w:b/>
        <w:sz w:val="48"/>
      </w:rPr>
      <w:tab/>
    </w:r>
    <w:r w:rsidRPr="00A91CD9">
      <w:rPr>
        <w:rFonts w:ascii="Arial" w:hAnsi="Arial" w:cs="Arial"/>
        <w:b/>
        <w:sz w:val="48"/>
      </w:rPr>
      <w:tab/>
    </w:r>
    <w:r w:rsidRPr="00A91CD9">
      <w:tab/>
    </w:r>
    <w:r w:rsidRPr="00A91CD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9BFA7" w14:textId="75115B41" w:rsidR="00A91CD9" w:rsidRPr="00A91CD9" w:rsidRDefault="00A91CD9" w:rsidP="00A91CD9">
    <w:pPr>
      <w:pStyle w:val="FooterCoverPage"/>
      <w:rPr>
        <w:rFonts w:ascii="Arial" w:hAnsi="Arial" w:cs="Arial"/>
        <w:b/>
        <w:sz w:val="48"/>
      </w:rPr>
    </w:pPr>
    <w:r w:rsidRPr="00A91CD9">
      <w:rPr>
        <w:rFonts w:ascii="Arial" w:hAnsi="Arial" w:cs="Arial"/>
        <w:b/>
        <w:sz w:val="48"/>
      </w:rPr>
      <w:t>RO</w:t>
    </w:r>
    <w:r w:rsidRPr="00A91CD9">
      <w:rPr>
        <w:rFonts w:ascii="Arial" w:hAnsi="Arial" w:cs="Arial"/>
        <w:b/>
        <w:sz w:val="48"/>
      </w:rPr>
      <w:tab/>
    </w:r>
    <w:r w:rsidRPr="00A91CD9">
      <w:rPr>
        <w:rFonts w:ascii="Arial" w:hAnsi="Arial" w:cs="Arial"/>
        <w:b/>
        <w:sz w:val="48"/>
      </w:rPr>
      <w:tab/>
    </w:r>
    <w:r w:rsidRPr="00A91CD9">
      <w:tab/>
    </w:r>
    <w:r w:rsidRPr="00A91CD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FE6E5" w14:textId="77777777" w:rsidR="00A91CD9" w:rsidRPr="00A91CD9" w:rsidRDefault="00A91CD9" w:rsidP="00A91C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D3C3F" w14:textId="77777777" w:rsidR="00AD2038" w:rsidRPr="008A49B6" w:rsidRDefault="00AD2038">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24AB8" w14:textId="0BFA7956" w:rsidR="00AD2038" w:rsidRPr="008A49B6" w:rsidRDefault="00AD2038">
    <w:pPr>
      <w:pStyle w:val="FooterLine"/>
      <w:jc w:val="center"/>
      <w:rPr>
        <w:sz w:val="22"/>
        <w:szCs w:val="22"/>
      </w:rPr>
    </w:pPr>
    <w:r>
      <w:rPr>
        <w:sz w:val="22"/>
      </w:rPr>
      <w:fldChar w:fldCharType="begin"/>
    </w:r>
    <w:r>
      <w:rPr>
        <w:sz w:val="22"/>
      </w:rPr>
      <w:instrText>PAGE   \* MERGEFORMAT</w:instrText>
    </w:r>
    <w:r>
      <w:rPr>
        <w:sz w:val="22"/>
      </w:rPr>
      <w:fldChar w:fldCharType="separate"/>
    </w:r>
    <w:r w:rsidR="00A91CD9">
      <w:rPr>
        <w:noProof/>
        <w:sz w:val="22"/>
      </w:rPr>
      <w:t>7</w:t>
    </w:r>
    <w:r>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588531"/>
      <w:docPartObj>
        <w:docPartGallery w:val="Page Numbers (Bottom of Page)"/>
        <w:docPartUnique/>
      </w:docPartObj>
    </w:sdtPr>
    <w:sdtEndPr>
      <w:rPr>
        <w:sz w:val="22"/>
        <w:szCs w:val="22"/>
      </w:rPr>
    </w:sdtEndPr>
    <w:sdtContent>
      <w:p w14:paraId="33D1BCED" w14:textId="03067E2E" w:rsidR="00AD2038" w:rsidRPr="00B72122" w:rsidRDefault="00AD2038">
        <w:pPr>
          <w:pStyle w:val="Footer"/>
          <w:jc w:val="center"/>
          <w:rPr>
            <w:sz w:val="22"/>
            <w:szCs w:val="22"/>
          </w:rPr>
        </w:pPr>
        <w:r>
          <w:rPr>
            <w:sz w:val="22"/>
          </w:rPr>
          <w:fldChar w:fldCharType="begin"/>
        </w:r>
        <w:r>
          <w:rPr>
            <w:sz w:val="22"/>
          </w:rPr>
          <w:instrText xml:space="preserve"> PAGE   \* MERGEFORMAT </w:instrText>
        </w:r>
        <w:r>
          <w:rPr>
            <w:sz w:val="22"/>
          </w:rPr>
          <w:fldChar w:fldCharType="separate"/>
        </w:r>
        <w:r w:rsidR="00A91CD9">
          <w:rPr>
            <w:noProof/>
            <w:sz w:val="22"/>
          </w:rPr>
          <w:t>2</w:t>
        </w:r>
        <w:r>
          <w:rPr>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19BED" w14:textId="77777777" w:rsidR="00F40908" w:rsidRPr="008A49B6" w:rsidRDefault="00F40908" w:rsidP="00671023">
      <w:pPr>
        <w:spacing w:after="0"/>
      </w:pPr>
      <w:r>
        <w:separator/>
      </w:r>
    </w:p>
  </w:footnote>
  <w:footnote w:type="continuationSeparator" w:id="0">
    <w:p w14:paraId="010560CC" w14:textId="77777777" w:rsidR="00F40908" w:rsidRPr="008A49B6" w:rsidRDefault="00F40908" w:rsidP="00671023">
      <w:pPr>
        <w:spacing w:after="0"/>
      </w:pPr>
      <w:r>
        <w:continuationSeparator/>
      </w:r>
    </w:p>
  </w:footnote>
  <w:footnote w:type="continuationNotice" w:id="1">
    <w:p w14:paraId="4C4B707E" w14:textId="77777777" w:rsidR="00F40908" w:rsidRPr="008A49B6" w:rsidRDefault="00F40908">
      <w:pPr>
        <w:spacing w:after="0"/>
      </w:pPr>
    </w:p>
  </w:footnote>
  <w:footnote w:id="2">
    <w:p w14:paraId="107CB2CD" w14:textId="66EC712E" w:rsidR="00F90905" w:rsidRPr="008A49B6" w:rsidRDefault="00F90905">
      <w:pPr>
        <w:pStyle w:val="FootnoteText"/>
      </w:pPr>
      <w:r>
        <w:rPr>
          <w:rStyle w:val="FootnoteReference"/>
        </w:rPr>
        <w:footnoteRef/>
      </w:r>
      <w:r>
        <w:t xml:space="preserve"> </w:t>
      </w:r>
      <w:r>
        <w:tab/>
        <w:t>Manualul CE privind costurile externe ale transportului 2019 (noua versiune este în curs de publicare).</w:t>
      </w:r>
    </w:p>
  </w:footnote>
  <w:footnote w:id="3">
    <w:p w14:paraId="79EC2274" w14:textId="1E420CA9" w:rsidR="006052B7" w:rsidRPr="008A49B6" w:rsidRDefault="006052B7" w:rsidP="006052B7">
      <w:pPr>
        <w:pStyle w:val="FootnoteText"/>
      </w:pPr>
      <w:r>
        <w:rPr>
          <w:rStyle w:val="FootnoteReference"/>
        </w:rPr>
        <w:footnoteRef/>
      </w:r>
      <w:r>
        <w:t xml:space="preserve"> </w:t>
      </w:r>
      <w:r>
        <w:tab/>
        <w:t xml:space="preserve">Comunicare a Comisiei către Parlamentul European, Consiliu, Comitetul Economic și Social European și Comitetul Regiunilor – Plan de acțiune industrială pentru sectorul european al autovehiculelor, COM(2025) 95 final din 5 martie 2025, </w:t>
      </w:r>
      <w:hyperlink r:id="rId1" w:history="1">
        <w:r>
          <w:rPr>
            <w:rStyle w:val="Hyperlink"/>
          </w:rPr>
          <w:t>https://eur-lex.europa.eu/legal-content/RO/TXT/?uri=celex:52025DC0095</w:t>
        </w:r>
      </w:hyperlink>
      <w:r>
        <w:t>.</w:t>
      </w:r>
    </w:p>
  </w:footnote>
  <w:footnote w:id="4">
    <w:p w14:paraId="6E77E966" w14:textId="17BEDDFC" w:rsidR="001E6D4A" w:rsidRPr="008A49B6" w:rsidRDefault="001E6D4A" w:rsidP="0032343E">
      <w:pPr>
        <w:pStyle w:val="FootnoteText"/>
      </w:pPr>
      <w:r>
        <w:rPr>
          <w:rStyle w:val="FootnoteReference"/>
        </w:rPr>
        <w:footnoteRef/>
      </w:r>
      <w:r>
        <w:t xml:space="preserve"> </w:t>
      </w:r>
      <w:r>
        <w:tab/>
        <w:t xml:space="preserve">COM(2018) 293: Comunicare a Comisiei către Parlamentul European, Consiliu, Comitetul Economic și Social European și Comitetul Regiunilor – Europa în mișcare - Mobilitate durabilă pentru Europa: sigură, conectată și curată, anexa I, Comunicare a Comisiei către Parlamentul European, Consiliu, Comitetul Economic și Social European și Comitetul Regiunilor – Europa în mișcare - Mobilitate durabilă pentru Europa: sigură, conectată și curată, anexa I, COM(2018) 293 din 17 mai 2018, </w:t>
      </w:r>
      <w:hyperlink r:id="rId2" w:history="1">
        <w:r>
          <w:rPr>
            <w:rStyle w:val="Hyperlink"/>
          </w:rPr>
          <w:t>https://eur-lex.europa.eu/legal-content/RO/TXT/?uri=celex:52018DC0293</w:t>
        </w:r>
      </w:hyperlink>
      <w:r>
        <w:t>.</w:t>
      </w:r>
    </w:p>
  </w:footnote>
  <w:footnote w:id="5">
    <w:p w14:paraId="62E61961" w14:textId="1056D215" w:rsidR="002F56F5" w:rsidRPr="008A49B6" w:rsidRDefault="002F56F5">
      <w:pPr>
        <w:pStyle w:val="FootnoteText"/>
      </w:pPr>
      <w:r>
        <w:rPr>
          <w:rStyle w:val="FootnoteReference"/>
        </w:rPr>
        <w:footnoteRef/>
      </w:r>
      <w:r>
        <w:t xml:space="preserve"> </w:t>
      </w:r>
      <w:r>
        <w:tab/>
        <w:t>De atunci, s-a decis că anul de referință pe baza căruia se măsoară progresele va fi 2019.</w:t>
      </w:r>
    </w:p>
  </w:footnote>
  <w:footnote w:id="6">
    <w:p w14:paraId="2B47CD31" w14:textId="05EDDDD2" w:rsidR="00713E8C" w:rsidRPr="008A49B6" w:rsidRDefault="00713E8C">
      <w:pPr>
        <w:pStyle w:val="FootnoteText"/>
      </w:pPr>
      <w:r>
        <w:rPr>
          <w:rStyle w:val="FootnoteReference"/>
        </w:rPr>
        <w:footnoteRef/>
      </w:r>
      <w:r>
        <w:t xml:space="preserve"> </w:t>
      </w:r>
      <w:r>
        <w:tab/>
        <w:t>Deși acest lucru reprezintă un progres, traiectoria globală este cu mult sub reducerea anuală de 4,6 % necesară pentru atingerea obiectivului de înjumătățire a deceselor cauzate de accidentele rutiere până în 2030.</w:t>
      </w:r>
    </w:p>
  </w:footnote>
  <w:footnote w:id="7">
    <w:p w14:paraId="03C80ABE" w14:textId="1745FE27" w:rsidR="00483FF5" w:rsidRPr="008A49B6" w:rsidRDefault="00713E8C" w:rsidP="00AE3BC4">
      <w:pPr>
        <w:pStyle w:val="FootnoteText"/>
      </w:pPr>
      <w:r>
        <w:rPr>
          <w:rStyle w:val="FootnoteReference"/>
        </w:rPr>
        <w:footnoteRef/>
      </w:r>
      <w:r>
        <w:t xml:space="preserve"> </w:t>
      </w:r>
      <w:r>
        <w:tab/>
      </w:r>
      <w:hyperlink r:id="rId3" w:history="1">
        <w:r>
          <w:rPr>
            <w:rStyle w:val="Hyperlink"/>
          </w:rPr>
          <w:t>https://baseline.vias.be/en/about-the-project</w:t>
        </w:r>
      </w:hyperlink>
      <w:r>
        <w:t>.</w:t>
      </w:r>
    </w:p>
  </w:footnote>
  <w:footnote w:id="8">
    <w:p w14:paraId="5C2D202A" w14:textId="1CAC6265" w:rsidR="00483FF5" w:rsidRPr="008A49B6" w:rsidRDefault="00713E8C" w:rsidP="00AE3BC4">
      <w:pPr>
        <w:pStyle w:val="FootnoteText"/>
      </w:pPr>
      <w:r>
        <w:rPr>
          <w:rStyle w:val="FootnoteReference"/>
        </w:rPr>
        <w:footnoteRef/>
      </w:r>
      <w:r>
        <w:t xml:space="preserve"> </w:t>
      </w:r>
      <w:r>
        <w:tab/>
      </w:r>
      <w:hyperlink r:id="rId4" w:history="1">
        <w:r>
          <w:rPr>
            <w:rStyle w:val="Hyperlink"/>
          </w:rPr>
          <w:t>https://trendlineproject.eu/</w:t>
        </w:r>
      </w:hyperlink>
      <w:r>
        <w:t>.</w:t>
      </w:r>
    </w:p>
  </w:footnote>
  <w:footnote w:id="9">
    <w:p w14:paraId="0CE0D3A2" w14:textId="54EDBBF8" w:rsidR="00483FF5" w:rsidRPr="008A49B6" w:rsidRDefault="00AF28CF" w:rsidP="00814302">
      <w:pPr>
        <w:pStyle w:val="FootnoteText"/>
      </w:pPr>
      <w:r>
        <w:rPr>
          <w:rStyle w:val="FootnoteReference"/>
        </w:rPr>
        <w:footnoteRef/>
      </w:r>
      <w:r>
        <w:t xml:space="preserve"> </w:t>
      </w:r>
      <w:hyperlink r:id="rId5" w:history="1">
        <w:r>
          <w:rPr>
            <w:rStyle w:val="Hyperlink"/>
          </w:rPr>
          <w:t>https://road-safety.transport.ec.europa.eu/european-road-safety-observatory/data-and-analysis/thematic-reports_en</w:t>
        </w:r>
      </w:hyperlink>
      <w:r>
        <w:t>.</w:t>
      </w:r>
    </w:p>
  </w:footnote>
  <w:footnote w:id="10">
    <w:p w14:paraId="6F75C655" w14:textId="209F6713" w:rsidR="00483FF5" w:rsidRPr="008A49B6" w:rsidRDefault="00AB732B" w:rsidP="00483FF5">
      <w:pPr>
        <w:pStyle w:val="FootnoteText"/>
      </w:pPr>
      <w:r>
        <w:rPr>
          <w:rStyle w:val="FootnoteReference"/>
        </w:rPr>
        <w:footnoteRef/>
      </w:r>
      <w:r>
        <w:t xml:space="preserve"> </w:t>
      </w:r>
      <w:r>
        <w:tab/>
        <w:t xml:space="preserve">Baza de date a UE, cu date defalcate privind accidentele rutiere care conduc la deces sau vătămare corporală: </w:t>
      </w:r>
      <w:hyperlink r:id="rId6" w:history="1">
        <w:r>
          <w:rPr>
            <w:rStyle w:val="Hyperlink"/>
          </w:rPr>
          <w:t>https://road-safety.transport.ec.europa.eu/european-road-safety-observatory/methodology-and-research/care-database_en</w:t>
        </w:r>
      </w:hyperlink>
      <w:r>
        <w:t>.</w:t>
      </w:r>
    </w:p>
  </w:footnote>
  <w:footnote w:id="11">
    <w:p w14:paraId="6AF1E46B" w14:textId="75D6658D" w:rsidR="00483FF5" w:rsidRPr="008A49B6" w:rsidRDefault="004E39E0">
      <w:pPr>
        <w:pStyle w:val="FootnoteText"/>
        <w:rPr>
          <w:sz w:val="18"/>
          <w:szCs w:val="18"/>
        </w:rPr>
      </w:pPr>
      <w:r>
        <w:rPr>
          <w:rStyle w:val="FootnoteReference"/>
        </w:rPr>
        <w:footnoteRef/>
      </w:r>
      <w:r>
        <w:t xml:space="preserve"> </w:t>
      </w:r>
      <w:bookmarkStart w:id="74" w:name="_Hlk214023519"/>
      <w:r>
        <w:tab/>
        <w:t>„Study on the need for harmonised rules to support the rise of micro mobility and enhanced road safety for personal mobility devices – Final report” (Studiu privind necesitatea unor norme armonizate pentru a sprijini creșterea micromobilității și a siguranței rutiere pentru dispozitivele de mobilitate personală – Raport final), (1.0), Oficiul pentru Publicații al Uniunii Europene, 2024</w:t>
      </w:r>
      <w:bookmarkEnd w:id="74"/>
      <w:r>
        <w:fldChar w:fldCharType="begin"/>
      </w:r>
      <w:r>
        <w:instrText>HYPERLINK "https://data.europa.eu/doi/10.2873/8572224"</w:instrText>
      </w:r>
      <w:r>
        <w:fldChar w:fldCharType="separate"/>
      </w:r>
      <w:r>
        <w:rPr>
          <w:rStyle w:val="Hyperlink"/>
        </w:rPr>
        <w:t>https://data.europa.eu/doi/10.2873/8572224</w:t>
      </w:r>
      <w:r>
        <w:fldChar w:fldCharType="end"/>
      </w:r>
      <w:r>
        <w:t>.</w:t>
      </w:r>
    </w:p>
  </w:footnote>
  <w:footnote w:id="12">
    <w:p w14:paraId="64123698" w14:textId="7E07F005" w:rsidR="00B23E2C" w:rsidRPr="008A49B6" w:rsidRDefault="00B23E2C">
      <w:pPr>
        <w:pStyle w:val="FootnoteText"/>
      </w:pPr>
      <w:r>
        <w:rPr>
          <w:rStyle w:val="FootnoteReference"/>
        </w:rPr>
        <w:footnoteRef/>
      </w:r>
      <w:r>
        <w:t xml:space="preserve"> </w:t>
      </w:r>
      <w:r>
        <w:tab/>
        <w:t>Grupul de experți privind mobilitatea urbană (E03863) instituit prin Decizia C(2022) 5320 final a Comisiei.</w:t>
      </w:r>
    </w:p>
  </w:footnote>
  <w:footnote w:id="13">
    <w:p w14:paraId="51CC0DBF" w14:textId="13A70560" w:rsidR="00826A20" w:rsidRPr="008A49B6" w:rsidRDefault="0082678E">
      <w:pPr>
        <w:pStyle w:val="FootnoteText"/>
      </w:pPr>
      <w:r>
        <w:rPr>
          <w:rStyle w:val="FootnoteReference"/>
        </w:rPr>
        <w:footnoteRef/>
      </w:r>
      <w:r>
        <w:t xml:space="preserve"> </w:t>
      </w:r>
      <w:r>
        <w:tab/>
      </w:r>
      <w:hyperlink r:id="rId7" w:history="1">
        <w:r>
          <w:rPr>
            <w:rStyle w:val="Hyperlink"/>
          </w:rPr>
          <w:t>https://transport.ec.europa.eu/transport-themes/urban-transport/expert-group-urban-mobility_en</w:t>
        </w:r>
      </w:hyperlink>
      <w:r>
        <w:t>.</w:t>
      </w:r>
    </w:p>
  </w:footnote>
  <w:footnote w:id="14">
    <w:p w14:paraId="51E17BEE" w14:textId="166AF756" w:rsidR="001C486D" w:rsidRPr="008A49B6" w:rsidRDefault="001C486D" w:rsidP="001C486D">
      <w:pPr>
        <w:pStyle w:val="FootnoteText"/>
      </w:pPr>
      <w:r>
        <w:rPr>
          <w:rStyle w:val="FootnoteReference"/>
        </w:rPr>
        <w:footnoteRef/>
      </w:r>
      <w:r>
        <w:t xml:space="preserve"> </w:t>
      </w:r>
      <w:r>
        <w:tab/>
        <w:t xml:space="preserve">A se vedea </w:t>
      </w:r>
      <w:hyperlink r:id="rId8" w:history="1">
        <w:r>
          <w:rPr>
            <w:rStyle w:val="Hyperlink"/>
          </w:rPr>
          <w:t>https://road-safety.transport.ec.europa.eu/european-road-safety-observatory/data-and-analysis/thematic-reports_en</w:t>
        </w:r>
      </w:hyperlink>
      <w:r>
        <w:t xml:space="preserve"> pentru rapoarte detaliate privind conducerea sub influența alcoolului și a drogurilor, echipamentele de protecție, cum ar fi centurile de siguranță, distragerea atenției și viteza. A se vedea și </w:t>
      </w:r>
      <w:hyperlink r:id="rId9" w:history="1">
        <w:r>
          <w:rPr>
            <w:rStyle w:val="Hyperlink"/>
          </w:rPr>
          <w:t>https://road-safety.transport.ec.europa.eu/eu-road-safety-policy/priorities/safe-road-use/alcohol_en</w:t>
        </w:r>
      </w:hyperlink>
      <w:r>
        <w:t xml:space="preserve"> pentru un studiu din 2022 privind </w:t>
      </w:r>
      <w:r>
        <w:rPr>
          <w:rStyle w:val="Hyperlink"/>
        </w:rPr>
        <w:t>prevenirea conducerii sub influența alcoolului și a drogurilor.</w:t>
      </w:r>
    </w:p>
  </w:footnote>
  <w:footnote w:id="15">
    <w:p w14:paraId="33AFAA76" w14:textId="3C94F145" w:rsidR="00826A20" w:rsidRPr="008A49B6" w:rsidRDefault="00C647C0" w:rsidP="00C647C0">
      <w:pPr>
        <w:pStyle w:val="FootnoteText"/>
      </w:pPr>
      <w:r>
        <w:rPr>
          <w:rStyle w:val="FootnoteReference"/>
        </w:rPr>
        <w:footnoteRef/>
      </w:r>
      <w:r>
        <w:t xml:space="preserve"> </w:t>
      </w:r>
      <w:r>
        <w:tab/>
      </w:r>
      <w:hyperlink r:id="rId10" w:history="1">
        <w:r>
          <w:rPr>
            <w:rStyle w:val="Hyperlink"/>
          </w:rPr>
          <w:t>https://road-safety.transport.ec.europa.eu/what-we-do/high-level-group-road-safety_en</w:t>
        </w:r>
      </w:hyperlink>
      <w:r>
        <w:t>.</w:t>
      </w:r>
    </w:p>
  </w:footnote>
  <w:footnote w:id="16">
    <w:p w14:paraId="4BD74D7D" w14:textId="541CBC69" w:rsidR="00C647C0" w:rsidRPr="008A49B6" w:rsidRDefault="00C647C0" w:rsidP="00C647C0">
      <w:pPr>
        <w:pStyle w:val="FootnoteText"/>
      </w:pPr>
      <w:r>
        <w:rPr>
          <w:rStyle w:val="FootnoteReference"/>
        </w:rPr>
        <w:footnoteRef/>
      </w:r>
      <w:r>
        <w:t xml:space="preserve"> </w:t>
      </w:r>
      <w:r>
        <w:tab/>
        <w:t xml:space="preserve">OMS recomandă desemnarea unei „agenții principale”, elaborarea de strategii naționale și stabilirea de obiective naționale cuantificate. A se vedea Belin M-Å, Khayesi M, Tran N., «„Road safety is no accident”: building efficient road safety lead agencies, strategies and targets in the world, 2009–2023» („Siguranța rutieră nu este un accident”: construirea unor agenții, strategii și obiective principale eficiente în materie de siguranță rutieră în lume, 2009-2023), </w:t>
      </w:r>
      <w:r>
        <w:rPr>
          <w:i/>
        </w:rPr>
        <w:t>Injury Prevention</w:t>
      </w:r>
      <w:r>
        <w:t xml:space="preserve">, 15 iulie 2025, </w:t>
      </w:r>
      <w:r>
        <w:rPr>
          <w:rStyle w:val="Hyperlink"/>
        </w:rPr>
        <w:t>http://doi:10.1136/ip-2024-045601</w:t>
      </w:r>
      <w:r>
        <w:t>.</w:t>
      </w:r>
    </w:p>
    <w:p w14:paraId="6B5C7856" w14:textId="77777777" w:rsidR="00826A20" w:rsidRPr="008A49B6" w:rsidRDefault="00826A20" w:rsidP="00E91CEC">
      <w:pPr>
        <w:pStyle w:val="FootnoteText"/>
        <w:ind w:left="0" w:firstLine="0"/>
      </w:pPr>
    </w:p>
  </w:footnote>
  <w:footnote w:id="17">
    <w:p w14:paraId="61BB4991" w14:textId="3652C70E" w:rsidR="00713E8C" w:rsidRPr="008A49B6" w:rsidRDefault="00713E8C">
      <w:pPr>
        <w:pStyle w:val="FootnoteText"/>
      </w:pPr>
      <w:r>
        <w:rPr>
          <w:rStyle w:val="FootnoteReference"/>
        </w:rPr>
        <w:footnoteRef/>
      </w:r>
      <w:r>
        <w:t xml:space="preserve"> </w:t>
      </w:r>
      <w:r>
        <w:tab/>
        <w:t>COM(2018) 293, anexa I.</w:t>
      </w:r>
    </w:p>
  </w:footnote>
  <w:footnote w:id="18">
    <w:p w14:paraId="012921BD" w14:textId="60BCED34" w:rsidR="00713E8C" w:rsidRPr="008A49B6" w:rsidRDefault="00713E8C">
      <w:pPr>
        <w:pStyle w:val="FootnoteText"/>
      </w:pPr>
      <w:r>
        <w:rPr>
          <w:rStyle w:val="FootnoteReference"/>
        </w:rPr>
        <w:footnoteRef/>
      </w:r>
      <w:r>
        <w:t xml:space="preserve"> </w:t>
      </w:r>
      <w:r>
        <w:tab/>
        <w:t xml:space="preserve">Directiva (UE) 2019/1936 a Parlamentului European și a Consiliului din 23 octombrie 2019 de modificare a Directivei 2008/96/CE privind gestionarea siguranței infrastructurii rutiere </w:t>
      </w:r>
      <w:hyperlink r:id="rId11" w:history="1">
        <w:r>
          <w:t xml:space="preserve"> (JO L 305/1, 26.11.2019,</w:t>
        </w:r>
      </w:hyperlink>
      <w:r>
        <w:t xml:space="preserve"> ELI: </w:t>
      </w:r>
      <w:hyperlink r:id="rId12" w:tooltip="Oferă acces la acest document prin identificatorul său uniform de resurse ELI." w:history="1">
        <w:r>
          <w:rPr>
            <w:rStyle w:val="Hyperlink"/>
          </w:rPr>
          <w:t>http://data.europa.eu/eli/dir/2019/1936/oj</w:t>
        </w:r>
      </w:hyperlink>
      <w:r>
        <w:t>.</w:t>
      </w:r>
    </w:p>
  </w:footnote>
  <w:footnote w:id="19">
    <w:p w14:paraId="20397447" w14:textId="481554A0" w:rsidR="00713E8C" w:rsidRPr="008A49B6" w:rsidRDefault="00713E8C">
      <w:pPr>
        <w:pStyle w:val="FootnoteText"/>
      </w:pPr>
      <w:r>
        <w:rPr>
          <w:rStyle w:val="FootnoteReference"/>
        </w:rPr>
        <w:footnoteRef/>
      </w:r>
      <w:r>
        <w:t xml:space="preserve"> </w:t>
      </w:r>
      <w:r>
        <w:tab/>
        <w:t xml:space="preserve">„Network Wide Road Safety Assessment Methodology and Implementation Handbook” (Metodologia și manualul de implementare a evaluării siguranței rutiere la nivelul întregii rețele), </w:t>
      </w:r>
      <w:hyperlink r:id="rId13">
        <w:r>
          <w:t>93e39cd2-9e71-4ee0-8a8e-4de4fddaf068_en</w:t>
        </w:r>
      </w:hyperlink>
      <w:r>
        <w:t>.</w:t>
      </w:r>
    </w:p>
  </w:footnote>
  <w:footnote w:id="20">
    <w:p w14:paraId="74FB7B03" w14:textId="5E8AB17F" w:rsidR="008A49B6" w:rsidRPr="008A49B6" w:rsidRDefault="008538CF" w:rsidP="008A49B6">
      <w:pPr>
        <w:pStyle w:val="FootnoteText"/>
      </w:pPr>
      <w:r>
        <w:rPr>
          <w:rStyle w:val="FootnoteReference"/>
        </w:rPr>
        <w:footnoteRef/>
      </w:r>
      <w:r>
        <w:t xml:space="preserve"> </w:t>
      </w:r>
      <w:r>
        <w:tab/>
        <w:t xml:space="preserve"> </w:t>
      </w:r>
      <w:hyperlink r:id="rId14" w:history="1">
        <w:r>
          <w:rPr>
            <w:rStyle w:val="Hyperlink"/>
          </w:rPr>
          <w:t>TENtec Map Viewers - Explore the TEN-T Network |</w:t>
        </w:r>
      </w:hyperlink>
      <w:hyperlink r:id="rId15" w:history="1">
        <w:r>
          <w:rPr>
            <w:rStyle w:val="Hyperlink"/>
          </w:rPr>
          <w:t xml:space="preserve"> European Transport Infrastructure</w:t>
        </w:r>
      </w:hyperlink>
    </w:p>
    <w:p w14:paraId="781E9D9C" w14:textId="6EAB1EFE" w:rsidR="008538CF" w:rsidRPr="008A49B6" w:rsidRDefault="008538CF">
      <w:pPr>
        <w:pStyle w:val="FootnoteText"/>
      </w:pPr>
    </w:p>
  </w:footnote>
  <w:footnote w:id="21">
    <w:p w14:paraId="20936CD1" w14:textId="53F01424" w:rsidR="68834290" w:rsidRPr="008A49B6" w:rsidRDefault="68834290">
      <w:pPr>
        <w:pStyle w:val="FootnoteText"/>
      </w:pPr>
      <w:r>
        <w:rPr>
          <w:rStyle w:val="FootnoteReference"/>
        </w:rPr>
        <w:footnoteRef/>
      </w:r>
      <w:r>
        <w:t xml:space="preserve"> </w:t>
      </w:r>
      <w:r>
        <w:tab/>
      </w:r>
      <w:hyperlink r:id="rId16" w:history="1">
        <w:r>
          <w:rPr>
            <w:rStyle w:val="Hyperlink"/>
          </w:rPr>
          <w:t>Declarația europeană privind deplasarea cu bicicleta, JO C/2024/2377, 3.4.2024</w:t>
        </w:r>
      </w:hyperlink>
      <w:r>
        <w:t>.</w:t>
      </w:r>
    </w:p>
  </w:footnote>
  <w:footnote w:id="22">
    <w:p w14:paraId="5795E53B" w14:textId="08EB780B" w:rsidR="00104898" w:rsidRPr="008A49B6" w:rsidRDefault="00104898">
      <w:pPr>
        <w:pStyle w:val="FootnoteText"/>
      </w:pPr>
      <w:r>
        <w:rPr>
          <w:rStyle w:val="FootnoteReference"/>
        </w:rPr>
        <w:footnoteRef/>
      </w:r>
      <w:r>
        <w:t xml:space="preserve"> </w:t>
      </w:r>
      <w:r>
        <w:tab/>
        <w:t xml:space="preserve">Directiva (UE) 2023/2661 a Parlamentului European și a Consiliului din 22 noiembrie 2023 de modificare a Directivei 2010/40/UE privind cadrul pentru implementarea sistemelor de transport inteligente în domeniul transportului rutier și pentru interfețele cu alte moduri de transport </w:t>
      </w:r>
      <w:r>
        <w:rPr>
          <w:rFonts w:ascii="Roboto" w:hAnsi="Roboto"/>
          <w:i/>
          <w:color w:val="333333"/>
          <w:sz w:val="21"/>
          <w:shd w:val="clear" w:color="auto" w:fill="FFFFFF"/>
        </w:rPr>
        <w:t xml:space="preserve"> </w:t>
      </w:r>
      <w:r>
        <w:t xml:space="preserve">(JO L, 2023/2661, 30.11.2023, ELI: </w:t>
      </w:r>
      <w:hyperlink r:id="rId17" w:tgtFrame="_blank" w:tooltip="Oferă acces la acest document prin identificatorul său uniform de resurse ELI." w:history="1">
        <w:r>
          <w:t>http://data.europa.eu/eli/dir/2023/2661/oj</w:t>
        </w:r>
      </w:hyperlink>
      <w:r>
        <w:t>).</w:t>
      </w:r>
    </w:p>
  </w:footnote>
  <w:footnote w:id="23">
    <w:p w14:paraId="1149DF2D" w14:textId="09EF6C1E" w:rsidR="00890EFC" w:rsidRPr="008A49B6" w:rsidRDefault="00890EFC">
      <w:pPr>
        <w:pStyle w:val="FootnoteText"/>
      </w:pPr>
      <w:r>
        <w:rPr>
          <w:rStyle w:val="FootnoteReference"/>
        </w:rPr>
        <w:footnoteRef/>
      </w:r>
      <w:r>
        <w:t xml:space="preserve"> </w:t>
      </w:r>
      <w:r>
        <w:tab/>
      </w:r>
      <w:hyperlink r:id="rId18" w:history="1">
        <w:r>
          <w:rPr>
            <w:rStyle w:val="Hyperlink"/>
          </w:rPr>
          <w:t xml:space="preserve">Regulamentul (UE) 2019/2144 al Parlamentului European și al Consiliului din 27 noiembrie 2019 </w:t>
        </w:r>
      </w:hyperlink>
      <w:r>
        <w:t>privind cerințele pentru omologarea de tip a autovehiculelor și remorcilor acestora, precum și a sistemelor, componentelor și unităților tehnice separate destinate unor astfel de vehicule, în ceea ce privește siguranța generală a acestora și protecția ocupanților vehiculului și a utilizatorilor vulnerabili ai drumurilor.</w:t>
      </w:r>
    </w:p>
  </w:footnote>
  <w:footnote w:id="24">
    <w:p w14:paraId="1BE38A79" w14:textId="1EBC2620" w:rsidR="007F484A" w:rsidRPr="008A49B6" w:rsidRDefault="00104898">
      <w:pPr>
        <w:pStyle w:val="FootnoteText"/>
      </w:pPr>
      <w:r>
        <w:rPr>
          <w:rStyle w:val="FootnoteReference"/>
        </w:rPr>
        <w:footnoteRef/>
      </w:r>
      <w:r>
        <w:t xml:space="preserve"> </w:t>
      </w:r>
      <w:r>
        <w:tab/>
        <w:t>Propunere de directivă a Parlamentului European și a Consiliului de modificare a Directivei 2014/45/UE privind inspecția tehnică periodică a autovehiculelor și a remorcilor acestora și a Directivei 2014/47/UE privind controlul tehnic în trafic al vehiculelor comerciale care circulă în Uniune, COM(2025) 180 și Propunere de directivă a Parlamentului European și a Consiliului privind documentele de înmatriculare a vehiculelor și datele privind înmatricularea vehiculelor înregistrate în registrele naționale ale vehiculelor și de abrogare a Directivei 1999/37/CE a Consiliului, COM(2025)179.</w:t>
      </w:r>
    </w:p>
  </w:footnote>
  <w:footnote w:id="25">
    <w:p w14:paraId="4439B72F" w14:textId="1CE6920B" w:rsidR="00890EFC" w:rsidRPr="008A49B6" w:rsidRDefault="00890EFC">
      <w:pPr>
        <w:pStyle w:val="FootnoteText"/>
      </w:pPr>
      <w:r>
        <w:rPr>
          <w:rStyle w:val="FootnoteReference"/>
        </w:rPr>
        <w:footnoteRef/>
      </w:r>
      <w:r>
        <w:t xml:space="preserve"> </w:t>
      </w:r>
      <w:r>
        <w:tab/>
      </w:r>
      <w:hyperlink r:id="rId19" w:history="1">
        <w:r>
          <w:rPr>
            <w:rStyle w:val="Hyperlink"/>
          </w:rPr>
          <w:t>Directiva (UE) 2025/2205 a Parlamentului European și a Consiliului din 22 octombrie 2025 privind permisele de conducere</w:t>
        </w:r>
      </w:hyperlink>
      <w:r>
        <w:t>, de modificare a Regulamentului (UE) 2018/1724 al Parlamentului European și al Consiliului și a Directivei (UE) 2022/2561 a Parlamentului European și a Consiliului și de abrogare a Directivei 2006/126/CE a Parlamentului European și a Consiliului și a Regulamentului (UE) nr. 383/2012 al Comisiei.</w:t>
      </w:r>
    </w:p>
  </w:footnote>
  <w:footnote w:id="26">
    <w:p w14:paraId="6D3B1752" w14:textId="77777777" w:rsidR="005E78D5" w:rsidRPr="008A49B6" w:rsidRDefault="005E78D5" w:rsidP="005E78D5">
      <w:pPr>
        <w:pStyle w:val="FootnoteText"/>
      </w:pPr>
      <w:r>
        <w:rPr>
          <w:vertAlign w:val="superscript"/>
        </w:rPr>
        <w:footnoteRef/>
      </w:r>
      <w:r>
        <w:t xml:space="preserve"> </w:t>
      </w:r>
      <w:r>
        <w:tab/>
        <w:t>Directiva (UE) 2024/3237 a Parlamentului European și a Consiliului din 19 decembrie 2024 de modificare a Directivei (UE) 2015/413 de facilitare a schimbului transfrontalier de informații privind încălcările normelor de circulație care afectează siguranța rutieră.</w:t>
      </w:r>
    </w:p>
  </w:footnote>
  <w:footnote w:id="27">
    <w:p w14:paraId="4F7596A8" w14:textId="38C7B9BA" w:rsidR="00D070D1" w:rsidRPr="008A49B6" w:rsidRDefault="00453E8C" w:rsidP="000D459D">
      <w:pPr>
        <w:pStyle w:val="FootnoteText"/>
      </w:pPr>
      <w:r>
        <w:rPr>
          <w:rStyle w:val="FootnoteReference"/>
        </w:rPr>
        <w:footnoteRef/>
      </w:r>
      <w:r>
        <w:t xml:space="preserve"> </w:t>
      </w:r>
      <w:r>
        <w:tab/>
      </w:r>
      <w:hyperlink r:id="rId20" w:history="1">
        <w:r>
          <w:rPr>
            <w:rStyle w:val="Hyperlink"/>
          </w:rPr>
          <w:t>https://www.who.int/publications/m/item/speed-management--a-road-safety-manual-for-decision-makers-and-practitioners.-2nd-edition</w:t>
        </w:r>
      </w:hyperlink>
      <w:r>
        <w:t>.</w:t>
      </w:r>
    </w:p>
  </w:footnote>
  <w:footnote w:id="28">
    <w:p w14:paraId="1576590E" w14:textId="1062D98F" w:rsidR="0032343E" w:rsidRPr="008A49B6" w:rsidRDefault="0032343E">
      <w:pPr>
        <w:pStyle w:val="FootnoteText"/>
      </w:pPr>
      <w:r>
        <w:rPr>
          <w:vertAlign w:val="superscript"/>
        </w:rPr>
        <w:footnoteRef/>
      </w:r>
      <w:r>
        <w:t xml:space="preserve"> </w:t>
      </w:r>
      <w:r>
        <w:tab/>
        <w:t>A se vedea G. Yannis și E. Michelaraki, „Effectiveness of 30 km/h speed limit – A literature review” (Eficacitatea limitei de viteză de 30 km/h – O analiză a literaturii de specialitate), Journal of Safety Research 92 (2025) 490–503, care afirmă că „dovezile științifice actuale au indicat că introducerea unor limite de viteză de 30 km/h în orașe poate salva peste 40 % din vieți, alături de efecte pozitive semnificative asupra mediului, a consumului de energie și a sănătății publice, inclusiv reducerea consumului de combustibil și intensificarea mersului pe jos și cu bicicleta.”</w:t>
      </w:r>
    </w:p>
  </w:footnote>
  <w:footnote w:id="29">
    <w:p w14:paraId="52BB9209" w14:textId="3EF98D4A" w:rsidR="0032343E" w:rsidRPr="008A49B6" w:rsidRDefault="0032343E">
      <w:pPr>
        <w:pStyle w:val="FootnoteText"/>
      </w:pPr>
      <w:r>
        <w:rPr>
          <w:vertAlign w:val="superscript"/>
        </w:rPr>
        <w:footnoteRef/>
      </w:r>
      <w:r>
        <w:t xml:space="preserve"> </w:t>
      </w:r>
      <w:r>
        <w:tab/>
        <w:t xml:space="preserve">Sánchez-Mangas R, García-Ferrrer A, de Juan A, Martín Arroyo A, „The probability of death in road traffic accidents. How important is a quick medical response?” (Probabilitatea deceselor în accidentele rutiere. Cât de importantă este intervenția medicală rapidă?), Accident Analysis &amp; Prevention 2010, volumul 42, numărul 4, iulie 2010, paginile 1048-1056, </w:t>
      </w:r>
      <w:hyperlink r:id="rId21" w:tgtFrame="_blank" w:tooltip="Link permanent utilizând identificatorul obiectului digital" w:history="1">
        <w:r>
          <w:t>https://doi.org/10.1016/j.aap.2009.12.012</w:t>
        </w:r>
      </w:hyperlink>
      <w:r>
        <w:t>.</w:t>
      </w:r>
    </w:p>
  </w:footnote>
  <w:footnote w:id="30">
    <w:p w14:paraId="485D91D4" w14:textId="26FD1552" w:rsidR="00B52970" w:rsidRPr="008A49B6" w:rsidRDefault="00606CB2" w:rsidP="00B52970">
      <w:pPr>
        <w:pStyle w:val="FootnoteText"/>
      </w:pPr>
      <w:r>
        <w:rPr>
          <w:rStyle w:val="FootnoteReference"/>
        </w:rPr>
        <w:footnoteRef/>
      </w:r>
      <w:r>
        <w:t xml:space="preserve"> </w:t>
      </w:r>
      <w:r>
        <w:tab/>
      </w:r>
      <w:hyperlink r:id="rId22" w:history="1">
        <w:r>
          <w:rPr>
            <w:rStyle w:val="Hyperlink"/>
          </w:rPr>
          <w:t>https://trendlineproject.eu/media/pages/trendline-results/c0a640421f-1764252485/kpi-post-crash-care-report.pdf</w:t>
        </w:r>
      </w:hyperlink>
      <w:r>
        <w:t>.</w:t>
      </w:r>
    </w:p>
  </w:footnote>
  <w:footnote w:id="31">
    <w:p w14:paraId="2181B103" w14:textId="51886C29" w:rsidR="0032343E" w:rsidRPr="008A49B6" w:rsidRDefault="0032343E">
      <w:pPr>
        <w:pStyle w:val="FootnoteText"/>
      </w:pPr>
      <w:r>
        <w:rPr>
          <w:rStyle w:val="FootnoteReference"/>
        </w:rPr>
        <w:footnoteRef/>
      </w:r>
      <w:r>
        <w:t xml:space="preserve"> </w:t>
      </w:r>
      <w:r>
        <w:tab/>
        <w:t>Rețele comutate de pachete IMS, cum ar fi 4G și 5G.</w:t>
      </w:r>
    </w:p>
  </w:footnote>
  <w:footnote w:id="32">
    <w:p w14:paraId="3A5379D0" w14:textId="0A3FE2D9" w:rsidR="00D8636D" w:rsidRPr="008A49B6" w:rsidRDefault="00D8636D">
      <w:pPr>
        <w:pStyle w:val="FootnoteText"/>
      </w:pPr>
      <w:r>
        <w:rPr>
          <w:rStyle w:val="FootnoteReference"/>
        </w:rPr>
        <w:footnoteRef/>
      </w:r>
      <w:r>
        <w:t xml:space="preserve"> </w:t>
      </w:r>
      <w:r>
        <w:tab/>
      </w:r>
      <w:hyperlink r:id="rId23" w:history="1">
        <w:r>
          <w:rPr>
            <w:rStyle w:val="Hyperlink"/>
          </w:rPr>
          <w:t>https://road-safety-charter.ec.europa.eu/</w:t>
        </w:r>
      </w:hyperlink>
      <w:r>
        <w:t>.</w:t>
      </w:r>
    </w:p>
  </w:footnote>
  <w:footnote w:id="33">
    <w:p w14:paraId="5BB24663" w14:textId="0938BF0F" w:rsidR="00D8636D" w:rsidRPr="008A49B6" w:rsidRDefault="00D8636D">
      <w:pPr>
        <w:pStyle w:val="FootnoteText"/>
      </w:pPr>
      <w:r>
        <w:rPr>
          <w:rStyle w:val="FootnoteReference"/>
        </w:rPr>
        <w:footnoteRef/>
      </w:r>
      <w:r>
        <w:t xml:space="preserve"> </w:t>
      </w:r>
      <w:r>
        <w:tab/>
      </w:r>
      <w:hyperlink r:id="rId24" w:history="1">
        <w:r>
          <w:rPr>
            <w:rStyle w:val="Hyperlink"/>
          </w:rPr>
          <w:t>https://etsc.eu/projects/eu-road-safety-exchange/</w:t>
        </w:r>
      </w:hyperlink>
      <w:r>
        <w:t>.</w:t>
      </w:r>
    </w:p>
  </w:footnote>
  <w:footnote w:id="34">
    <w:p w14:paraId="2FFA3E7E" w14:textId="5AAACAF1" w:rsidR="0024583F" w:rsidRPr="008A49B6" w:rsidRDefault="0024583F">
      <w:pPr>
        <w:pStyle w:val="FootnoteText"/>
      </w:pPr>
      <w:r>
        <w:rPr>
          <w:rStyle w:val="FootnoteReference"/>
        </w:rPr>
        <w:footnoteRef/>
      </w:r>
      <w:r>
        <w:t xml:space="preserve"> </w:t>
      </w:r>
      <w:r>
        <w:tab/>
        <w:t>Un drum de tip 2+1 este un tip de drum cu două benzi într-o direcție și o bandă în direcția opusă, separate de o mediană sau de o barieră, banda suplimentară alternând la fiecare câțiva kilometri. Acest concept permite depășirea în condiții de siguranță, menținând în același timp costurile de construcție mai mici decât construirea unei șosele complete cu două benzi.</w:t>
      </w:r>
    </w:p>
  </w:footnote>
  <w:footnote w:id="35">
    <w:p w14:paraId="2D237EA3" w14:textId="4E1AB43D" w:rsidR="00D75EAC" w:rsidRPr="008A49B6" w:rsidRDefault="00D75EAC">
      <w:pPr>
        <w:pStyle w:val="FootnoteText"/>
      </w:pPr>
      <w:r>
        <w:rPr>
          <w:rStyle w:val="FootnoteReference"/>
        </w:rPr>
        <w:footnoteRef/>
      </w:r>
      <w:r>
        <w:t xml:space="preserve"> </w:t>
      </w:r>
      <w:r>
        <w:tab/>
        <w:t xml:space="preserve">Curtea de Conturi Europeană, Raportul special nr. 04/2024, Obiectivele de siguranță rutieră ale UE: Este timpul să se accelereze îndeplinirea lor, </w:t>
      </w:r>
      <w:hyperlink r:id="rId25" w:history="1">
        <w:r>
          <w:rPr>
            <w:rStyle w:val="Hyperlink"/>
          </w:rPr>
          <w:t>https://www.eca.europa.eu/ECAPublications/SR-2024-04/SR-2024-04_RO.pdf</w:t>
        </w:r>
      </w:hyperlink>
      <w:r>
        <w:t>.</w:t>
      </w:r>
    </w:p>
  </w:footnote>
  <w:footnote w:id="36">
    <w:p w14:paraId="537407CE" w14:textId="71816DC3" w:rsidR="00A336B3" w:rsidRPr="008A49B6" w:rsidRDefault="00A336B3" w:rsidP="00A336B3">
      <w:pPr>
        <w:pStyle w:val="FootnoteText"/>
      </w:pPr>
      <w:r>
        <w:rPr>
          <w:rStyle w:val="FootnoteReference"/>
        </w:rPr>
        <w:footnoteRef/>
      </w:r>
      <w:r>
        <w:t xml:space="preserve"> </w:t>
      </w:r>
      <w:r>
        <w:tab/>
        <w:t>MIE: 1 477 de milioane EUR; FEDR și FC: 5 186 de milioane EUR.</w:t>
      </w:r>
    </w:p>
  </w:footnote>
  <w:footnote w:id="37">
    <w:p w14:paraId="770052CA" w14:textId="0D5CB75F" w:rsidR="00F54667" w:rsidRPr="008A49B6" w:rsidRDefault="00F54667" w:rsidP="00F54667">
      <w:pPr>
        <w:pStyle w:val="FootnoteText"/>
      </w:pPr>
      <w:r>
        <w:rPr>
          <w:rStyle w:val="FootnoteReference"/>
        </w:rPr>
        <w:footnoteRef/>
      </w:r>
      <w:r>
        <w:t xml:space="preserve"> </w:t>
      </w:r>
      <w:r>
        <w:tab/>
        <w:t>Directiva 2004/54/CE a Parlamentului European și a Consiliului din 29 aprilie 2004 privind cerințele minime de siguranță pentru tunelurile din Rețeaua rutieră transeuropeană.</w:t>
      </w:r>
    </w:p>
  </w:footnote>
  <w:footnote w:id="38">
    <w:p w14:paraId="0DA2BB61" w14:textId="1FD2178A" w:rsidR="00527B5A" w:rsidRPr="008A49B6" w:rsidRDefault="00527B5A">
      <w:pPr>
        <w:pStyle w:val="FootnoteText"/>
      </w:pPr>
      <w:r>
        <w:rPr>
          <w:rStyle w:val="FootnoteReference"/>
        </w:rPr>
        <w:footnoteRef/>
      </w:r>
      <w:r>
        <w:t xml:space="preserve"> </w:t>
      </w:r>
      <w:r>
        <w:tab/>
      </w:r>
      <w:hyperlink r:id="rId26" w:history="1">
        <w:r>
          <w:rPr>
            <w:rStyle w:val="Hyperlink"/>
          </w:rPr>
          <w:t>https://evoroads-project.eu/</w:t>
        </w:r>
      </w:hyperlink>
      <w:r>
        <w:t>.</w:t>
      </w:r>
    </w:p>
  </w:footnote>
  <w:footnote w:id="39">
    <w:p w14:paraId="2D91E4E6" w14:textId="5FB250F3" w:rsidR="00527B5A" w:rsidRPr="008A49B6" w:rsidRDefault="00527B5A">
      <w:pPr>
        <w:pStyle w:val="FootnoteText"/>
      </w:pPr>
      <w:r>
        <w:rPr>
          <w:rStyle w:val="FootnoteReference"/>
        </w:rPr>
        <w:footnoteRef/>
      </w:r>
      <w:r>
        <w:t xml:space="preserve"> </w:t>
      </w:r>
      <w:r>
        <w:tab/>
      </w:r>
      <w:hyperlink r:id="rId27" w:history="1">
        <w:r>
          <w:rPr>
            <w:rStyle w:val="Hyperlink"/>
          </w:rPr>
          <w:t>https://idriving-project.eu/</w:t>
        </w:r>
      </w:hyperlink>
      <w:r>
        <w:t>.</w:t>
      </w:r>
    </w:p>
  </w:footnote>
  <w:footnote w:id="40">
    <w:p w14:paraId="4F07B391" w14:textId="64BD0114" w:rsidR="00527B5A" w:rsidRPr="008A49B6" w:rsidRDefault="00527B5A">
      <w:pPr>
        <w:pStyle w:val="FootnoteText"/>
      </w:pPr>
      <w:r>
        <w:rPr>
          <w:rStyle w:val="FootnoteReference"/>
        </w:rPr>
        <w:footnoteRef/>
      </w:r>
      <w:r>
        <w:t xml:space="preserve"> </w:t>
      </w:r>
      <w:r>
        <w:tab/>
      </w:r>
      <w:hyperlink r:id="rId28" w:history="1">
        <w:r>
          <w:rPr>
            <w:rStyle w:val="Hyperlink"/>
          </w:rPr>
          <w:t>https://soteriaproject.eu/</w:t>
        </w:r>
      </w:hyperlink>
      <w:r>
        <w:t>.</w:t>
      </w:r>
    </w:p>
  </w:footnote>
  <w:footnote w:id="41">
    <w:p w14:paraId="06178F80" w14:textId="3CF294DD" w:rsidR="001659BB" w:rsidRPr="008A49B6" w:rsidRDefault="001659BB">
      <w:pPr>
        <w:pStyle w:val="FootnoteText"/>
      </w:pPr>
      <w:r>
        <w:rPr>
          <w:rStyle w:val="FootnoteReference"/>
        </w:rPr>
        <w:footnoteRef/>
      </w:r>
      <w:r>
        <w:t xml:space="preserve"> </w:t>
      </w:r>
      <w:r>
        <w:tab/>
      </w:r>
      <w:hyperlink r:id="rId29" w:history="1">
        <w:r>
          <w:rPr>
            <w:rStyle w:val="Hyperlink"/>
          </w:rPr>
          <w:t>https://www.safe-up.eu/</w:t>
        </w:r>
      </w:hyperlink>
      <w:r>
        <w:t>.</w:t>
      </w:r>
    </w:p>
  </w:footnote>
  <w:footnote w:id="42">
    <w:p w14:paraId="26C95D0A" w14:textId="4DC73ADD" w:rsidR="001659BB" w:rsidRPr="008A49B6" w:rsidRDefault="001659BB">
      <w:pPr>
        <w:pStyle w:val="FootnoteText"/>
      </w:pPr>
      <w:r>
        <w:rPr>
          <w:rStyle w:val="FootnoteReference"/>
        </w:rPr>
        <w:footnoteRef/>
      </w:r>
      <w:r>
        <w:t xml:space="preserve"> </w:t>
      </w:r>
      <w:r>
        <w:tab/>
      </w:r>
      <w:hyperlink r:id="rId30" w:history="1">
        <w:r>
          <w:rPr>
            <w:rStyle w:val="Hyperlink"/>
          </w:rPr>
          <w:t>https://mediatorproject.eu/</w:t>
        </w:r>
      </w:hyperlink>
      <w:r>
        <w:t>.</w:t>
      </w:r>
    </w:p>
  </w:footnote>
  <w:footnote w:id="43">
    <w:p w14:paraId="0201E48A" w14:textId="1825479E" w:rsidR="001659BB" w:rsidRPr="008A49B6" w:rsidRDefault="001659BB">
      <w:pPr>
        <w:pStyle w:val="FootnoteText"/>
      </w:pPr>
      <w:r>
        <w:rPr>
          <w:rStyle w:val="FootnoteReference"/>
        </w:rPr>
        <w:footnoteRef/>
      </w:r>
      <w:r>
        <w:t xml:space="preserve"> </w:t>
      </w:r>
      <w:r>
        <w:tab/>
      </w:r>
      <w:hyperlink r:id="rId31" w:history="1">
        <w:r>
          <w:rPr>
            <w:rStyle w:val="Hyperlink"/>
          </w:rPr>
          <w:t>https://phoebe-project.eu/</w:t>
        </w:r>
      </w:hyperlink>
      <w:r>
        <w:t>.</w:t>
      </w:r>
    </w:p>
  </w:footnote>
  <w:footnote w:id="44">
    <w:p w14:paraId="7C8156C3" w14:textId="6CDDB08C" w:rsidR="00192E59" w:rsidRPr="008A49B6" w:rsidRDefault="00192E59">
      <w:pPr>
        <w:pStyle w:val="FootnoteText"/>
      </w:pPr>
      <w:r>
        <w:rPr>
          <w:rStyle w:val="FootnoteReference"/>
        </w:rPr>
        <w:footnoteRef/>
      </w:r>
      <w:r>
        <w:t xml:space="preserve"> </w:t>
      </w:r>
      <w:hyperlink r:id="rId32" w:history="1">
        <w:r>
          <w:rPr>
            <w:rStyle w:val="Hyperlink"/>
          </w:rPr>
          <w:t>https://reallocatemobility.eu/</w:t>
        </w:r>
      </w:hyperlink>
      <w:r>
        <w:t>.</w:t>
      </w:r>
    </w:p>
  </w:footnote>
  <w:footnote w:id="45">
    <w:p w14:paraId="6E6CC17C" w14:textId="64FF67DE" w:rsidR="00192E59" w:rsidRPr="008A49B6" w:rsidRDefault="00192E59">
      <w:pPr>
        <w:pStyle w:val="FootnoteText"/>
      </w:pPr>
      <w:r>
        <w:rPr>
          <w:rStyle w:val="FootnoteReference"/>
        </w:rPr>
        <w:footnoteRef/>
      </w:r>
      <w:r>
        <w:t xml:space="preserve"> </w:t>
      </w:r>
      <w:hyperlink r:id="rId33" w:history="1">
        <w:r>
          <w:rPr>
            <w:rStyle w:val="Hyperlink"/>
          </w:rPr>
          <w:t>https://panacea-project.eu/</w:t>
        </w:r>
      </w:hyperlink>
      <w:r>
        <w:t>.</w:t>
      </w:r>
    </w:p>
  </w:footnote>
  <w:footnote w:id="46">
    <w:p w14:paraId="1B4DAF89" w14:textId="50A633AE" w:rsidR="00192E59" w:rsidRPr="008A49B6" w:rsidRDefault="00192E59">
      <w:pPr>
        <w:pStyle w:val="FootnoteText"/>
      </w:pPr>
      <w:r>
        <w:rPr>
          <w:rStyle w:val="FootnoteReference"/>
        </w:rPr>
        <w:footnoteRef/>
      </w:r>
      <w:r>
        <w:t xml:space="preserve"> </w:t>
      </w:r>
      <w:hyperlink r:id="rId34" w:history="1">
        <w:r>
          <w:rPr>
            <w:rStyle w:val="Hyperlink"/>
          </w:rPr>
          <w:t>https://protact-us.eu/</w:t>
        </w:r>
      </w:hyperlink>
      <w:r>
        <w:t>.</w:t>
      </w:r>
    </w:p>
  </w:footnote>
  <w:footnote w:id="47">
    <w:p w14:paraId="48C8DE80" w14:textId="62E7E8C2" w:rsidR="00192E59" w:rsidRPr="008A49B6" w:rsidRDefault="00192E59">
      <w:pPr>
        <w:pStyle w:val="FootnoteText"/>
      </w:pPr>
      <w:r>
        <w:rPr>
          <w:rStyle w:val="FootnoteReference"/>
        </w:rPr>
        <w:footnoteRef/>
      </w:r>
      <w:r>
        <w:t xml:space="preserve"> </w:t>
      </w:r>
      <w:hyperlink r:id="rId35" w:history="1">
        <w:r>
          <w:rPr>
            <w:rStyle w:val="Hyperlink"/>
          </w:rPr>
          <w:t>https://improva-roadsafety.eu/</w:t>
        </w:r>
      </w:hyperlink>
      <w:r>
        <w:t>.</w:t>
      </w:r>
    </w:p>
  </w:footnote>
  <w:footnote w:id="48">
    <w:p w14:paraId="2CDA352C" w14:textId="785BC88F" w:rsidR="0024583F" w:rsidRPr="008A49B6" w:rsidRDefault="0024583F">
      <w:pPr>
        <w:pStyle w:val="FootnoteText"/>
      </w:pPr>
      <w:r>
        <w:rPr>
          <w:rStyle w:val="FootnoteReference"/>
        </w:rPr>
        <w:footnoteRef/>
      </w:r>
      <w:r>
        <w:t xml:space="preserve"> </w:t>
      </w:r>
      <w:r>
        <w:tab/>
      </w:r>
      <w:hyperlink r:id="rId36" w:history="1">
        <w:r>
          <w:rPr>
            <w:rStyle w:val="Hyperlink"/>
          </w:rPr>
          <w:t>https://road-safety.transport.ec.europa.eu/index_en</w:t>
        </w:r>
      </w:hyperlink>
      <w:r>
        <w:t xml:space="preserve">; </w:t>
      </w:r>
      <w:hyperlink r:id="rId37" w:history="1">
        <w:r>
          <w:rPr>
            <w:rStyle w:val="Hyperlink"/>
          </w:rPr>
          <w:t>https://eur-lex.europa.eu/homepage.html?locale=ro</w:t>
        </w:r>
      </w:hyperlink>
    </w:p>
  </w:footnote>
  <w:footnote w:id="49">
    <w:p w14:paraId="7CB1FB62" w14:textId="63A48A6B" w:rsidR="0024583F" w:rsidRPr="008A49B6" w:rsidRDefault="0024583F">
      <w:pPr>
        <w:pStyle w:val="FootnoteText"/>
      </w:pPr>
      <w:r>
        <w:rPr>
          <w:rStyle w:val="FootnoteReference"/>
        </w:rPr>
        <w:footnoteRef/>
      </w:r>
      <w:r>
        <w:t xml:space="preserve"> </w:t>
      </w:r>
      <w:r>
        <w:tab/>
        <w:t xml:space="preserve">Sursa: Eurostat (codurile datelor online </w:t>
      </w:r>
      <w:hyperlink r:id="rId38" w:history="1">
        <w:r>
          <w:rPr>
            <w:rStyle w:val="Hyperlink"/>
          </w:rPr>
          <w:t>proj_23np</w:t>
        </w:r>
      </w:hyperlink>
      <w:r>
        <w:t xml:space="preserve"> și </w:t>
      </w:r>
      <w:hyperlink r:id="rId39" w:history="1">
        <w:r>
          <w:rPr>
            <w:rStyle w:val="Hyperlink"/>
          </w:rPr>
          <w:t>demo_pjanbroad</w:t>
        </w:r>
      </w:hyperlink>
      <w:r>
        <w:t xml:space="preserve">), articolul relevant din Statistici explicate: </w:t>
      </w:r>
      <w:hyperlink r:id="rId40" w:anchor="Past_and_future_population_ageing_trends_in_the_EU" w:history="1">
        <w:r>
          <w:rPr>
            <w:rStyle w:val="Hyperlink"/>
          </w:rPr>
          <w:t>https://ec.europa.eu/eurostat/statistics-explained/index.php?title=Population_structure_and_ageing#Past_and_future_population_ageing_trends_in_the_EU</w:t>
        </w:r>
      </w:hyperlink>
      <w:r>
        <w:t>.</w:t>
      </w:r>
    </w:p>
  </w:footnote>
  <w:footnote w:id="50">
    <w:p w14:paraId="24034CEF" w14:textId="6DBCC3D3" w:rsidR="0024583F" w:rsidRPr="008A49B6" w:rsidRDefault="0024583F">
      <w:pPr>
        <w:pStyle w:val="FootnoteText"/>
      </w:pPr>
      <w:r>
        <w:rPr>
          <w:rStyle w:val="FootnoteReference"/>
        </w:rPr>
        <w:footnoteRef/>
      </w:r>
      <w:r>
        <w:t xml:space="preserve"> </w:t>
      </w:r>
      <w:r>
        <w:tab/>
        <w:t>A se vedea raportul tematic privind persoanele în vârstă la adresele</w:t>
      </w:r>
      <w:hyperlink r:id="rId41" w:history="1">
        <w:r>
          <w:rPr>
            <w:rStyle w:val="Hyperlink"/>
          </w:rPr>
          <w:t>https://road-safety.transport.ec.europa.eu/european-road-safety-observatory/data-and-analysis/thematic-reports_en</w:t>
        </w:r>
      </w:hyperlink>
      <w:r>
        <w:t xml:space="preserve"> și </w:t>
      </w:r>
      <w:hyperlink r:id="rId42" w:history="1">
        <w:r>
          <w:rPr>
            <w:rStyle w:val="Hyperlink"/>
          </w:rPr>
          <w:t>https://etsc.eu/reducing-older-peoples-deaths-on-european-roads-pin-flash-45/</w:t>
        </w:r>
      </w:hyperlink>
      <w:r>
        <w:t>.</w:t>
      </w:r>
    </w:p>
  </w:footnote>
  <w:footnote w:id="51">
    <w:p w14:paraId="2AD8CA2D" w14:textId="05AB999F" w:rsidR="0024583F" w:rsidRPr="008A49B6" w:rsidRDefault="0024583F">
      <w:pPr>
        <w:pStyle w:val="FootnoteText"/>
      </w:pPr>
      <w:r>
        <w:rPr>
          <w:rStyle w:val="FootnoteReference"/>
        </w:rPr>
        <w:footnoteRef/>
      </w:r>
      <w:r>
        <w:t xml:space="preserve"> </w:t>
      </w:r>
      <w:r>
        <w:tab/>
        <w:t xml:space="preserve">Sursa: Eurostat (codul datelor online </w:t>
      </w:r>
      <w:hyperlink r:id="rId43" w:history="1">
        <w:r>
          <w:rPr>
            <w:rStyle w:val="Hyperlink"/>
          </w:rPr>
          <w:t>cens_21urb01</w:t>
        </w:r>
      </w:hyperlink>
      <w:r>
        <w:t xml:space="preserve">), a se vedea și: </w:t>
      </w:r>
      <w:hyperlink r:id="rId44" w:history="1">
        <w:r>
          <w:rPr>
            <w:rStyle w:val="Hyperlink"/>
          </w:rPr>
          <w:t>https://ec.europa.eu/eurostat/web/degree-of-urbanisation/publications</w:t>
        </w:r>
      </w:hyperlink>
      <w:r>
        <w:t>.</w:t>
      </w:r>
    </w:p>
  </w:footnote>
  <w:footnote w:id="52">
    <w:p w14:paraId="36B37326" w14:textId="1AD551F6" w:rsidR="0024583F" w:rsidRPr="008A49B6" w:rsidRDefault="0024583F">
      <w:pPr>
        <w:pStyle w:val="FootnoteText"/>
      </w:pPr>
      <w:r>
        <w:rPr>
          <w:rStyle w:val="FootnoteReference"/>
        </w:rPr>
        <w:footnoteRef/>
      </w:r>
      <w:r>
        <w:t xml:space="preserve"> </w:t>
      </w:r>
      <w:r>
        <w:tab/>
        <w:t>A se vedea: „The human cost of fast deliveries: A systematic literature review of occupational risks and safety outcomes in last-mile delivery workers” (Costul uman al livrărilor rapide: o analiză sistematică a literaturii de specialitate privind riscurile profesionale și rezultatele în materie de siguranță în rândul lucrătorilor care efectuează livrări pe ultimul kilometru)</w:t>
      </w:r>
      <w:r>
        <w:rPr>
          <w:b/>
        </w:rPr>
        <w:t xml:space="preserve"> - </w:t>
      </w:r>
      <w:hyperlink r:id="rId45" w:history="1">
        <w:r>
          <w:rPr>
            <w:rStyle w:val="Hyperlink"/>
          </w:rPr>
          <w:t>https://www.sciencedirect.com/science/article/pii/S2214140525001537</w:t>
        </w:r>
      </w:hyperlink>
      <w:r>
        <w:t>.</w:t>
      </w:r>
    </w:p>
  </w:footnote>
  <w:footnote w:id="53">
    <w:p w14:paraId="74867CEE" w14:textId="77777777" w:rsidR="00203454" w:rsidRPr="00124234" w:rsidRDefault="00203454" w:rsidP="00203454">
      <w:pPr>
        <w:pStyle w:val="FootnoteText"/>
      </w:pPr>
      <w:r>
        <w:rPr>
          <w:rStyle w:val="FootnoteReference"/>
        </w:rPr>
        <w:footnoteRef/>
      </w:r>
      <w:r>
        <w:t xml:space="preserve"> </w:t>
      </w:r>
      <w:hyperlink r:id="rId46" w:history="1">
        <w:r>
          <w:rPr>
            <w:rStyle w:val="Hyperlink"/>
          </w:rPr>
          <w:t>Regulament - UE - 2024/2847 - RO - EUR-Lex</w:t>
        </w:r>
      </w:hyperlink>
      <w:r>
        <w:t>.</w:t>
      </w:r>
    </w:p>
  </w:footnote>
  <w:footnote w:id="54">
    <w:p w14:paraId="0264FC0D" w14:textId="1903A1EF" w:rsidR="006D08CC" w:rsidRPr="008A49B6" w:rsidRDefault="006D08CC">
      <w:pPr>
        <w:pStyle w:val="FootnoteText"/>
      </w:pPr>
      <w:r>
        <w:rPr>
          <w:rStyle w:val="FootnoteReference"/>
        </w:rPr>
        <w:footnoteRef/>
      </w:r>
      <w:r>
        <w:t xml:space="preserve"> </w:t>
      </w:r>
      <w:r>
        <w:tab/>
        <w:t>Manualul Comisiei Europene privind costurile externe ale transportului 2019 (noua versiune este în curs de publicare).</w:t>
      </w:r>
    </w:p>
  </w:footnote>
  <w:footnote w:id="55">
    <w:p w14:paraId="16E158E4" w14:textId="09DCDA25" w:rsidR="006D08CC" w:rsidRPr="008A49B6" w:rsidRDefault="006D08CC">
      <w:pPr>
        <w:pStyle w:val="FootnoteText"/>
      </w:pPr>
      <w:r>
        <w:rPr>
          <w:rStyle w:val="FootnoteReference"/>
        </w:rPr>
        <w:footnoteRef/>
      </w:r>
      <w:r>
        <w:t xml:space="preserve"> </w:t>
      </w:r>
      <w:r>
        <w:tab/>
        <w:t xml:space="preserve">A se vedea: „Study to Support Assessment of the EU Road Safety Policy Framework 2021-2030 At the Mid-Point” (Studiu în sprijinul evaluării Cadrului de politică al UE privind siguranța rutieră 2021-2030 la mijlocul perioadei), </w:t>
      </w:r>
      <w:hyperlink r:id="rId47" w:history="1">
        <w:r>
          <w:rPr>
            <w:rStyle w:val="Hyperlink"/>
          </w:rPr>
          <w:t>https://data.europa.eu/doi/10.2832/2974277</w:t>
        </w:r>
      </w:hyperlink>
      <w:r>
        <w:t xml:space="preserve"> </w:t>
      </w:r>
      <w:hyperlink r:id="rId48" w:history="1">
        <w:r>
          <w:rPr>
            <w:rStyle w:val="Hyperlink"/>
          </w:rPr>
          <w:t>https://op.europa.eu/ro/</w:t>
        </w:r>
      </w:hyperlink>
      <w:r>
        <w:t xml:space="preserve"> </w:t>
      </w:r>
    </w:p>
  </w:footnote>
  <w:footnote w:id="56">
    <w:p w14:paraId="62E12461" w14:textId="47538488" w:rsidR="006D08CC" w:rsidRPr="008A49B6" w:rsidRDefault="006D08CC">
      <w:pPr>
        <w:pStyle w:val="FootnoteText"/>
      </w:pPr>
      <w:r>
        <w:rPr>
          <w:rStyle w:val="FootnoteReference"/>
        </w:rPr>
        <w:footnoteRef/>
      </w:r>
      <w:r>
        <w:t xml:space="preserve"> </w:t>
      </w:r>
      <w:r>
        <w:tab/>
        <w:t>De exemplu, proiectul IMPROVA finanțat prin programul Orizont Europa a efectuat o analiză sistemică a peste 1 400 de studii privind efectele psihologice ale accidentelor rutiere și a constatat existența mai multor consecințe pe termen lung, cum ar fi tulburări legate de stres (de exemplu tulburările de stres posttraumatic și tulburările de adaptare), tulburări de anxietate și fobii, tulburări de dispoziție afectivă (de exemplu depresia) și alte tulburări funcționale.</w:t>
      </w:r>
    </w:p>
  </w:footnote>
  <w:footnote w:id="57">
    <w:p w14:paraId="2ED18851" w14:textId="792A7C2D" w:rsidR="006D08CC" w:rsidRPr="008A49B6" w:rsidRDefault="006D08CC">
      <w:pPr>
        <w:pStyle w:val="FootnoteText"/>
      </w:pPr>
      <w:r>
        <w:rPr>
          <w:rStyle w:val="FootnoteReference"/>
        </w:rPr>
        <w:footnoteRef/>
      </w:r>
      <w:r>
        <w:t xml:space="preserve"> </w:t>
      </w:r>
      <w:r>
        <w:tab/>
        <w:t>Un studiu recent din Țările de Jos (</w:t>
      </w:r>
      <w:hyperlink r:id="rId49" w:history="1">
        <w:r>
          <w:rPr>
            <w:rStyle w:val="Hyperlink"/>
          </w:rPr>
          <w:t>https://swov.nl/nl/publicatie/verkeersveiligheidseffecten-van-2e-tranchemaatregelen</w:t>
        </w:r>
      </w:hyperlink>
      <w:r>
        <w:t xml:space="preserve">) a estimat că raportul dintre costuri și beneficii în investițiile în infrastructura rutieră națională se situa între 1:7 și 1:2,5. Un raport mai vechi al Conferinței directorilor europeni pentru drumuri a rezumat raportul costuri-beneficii pentru o serie de măsuri de siguranță rutieră: </w:t>
      </w:r>
      <w:hyperlink r:id="rId50" w:history="1">
        <w:r>
          <w:rPr>
            <w:rStyle w:val="Hyperlink"/>
          </w:rPr>
          <w:t>https://www.cedr.eu/download/Publications/2008/e_Road_Safety_Investments_Report.pdf</w:t>
        </w:r>
      </w:hyperlink>
      <w:r>
        <w:t xml:space="preserve">. </w:t>
      </w:r>
    </w:p>
  </w:footnote>
  <w:footnote w:id="58">
    <w:p w14:paraId="1A64C56C" w14:textId="38F35C19" w:rsidR="006D08CC" w:rsidRPr="008A49B6" w:rsidRDefault="006D08CC">
      <w:pPr>
        <w:pStyle w:val="FootnoteText"/>
      </w:pPr>
      <w:r>
        <w:rPr>
          <w:rStyle w:val="FootnoteReference"/>
        </w:rPr>
        <w:footnoteRef/>
      </w:r>
      <w:r>
        <w:t xml:space="preserve"> </w:t>
      </w:r>
      <w:r>
        <w:tab/>
      </w:r>
      <w:hyperlink r:id="rId51" w:history="1">
        <w:r>
          <w:rPr>
            <w:rStyle w:val="Hyperlink"/>
          </w:rPr>
          <w:t>https://www.acea.auto/publication/report-vehicles-on-european-roads-2025/</w:t>
        </w:r>
      </w:hyperlink>
      <w:r>
        <w:t>.</w:t>
      </w:r>
    </w:p>
    <w:p w14:paraId="314D13EC" w14:textId="77777777" w:rsidR="006D08CC" w:rsidRPr="008A49B6" w:rsidRDefault="006D08CC" w:rsidP="00454B76">
      <w:pPr>
        <w:pStyle w:val="FootnoteText"/>
        <w:ind w:left="0" w:firstLine="0"/>
      </w:pPr>
    </w:p>
  </w:footnote>
  <w:footnote w:id="59">
    <w:p w14:paraId="7EBD97C3" w14:textId="5F76054B" w:rsidR="006D08CC" w:rsidRPr="008A49B6" w:rsidRDefault="006D08CC">
      <w:pPr>
        <w:pStyle w:val="FootnoteText"/>
      </w:pPr>
      <w:r>
        <w:rPr>
          <w:rStyle w:val="FootnoteReference"/>
        </w:rPr>
        <w:footnoteRef/>
      </w:r>
      <w:r>
        <w:t xml:space="preserve"> </w:t>
      </w:r>
      <w:r>
        <w:tab/>
        <w:t>De exemplu, UE a cofinanțat, prin intermediul programului Erasmus+, programul „Knights for Road Safety” (Cavaleri pentru siguranța rutieră) dedicat educației copiilor de vârstă școlară în domeniul siguranței rutiere.</w:t>
      </w:r>
    </w:p>
  </w:footnote>
  <w:footnote w:id="60">
    <w:p w14:paraId="5A6D93BC" w14:textId="4DB601A3" w:rsidR="006D08CC" w:rsidRPr="008A49B6" w:rsidRDefault="006D08CC">
      <w:pPr>
        <w:pStyle w:val="FootnoteText"/>
      </w:pPr>
      <w:r>
        <w:rPr>
          <w:rStyle w:val="FootnoteReference"/>
        </w:rPr>
        <w:footnoteRef/>
      </w:r>
      <w:r>
        <w:t xml:space="preserve"> </w:t>
      </w:r>
      <w:r>
        <w:tab/>
        <w:t>Campaniile de educație în domeniul siguranței rutiere sunt prezentate frecvent în cadrul Premiilor anuale ale UE pentru excelență în siguranța rutieră.</w:t>
      </w:r>
    </w:p>
  </w:footnote>
  <w:footnote w:id="61">
    <w:p w14:paraId="70E42CBE" w14:textId="203510DE" w:rsidR="00191C31" w:rsidRPr="008A49B6" w:rsidRDefault="00191C31">
      <w:pPr>
        <w:pStyle w:val="FootnoteText"/>
      </w:pPr>
      <w:r>
        <w:rPr>
          <w:rStyle w:val="FootnoteReference"/>
        </w:rPr>
        <w:footnoteRef/>
      </w:r>
      <w:r>
        <w:t xml:space="preserve"> </w:t>
      </w:r>
      <w:r>
        <w:tab/>
        <w:t>Regulamentul (UE) 2024/1679 al Parlamentului European și al Consiliului din 13 iunie 2024 privind orientările Uniunii pentru dezvoltarea rețelei transeuropene de transport, de modificare a Regulamentelor (UE) 2021/1153 și (UE) nr. 913/2010 și de abrogare a Regulamentului (UE) nr. 1315/2013.</w:t>
      </w:r>
    </w:p>
  </w:footnote>
  <w:footnote w:id="62">
    <w:p w14:paraId="7A45172A" w14:textId="09A1545D" w:rsidR="00AE74F6" w:rsidRPr="008A49B6" w:rsidRDefault="00AE74F6" w:rsidP="00243214">
      <w:pPr>
        <w:pStyle w:val="FootnoteText"/>
      </w:pPr>
      <w:r>
        <w:rPr>
          <w:rStyle w:val="FootnoteReference"/>
        </w:rPr>
        <w:footnoteRef/>
      </w:r>
      <w:r>
        <w:t xml:space="preserve"> </w:t>
      </w:r>
      <w:r>
        <w:tab/>
        <w:t xml:space="preserve">Pe baza Directivei RISM, articolul 5 și articolul 6 literele (a) și (d), stabilirea hărții UE a clasificării în funcție de gradul de risc a drumurilor care acoperă rețeaua rutieră TEN-T, toate autostrăzile, toate drumurile principale care leagă orașe sau regiuni importante și toate drumurile interurbane finanțate de UE. </w:t>
      </w:r>
    </w:p>
  </w:footnote>
  <w:footnote w:id="63">
    <w:p w14:paraId="4ED1A765" w14:textId="29E6E23F" w:rsidR="00B5595C" w:rsidRPr="008A49B6" w:rsidRDefault="00B5595C">
      <w:pPr>
        <w:pStyle w:val="FootnoteText"/>
        <w:rPr>
          <w:rFonts w:eastAsiaTheme="minorEastAsia"/>
        </w:rPr>
      </w:pPr>
      <w:r>
        <w:rPr>
          <w:rStyle w:val="FootnoteReference"/>
        </w:rPr>
        <w:footnoteRef/>
      </w:r>
      <w:r>
        <w:t xml:space="preserve"> </w:t>
      </w:r>
      <w:r>
        <w:tab/>
        <w:t xml:space="preserve">Ar trebui să se acorde prioritate celor mai problematice tronsoane rutiere identificate în „Network Wide Road Safety Assessment </w:t>
      </w:r>
      <w:hyperlink r:id="rId52" w:history="1">
        <w:r>
          <w:rPr>
            <w:color w:val="0000FF"/>
            <w:u w:val="single"/>
          </w:rPr>
          <w:t>Methodology</w:t>
        </w:r>
      </w:hyperlink>
      <w:r>
        <w:t xml:space="preserve"> and Implementation Handbook” (Manualul de evaluare și implementare a siguranței rutiere la nivel de rețea) (Comisia Europeană, 2023) sau în conformitate cu metodologiile naționale conforme cu articolul 5 din Directiva 2008/96/CE (Directiva RISM).</w:t>
      </w:r>
    </w:p>
  </w:footnote>
  <w:footnote w:id="64">
    <w:p w14:paraId="782E3A57" w14:textId="16C63989" w:rsidR="00191C31" w:rsidRPr="008A49B6" w:rsidRDefault="00191C31">
      <w:pPr>
        <w:pStyle w:val="FootnoteText"/>
      </w:pPr>
      <w:r>
        <w:rPr>
          <w:rStyle w:val="FootnoteReference"/>
        </w:rPr>
        <w:footnoteRef/>
      </w:r>
      <w:r>
        <w:t xml:space="preserve"> </w:t>
      </w:r>
      <w:r>
        <w:tab/>
        <w:t>Regulamentul delegat (UE) nr. 886/2013 al Comisiei din 15 mai 2013 de completare a Directivei 2010/40/UE a Parlamentului European și a Consiliului în ceea ce privește datele și procedurile pentru furnizarea către utilizatori, în mod gratuit, atunci când este posibil, a unor informații minime universale în materie de trafic referitoare la siguranța rutieră.</w:t>
      </w:r>
    </w:p>
  </w:footnote>
  <w:footnote w:id="65">
    <w:p w14:paraId="71282A47" w14:textId="421DDC58" w:rsidR="00191C31" w:rsidRPr="008A49B6" w:rsidRDefault="00191C31">
      <w:pPr>
        <w:pStyle w:val="FootnoteText"/>
      </w:pPr>
      <w:r>
        <w:rPr>
          <w:rStyle w:val="FootnoteReference"/>
        </w:rPr>
        <w:footnoteRef/>
      </w:r>
      <w:r>
        <w:t xml:space="preserve"> </w:t>
      </w:r>
      <w:r>
        <w:tab/>
      </w:r>
      <w:hyperlink r:id="rId53" w:history="1">
        <w:r>
          <w:rPr>
            <w:rStyle w:val="Hyperlink"/>
          </w:rPr>
          <w:t>Directiva (UE) 2023/2661 a Parlamentului European și a Consiliului din 22 noiembrie 2023 de modificare a Directivei 2010/40/UE privind cadrul pentru implementarea sistemelor de transport inteligente în domeniul transportului rutier și pentru interfețele cu alte moduri de transport</w:t>
        </w:r>
      </w:hyperlink>
      <w:r>
        <w:t>.</w:t>
      </w:r>
    </w:p>
  </w:footnote>
  <w:footnote w:id="66">
    <w:p w14:paraId="1229C0AB" w14:textId="44DA35D3" w:rsidR="008E74EA" w:rsidRPr="008A49B6" w:rsidRDefault="003B7B8D" w:rsidP="008E74EA">
      <w:pPr>
        <w:pStyle w:val="FootnoteText"/>
      </w:pPr>
      <w:r>
        <w:rPr>
          <w:rStyle w:val="FootnoteReference"/>
        </w:rPr>
        <w:footnoteRef/>
      </w:r>
      <w:r>
        <w:t xml:space="preserve"> </w:t>
      </w:r>
      <w:r>
        <w:tab/>
      </w:r>
      <w:hyperlink r:id="rId54" w:history="1">
        <w:r>
          <w:rPr>
            <w:rStyle w:val="Hyperlink"/>
          </w:rPr>
          <w:t>https://transport.ec.europa.eu/transport-themes/urban-transport/expert-group-urban-mobility_en</w:t>
        </w:r>
      </w:hyperlink>
    </w:p>
  </w:footnote>
  <w:footnote w:id="67">
    <w:p w14:paraId="37E654C4" w14:textId="5EB261F6" w:rsidR="00C417D8" w:rsidRPr="008A49B6" w:rsidRDefault="00C417D8">
      <w:pPr>
        <w:pStyle w:val="FootnoteText"/>
      </w:pPr>
      <w:r>
        <w:rPr>
          <w:rStyle w:val="FootnoteReference"/>
        </w:rPr>
        <w:footnoteRef/>
      </w:r>
      <w:r>
        <w:t xml:space="preserve"> </w:t>
      </w:r>
      <w:r>
        <w:tab/>
        <w:t>Regulamentul (UE) 2019/2144</w:t>
      </w:r>
    </w:p>
  </w:footnote>
  <w:footnote w:id="68">
    <w:p w14:paraId="70CF544E" w14:textId="39CF9BBC" w:rsidR="00724F11" w:rsidRPr="008A49B6" w:rsidRDefault="00724F11">
      <w:pPr>
        <w:pStyle w:val="FootnoteText"/>
      </w:pPr>
      <w:r>
        <w:rPr>
          <w:rStyle w:val="FootnoteReference"/>
        </w:rPr>
        <w:footnoteRef/>
      </w:r>
      <w:r>
        <w:tab/>
        <w:t xml:space="preserve">„Study on the need for harmonised rules to support the rise of micro mobility and enhanced road safety for personal mobility devices – Final report” (Studiu privind necesitatea unor norme armonizate pentru a sprijini creșterea micromobilității și a siguranței rutiere pentru dispozitivele de mobilitate personală – Raport final), (1.0), Oficiul pentru Publicații al Uniunii Europene, 2024 </w:t>
      </w:r>
      <w:hyperlink r:id="rId55" w:history="1">
        <w:r>
          <w:rPr>
            <w:rStyle w:val="Hyperlink"/>
          </w:rPr>
          <w:t>https://data.europa.eu/doi/10.2873/8572224</w:t>
        </w:r>
      </w:hyperlink>
      <w:r>
        <w:t>.</w:t>
      </w:r>
    </w:p>
  </w:footnote>
  <w:footnote w:id="69">
    <w:p w14:paraId="6245C946" w14:textId="7C64FA1F" w:rsidR="00CE07C7" w:rsidRPr="008A49B6" w:rsidRDefault="00CE07C7">
      <w:pPr>
        <w:pStyle w:val="FootnoteText"/>
      </w:pPr>
      <w:r>
        <w:rPr>
          <w:rStyle w:val="FootnoteReference"/>
        </w:rPr>
        <w:footnoteRef/>
      </w:r>
      <w:r>
        <w:t xml:space="preserve"> </w:t>
      </w:r>
      <w:r>
        <w:tab/>
        <w:t>Conform solicitării primite din partea miniștrilor transporturilor în cadrul reuniunii Consiliului Transporturi, Telecomunicații și Energie din decembrie 2025.</w:t>
      </w:r>
    </w:p>
  </w:footnote>
  <w:footnote w:id="70">
    <w:p w14:paraId="0CA5FB70" w14:textId="06203CEF" w:rsidR="00191C31" w:rsidRPr="008A49B6" w:rsidRDefault="00191C31" w:rsidP="00191C31">
      <w:pPr>
        <w:pStyle w:val="FootnoteText"/>
      </w:pPr>
      <w:r>
        <w:rPr>
          <w:rStyle w:val="FootnoteReference"/>
        </w:rPr>
        <w:footnoteRef/>
      </w:r>
      <w:r>
        <w:t xml:space="preserve"> </w:t>
      </w:r>
      <w:r>
        <w:tab/>
      </w:r>
      <w:hyperlink r:id="rId56" w:history="1">
        <w:r>
          <w:rPr>
            <w:rStyle w:val="Hyperlink"/>
          </w:rPr>
          <w:t>https://urban-mobility-observatory.transport.ec.europa.eu/sustainable-urban-mobility-plans/expert-corner-sump-reference-materials_en</w:t>
        </w:r>
      </w:hyperlink>
      <w:r>
        <w:t>.</w:t>
      </w:r>
    </w:p>
  </w:footnote>
  <w:footnote w:id="71">
    <w:p w14:paraId="120959C9" w14:textId="23B9B8EB" w:rsidR="00B00887" w:rsidRPr="008A49B6" w:rsidRDefault="00B00887" w:rsidP="00D611AD">
      <w:pPr>
        <w:pStyle w:val="FootnoteText"/>
      </w:pPr>
      <w:r>
        <w:rPr>
          <w:rStyle w:val="FootnoteReference"/>
        </w:rPr>
        <w:footnoteRef/>
      </w:r>
      <w:r>
        <w:t xml:space="preserve"> </w:t>
      </w:r>
      <w:r>
        <w:tab/>
      </w:r>
      <w:hyperlink r:id="rId57" w:history="1">
        <w:r>
          <w:rPr>
            <w:rStyle w:val="Hyperlink"/>
          </w:rPr>
          <w:t>https://road-safety-charter.ec.europa.eu/</w:t>
        </w:r>
      </w:hyperlink>
      <w:r>
        <w:t>.</w:t>
      </w:r>
    </w:p>
  </w:footnote>
  <w:footnote w:id="72">
    <w:p w14:paraId="711A4F45" w14:textId="2623FB35" w:rsidR="00191C31" w:rsidRPr="008A49B6" w:rsidRDefault="00191C31">
      <w:pPr>
        <w:pStyle w:val="FootnoteText"/>
      </w:pPr>
      <w:r>
        <w:rPr>
          <w:rStyle w:val="FootnoteReference"/>
        </w:rPr>
        <w:footnoteRef/>
      </w:r>
      <w:r>
        <w:t xml:space="preserve"> </w:t>
      </w:r>
      <w:r>
        <w:tab/>
        <w:t>„Saving Lives Beyond 2025: Taking Further Steps: Recommendations of the Academic Expert Group for the 4th Global Ministerial Conference on Road Safety” (Salvarea de vieți dincolo de 2025: pași înainte. Recomandările Grupului academic de experți pentru cea de a 4-a Conferință ministerială mondială privind siguranța rutieră), Administrația Transporturilor din Suedia, 2025.</w:t>
      </w:r>
    </w:p>
  </w:footnote>
  <w:footnote w:id="73">
    <w:p w14:paraId="5D0ABB88" w14:textId="3F0B82B1" w:rsidR="00191C31" w:rsidRPr="008A49B6" w:rsidRDefault="00191C31">
      <w:pPr>
        <w:pStyle w:val="FootnoteText"/>
      </w:pPr>
      <w:r>
        <w:rPr>
          <w:rStyle w:val="FootnoteReference"/>
        </w:rPr>
        <w:footnoteRef/>
      </w:r>
      <w:r>
        <w:t xml:space="preserve"> </w:t>
      </w:r>
      <w:r>
        <w:tab/>
      </w:r>
      <w:hyperlink r:id="rId58" w:history="1">
        <w:r>
          <w:rPr>
            <w:rStyle w:val="Hyperlink"/>
          </w:rPr>
          <w:t>https://road-safety-charter.ec.europa.eu/content/excellence-road-safety-awards</w:t>
        </w:r>
      </w:hyperlink>
      <w:r>
        <w:t>.</w:t>
      </w:r>
    </w:p>
  </w:footnote>
  <w:footnote w:id="74">
    <w:p w14:paraId="076FEA04" w14:textId="7D0DF7F6" w:rsidR="00F52AA9" w:rsidRPr="008A49B6" w:rsidRDefault="00F52AA9">
      <w:pPr>
        <w:pStyle w:val="FootnoteText"/>
      </w:pPr>
      <w:r>
        <w:rPr>
          <w:rStyle w:val="FootnoteReference"/>
        </w:rPr>
        <w:footnoteRef/>
      </w:r>
      <w:r>
        <w:t xml:space="preserve"> </w:t>
      </w:r>
      <w:r>
        <w:tab/>
      </w:r>
      <w:hyperlink r:id="rId59" w:history="1">
        <w:r>
          <w:rPr>
            <w:rStyle w:val="Hyperlink"/>
          </w:rPr>
          <w:t>https://road-safety.transport.ec.europa.eu/european-road-safety-observatory_en</w:t>
        </w:r>
      </w:hyperlink>
      <w:r>
        <w:t>.</w:t>
      </w:r>
    </w:p>
  </w:footnote>
  <w:footnote w:id="75">
    <w:p w14:paraId="08623695" w14:textId="1A328C67" w:rsidR="00FB0AE3" w:rsidRPr="008A49B6" w:rsidRDefault="00FB0AE3" w:rsidP="00034FDC">
      <w:pPr>
        <w:pStyle w:val="FootnoteText"/>
      </w:pPr>
      <w:r>
        <w:rPr>
          <w:rStyle w:val="FootnoteReference"/>
        </w:rPr>
        <w:footnoteRef/>
      </w:r>
      <w:r>
        <w:t xml:space="preserve"> </w:t>
      </w:r>
      <w:r>
        <w:tab/>
        <w:t xml:space="preserve">Acesta conținea trei directive: </w:t>
      </w:r>
      <w:hyperlink r:id="rId60" w:history="1">
        <w:r>
          <w:rPr>
            <w:rStyle w:val="Hyperlink"/>
          </w:rPr>
          <w:t>Directiva (UE) 2025/2205 a Parlamentului European și a Consiliului din 22 octombrie 2025 privind permisele de conducere</w:t>
        </w:r>
      </w:hyperlink>
      <w:r>
        <w:t xml:space="preserve">; </w:t>
      </w:r>
      <w:hyperlink r:id="rId61" w:history="1">
        <w:r>
          <w:rPr>
            <w:rStyle w:val="Hyperlink"/>
          </w:rPr>
          <w:t>Directiva (UE) 2025/2206 a Parlamentului European și a Consiliului din 22 octombrie 2025 de modificare a Directivei (UE) 2025/2205 în ceea ce privește anumite decăderi din dreptul de a conduce autovehicule</w:t>
        </w:r>
      </w:hyperlink>
      <w:r>
        <w:t xml:space="preserve">; </w:t>
      </w:r>
      <w:hyperlink r:id="rId62" w:history="1">
        <w:r>
          <w:rPr>
            <w:rStyle w:val="Hyperlink"/>
          </w:rPr>
          <w:t>Directiva (UE) 2024/3237 a Parlamentului European și a Consiliului din 19 decembrie 2024 de modificare a Directivei (UE) 2015/413 de facilitare a schimbului transfrontalier de informații privind încălcările normelor de circulație care afectează siguranța rutieră</w:t>
        </w:r>
      </w:hyperlink>
      <w:r>
        <w:t>.</w:t>
      </w:r>
    </w:p>
  </w:footnote>
  <w:footnote w:id="76">
    <w:p w14:paraId="67C78525" w14:textId="5BD56CB7" w:rsidR="0013585B" w:rsidRPr="00D73E07" w:rsidRDefault="0013585B" w:rsidP="0095435B">
      <w:pPr>
        <w:pStyle w:val="FootnoteText"/>
      </w:pPr>
      <w:r>
        <w:rPr>
          <w:rStyle w:val="FootnoteReference"/>
        </w:rPr>
        <w:footnoteRef/>
      </w:r>
      <w:r>
        <w:tab/>
        <w:t xml:space="preserve">Comunicare a Comisiei către Parlamentul European, Consiliu, Comitetul Economic și Social European și Comitetul Regiunilor – Plan de acțiune industrială pentru sectorul european al autovehiculelor, COM(2025) 95 final din 5 martie 2025, </w:t>
      </w:r>
      <w:hyperlink r:id="rId63" w:history="1">
        <w:r>
          <w:rPr>
            <w:rStyle w:val="Hyperlink"/>
          </w:rPr>
          <w:t>https://eur-lex.europa.eu/legal-content/RO/TXT/?uri=celex:52025DC0095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00FA" w14:textId="77777777" w:rsidR="00A91CD9" w:rsidRPr="00A91CD9" w:rsidRDefault="00A91CD9" w:rsidP="00A91CD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7E73E" w14:textId="77777777" w:rsidR="00A91CD9" w:rsidRPr="00A91CD9" w:rsidRDefault="00A91CD9" w:rsidP="00A91C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9B379" w14:textId="77777777" w:rsidR="00A91CD9" w:rsidRPr="00A91CD9" w:rsidRDefault="00A91CD9" w:rsidP="00A91C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230AF" w14:textId="77777777" w:rsidR="00AD2038" w:rsidRPr="008A49B6" w:rsidRDefault="00AD20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75A7" w14:textId="77777777" w:rsidR="00AD2038" w:rsidRPr="008A49B6" w:rsidRDefault="00AD20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CF454" w14:textId="77777777" w:rsidR="00AD2038" w:rsidRPr="008A49B6" w:rsidRDefault="00AD2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0CB"/>
    <w:multiLevelType w:val="multilevel"/>
    <w:tmpl w:val="7D9AFE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D3F12"/>
    <w:multiLevelType w:val="multilevel"/>
    <w:tmpl w:val="C21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2399F"/>
    <w:multiLevelType w:val="multilevel"/>
    <w:tmpl w:val="6BC2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23D58"/>
    <w:multiLevelType w:val="multilevel"/>
    <w:tmpl w:val="336C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B4B57"/>
    <w:multiLevelType w:val="multilevel"/>
    <w:tmpl w:val="F7B2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12C3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2900F7"/>
    <w:multiLevelType w:val="multilevel"/>
    <w:tmpl w:val="746AA9A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3F549A"/>
    <w:multiLevelType w:val="multilevel"/>
    <w:tmpl w:val="D6C6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055EC4"/>
    <w:multiLevelType w:val="hybridMultilevel"/>
    <w:tmpl w:val="7E9807EA"/>
    <w:lvl w:ilvl="0" w:tplc="94C4AF0E">
      <w:start w:val="1"/>
      <w:numFmt w:val="bullet"/>
      <w:lvlText w:val=""/>
      <w:lvlJc w:val="left"/>
      <w:pPr>
        <w:ind w:left="720" w:hanging="360"/>
      </w:pPr>
      <w:rPr>
        <w:rFonts w:ascii="Symbol" w:hAnsi="Symbol" w:hint="default"/>
      </w:rPr>
    </w:lvl>
    <w:lvl w:ilvl="1" w:tplc="34BEAE70" w:tentative="1">
      <w:start w:val="1"/>
      <w:numFmt w:val="bullet"/>
      <w:lvlText w:val="o"/>
      <w:lvlJc w:val="left"/>
      <w:pPr>
        <w:ind w:left="1440" w:hanging="360"/>
      </w:pPr>
      <w:rPr>
        <w:rFonts w:ascii="Courier New" w:hAnsi="Courier New" w:hint="default"/>
      </w:rPr>
    </w:lvl>
    <w:lvl w:ilvl="2" w:tplc="B3D0DFA0" w:tentative="1">
      <w:start w:val="1"/>
      <w:numFmt w:val="bullet"/>
      <w:lvlText w:val=""/>
      <w:lvlJc w:val="left"/>
      <w:pPr>
        <w:ind w:left="2160" w:hanging="360"/>
      </w:pPr>
      <w:rPr>
        <w:rFonts w:ascii="Wingdings" w:hAnsi="Wingdings" w:hint="default"/>
      </w:rPr>
    </w:lvl>
    <w:lvl w:ilvl="3" w:tplc="7E5284A2" w:tentative="1">
      <w:start w:val="1"/>
      <w:numFmt w:val="bullet"/>
      <w:lvlText w:val=""/>
      <w:lvlJc w:val="left"/>
      <w:pPr>
        <w:ind w:left="2880" w:hanging="360"/>
      </w:pPr>
      <w:rPr>
        <w:rFonts w:ascii="Symbol" w:hAnsi="Symbol" w:hint="default"/>
      </w:rPr>
    </w:lvl>
    <w:lvl w:ilvl="4" w:tplc="A57ACC76" w:tentative="1">
      <w:start w:val="1"/>
      <w:numFmt w:val="bullet"/>
      <w:lvlText w:val="o"/>
      <w:lvlJc w:val="left"/>
      <w:pPr>
        <w:ind w:left="3600" w:hanging="360"/>
      </w:pPr>
      <w:rPr>
        <w:rFonts w:ascii="Courier New" w:hAnsi="Courier New" w:hint="default"/>
      </w:rPr>
    </w:lvl>
    <w:lvl w:ilvl="5" w:tplc="76367FE2" w:tentative="1">
      <w:start w:val="1"/>
      <w:numFmt w:val="bullet"/>
      <w:lvlText w:val=""/>
      <w:lvlJc w:val="left"/>
      <w:pPr>
        <w:ind w:left="4320" w:hanging="360"/>
      </w:pPr>
      <w:rPr>
        <w:rFonts w:ascii="Wingdings" w:hAnsi="Wingdings" w:hint="default"/>
      </w:rPr>
    </w:lvl>
    <w:lvl w:ilvl="6" w:tplc="9D729ABA" w:tentative="1">
      <w:start w:val="1"/>
      <w:numFmt w:val="bullet"/>
      <w:lvlText w:val=""/>
      <w:lvlJc w:val="left"/>
      <w:pPr>
        <w:ind w:left="5040" w:hanging="360"/>
      </w:pPr>
      <w:rPr>
        <w:rFonts w:ascii="Symbol" w:hAnsi="Symbol" w:hint="default"/>
      </w:rPr>
    </w:lvl>
    <w:lvl w:ilvl="7" w:tplc="6BFC3F2A" w:tentative="1">
      <w:start w:val="1"/>
      <w:numFmt w:val="bullet"/>
      <w:lvlText w:val="o"/>
      <w:lvlJc w:val="left"/>
      <w:pPr>
        <w:ind w:left="5760" w:hanging="360"/>
      </w:pPr>
      <w:rPr>
        <w:rFonts w:ascii="Courier New" w:hAnsi="Courier New" w:hint="default"/>
      </w:rPr>
    </w:lvl>
    <w:lvl w:ilvl="8" w:tplc="965CDBB0" w:tentative="1">
      <w:start w:val="1"/>
      <w:numFmt w:val="bullet"/>
      <w:lvlText w:val=""/>
      <w:lvlJc w:val="left"/>
      <w:pPr>
        <w:ind w:left="6480" w:hanging="360"/>
      </w:pPr>
      <w:rPr>
        <w:rFonts w:ascii="Wingdings" w:hAnsi="Wingdings" w:hint="default"/>
      </w:rPr>
    </w:lvl>
  </w:abstractNum>
  <w:abstractNum w:abstractNumId="9" w15:restartNumberingAfterBreak="0">
    <w:nsid w:val="0C5C6692"/>
    <w:multiLevelType w:val="hybridMultilevel"/>
    <w:tmpl w:val="8BF24884"/>
    <w:lvl w:ilvl="0" w:tplc="7A84BCCE">
      <w:start w:val="1"/>
      <w:numFmt w:val="bullet"/>
      <w:lvlText w:val=""/>
      <w:lvlJc w:val="left"/>
      <w:pPr>
        <w:ind w:left="720" w:hanging="360"/>
      </w:pPr>
      <w:rPr>
        <w:rFonts w:ascii="Symbol" w:hAnsi="Symbol" w:hint="default"/>
      </w:rPr>
    </w:lvl>
    <w:lvl w:ilvl="1" w:tplc="DF8A2D0C" w:tentative="1">
      <w:start w:val="1"/>
      <w:numFmt w:val="bullet"/>
      <w:lvlText w:val="o"/>
      <w:lvlJc w:val="left"/>
      <w:pPr>
        <w:ind w:left="1440" w:hanging="360"/>
      </w:pPr>
      <w:rPr>
        <w:rFonts w:ascii="Courier New" w:hAnsi="Courier New" w:hint="default"/>
      </w:rPr>
    </w:lvl>
    <w:lvl w:ilvl="2" w:tplc="A184DE3E" w:tentative="1">
      <w:start w:val="1"/>
      <w:numFmt w:val="bullet"/>
      <w:lvlText w:val=""/>
      <w:lvlJc w:val="left"/>
      <w:pPr>
        <w:ind w:left="2160" w:hanging="360"/>
      </w:pPr>
      <w:rPr>
        <w:rFonts w:ascii="Wingdings" w:hAnsi="Wingdings" w:hint="default"/>
      </w:rPr>
    </w:lvl>
    <w:lvl w:ilvl="3" w:tplc="A3C8D3E6" w:tentative="1">
      <w:start w:val="1"/>
      <w:numFmt w:val="bullet"/>
      <w:lvlText w:val=""/>
      <w:lvlJc w:val="left"/>
      <w:pPr>
        <w:ind w:left="2880" w:hanging="360"/>
      </w:pPr>
      <w:rPr>
        <w:rFonts w:ascii="Symbol" w:hAnsi="Symbol" w:hint="default"/>
      </w:rPr>
    </w:lvl>
    <w:lvl w:ilvl="4" w:tplc="D6562CC6" w:tentative="1">
      <w:start w:val="1"/>
      <w:numFmt w:val="bullet"/>
      <w:lvlText w:val="o"/>
      <w:lvlJc w:val="left"/>
      <w:pPr>
        <w:ind w:left="3600" w:hanging="360"/>
      </w:pPr>
      <w:rPr>
        <w:rFonts w:ascii="Courier New" w:hAnsi="Courier New" w:hint="default"/>
      </w:rPr>
    </w:lvl>
    <w:lvl w:ilvl="5" w:tplc="2C447D3A" w:tentative="1">
      <w:start w:val="1"/>
      <w:numFmt w:val="bullet"/>
      <w:lvlText w:val=""/>
      <w:lvlJc w:val="left"/>
      <w:pPr>
        <w:ind w:left="4320" w:hanging="360"/>
      </w:pPr>
      <w:rPr>
        <w:rFonts w:ascii="Wingdings" w:hAnsi="Wingdings" w:hint="default"/>
      </w:rPr>
    </w:lvl>
    <w:lvl w:ilvl="6" w:tplc="8224FF2E" w:tentative="1">
      <w:start w:val="1"/>
      <w:numFmt w:val="bullet"/>
      <w:lvlText w:val=""/>
      <w:lvlJc w:val="left"/>
      <w:pPr>
        <w:ind w:left="5040" w:hanging="360"/>
      </w:pPr>
      <w:rPr>
        <w:rFonts w:ascii="Symbol" w:hAnsi="Symbol" w:hint="default"/>
      </w:rPr>
    </w:lvl>
    <w:lvl w:ilvl="7" w:tplc="40601A2E" w:tentative="1">
      <w:start w:val="1"/>
      <w:numFmt w:val="bullet"/>
      <w:lvlText w:val="o"/>
      <w:lvlJc w:val="left"/>
      <w:pPr>
        <w:ind w:left="5760" w:hanging="360"/>
      </w:pPr>
      <w:rPr>
        <w:rFonts w:ascii="Courier New" w:hAnsi="Courier New" w:hint="default"/>
      </w:rPr>
    </w:lvl>
    <w:lvl w:ilvl="8" w:tplc="B7F839F2" w:tentative="1">
      <w:start w:val="1"/>
      <w:numFmt w:val="bullet"/>
      <w:lvlText w:val=""/>
      <w:lvlJc w:val="left"/>
      <w:pPr>
        <w:ind w:left="6480" w:hanging="360"/>
      </w:pPr>
      <w:rPr>
        <w:rFonts w:ascii="Wingdings" w:hAnsi="Wingdings" w:hint="default"/>
      </w:rPr>
    </w:lvl>
  </w:abstractNum>
  <w:abstractNum w:abstractNumId="10" w15:restartNumberingAfterBreak="0">
    <w:nsid w:val="0EFB7115"/>
    <w:multiLevelType w:val="multilevel"/>
    <w:tmpl w:val="2F5C2CC2"/>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751"/>
        </w:tabs>
        <w:ind w:left="4751"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DD199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912BD6"/>
    <w:multiLevelType w:val="multilevel"/>
    <w:tmpl w:val="FAF0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CC745B"/>
    <w:multiLevelType w:val="multilevel"/>
    <w:tmpl w:val="35CAED8A"/>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E23677"/>
    <w:multiLevelType w:val="multilevel"/>
    <w:tmpl w:val="8652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0B7201"/>
    <w:multiLevelType w:val="multilevel"/>
    <w:tmpl w:val="3ED8670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43D0A16"/>
    <w:multiLevelType w:val="multilevel"/>
    <w:tmpl w:val="D45EC4D6"/>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4404691"/>
    <w:multiLevelType w:val="hybridMultilevel"/>
    <w:tmpl w:val="FFFFFFFF"/>
    <w:lvl w:ilvl="0" w:tplc="79149332">
      <w:start w:val="1"/>
      <w:numFmt w:val="bullet"/>
      <w:lvlText w:val=""/>
      <w:lvlJc w:val="left"/>
      <w:pPr>
        <w:ind w:left="720" w:hanging="360"/>
      </w:pPr>
      <w:rPr>
        <w:rFonts w:ascii="Symbol" w:hAnsi="Symbol" w:hint="default"/>
      </w:rPr>
    </w:lvl>
    <w:lvl w:ilvl="1" w:tplc="7220C250">
      <w:start w:val="1"/>
      <w:numFmt w:val="bullet"/>
      <w:lvlText w:val="o"/>
      <w:lvlJc w:val="left"/>
      <w:pPr>
        <w:ind w:left="1440" w:hanging="360"/>
      </w:pPr>
      <w:rPr>
        <w:rFonts w:ascii="Courier New" w:hAnsi="Courier New" w:hint="default"/>
      </w:rPr>
    </w:lvl>
    <w:lvl w:ilvl="2" w:tplc="FDA41060">
      <w:start w:val="1"/>
      <w:numFmt w:val="bullet"/>
      <w:lvlText w:val=""/>
      <w:lvlJc w:val="left"/>
      <w:pPr>
        <w:ind w:left="2160" w:hanging="360"/>
      </w:pPr>
      <w:rPr>
        <w:rFonts w:ascii="Wingdings" w:hAnsi="Wingdings" w:hint="default"/>
      </w:rPr>
    </w:lvl>
    <w:lvl w:ilvl="3" w:tplc="A49C66F4">
      <w:start w:val="1"/>
      <w:numFmt w:val="bullet"/>
      <w:lvlText w:val=""/>
      <w:lvlJc w:val="left"/>
      <w:pPr>
        <w:ind w:left="2880" w:hanging="360"/>
      </w:pPr>
      <w:rPr>
        <w:rFonts w:ascii="Symbol" w:hAnsi="Symbol" w:hint="default"/>
      </w:rPr>
    </w:lvl>
    <w:lvl w:ilvl="4" w:tplc="33A0CB48">
      <w:start w:val="1"/>
      <w:numFmt w:val="bullet"/>
      <w:lvlText w:val="o"/>
      <w:lvlJc w:val="left"/>
      <w:pPr>
        <w:ind w:left="3600" w:hanging="360"/>
      </w:pPr>
      <w:rPr>
        <w:rFonts w:ascii="Courier New" w:hAnsi="Courier New" w:hint="default"/>
      </w:rPr>
    </w:lvl>
    <w:lvl w:ilvl="5" w:tplc="1B340C8E">
      <w:start w:val="1"/>
      <w:numFmt w:val="bullet"/>
      <w:lvlText w:val=""/>
      <w:lvlJc w:val="left"/>
      <w:pPr>
        <w:ind w:left="4320" w:hanging="360"/>
      </w:pPr>
      <w:rPr>
        <w:rFonts w:ascii="Wingdings" w:hAnsi="Wingdings" w:hint="default"/>
      </w:rPr>
    </w:lvl>
    <w:lvl w:ilvl="6" w:tplc="274AA434">
      <w:start w:val="1"/>
      <w:numFmt w:val="bullet"/>
      <w:lvlText w:val=""/>
      <w:lvlJc w:val="left"/>
      <w:pPr>
        <w:ind w:left="5040" w:hanging="360"/>
      </w:pPr>
      <w:rPr>
        <w:rFonts w:ascii="Symbol" w:hAnsi="Symbol" w:hint="default"/>
      </w:rPr>
    </w:lvl>
    <w:lvl w:ilvl="7" w:tplc="E60CDF8C">
      <w:start w:val="1"/>
      <w:numFmt w:val="bullet"/>
      <w:lvlText w:val="o"/>
      <w:lvlJc w:val="left"/>
      <w:pPr>
        <w:ind w:left="5760" w:hanging="360"/>
      </w:pPr>
      <w:rPr>
        <w:rFonts w:ascii="Courier New" w:hAnsi="Courier New" w:hint="default"/>
      </w:rPr>
    </w:lvl>
    <w:lvl w:ilvl="8" w:tplc="8AD24610">
      <w:start w:val="1"/>
      <w:numFmt w:val="bullet"/>
      <w:lvlText w:val=""/>
      <w:lvlJc w:val="left"/>
      <w:pPr>
        <w:ind w:left="6480" w:hanging="360"/>
      </w:pPr>
      <w:rPr>
        <w:rFonts w:ascii="Wingdings" w:hAnsi="Wingdings" w:hint="default"/>
      </w:rPr>
    </w:lvl>
  </w:abstractNum>
  <w:abstractNum w:abstractNumId="19" w15:restartNumberingAfterBreak="0">
    <w:nsid w:val="14844403"/>
    <w:multiLevelType w:val="multilevel"/>
    <w:tmpl w:val="BAB8B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56A303D"/>
    <w:multiLevelType w:val="multilevel"/>
    <w:tmpl w:val="8A9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B37999"/>
    <w:multiLevelType w:val="multilevel"/>
    <w:tmpl w:val="788A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72F0AC5"/>
    <w:multiLevelType w:val="multilevel"/>
    <w:tmpl w:val="8884CB1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8483943"/>
    <w:multiLevelType w:val="hybridMultilevel"/>
    <w:tmpl w:val="0FA82090"/>
    <w:lvl w:ilvl="0" w:tplc="6A48C232">
      <w:start w:val="1"/>
      <w:numFmt w:val="bullet"/>
      <w:lvlText w:val=""/>
      <w:lvlJc w:val="left"/>
      <w:pPr>
        <w:ind w:left="720" w:hanging="360"/>
      </w:pPr>
      <w:rPr>
        <w:rFonts w:ascii="Symbol" w:hAnsi="Symbol" w:hint="default"/>
      </w:rPr>
    </w:lvl>
    <w:lvl w:ilvl="1" w:tplc="9FCCE752" w:tentative="1">
      <w:start w:val="1"/>
      <w:numFmt w:val="bullet"/>
      <w:lvlText w:val="o"/>
      <w:lvlJc w:val="left"/>
      <w:pPr>
        <w:ind w:left="1440" w:hanging="360"/>
      </w:pPr>
      <w:rPr>
        <w:rFonts w:ascii="Courier New" w:hAnsi="Courier New" w:hint="default"/>
      </w:rPr>
    </w:lvl>
    <w:lvl w:ilvl="2" w:tplc="B2F6011E" w:tentative="1">
      <w:start w:val="1"/>
      <w:numFmt w:val="bullet"/>
      <w:lvlText w:val=""/>
      <w:lvlJc w:val="left"/>
      <w:pPr>
        <w:ind w:left="2160" w:hanging="360"/>
      </w:pPr>
      <w:rPr>
        <w:rFonts w:ascii="Wingdings" w:hAnsi="Wingdings" w:hint="default"/>
      </w:rPr>
    </w:lvl>
    <w:lvl w:ilvl="3" w:tplc="27D45DFE" w:tentative="1">
      <w:start w:val="1"/>
      <w:numFmt w:val="bullet"/>
      <w:lvlText w:val=""/>
      <w:lvlJc w:val="left"/>
      <w:pPr>
        <w:ind w:left="2880" w:hanging="360"/>
      </w:pPr>
      <w:rPr>
        <w:rFonts w:ascii="Symbol" w:hAnsi="Symbol" w:hint="default"/>
      </w:rPr>
    </w:lvl>
    <w:lvl w:ilvl="4" w:tplc="3990D6E2" w:tentative="1">
      <w:start w:val="1"/>
      <w:numFmt w:val="bullet"/>
      <w:lvlText w:val="o"/>
      <w:lvlJc w:val="left"/>
      <w:pPr>
        <w:ind w:left="3600" w:hanging="360"/>
      </w:pPr>
      <w:rPr>
        <w:rFonts w:ascii="Courier New" w:hAnsi="Courier New" w:hint="default"/>
      </w:rPr>
    </w:lvl>
    <w:lvl w:ilvl="5" w:tplc="1BB2C720" w:tentative="1">
      <w:start w:val="1"/>
      <w:numFmt w:val="bullet"/>
      <w:lvlText w:val=""/>
      <w:lvlJc w:val="left"/>
      <w:pPr>
        <w:ind w:left="4320" w:hanging="360"/>
      </w:pPr>
      <w:rPr>
        <w:rFonts w:ascii="Wingdings" w:hAnsi="Wingdings" w:hint="default"/>
      </w:rPr>
    </w:lvl>
    <w:lvl w:ilvl="6" w:tplc="C9ECF2FE" w:tentative="1">
      <w:start w:val="1"/>
      <w:numFmt w:val="bullet"/>
      <w:lvlText w:val=""/>
      <w:lvlJc w:val="left"/>
      <w:pPr>
        <w:ind w:left="5040" w:hanging="360"/>
      </w:pPr>
      <w:rPr>
        <w:rFonts w:ascii="Symbol" w:hAnsi="Symbol" w:hint="default"/>
      </w:rPr>
    </w:lvl>
    <w:lvl w:ilvl="7" w:tplc="9A9A9AF6" w:tentative="1">
      <w:start w:val="1"/>
      <w:numFmt w:val="bullet"/>
      <w:lvlText w:val="o"/>
      <w:lvlJc w:val="left"/>
      <w:pPr>
        <w:ind w:left="5760" w:hanging="360"/>
      </w:pPr>
      <w:rPr>
        <w:rFonts w:ascii="Courier New" w:hAnsi="Courier New" w:hint="default"/>
      </w:rPr>
    </w:lvl>
    <w:lvl w:ilvl="8" w:tplc="3E9E9FFA" w:tentative="1">
      <w:start w:val="1"/>
      <w:numFmt w:val="bullet"/>
      <w:lvlText w:val=""/>
      <w:lvlJc w:val="left"/>
      <w:pPr>
        <w:ind w:left="6480" w:hanging="360"/>
      </w:pPr>
      <w:rPr>
        <w:rFonts w:ascii="Wingdings" w:hAnsi="Wingdings" w:hint="default"/>
      </w:rPr>
    </w:lvl>
  </w:abstractNum>
  <w:abstractNum w:abstractNumId="24" w15:restartNumberingAfterBreak="0">
    <w:nsid w:val="1A5326D5"/>
    <w:multiLevelType w:val="multilevel"/>
    <w:tmpl w:val="F93E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E20423"/>
    <w:multiLevelType w:val="multilevel"/>
    <w:tmpl w:val="DA046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BF24E87"/>
    <w:multiLevelType w:val="multilevel"/>
    <w:tmpl w:val="C50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C7B624F"/>
    <w:multiLevelType w:val="multilevel"/>
    <w:tmpl w:val="23421EE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7500DE"/>
    <w:multiLevelType w:val="multilevel"/>
    <w:tmpl w:val="ED92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B20503"/>
    <w:multiLevelType w:val="hybridMultilevel"/>
    <w:tmpl w:val="08DAF664"/>
    <w:lvl w:ilvl="0" w:tplc="22DEE01C">
      <w:start w:val="1"/>
      <w:numFmt w:val="bullet"/>
      <w:lvlText w:val=""/>
      <w:lvlJc w:val="left"/>
      <w:pPr>
        <w:ind w:left="720" w:hanging="360"/>
      </w:pPr>
      <w:rPr>
        <w:rFonts w:ascii="Symbol" w:hAnsi="Symbol" w:hint="default"/>
      </w:rPr>
    </w:lvl>
    <w:lvl w:ilvl="1" w:tplc="4AD40984">
      <w:start w:val="1"/>
      <w:numFmt w:val="bullet"/>
      <w:lvlText w:val="o"/>
      <w:lvlJc w:val="left"/>
      <w:pPr>
        <w:ind w:left="1440" w:hanging="360"/>
      </w:pPr>
      <w:rPr>
        <w:rFonts w:ascii="Courier New" w:hAnsi="Courier New" w:hint="default"/>
      </w:rPr>
    </w:lvl>
    <w:lvl w:ilvl="2" w:tplc="73889382" w:tentative="1">
      <w:start w:val="1"/>
      <w:numFmt w:val="bullet"/>
      <w:lvlText w:val=""/>
      <w:lvlJc w:val="left"/>
      <w:pPr>
        <w:ind w:left="2160" w:hanging="360"/>
      </w:pPr>
      <w:rPr>
        <w:rFonts w:ascii="Wingdings" w:hAnsi="Wingdings" w:hint="default"/>
      </w:rPr>
    </w:lvl>
    <w:lvl w:ilvl="3" w:tplc="77CEA178" w:tentative="1">
      <w:start w:val="1"/>
      <w:numFmt w:val="bullet"/>
      <w:lvlText w:val=""/>
      <w:lvlJc w:val="left"/>
      <w:pPr>
        <w:ind w:left="2880" w:hanging="360"/>
      </w:pPr>
      <w:rPr>
        <w:rFonts w:ascii="Symbol" w:hAnsi="Symbol" w:hint="default"/>
      </w:rPr>
    </w:lvl>
    <w:lvl w:ilvl="4" w:tplc="E960A222" w:tentative="1">
      <w:start w:val="1"/>
      <w:numFmt w:val="bullet"/>
      <w:lvlText w:val="o"/>
      <w:lvlJc w:val="left"/>
      <w:pPr>
        <w:ind w:left="3600" w:hanging="360"/>
      </w:pPr>
      <w:rPr>
        <w:rFonts w:ascii="Courier New" w:hAnsi="Courier New" w:hint="default"/>
      </w:rPr>
    </w:lvl>
    <w:lvl w:ilvl="5" w:tplc="9E20B112" w:tentative="1">
      <w:start w:val="1"/>
      <w:numFmt w:val="bullet"/>
      <w:lvlText w:val=""/>
      <w:lvlJc w:val="left"/>
      <w:pPr>
        <w:ind w:left="4320" w:hanging="360"/>
      </w:pPr>
      <w:rPr>
        <w:rFonts w:ascii="Wingdings" w:hAnsi="Wingdings" w:hint="default"/>
      </w:rPr>
    </w:lvl>
    <w:lvl w:ilvl="6" w:tplc="70D2AC10" w:tentative="1">
      <w:start w:val="1"/>
      <w:numFmt w:val="bullet"/>
      <w:lvlText w:val=""/>
      <w:lvlJc w:val="left"/>
      <w:pPr>
        <w:ind w:left="5040" w:hanging="360"/>
      </w:pPr>
      <w:rPr>
        <w:rFonts w:ascii="Symbol" w:hAnsi="Symbol" w:hint="default"/>
      </w:rPr>
    </w:lvl>
    <w:lvl w:ilvl="7" w:tplc="60DEBABC" w:tentative="1">
      <w:start w:val="1"/>
      <w:numFmt w:val="bullet"/>
      <w:lvlText w:val="o"/>
      <w:lvlJc w:val="left"/>
      <w:pPr>
        <w:ind w:left="5760" w:hanging="360"/>
      </w:pPr>
      <w:rPr>
        <w:rFonts w:ascii="Courier New" w:hAnsi="Courier New" w:hint="default"/>
      </w:rPr>
    </w:lvl>
    <w:lvl w:ilvl="8" w:tplc="5CAEE08A" w:tentative="1">
      <w:start w:val="1"/>
      <w:numFmt w:val="bullet"/>
      <w:lvlText w:val=""/>
      <w:lvlJc w:val="left"/>
      <w:pPr>
        <w:ind w:left="6480" w:hanging="360"/>
      </w:pPr>
      <w:rPr>
        <w:rFonts w:ascii="Wingdings" w:hAnsi="Wingdings" w:hint="default"/>
      </w:rPr>
    </w:lvl>
  </w:abstractNum>
  <w:abstractNum w:abstractNumId="30" w15:restartNumberingAfterBreak="0">
    <w:nsid w:val="24D52C22"/>
    <w:multiLevelType w:val="hybridMultilevel"/>
    <w:tmpl w:val="79CAAD78"/>
    <w:lvl w:ilvl="0" w:tplc="22DEE0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7642AF"/>
    <w:multiLevelType w:val="multilevel"/>
    <w:tmpl w:val="E20C98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8113EC5"/>
    <w:multiLevelType w:val="hybridMultilevel"/>
    <w:tmpl w:val="73A04500"/>
    <w:lvl w:ilvl="0" w:tplc="F7006BBA">
      <w:start w:val="1"/>
      <w:numFmt w:val="bullet"/>
      <w:lvlText w:val=""/>
      <w:lvlJc w:val="left"/>
      <w:pPr>
        <w:ind w:left="720" w:hanging="360"/>
      </w:pPr>
      <w:rPr>
        <w:rFonts w:ascii="Symbol" w:hAnsi="Symbol" w:hint="default"/>
      </w:rPr>
    </w:lvl>
    <w:lvl w:ilvl="1" w:tplc="23D27EB4">
      <w:start w:val="1"/>
      <w:numFmt w:val="bullet"/>
      <w:lvlText w:val="o"/>
      <w:lvlJc w:val="left"/>
      <w:pPr>
        <w:ind w:left="1440" w:hanging="360"/>
      </w:pPr>
      <w:rPr>
        <w:rFonts w:ascii="Courier New" w:hAnsi="Courier New" w:hint="default"/>
      </w:rPr>
    </w:lvl>
    <w:lvl w:ilvl="2" w:tplc="4E9C13C4" w:tentative="1">
      <w:start w:val="1"/>
      <w:numFmt w:val="bullet"/>
      <w:lvlText w:val=""/>
      <w:lvlJc w:val="left"/>
      <w:pPr>
        <w:ind w:left="2160" w:hanging="360"/>
      </w:pPr>
      <w:rPr>
        <w:rFonts w:ascii="Wingdings" w:hAnsi="Wingdings" w:hint="default"/>
      </w:rPr>
    </w:lvl>
    <w:lvl w:ilvl="3" w:tplc="A70AB3E0" w:tentative="1">
      <w:start w:val="1"/>
      <w:numFmt w:val="bullet"/>
      <w:lvlText w:val=""/>
      <w:lvlJc w:val="left"/>
      <w:pPr>
        <w:ind w:left="2880" w:hanging="360"/>
      </w:pPr>
      <w:rPr>
        <w:rFonts w:ascii="Symbol" w:hAnsi="Symbol" w:hint="default"/>
      </w:rPr>
    </w:lvl>
    <w:lvl w:ilvl="4" w:tplc="453EB9D2" w:tentative="1">
      <w:start w:val="1"/>
      <w:numFmt w:val="bullet"/>
      <w:lvlText w:val="o"/>
      <w:lvlJc w:val="left"/>
      <w:pPr>
        <w:ind w:left="3600" w:hanging="360"/>
      </w:pPr>
      <w:rPr>
        <w:rFonts w:ascii="Courier New" w:hAnsi="Courier New" w:hint="default"/>
      </w:rPr>
    </w:lvl>
    <w:lvl w:ilvl="5" w:tplc="26BC41D0" w:tentative="1">
      <w:start w:val="1"/>
      <w:numFmt w:val="bullet"/>
      <w:lvlText w:val=""/>
      <w:lvlJc w:val="left"/>
      <w:pPr>
        <w:ind w:left="4320" w:hanging="360"/>
      </w:pPr>
      <w:rPr>
        <w:rFonts w:ascii="Wingdings" w:hAnsi="Wingdings" w:hint="default"/>
      </w:rPr>
    </w:lvl>
    <w:lvl w:ilvl="6" w:tplc="2FE0F82E" w:tentative="1">
      <w:start w:val="1"/>
      <w:numFmt w:val="bullet"/>
      <w:lvlText w:val=""/>
      <w:lvlJc w:val="left"/>
      <w:pPr>
        <w:ind w:left="5040" w:hanging="360"/>
      </w:pPr>
      <w:rPr>
        <w:rFonts w:ascii="Symbol" w:hAnsi="Symbol" w:hint="default"/>
      </w:rPr>
    </w:lvl>
    <w:lvl w:ilvl="7" w:tplc="8B0A9614" w:tentative="1">
      <w:start w:val="1"/>
      <w:numFmt w:val="bullet"/>
      <w:lvlText w:val="o"/>
      <w:lvlJc w:val="left"/>
      <w:pPr>
        <w:ind w:left="5760" w:hanging="360"/>
      </w:pPr>
      <w:rPr>
        <w:rFonts w:ascii="Courier New" w:hAnsi="Courier New" w:hint="default"/>
      </w:rPr>
    </w:lvl>
    <w:lvl w:ilvl="8" w:tplc="ED86F5C2" w:tentative="1">
      <w:start w:val="1"/>
      <w:numFmt w:val="bullet"/>
      <w:lvlText w:val=""/>
      <w:lvlJc w:val="left"/>
      <w:pPr>
        <w:ind w:left="6480" w:hanging="360"/>
      </w:pPr>
      <w:rPr>
        <w:rFonts w:ascii="Wingdings" w:hAnsi="Wingdings" w:hint="default"/>
      </w:rPr>
    </w:lvl>
  </w:abstractNum>
  <w:abstractNum w:abstractNumId="33" w15:restartNumberingAfterBreak="0">
    <w:nsid w:val="2A720581"/>
    <w:multiLevelType w:val="multilevel"/>
    <w:tmpl w:val="8744D0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820814"/>
    <w:multiLevelType w:val="multilevel"/>
    <w:tmpl w:val="52BC80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8DFDF8"/>
    <w:multiLevelType w:val="multilevel"/>
    <w:tmpl w:val="F2880138"/>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CB71408"/>
    <w:multiLevelType w:val="multilevel"/>
    <w:tmpl w:val="7748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293CE3"/>
    <w:multiLevelType w:val="multilevel"/>
    <w:tmpl w:val="5CD4C4EA"/>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E5939EF"/>
    <w:multiLevelType w:val="multilevel"/>
    <w:tmpl w:val="9A82D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F5D3351"/>
    <w:multiLevelType w:val="hybridMultilevel"/>
    <w:tmpl w:val="D212A6D6"/>
    <w:styleLink w:val="ImportedStyle2"/>
    <w:lvl w:ilvl="0" w:tplc="4E60232C">
      <w:start w:val="1"/>
      <w:numFmt w:val="bullet"/>
      <w:lvlText w:val="·"/>
      <w:lvlJc w:val="left"/>
      <w:pPr>
        <w:ind w:left="72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1" w:tplc="C7465E5C">
      <w:start w:val="1"/>
      <w:numFmt w:val="bullet"/>
      <w:lvlText w:val="o"/>
      <w:lvlJc w:val="left"/>
      <w:pPr>
        <w:ind w:left="144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2" w:tplc="6E623518">
      <w:start w:val="1"/>
      <w:numFmt w:val="bullet"/>
      <w:lvlText w:val="▪"/>
      <w:lvlJc w:val="left"/>
      <w:pPr>
        <w:ind w:left="216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3" w:tplc="509E0BCE">
      <w:start w:val="1"/>
      <w:numFmt w:val="bullet"/>
      <w:lvlText w:val="·"/>
      <w:lvlJc w:val="left"/>
      <w:pPr>
        <w:ind w:left="28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4" w:tplc="29E0C354">
      <w:start w:val="1"/>
      <w:numFmt w:val="bullet"/>
      <w:lvlText w:val="o"/>
      <w:lvlJc w:val="left"/>
      <w:pPr>
        <w:ind w:left="360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5" w:tplc="E70AF208">
      <w:start w:val="1"/>
      <w:numFmt w:val="bullet"/>
      <w:lvlText w:val="▪"/>
      <w:lvlJc w:val="left"/>
      <w:pPr>
        <w:ind w:left="432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6" w:tplc="CB66AD34">
      <w:start w:val="1"/>
      <w:numFmt w:val="bullet"/>
      <w:lvlText w:val="·"/>
      <w:lvlJc w:val="left"/>
      <w:pPr>
        <w:ind w:left="504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7" w:tplc="3BFA37A2">
      <w:start w:val="1"/>
      <w:numFmt w:val="bullet"/>
      <w:lvlText w:val="o"/>
      <w:lvlJc w:val="left"/>
      <w:pPr>
        <w:ind w:left="576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8" w:tplc="99083890">
      <w:start w:val="1"/>
      <w:numFmt w:val="bullet"/>
      <w:lvlText w:val="▪"/>
      <w:lvlJc w:val="left"/>
      <w:pPr>
        <w:ind w:left="648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abstractNum>
  <w:abstractNum w:abstractNumId="40" w15:restartNumberingAfterBreak="0">
    <w:nsid w:val="35500192"/>
    <w:multiLevelType w:val="hybridMultilevel"/>
    <w:tmpl w:val="CB3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02233E"/>
    <w:multiLevelType w:val="hybridMultilevel"/>
    <w:tmpl w:val="708655A6"/>
    <w:lvl w:ilvl="0" w:tplc="4482A772">
      <w:start w:val="1"/>
      <w:numFmt w:val="bullet"/>
      <w:lvlText w:val=""/>
      <w:lvlJc w:val="left"/>
      <w:pPr>
        <w:ind w:left="720" w:hanging="360"/>
      </w:pPr>
      <w:rPr>
        <w:rFonts w:ascii="Symbol" w:hAnsi="Symbol" w:hint="default"/>
      </w:rPr>
    </w:lvl>
    <w:lvl w:ilvl="1" w:tplc="41108C56" w:tentative="1">
      <w:start w:val="1"/>
      <w:numFmt w:val="bullet"/>
      <w:lvlText w:val="o"/>
      <w:lvlJc w:val="left"/>
      <w:pPr>
        <w:ind w:left="1440" w:hanging="360"/>
      </w:pPr>
      <w:rPr>
        <w:rFonts w:ascii="Courier New" w:hAnsi="Courier New" w:hint="default"/>
      </w:rPr>
    </w:lvl>
    <w:lvl w:ilvl="2" w:tplc="4EA2F3A6" w:tentative="1">
      <w:start w:val="1"/>
      <w:numFmt w:val="bullet"/>
      <w:lvlText w:val=""/>
      <w:lvlJc w:val="left"/>
      <w:pPr>
        <w:ind w:left="2160" w:hanging="360"/>
      </w:pPr>
      <w:rPr>
        <w:rFonts w:ascii="Wingdings" w:hAnsi="Wingdings" w:hint="default"/>
      </w:rPr>
    </w:lvl>
    <w:lvl w:ilvl="3" w:tplc="B1EE8764" w:tentative="1">
      <w:start w:val="1"/>
      <w:numFmt w:val="bullet"/>
      <w:lvlText w:val=""/>
      <w:lvlJc w:val="left"/>
      <w:pPr>
        <w:ind w:left="2880" w:hanging="360"/>
      </w:pPr>
      <w:rPr>
        <w:rFonts w:ascii="Symbol" w:hAnsi="Symbol" w:hint="default"/>
      </w:rPr>
    </w:lvl>
    <w:lvl w:ilvl="4" w:tplc="AAA63188" w:tentative="1">
      <w:start w:val="1"/>
      <w:numFmt w:val="bullet"/>
      <w:lvlText w:val="o"/>
      <w:lvlJc w:val="left"/>
      <w:pPr>
        <w:ind w:left="3600" w:hanging="360"/>
      </w:pPr>
      <w:rPr>
        <w:rFonts w:ascii="Courier New" w:hAnsi="Courier New" w:hint="default"/>
      </w:rPr>
    </w:lvl>
    <w:lvl w:ilvl="5" w:tplc="7CEE4576" w:tentative="1">
      <w:start w:val="1"/>
      <w:numFmt w:val="bullet"/>
      <w:lvlText w:val=""/>
      <w:lvlJc w:val="left"/>
      <w:pPr>
        <w:ind w:left="4320" w:hanging="360"/>
      </w:pPr>
      <w:rPr>
        <w:rFonts w:ascii="Wingdings" w:hAnsi="Wingdings" w:hint="default"/>
      </w:rPr>
    </w:lvl>
    <w:lvl w:ilvl="6" w:tplc="44BA027A" w:tentative="1">
      <w:start w:val="1"/>
      <w:numFmt w:val="bullet"/>
      <w:lvlText w:val=""/>
      <w:lvlJc w:val="left"/>
      <w:pPr>
        <w:ind w:left="5040" w:hanging="360"/>
      </w:pPr>
      <w:rPr>
        <w:rFonts w:ascii="Symbol" w:hAnsi="Symbol" w:hint="default"/>
      </w:rPr>
    </w:lvl>
    <w:lvl w:ilvl="7" w:tplc="47DC1050" w:tentative="1">
      <w:start w:val="1"/>
      <w:numFmt w:val="bullet"/>
      <w:lvlText w:val="o"/>
      <w:lvlJc w:val="left"/>
      <w:pPr>
        <w:ind w:left="5760" w:hanging="360"/>
      </w:pPr>
      <w:rPr>
        <w:rFonts w:ascii="Courier New" w:hAnsi="Courier New" w:hint="default"/>
      </w:rPr>
    </w:lvl>
    <w:lvl w:ilvl="8" w:tplc="47FE3166" w:tentative="1">
      <w:start w:val="1"/>
      <w:numFmt w:val="bullet"/>
      <w:lvlText w:val=""/>
      <w:lvlJc w:val="left"/>
      <w:pPr>
        <w:ind w:left="6480" w:hanging="360"/>
      </w:pPr>
      <w:rPr>
        <w:rFonts w:ascii="Wingdings" w:hAnsi="Wingdings" w:hint="default"/>
      </w:rPr>
    </w:lvl>
  </w:abstractNum>
  <w:abstractNum w:abstractNumId="42" w15:restartNumberingAfterBreak="0">
    <w:nsid w:val="36324F1E"/>
    <w:multiLevelType w:val="multilevel"/>
    <w:tmpl w:val="1E5C3A54"/>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7173AAC"/>
    <w:multiLevelType w:val="multilevel"/>
    <w:tmpl w:val="325AFE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76A2266"/>
    <w:multiLevelType w:val="multilevel"/>
    <w:tmpl w:val="92B6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7CB1E1C"/>
    <w:multiLevelType w:val="multilevel"/>
    <w:tmpl w:val="2E6A1122"/>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8FD114B"/>
    <w:multiLevelType w:val="multilevel"/>
    <w:tmpl w:val="60A4D1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7730C4"/>
    <w:multiLevelType w:val="multilevel"/>
    <w:tmpl w:val="345C285E"/>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A9642B8"/>
    <w:multiLevelType w:val="multilevel"/>
    <w:tmpl w:val="860A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B669EF"/>
    <w:multiLevelType w:val="multilevel"/>
    <w:tmpl w:val="999C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EDF2881"/>
    <w:multiLevelType w:val="multilevel"/>
    <w:tmpl w:val="1540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6B3343"/>
    <w:multiLevelType w:val="hybridMultilevel"/>
    <w:tmpl w:val="8B70D9E0"/>
    <w:styleLink w:val="ImportedStyle3"/>
    <w:lvl w:ilvl="0" w:tplc="7C727FC4">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rPr>
    </w:lvl>
    <w:lvl w:ilvl="1" w:tplc="03E8349E">
      <w:start w:val="1"/>
      <w:numFmt w:val="decimal"/>
      <w:lvlText w:val="%2."/>
      <w:lvlJc w:val="left"/>
      <w:pPr>
        <w:ind w:left="1080" w:hanging="360"/>
      </w:pPr>
      <w:rPr>
        <w:caps w:val="0"/>
        <w:smallCaps w:val="0"/>
        <w:strike w:val="0"/>
        <w:dstrike w:val="0"/>
        <w:color w:val="000000"/>
        <w:spacing w:val="0"/>
        <w:w w:val="100"/>
        <w:kern w:val="0"/>
        <w:position w:val="0"/>
        <w:highlight w:val="none"/>
        <w:vertAlign w:val="baseline"/>
      </w:rPr>
    </w:lvl>
    <w:lvl w:ilvl="2" w:tplc="E362C5EE">
      <w:start w:val="1"/>
      <w:numFmt w:val="decimal"/>
      <w:lvlText w:val="%3."/>
      <w:lvlJc w:val="left"/>
      <w:pPr>
        <w:ind w:left="1800" w:hanging="360"/>
      </w:pPr>
      <w:rPr>
        <w:caps w:val="0"/>
        <w:smallCaps w:val="0"/>
        <w:strike w:val="0"/>
        <w:dstrike w:val="0"/>
        <w:color w:val="000000"/>
        <w:spacing w:val="0"/>
        <w:w w:val="100"/>
        <w:kern w:val="0"/>
        <w:position w:val="0"/>
        <w:highlight w:val="none"/>
        <w:vertAlign w:val="baseline"/>
      </w:rPr>
    </w:lvl>
    <w:lvl w:ilvl="3" w:tplc="BEE86F06">
      <w:start w:val="1"/>
      <w:numFmt w:val="decimal"/>
      <w:lvlText w:val="%4."/>
      <w:lvlJc w:val="left"/>
      <w:pPr>
        <w:ind w:left="2520" w:hanging="360"/>
      </w:pPr>
      <w:rPr>
        <w:caps w:val="0"/>
        <w:smallCaps w:val="0"/>
        <w:strike w:val="0"/>
        <w:dstrike w:val="0"/>
        <w:color w:val="000000"/>
        <w:spacing w:val="0"/>
        <w:w w:val="100"/>
        <w:kern w:val="0"/>
        <w:position w:val="0"/>
        <w:highlight w:val="none"/>
        <w:vertAlign w:val="baseline"/>
      </w:rPr>
    </w:lvl>
    <w:lvl w:ilvl="4" w:tplc="D0BAF262">
      <w:start w:val="1"/>
      <w:numFmt w:val="decimal"/>
      <w:lvlText w:val="%5."/>
      <w:lvlJc w:val="left"/>
      <w:pPr>
        <w:ind w:left="3240" w:hanging="360"/>
      </w:pPr>
      <w:rPr>
        <w:caps w:val="0"/>
        <w:smallCaps w:val="0"/>
        <w:strike w:val="0"/>
        <w:dstrike w:val="0"/>
        <w:color w:val="000000"/>
        <w:spacing w:val="0"/>
        <w:w w:val="100"/>
        <w:kern w:val="0"/>
        <w:position w:val="0"/>
        <w:highlight w:val="none"/>
        <w:vertAlign w:val="baseline"/>
      </w:rPr>
    </w:lvl>
    <w:lvl w:ilvl="5" w:tplc="599ADF4E">
      <w:start w:val="1"/>
      <w:numFmt w:val="decimal"/>
      <w:lvlText w:val="%6."/>
      <w:lvlJc w:val="left"/>
      <w:pPr>
        <w:ind w:left="3960" w:hanging="360"/>
      </w:pPr>
      <w:rPr>
        <w:caps w:val="0"/>
        <w:smallCaps w:val="0"/>
        <w:strike w:val="0"/>
        <w:dstrike w:val="0"/>
        <w:color w:val="000000"/>
        <w:spacing w:val="0"/>
        <w:w w:val="100"/>
        <w:kern w:val="0"/>
        <w:position w:val="0"/>
        <w:highlight w:val="none"/>
        <w:vertAlign w:val="baseline"/>
      </w:rPr>
    </w:lvl>
    <w:lvl w:ilvl="6" w:tplc="660A1054">
      <w:start w:val="1"/>
      <w:numFmt w:val="decimal"/>
      <w:lvlText w:val="%7."/>
      <w:lvlJc w:val="left"/>
      <w:pPr>
        <w:ind w:left="4680" w:hanging="360"/>
      </w:pPr>
      <w:rPr>
        <w:caps w:val="0"/>
        <w:smallCaps w:val="0"/>
        <w:strike w:val="0"/>
        <w:dstrike w:val="0"/>
        <w:color w:val="000000"/>
        <w:spacing w:val="0"/>
        <w:w w:val="100"/>
        <w:kern w:val="0"/>
        <w:position w:val="0"/>
        <w:highlight w:val="none"/>
        <w:vertAlign w:val="baseline"/>
      </w:rPr>
    </w:lvl>
    <w:lvl w:ilvl="7" w:tplc="A58675A6">
      <w:start w:val="1"/>
      <w:numFmt w:val="decimal"/>
      <w:lvlText w:val="%8."/>
      <w:lvlJc w:val="left"/>
      <w:pPr>
        <w:ind w:left="5400" w:hanging="360"/>
      </w:pPr>
      <w:rPr>
        <w:caps w:val="0"/>
        <w:smallCaps w:val="0"/>
        <w:strike w:val="0"/>
        <w:dstrike w:val="0"/>
        <w:color w:val="000000"/>
        <w:spacing w:val="0"/>
        <w:w w:val="100"/>
        <w:kern w:val="0"/>
        <w:position w:val="0"/>
        <w:highlight w:val="none"/>
        <w:vertAlign w:val="baseline"/>
      </w:rPr>
    </w:lvl>
    <w:lvl w:ilvl="8" w:tplc="FB3CE2FE">
      <w:start w:val="1"/>
      <w:numFmt w:val="decimal"/>
      <w:lvlText w:val="%9."/>
      <w:lvlJc w:val="left"/>
      <w:pPr>
        <w:ind w:left="6120" w:hanging="360"/>
      </w:pPr>
      <w:rPr>
        <w:caps w:val="0"/>
        <w:smallCaps w:val="0"/>
        <w:strike w:val="0"/>
        <w:dstrike w:val="0"/>
        <w:color w:val="000000"/>
        <w:spacing w:val="0"/>
        <w:w w:val="100"/>
        <w:kern w:val="0"/>
        <w:position w:val="0"/>
        <w:highlight w:val="none"/>
        <w:vertAlign w:val="baseline"/>
      </w:rPr>
    </w:lvl>
  </w:abstractNum>
  <w:abstractNum w:abstractNumId="52" w15:restartNumberingAfterBreak="0">
    <w:nsid w:val="3FE210EE"/>
    <w:multiLevelType w:val="hybridMultilevel"/>
    <w:tmpl w:val="61C40534"/>
    <w:lvl w:ilvl="0" w:tplc="07825A20">
      <w:start w:val="1"/>
      <w:numFmt w:val="bullet"/>
      <w:lvlText w:val=""/>
      <w:lvlJc w:val="left"/>
      <w:pPr>
        <w:ind w:left="1440" w:hanging="360"/>
      </w:pPr>
      <w:rPr>
        <w:rFonts w:ascii="Symbol" w:hAnsi="Symbol" w:hint="default"/>
      </w:rPr>
    </w:lvl>
    <w:lvl w:ilvl="1" w:tplc="FFDE7A1A" w:tentative="1">
      <w:start w:val="1"/>
      <w:numFmt w:val="bullet"/>
      <w:lvlText w:val="o"/>
      <w:lvlJc w:val="left"/>
      <w:pPr>
        <w:ind w:left="2160" w:hanging="360"/>
      </w:pPr>
      <w:rPr>
        <w:rFonts w:ascii="Courier New" w:hAnsi="Courier New" w:hint="default"/>
      </w:rPr>
    </w:lvl>
    <w:lvl w:ilvl="2" w:tplc="AF84E862" w:tentative="1">
      <w:start w:val="1"/>
      <w:numFmt w:val="bullet"/>
      <w:lvlText w:val=""/>
      <w:lvlJc w:val="left"/>
      <w:pPr>
        <w:ind w:left="2880" w:hanging="360"/>
      </w:pPr>
      <w:rPr>
        <w:rFonts w:ascii="Wingdings" w:hAnsi="Wingdings" w:hint="default"/>
      </w:rPr>
    </w:lvl>
    <w:lvl w:ilvl="3" w:tplc="BB2640CC" w:tentative="1">
      <w:start w:val="1"/>
      <w:numFmt w:val="bullet"/>
      <w:lvlText w:val=""/>
      <w:lvlJc w:val="left"/>
      <w:pPr>
        <w:ind w:left="3600" w:hanging="360"/>
      </w:pPr>
      <w:rPr>
        <w:rFonts w:ascii="Symbol" w:hAnsi="Symbol" w:hint="default"/>
      </w:rPr>
    </w:lvl>
    <w:lvl w:ilvl="4" w:tplc="21FADB38" w:tentative="1">
      <w:start w:val="1"/>
      <w:numFmt w:val="bullet"/>
      <w:lvlText w:val="o"/>
      <w:lvlJc w:val="left"/>
      <w:pPr>
        <w:ind w:left="4320" w:hanging="360"/>
      </w:pPr>
      <w:rPr>
        <w:rFonts w:ascii="Courier New" w:hAnsi="Courier New" w:hint="default"/>
      </w:rPr>
    </w:lvl>
    <w:lvl w:ilvl="5" w:tplc="A0102864" w:tentative="1">
      <w:start w:val="1"/>
      <w:numFmt w:val="bullet"/>
      <w:lvlText w:val=""/>
      <w:lvlJc w:val="left"/>
      <w:pPr>
        <w:ind w:left="5040" w:hanging="360"/>
      </w:pPr>
      <w:rPr>
        <w:rFonts w:ascii="Wingdings" w:hAnsi="Wingdings" w:hint="default"/>
      </w:rPr>
    </w:lvl>
    <w:lvl w:ilvl="6" w:tplc="E1A63608" w:tentative="1">
      <w:start w:val="1"/>
      <w:numFmt w:val="bullet"/>
      <w:lvlText w:val=""/>
      <w:lvlJc w:val="left"/>
      <w:pPr>
        <w:ind w:left="5760" w:hanging="360"/>
      </w:pPr>
      <w:rPr>
        <w:rFonts w:ascii="Symbol" w:hAnsi="Symbol" w:hint="default"/>
      </w:rPr>
    </w:lvl>
    <w:lvl w:ilvl="7" w:tplc="2F1CA154" w:tentative="1">
      <w:start w:val="1"/>
      <w:numFmt w:val="bullet"/>
      <w:lvlText w:val="o"/>
      <w:lvlJc w:val="left"/>
      <w:pPr>
        <w:ind w:left="6480" w:hanging="360"/>
      </w:pPr>
      <w:rPr>
        <w:rFonts w:ascii="Courier New" w:hAnsi="Courier New" w:hint="default"/>
      </w:rPr>
    </w:lvl>
    <w:lvl w:ilvl="8" w:tplc="BA980BD8" w:tentative="1">
      <w:start w:val="1"/>
      <w:numFmt w:val="bullet"/>
      <w:lvlText w:val=""/>
      <w:lvlJc w:val="left"/>
      <w:pPr>
        <w:ind w:left="7200" w:hanging="360"/>
      </w:pPr>
      <w:rPr>
        <w:rFonts w:ascii="Wingdings" w:hAnsi="Wingdings" w:hint="default"/>
      </w:rPr>
    </w:lvl>
  </w:abstractNum>
  <w:abstractNum w:abstractNumId="53" w15:restartNumberingAfterBreak="0">
    <w:nsid w:val="429E662A"/>
    <w:multiLevelType w:val="multilevel"/>
    <w:tmpl w:val="40EAE0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3C17DF3"/>
    <w:multiLevelType w:val="hybridMultilevel"/>
    <w:tmpl w:val="E9D6546E"/>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5587FC6"/>
    <w:multiLevelType w:val="multilevel"/>
    <w:tmpl w:val="521C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58138DB"/>
    <w:multiLevelType w:val="multilevel"/>
    <w:tmpl w:val="CAA6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71541F4"/>
    <w:multiLevelType w:val="multilevel"/>
    <w:tmpl w:val="E56A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9E34F64"/>
    <w:multiLevelType w:val="multilevel"/>
    <w:tmpl w:val="CDFE4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B0571A5"/>
    <w:multiLevelType w:val="multilevel"/>
    <w:tmpl w:val="FFFFFFFF"/>
    <w:lvl w:ilvl="0">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DC711BB"/>
    <w:multiLevelType w:val="multilevel"/>
    <w:tmpl w:val="E08E4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E1A982C"/>
    <w:multiLevelType w:val="multilevel"/>
    <w:tmpl w:val="F8F8C3D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F397893"/>
    <w:multiLevelType w:val="multilevel"/>
    <w:tmpl w:val="FE26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F4C5DD1"/>
    <w:multiLevelType w:val="multilevel"/>
    <w:tmpl w:val="AAF8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072619B"/>
    <w:multiLevelType w:val="multilevel"/>
    <w:tmpl w:val="983A7E54"/>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2F2D653"/>
    <w:multiLevelType w:val="multilevel"/>
    <w:tmpl w:val="FFFFFFFF"/>
    <w:lvl w:ilvl="0">
      <w:numFmt w:val="decimal"/>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3966D3C"/>
    <w:multiLevelType w:val="hybridMultilevel"/>
    <w:tmpl w:val="BAB68AC8"/>
    <w:lvl w:ilvl="0" w:tplc="E168176A">
      <w:start w:val="1"/>
      <w:numFmt w:val="bullet"/>
      <w:lvlText w:val=""/>
      <w:lvlJc w:val="left"/>
      <w:pPr>
        <w:ind w:left="720" w:hanging="360"/>
      </w:pPr>
      <w:rPr>
        <w:rFonts w:ascii="Symbol" w:hAnsi="Symbol" w:hint="default"/>
      </w:rPr>
    </w:lvl>
    <w:lvl w:ilvl="1" w:tplc="917245E6" w:tentative="1">
      <w:start w:val="1"/>
      <w:numFmt w:val="bullet"/>
      <w:lvlText w:val="o"/>
      <w:lvlJc w:val="left"/>
      <w:pPr>
        <w:ind w:left="1440" w:hanging="360"/>
      </w:pPr>
      <w:rPr>
        <w:rFonts w:ascii="Courier New" w:hAnsi="Courier New" w:hint="default"/>
      </w:rPr>
    </w:lvl>
    <w:lvl w:ilvl="2" w:tplc="D55A998E" w:tentative="1">
      <w:start w:val="1"/>
      <w:numFmt w:val="bullet"/>
      <w:lvlText w:val=""/>
      <w:lvlJc w:val="left"/>
      <w:pPr>
        <w:ind w:left="2160" w:hanging="360"/>
      </w:pPr>
      <w:rPr>
        <w:rFonts w:ascii="Wingdings" w:hAnsi="Wingdings" w:hint="default"/>
      </w:rPr>
    </w:lvl>
    <w:lvl w:ilvl="3" w:tplc="794A8818" w:tentative="1">
      <w:start w:val="1"/>
      <w:numFmt w:val="bullet"/>
      <w:lvlText w:val=""/>
      <w:lvlJc w:val="left"/>
      <w:pPr>
        <w:ind w:left="2880" w:hanging="360"/>
      </w:pPr>
      <w:rPr>
        <w:rFonts w:ascii="Symbol" w:hAnsi="Symbol" w:hint="default"/>
      </w:rPr>
    </w:lvl>
    <w:lvl w:ilvl="4" w:tplc="868AD466" w:tentative="1">
      <w:start w:val="1"/>
      <w:numFmt w:val="bullet"/>
      <w:lvlText w:val="o"/>
      <w:lvlJc w:val="left"/>
      <w:pPr>
        <w:ind w:left="3600" w:hanging="360"/>
      </w:pPr>
      <w:rPr>
        <w:rFonts w:ascii="Courier New" w:hAnsi="Courier New" w:hint="default"/>
      </w:rPr>
    </w:lvl>
    <w:lvl w:ilvl="5" w:tplc="E8468274" w:tentative="1">
      <w:start w:val="1"/>
      <w:numFmt w:val="bullet"/>
      <w:lvlText w:val=""/>
      <w:lvlJc w:val="left"/>
      <w:pPr>
        <w:ind w:left="4320" w:hanging="360"/>
      </w:pPr>
      <w:rPr>
        <w:rFonts w:ascii="Wingdings" w:hAnsi="Wingdings" w:hint="default"/>
      </w:rPr>
    </w:lvl>
    <w:lvl w:ilvl="6" w:tplc="2084C75C" w:tentative="1">
      <w:start w:val="1"/>
      <w:numFmt w:val="bullet"/>
      <w:lvlText w:val=""/>
      <w:lvlJc w:val="left"/>
      <w:pPr>
        <w:ind w:left="5040" w:hanging="360"/>
      </w:pPr>
      <w:rPr>
        <w:rFonts w:ascii="Symbol" w:hAnsi="Symbol" w:hint="default"/>
      </w:rPr>
    </w:lvl>
    <w:lvl w:ilvl="7" w:tplc="B8BA345E" w:tentative="1">
      <w:start w:val="1"/>
      <w:numFmt w:val="bullet"/>
      <w:lvlText w:val="o"/>
      <w:lvlJc w:val="left"/>
      <w:pPr>
        <w:ind w:left="5760" w:hanging="360"/>
      </w:pPr>
      <w:rPr>
        <w:rFonts w:ascii="Courier New" w:hAnsi="Courier New" w:hint="default"/>
      </w:rPr>
    </w:lvl>
    <w:lvl w:ilvl="8" w:tplc="4D9859C0" w:tentative="1">
      <w:start w:val="1"/>
      <w:numFmt w:val="bullet"/>
      <w:lvlText w:val=""/>
      <w:lvlJc w:val="left"/>
      <w:pPr>
        <w:ind w:left="6480" w:hanging="360"/>
      </w:pPr>
      <w:rPr>
        <w:rFonts w:ascii="Wingdings" w:hAnsi="Wingdings" w:hint="default"/>
      </w:rPr>
    </w:lvl>
  </w:abstractNum>
  <w:abstractNum w:abstractNumId="67" w15:restartNumberingAfterBreak="0">
    <w:nsid w:val="53B175BA"/>
    <w:multiLevelType w:val="multilevel"/>
    <w:tmpl w:val="68202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3DE2B50"/>
    <w:multiLevelType w:val="multilevel"/>
    <w:tmpl w:val="D286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3F11931"/>
    <w:multiLevelType w:val="multilevel"/>
    <w:tmpl w:val="3110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6E30B82"/>
    <w:multiLevelType w:val="multilevel"/>
    <w:tmpl w:val="4DE6EF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88A7240"/>
    <w:multiLevelType w:val="multilevel"/>
    <w:tmpl w:val="866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90F68DD"/>
    <w:multiLevelType w:val="hybridMultilevel"/>
    <w:tmpl w:val="5D003F84"/>
    <w:lvl w:ilvl="0" w:tplc="20EC70CE">
      <w:start w:val="1"/>
      <w:numFmt w:val="bullet"/>
      <w:lvlText w:val=""/>
      <w:lvlJc w:val="left"/>
      <w:pPr>
        <w:ind w:left="720" w:hanging="360"/>
      </w:pPr>
      <w:rPr>
        <w:rFonts w:ascii="Symbol" w:hAnsi="Symbol" w:hint="default"/>
      </w:rPr>
    </w:lvl>
    <w:lvl w:ilvl="1" w:tplc="33581A14" w:tentative="1">
      <w:start w:val="1"/>
      <w:numFmt w:val="bullet"/>
      <w:lvlText w:val="o"/>
      <w:lvlJc w:val="left"/>
      <w:pPr>
        <w:ind w:left="1440" w:hanging="360"/>
      </w:pPr>
      <w:rPr>
        <w:rFonts w:ascii="Courier New" w:hAnsi="Courier New" w:hint="default"/>
      </w:rPr>
    </w:lvl>
    <w:lvl w:ilvl="2" w:tplc="FA90F530" w:tentative="1">
      <w:start w:val="1"/>
      <w:numFmt w:val="bullet"/>
      <w:lvlText w:val=""/>
      <w:lvlJc w:val="left"/>
      <w:pPr>
        <w:ind w:left="2160" w:hanging="360"/>
      </w:pPr>
      <w:rPr>
        <w:rFonts w:ascii="Wingdings" w:hAnsi="Wingdings" w:hint="default"/>
      </w:rPr>
    </w:lvl>
    <w:lvl w:ilvl="3" w:tplc="DAF8ECAC" w:tentative="1">
      <w:start w:val="1"/>
      <w:numFmt w:val="bullet"/>
      <w:lvlText w:val=""/>
      <w:lvlJc w:val="left"/>
      <w:pPr>
        <w:ind w:left="2880" w:hanging="360"/>
      </w:pPr>
      <w:rPr>
        <w:rFonts w:ascii="Symbol" w:hAnsi="Symbol" w:hint="default"/>
      </w:rPr>
    </w:lvl>
    <w:lvl w:ilvl="4" w:tplc="25DCBDF4" w:tentative="1">
      <w:start w:val="1"/>
      <w:numFmt w:val="bullet"/>
      <w:lvlText w:val="o"/>
      <w:lvlJc w:val="left"/>
      <w:pPr>
        <w:ind w:left="3600" w:hanging="360"/>
      </w:pPr>
      <w:rPr>
        <w:rFonts w:ascii="Courier New" w:hAnsi="Courier New" w:hint="default"/>
      </w:rPr>
    </w:lvl>
    <w:lvl w:ilvl="5" w:tplc="B66241B6" w:tentative="1">
      <w:start w:val="1"/>
      <w:numFmt w:val="bullet"/>
      <w:lvlText w:val=""/>
      <w:lvlJc w:val="left"/>
      <w:pPr>
        <w:ind w:left="4320" w:hanging="360"/>
      </w:pPr>
      <w:rPr>
        <w:rFonts w:ascii="Wingdings" w:hAnsi="Wingdings" w:hint="default"/>
      </w:rPr>
    </w:lvl>
    <w:lvl w:ilvl="6" w:tplc="376450AA" w:tentative="1">
      <w:start w:val="1"/>
      <w:numFmt w:val="bullet"/>
      <w:lvlText w:val=""/>
      <w:lvlJc w:val="left"/>
      <w:pPr>
        <w:ind w:left="5040" w:hanging="360"/>
      </w:pPr>
      <w:rPr>
        <w:rFonts w:ascii="Symbol" w:hAnsi="Symbol" w:hint="default"/>
      </w:rPr>
    </w:lvl>
    <w:lvl w:ilvl="7" w:tplc="DEA4CA50" w:tentative="1">
      <w:start w:val="1"/>
      <w:numFmt w:val="bullet"/>
      <w:lvlText w:val="o"/>
      <w:lvlJc w:val="left"/>
      <w:pPr>
        <w:ind w:left="5760" w:hanging="360"/>
      </w:pPr>
      <w:rPr>
        <w:rFonts w:ascii="Courier New" w:hAnsi="Courier New" w:hint="default"/>
      </w:rPr>
    </w:lvl>
    <w:lvl w:ilvl="8" w:tplc="F7285A0A" w:tentative="1">
      <w:start w:val="1"/>
      <w:numFmt w:val="bullet"/>
      <w:lvlText w:val=""/>
      <w:lvlJc w:val="left"/>
      <w:pPr>
        <w:ind w:left="6480" w:hanging="360"/>
      </w:pPr>
      <w:rPr>
        <w:rFonts w:ascii="Wingdings" w:hAnsi="Wingdings" w:hint="default"/>
      </w:rPr>
    </w:lvl>
  </w:abstractNum>
  <w:abstractNum w:abstractNumId="73" w15:restartNumberingAfterBreak="0">
    <w:nsid w:val="5A746124"/>
    <w:multiLevelType w:val="multilevel"/>
    <w:tmpl w:val="E1EE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C2E231A"/>
    <w:multiLevelType w:val="hybridMultilevel"/>
    <w:tmpl w:val="C96832F2"/>
    <w:lvl w:ilvl="0" w:tplc="5B1EFCB4">
      <w:start w:val="1"/>
      <w:numFmt w:val="bullet"/>
      <w:lvlText w:val=""/>
      <w:lvlJc w:val="left"/>
      <w:pPr>
        <w:ind w:left="720" w:hanging="360"/>
      </w:pPr>
      <w:rPr>
        <w:rFonts w:ascii="Symbol" w:hAnsi="Symbol" w:hint="default"/>
      </w:rPr>
    </w:lvl>
    <w:lvl w:ilvl="1" w:tplc="53CC2BA2" w:tentative="1">
      <w:start w:val="1"/>
      <w:numFmt w:val="bullet"/>
      <w:lvlText w:val="o"/>
      <w:lvlJc w:val="left"/>
      <w:pPr>
        <w:ind w:left="1440" w:hanging="360"/>
      </w:pPr>
      <w:rPr>
        <w:rFonts w:ascii="Courier New" w:hAnsi="Courier New" w:hint="default"/>
      </w:rPr>
    </w:lvl>
    <w:lvl w:ilvl="2" w:tplc="66C4CFF4" w:tentative="1">
      <w:start w:val="1"/>
      <w:numFmt w:val="bullet"/>
      <w:lvlText w:val=""/>
      <w:lvlJc w:val="left"/>
      <w:pPr>
        <w:ind w:left="2160" w:hanging="360"/>
      </w:pPr>
      <w:rPr>
        <w:rFonts w:ascii="Wingdings" w:hAnsi="Wingdings" w:hint="default"/>
      </w:rPr>
    </w:lvl>
    <w:lvl w:ilvl="3" w:tplc="74A8D67E" w:tentative="1">
      <w:start w:val="1"/>
      <w:numFmt w:val="bullet"/>
      <w:lvlText w:val=""/>
      <w:lvlJc w:val="left"/>
      <w:pPr>
        <w:ind w:left="2880" w:hanging="360"/>
      </w:pPr>
      <w:rPr>
        <w:rFonts w:ascii="Symbol" w:hAnsi="Symbol" w:hint="default"/>
      </w:rPr>
    </w:lvl>
    <w:lvl w:ilvl="4" w:tplc="5204F286" w:tentative="1">
      <w:start w:val="1"/>
      <w:numFmt w:val="bullet"/>
      <w:lvlText w:val="o"/>
      <w:lvlJc w:val="left"/>
      <w:pPr>
        <w:ind w:left="3600" w:hanging="360"/>
      </w:pPr>
      <w:rPr>
        <w:rFonts w:ascii="Courier New" w:hAnsi="Courier New" w:hint="default"/>
      </w:rPr>
    </w:lvl>
    <w:lvl w:ilvl="5" w:tplc="8EA4CF6E" w:tentative="1">
      <w:start w:val="1"/>
      <w:numFmt w:val="bullet"/>
      <w:lvlText w:val=""/>
      <w:lvlJc w:val="left"/>
      <w:pPr>
        <w:ind w:left="4320" w:hanging="360"/>
      </w:pPr>
      <w:rPr>
        <w:rFonts w:ascii="Wingdings" w:hAnsi="Wingdings" w:hint="default"/>
      </w:rPr>
    </w:lvl>
    <w:lvl w:ilvl="6" w:tplc="24762322" w:tentative="1">
      <w:start w:val="1"/>
      <w:numFmt w:val="bullet"/>
      <w:lvlText w:val=""/>
      <w:lvlJc w:val="left"/>
      <w:pPr>
        <w:ind w:left="5040" w:hanging="360"/>
      </w:pPr>
      <w:rPr>
        <w:rFonts w:ascii="Symbol" w:hAnsi="Symbol" w:hint="default"/>
      </w:rPr>
    </w:lvl>
    <w:lvl w:ilvl="7" w:tplc="45B0DE5A" w:tentative="1">
      <w:start w:val="1"/>
      <w:numFmt w:val="bullet"/>
      <w:lvlText w:val="o"/>
      <w:lvlJc w:val="left"/>
      <w:pPr>
        <w:ind w:left="5760" w:hanging="360"/>
      </w:pPr>
      <w:rPr>
        <w:rFonts w:ascii="Courier New" w:hAnsi="Courier New" w:hint="default"/>
      </w:rPr>
    </w:lvl>
    <w:lvl w:ilvl="8" w:tplc="D44E4D36" w:tentative="1">
      <w:start w:val="1"/>
      <w:numFmt w:val="bullet"/>
      <w:lvlText w:val=""/>
      <w:lvlJc w:val="left"/>
      <w:pPr>
        <w:ind w:left="6480" w:hanging="360"/>
      </w:pPr>
      <w:rPr>
        <w:rFonts w:ascii="Wingdings" w:hAnsi="Wingdings" w:hint="default"/>
      </w:rPr>
    </w:lvl>
  </w:abstractNum>
  <w:abstractNum w:abstractNumId="75" w15:restartNumberingAfterBreak="0">
    <w:nsid w:val="5E704AEB"/>
    <w:multiLevelType w:val="hybridMultilevel"/>
    <w:tmpl w:val="BD6A2B18"/>
    <w:lvl w:ilvl="0" w:tplc="CA0A6368">
      <w:start w:val="1"/>
      <w:numFmt w:val="bullet"/>
      <w:lvlText w:val=""/>
      <w:lvlJc w:val="left"/>
      <w:pPr>
        <w:ind w:left="720" w:hanging="360"/>
      </w:pPr>
      <w:rPr>
        <w:rFonts w:ascii="Symbol" w:hAnsi="Symbol" w:hint="default"/>
      </w:rPr>
    </w:lvl>
    <w:lvl w:ilvl="1" w:tplc="1020EF3A" w:tentative="1">
      <w:start w:val="1"/>
      <w:numFmt w:val="bullet"/>
      <w:lvlText w:val="o"/>
      <w:lvlJc w:val="left"/>
      <w:pPr>
        <w:ind w:left="1440" w:hanging="360"/>
      </w:pPr>
      <w:rPr>
        <w:rFonts w:ascii="Courier New" w:hAnsi="Courier New" w:hint="default"/>
      </w:rPr>
    </w:lvl>
    <w:lvl w:ilvl="2" w:tplc="130C1038" w:tentative="1">
      <w:start w:val="1"/>
      <w:numFmt w:val="bullet"/>
      <w:lvlText w:val=""/>
      <w:lvlJc w:val="left"/>
      <w:pPr>
        <w:ind w:left="2160" w:hanging="360"/>
      </w:pPr>
      <w:rPr>
        <w:rFonts w:ascii="Wingdings" w:hAnsi="Wingdings" w:hint="default"/>
      </w:rPr>
    </w:lvl>
    <w:lvl w:ilvl="3" w:tplc="9FA02D0C" w:tentative="1">
      <w:start w:val="1"/>
      <w:numFmt w:val="bullet"/>
      <w:lvlText w:val=""/>
      <w:lvlJc w:val="left"/>
      <w:pPr>
        <w:ind w:left="2880" w:hanging="360"/>
      </w:pPr>
      <w:rPr>
        <w:rFonts w:ascii="Symbol" w:hAnsi="Symbol" w:hint="default"/>
      </w:rPr>
    </w:lvl>
    <w:lvl w:ilvl="4" w:tplc="AED835A4" w:tentative="1">
      <w:start w:val="1"/>
      <w:numFmt w:val="bullet"/>
      <w:lvlText w:val="o"/>
      <w:lvlJc w:val="left"/>
      <w:pPr>
        <w:ind w:left="3600" w:hanging="360"/>
      </w:pPr>
      <w:rPr>
        <w:rFonts w:ascii="Courier New" w:hAnsi="Courier New" w:hint="default"/>
      </w:rPr>
    </w:lvl>
    <w:lvl w:ilvl="5" w:tplc="59CAFC02" w:tentative="1">
      <w:start w:val="1"/>
      <w:numFmt w:val="bullet"/>
      <w:lvlText w:val=""/>
      <w:lvlJc w:val="left"/>
      <w:pPr>
        <w:ind w:left="4320" w:hanging="360"/>
      </w:pPr>
      <w:rPr>
        <w:rFonts w:ascii="Wingdings" w:hAnsi="Wingdings" w:hint="default"/>
      </w:rPr>
    </w:lvl>
    <w:lvl w:ilvl="6" w:tplc="74DEEF1A" w:tentative="1">
      <w:start w:val="1"/>
      <w:numFmt w:val="bullet"/>
      <w:lvlText w:val=""/>
      <w:lvlJc w:val="left"/>
      <w:pPr>
        <w:ind w:left="5040" w:hanging="360"/>
      </w:pPr>
      <w:rPr>
        <w:rFonts w:ascii="Symbol" w:hAnsi="Symbol" w:hint="default"/>
      </w:rPr>
    </w:lvl>
    <w:lvl w:ilvl="7" w:tplc="5E323958" w:tentative="1">
      <w:start w:val="1"/>
      <w:numFmt w:val="bullet"/>
      <w:lvlText w:val="o"/>
      <w:lvlJc w:val="left"/>
      <w:pPr>
        <w:ind w:left="5760" w:hanging="360"/>
      </w:pPr>
      <w:rPr>
        <w:rFonts w:ascii="Courier New" w:hAnsi="Courier New" w:hint="default"/>
      </w:rPr>
    </w:lvl>
    <w:lvl w:ilvl="8" w:tplc="602623A6" w:tentative="1">
      <w:start w:val="1"/>
      <w:numFmt w:val="bullet"/>
      <w:lvlText w:val=""/>
      <w:lvlJc w:val="left"/>
      <w:pPr>
        <w:ind w:left="6480" w:hanging="360"/>
      </w:pPr>
      <w:rPr>
        <w:rFonts w:ascii="Wingdings" w:hAnsi="Wingdings" w:hint="default"/>
      </w:rPr>
    </w:lvl>
  </w:abstractNum>
  <w:abstractNum w:abstractNumId="76" w15:restartNumberingAfterBreak="0">
    <w:nsid w:val="5FE64159"/>
    <w:multiLevelType w:val="multilevel"/>
    <w:tmpl w:val="7F36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2E52BED"/>
    <w:multiLevelType w:val="multilevel"/>
    <w:tmpl w:val="D214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3741621"/>
    <w:multiLevelType w:val="multilevel"/>
    <w:tmpl w:val="55484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4097AA3"/>
    <w:multiLevelType w:val="hybridMultilevel"/>
    <w:tmpl w:val="0B6EB9AE"/>
    <w:lvl w:ilvl="0" w:tplc="68C6FD06">
      <w:start w:val="1"/>
      <w:numFmt w:val="bullet"/>
      <w:lvlText w:val=""/>
      <w:lvlJc w:val="left"/>
      <w:pPr>
        <w:ind w:left="720" w:hanging="360"/>
      </w:pPr>
      <w:rPr>
        <w:rFonts w:ascii="Symbol" w:hAnsi="Symbol" w:hint="default"/>
      </w:rPr>
    </w:lvl>
    <w:lvl w:ilvl="1" w:tplc="65C01212">
      <w:start w:val="1"/>
      <w:numFmt w:val="bullet"/>
      <w:lvlText w:val="o"/>
      <w:lvlJc w:val="left"/>
      <w:pPr>
        <w:ind w:left="1440" w:hanging="360"/>
      </w:pPr>
      <w:rPr>
        <w:rFonts w:ascii="Courier New" w:hAnsi="Courier New" w:hint="default"/>
      </w:rPr>
    </w:lvl>
    <w:lvl w:ilvl="2" w:tplc="BF0A973A" w:tentative="1">
      <w:start w:val="1"/>
      <w:numFmt w:val="bullet"/>
      <w:lvlText w:val=""/>
      <w:lvlJc w:val="left"/>
      <w:pPr>
        <w:ind w:left="2160" w:hanging="360"/>
      </w:pPr>
      <w:rPr>
        <w:rFonts w:ascii="Wingdings" w:hAnsi="Wingdings" w:hint="default"/>
      </w:rPr>
    </w:lvl>
    <w:lvl w:ilvl="3" w:tplc="F2D0B93E" w:tentative="1">
      <w:start w:val="1"/>
      <w:numFmt w:val="bullet"/>
      <w:lvlText w:val=""/>
      <w:lvlJc w:val="left"/>
      <w:pPr>
        <w:ind w:left="2880" w:hanging="360"/>
      </w:pPr>
      <w:rPr>
        <w:rFonts w:ascii="Symbol" w:hAnsi="Symbol" w:hint="default"/>
      </w:rPr>
    </w:lvl>
    <w:lvl w:ilvl="4" w:tplc="13AC2B7C" w:tentative="1">
      <w:start w:val="1"/>
      <w:numFmt w:val="bullet"/>
      <w:lvlText w:val="o"/>
      <w:lvlJc w:val="left"/>
      <w:pPr>
        <w:ind w:left="3600" w:hanging="360"/>
      </w:pPr>
      <w:rPr>
        <w:rFonts w:ascii="Courier New" w:hAnsi="Courier New" w:hint="default"/>
      </w:rPr>
    </w:lvl>
    <w:lvl w:ilvl="5" w:tplc="7A8CE576" w:tentative="1">
      <w:start w:val="1"/>
      <w:numFmt w:val="bullet"/>
      <w:lvlText w:val=""/>
      <w:lvlJc w:val="left"/>
      <w:pPr>
        <w:ind w:left="4320" w:hanging="360"/>
      </w:pPr>
      <w:rPr>
        <w:rFonts w:ascii="Wingdings" w:hAnsi="Wingdings" w:hint="default"/>
      </w:rPr>
    </w:lvl>
    <w:lvl w:ilvl="6" w:tplc="6534E082" w:tentative="1">
      <w:start w:val="1"/>
      <w:numFmt w:val="bullet"/>
      <w:lvlText w:val=""/>
      <w:lvlJc w:val="left"/>
      <w:pPr>
        <w:ind w:left="5040" w:hanging="360"/>
      </w:pPr>
      <w:rPr>
        <w:rFonts w:ascii="Symbol" w:hAnsi="Symbol" w:hint="default"/>
      </w:rPr>
    </w:lvl>
    <w:lvl w:ilvl="7" w:tplc="9948CD22" w:tentative="1">
      <w:start w:val="1"/>
      <w:numFmt w:val="bullet"/>
      <w:lvlText w:val="o"/>
      <w:lvlJc w:val="left"/>
      <w:pPr>
        <w:ind w:left="5760" w:hanging="360"/>
      </w:pPr>
      <w:rPr>
        <w:rFonts w:ascii="Courier New" w:hAnsi="Courier New" w:hint="default"/>
      </w:rPr>
    </w:lvl>
    <w:lvl w:ilvl="8" w:tplc="112285F4" w:tentative="1">
      <w:start w:val="1"/>
      <w:numFmt w:val="bullet"/>
      <w:lvlText w:val=""/>
      <w:lvlJc w:val="left"/>
      <w:pPr>
        <w:ind w:left="6480" w:hanging="360"/>
      </w:pPr>
      <w:rPr>
        <w:rFonts w:ascii="Wingdings" w:hAnsi="Wingdings" w:hint="default"/>
      </w:rPr>
    </w:lvl>
  </w:abstractNum>
  <w:abstractNum w:abstractNumId="80" w15:restartNumberingAfterBreak="0">
    <w:nsid w:val="642C2D3F"/>
    <w:multiLevelType w:val="hybridMultilevel"/>
    <w:tmpl w:val="1646C17C"/>
    <w:lvl w:ilvl="0" w:tplc="2B70EBE2">
      <w:start w:val="1"/>
      <w:numFmt w:val="bullet"/>
      <w:lvlText w:val=""/>
      <w:lvlJc w:val="left"/>
      <w:pPr>
        <w:ind w:left="720" w:hanging="360"/>
      </w:pPr>
      <w:rPr>
        <w:rFonts w:ascii="Symbol" w:hAnsi="Symbol" w:hint="default"/>
      </w:rPr>
    </w:lvl>
    <w:lvl w:ilvl="1" w:tplc="DF122FB2" w:tentative="1">
      <w:start w:val="1"/>
      <w:numFmt w:val="bullet"/>
      <w:lvlText w:val="o"/>
      <w:lvlJc w:val="left"/>
      <w:pPr>
        <w:ind w:left="1440" w:hanging="360"/>
      </w:pPr>
      <w:rPr>
        <w:rFonts w:ascii="Courier New" w:hAnsi="Courier New" w:hint="default"/>
      </w:rPr>
    </w:lvl>
    <w:lvl w:ilvl="2" w:tplc="26D40B6A" w:tentative="1">
      <w:start w:val="1"/>
      <w:numFmt w:val="bullet"/>
      <w:lvlText w:val=""/>
      <w:lvlJc w:val="left"/>
      <w:pPr>
        <w:ind w:left="2160" w:hanging="360"/>
      </w:pPr>
      <w:rPr>
        <w:rFonts w:ascii="Wingdings" w:hAnsi="Wingdings" w:hint="default"/>
      </w:rPr>
    </w:lvl>
    <w:lvl w:ilvl="3" w:tplc="5A6A12A0" w:tentative="1">
      <w:start w:val="1"/>
      <w:numFmt w:val="bullet"/>
      <w:lvlText w:val=""/>
      <w:lvlJc w:val="left"/>
      <w:pPr>
        <w:ind w:left="2880" w:hanging="360"/>
      </w:pPr>
      <w:rPr>
        <w:rFonts w:ascii="Symbol" w:hAnsi="Symbol" w:hint="default"/>
      </w:rPr>
    </w:lvl>
    <w:lvl w:ilvl="4" w:tplc="F4481408" w:tentative="1">
      <w:start w:val="1"/>
      <w:numFmt w:val="bullet"/>
      <w:lvlText w:val="o"/>
      <w:lvlJc w:val="left"/>
      <w:pPr>
        <w:ind w:left="3600" w:hanging="360"/>
      </w:pPr>
      <w:rPr>
        <w:rFonts w:ascii="Courier New" w:hAnsi="Courier New" w:hint="default"/>
      </w:rPr>
    </w:lvl>
    <w:lvl w:ilvl="5" w:tplc="E4CACF7C" w:tentative="1">
      <w:start w:val="1"/>
      <w:numFmt w:val="bullet"/>
      <w:lvlText w:val=""/>
      <w:lvlJc w:val="left"/>
      <w:pPr>
        <w:ind w:left="4320" w:hanging="360"/>
      </w:pPr>
      <w:rPr>
        <w:rFonts w:ascii="Wingdings" w:hAnsi="Wingdings" w:hint="default"/>
      </w:rPr>
    </w:lvl>
    <w:lvl w:ilvl="6" w:tplc="5498AE50" w:tentative="1">
      <w:start w:val="1"/>
      <w:numFmt w:val="bullet"/>
      <w:lvlText w:val=""/>
      <w:lvlJc w:val="left"/>
      <w:pPr>
        <w:ind w:left="5040" w:hanging="360"/>
      </w:pPr>
      <w:rPr>
        <w:rFonts w:ascii="Symbol" w:hAnsi="Symbol" w:hint="default"/>
      </w:rPr>
    </w:lvl>
    <w:lvl w:ilvl="7" w:tplc="B3008F2C" w:tentative="1">
      <w:start w:val="1"/>
      <w:numFmt w:val="bullet"/>
      <w:lvlText w:val="o"/>
      <w:lvlJc w:val="left"/>
      <w:pPr>
        <w:ind w:left="5760" w:hanging="360"/>
      </w:pPr>
      <w:rPr>
        <w:rFonts w:ascii="Courier New" w:hAnsi="Courier New" w:hint="default"/>
      </w:rPr>
    </w:lvl>
    <w:lvl w:ilvl="8" w:tplc="F1C846BC" w:tentative="1">
      <w:start w:val="1"/>
      <w:numFmt w:val="bullet"/>
      <w:lvlText w:val=""/>
      <w:lvlJc w:val="left"/>
      <w:pPr>
        <w:ind w:left="6480" w:hanging="360"/>
      </w:pPr>
      <w:rPr>
        <w:rFonts w:ascii="Wingdings" w:hAnsi="Wingdings" w:hint="default"/>
      </w:rPr>
    </w:lvl>
  </w:abstractNum>
  <w:abstractNum w:abstractNumId="81" w15:restartNumberingAfterBreak="0">
    <w:nsid w:val="6977472E"/>
    <w:multiLevelType w:val="multilevel"/>
    <w:tmpl w:val="D63C58F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1B661A"/>
    <w:multiLevelType w:val="hybridMultilevel"/>
    <w:tmpl w:val="721CFBF6"/>
    <w:lvl w:ilvl="0" w:tplc="CFC2D172">
      <w:start w:val="1"/>
      <w:numFmt w:val="bullet"/>
      <w:lvlText w:val=""/>
      <w:lvlJc w:val="left"/>
      <w:pPr>
        <w:ind w:left="720" w:hanging="360"/>
      </w:pPr>
      <w:rPr>
        <w:rFonts w:ascii="Symbol" w:hAnsi="Symbol" w:hint="default"/>
      </w:rPr>
    </w:lvl>
    <w:lvl w:ilvl="1" w:tplc="819CCE38" w:tentative="1">
      <w:start w:val="1"/>
      <w:numFmt w:val="bullet"/>
      <w:lvlText w:val="o"/>
      <w:lvlJc w:val="left"/>
      <w:pPr>
        <w:ind w:left="1440" w:hanging="360"/>
      </w:pPr>
      <w:rPr>
        <w:rFonts w:ascii="Courier New" w:hAnsi="Courier New" w:hint="default"/>
      </w:rPr>
    </w:lvl>
    <w:lvl w:ilvl="2" w:tplc="B6B611D8" w:tentative="1">
      <w:start w:val="1"/>
      <w:numFmt w:val="bullet"/>
      <w:lvlText w:val=""/>
      <w:lvlJc w:val="left"/>
      <w:pPr>
        <w:ind w:left="2160" w:hanging="360"/>
      </w:pPr>
      <w:rPr>
        <w:rFonts w:ascii="Wingdings" w:hAnsi="Wingdings" w:hint="default"/>
      </w:rPr>
    </w:lvl>
    <w:lvl w:ilvl="3" w:tplc="00787566" w:tentative="1">
      <w:start w:val="1"/>
      <w:numFmt w:val="bullet"/>
      <w:lvlText w:val=""/>
      <w:lvlJc w:val="left"/>
      <w:pPr>
        <w:ind w:left="2880" w:hanging="360"/>
      </w:pPr>
      <w:rPr>
        <w:rFonts w:ascii="Symbol" w:hAnsi="Symbol" w:hint="default"/>
      </w:rPr>
    </w:lvl>
    <w:lvl w:ilvl="4" w:tplc="67D6E702" w:tentative="1">
      <w:start w:val="1"/>
      <w:numFmt w:val="bullet"/>
      <w:lvlText w:val="o"/>
      <w:lvlJc w:val="left"/>
      <w:pPr>
        <w:ind w:left="3600" w:hanging="360"/>
      </w:pPr>
      <w:rPr>
        <w:rFonts w:ascii="Courier New" w:hAnsi="Courier New" w:hint="default"/>
      </w:rPr>
    </w:lvl>
    <w:lvl w:ilvl="5" w:tplc="F8CEAACE" w:tentative="1">
      <w:start w:val="1"/>
      <w:numFmt w:val="bullet"/>
      <w:lvlText w:val=""/>
      <w:lvlJc w:val="left"/>
      <w:pPr>
        <w:ind w:left="4320" w:hanging="360"/>
      </w:pPr>
      <w:rPr>
        <w:rFonts w:ascii="Wingdings" w:hAnsi="Wingdings" w:hint="default"/>
      </w:rPr>
    </w:lvl>
    <w:lvl w:ilvl="6" w:tplc="14627424" w:tentative="1">
      <w:start w:val="1"/>
      <w:numFmt w:val="bullet"/>
      <w:lvlText w:val=""/>
      <w:lvlJc w:val="left"/>
      <w:pPr>
        <w:ind w:left="5040" w:hanging="360"/>
      </w:pPr>
      <w:rPr>
        <w:rFonts w:ascii="Symbol" w:hAnsi="Symbol" w:hint="default"/>
      </w:rPr>
    </w:lvl>
    <w:lvl w:ilvl="7" w:tplc="F792404C" w:tentative="1">
      <w:start w:val="1"/>
      <w:numFmt w:val="bullet"/>
      <w:lvlText w:val="o"/>
      <w:lvlJc w:val="left"/>
      <w:pPr>
        <w:ind w:left="5760" w:hanging="360"/>
      </w:pPr>
      <w:rPr>
        <w:rFonts w:ascii="Courier New" w:hAnsi="Courier New" w:hint="default"/>
      </w:rPr>
    </w:lvl>
    <w:lvl w:ilvl="8" w:tplc="F8708AE0" w:tentative="1">
      <w:start w:val="1"/>
      <w:numFmt w:val="bullet"/>
      <w:lvlText w:val=""/>
      <w:lvlJc w:val="left"/>
      <w:pPr>
        <w:ind w:left="6480" w:hanging="360"/>
      </w:pPr>
      <w:rPr>
        <w:rFonts w:ascii="Wingdings" w:hAnsi="Wingdings" w:hint="default"/>
      </w:rPr>
    </w:lvl>
  </w:abstractNum>
  <w:abstractNum w:abstractNumId="83" w15:restartNumberingAfterBreak="0">
    <w:nsid w:val="6BF43BF3"/>
    <w:multiLevelType w:val="multilevel"/>
    <w:tmpl w:val="4AE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D5B0519"/>
    <w:multiLevelType w:val="multilevel"/>
    <w:tmpl w:val="6B6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EE93D55"/>
    <w:multiLevelType w:val="multilevel"/>
    <w:tmpl w:val="526EB7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F7D5D6B"/>
    <w:multiLevelType w:val="multilevel"/>
    <w:tmpl w:val="42B4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45D52C3"/>
    <w:multiLevelType w:val="multilevel"/>
    <w:tmpl w:val="707CD7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4EA774C"/>
    <w:multiLevelType w:val="multilevel"/>
    <w:tmpl w:val="BDB6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6CA65DD"/>
    <w:multiLevelType w:val="multilevel"/>
    <w:tmpl w:val="262265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9DD7652"/>
    <w:multiLevelType w:val="multilevel"/>
    <w:tmpl w:val="D03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B745F28"/>
    <w:multiLevelType w:val="multilevel"/>
    <w:tmpl w:val="AE38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93" w15:restartNumberingAfterBreak="0">
    <w:nsid w:val="7C8D04F4"/>
    <w:multiLevelType w:val="multilevel"/>
    <w:tmpl w:val="842885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CD268C1"/>
    <w:multiLevelType w:val="multilevel"/>
    <w:tmpl w:val="1D28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F967FCC"/>
    <w:multiLevelType w:val="multilevel"/>
    <w:tmpl w:val="2268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6"/>
  </w:num>
  <w:num w:numId="3">
    <w:abstractNumId w:val="42"/>
  </w:num>
  <w:num w:numId="4">
    <w:abstractNumId w:val="27"/>
  </w:num>
  <w:num w:numId="5">
    <w:abstractNumId w:val="45"/>
  </w:num>
  <w:num w:numId="6">
    <w:abstractNumId w:val="64"/>
  </w:num>
  <w:num w:numId="7">
    <w:abstractNumId w:val="81"/>
  </w:num>
  <w:num w:numId="8">
    <w:abstractNumId w:val="10"/>
  </w:num>
  <w:num w:numId="9">
    <w:abstractNumId w:val="22"/>
  </w:num>
  <w:num w:numId="10">
    <w:abstractNumId w:val="53"/>
  </w:num>
  <w:num w:numId="11">
    <w:abstractNumId w:val="15"/>
  </w:num>
  <w:num w:numId="12">
    <w:abstractNumId w:val="16"/>
  </w:num>
  <w:num w:numId="13">
    <w:abstractNumId w:val="17"/>
  </w:num>
  <w:num w:numId="14">
    <w:abstractNumId w:val="35"/>
  </w:num>
  <w:num w:numId="15">
    <w:abstractNumId w:val="47"/>
  </w:num>
  <w:num w:numId="16">
    <w:abstractNumId w:val="61"/>
  </w:num>
  <w:num w:numId="17">
    <w:abstractNumId w:val="37"/>
  </w:num>
  <w:num w:numId="18">
    <w:abstractNumId w:val="92"/>
  </w:num>
  <w:num w:numId="19">
    <w:abstractNumId w:val="39"/>
  </w:num>
  <w:num w:numId="20">
    <w:abstractNumId w:val="51"/>
  </w:num>
  <w:num w:numId="21">
    <w:abstractNumId w:val="23"/>
  </w:num>
  <w:num w:numId="22">
    <w:abstractNumId w:val="80"/>
  </w:num>
  <w:num w:numId="23">
    <w:abstractNumId w:val="79"/>
  </w:num>
  <w:num w:numId="24">
    <w:abstractNumId w:val="75"/>
  </w:num>
  <w:num w:numId="25">
    <w:abstractNumId w:val="66"/>
  </w:num>
  <w:num w:numId="26">
    <w:abstractNumId w:val="41"/>
  </w:num>
  <w:num w:numId="27">
    <w:abstractNumId w:val="32"/>
  </w:num>
  <w:num w:numId="28">
    <w:abstractNumId w:val="74"/>
  </w:num>
  <w:num w:numId="29">
    <w:abstractNumId w:val="8"/>
  </w:num>
  <w:num w:numId="30">
    <w:abstractNumId w:val="72"/>
  </w:num>
  <w:num w:numId="31">
    <w:abstractNumId w:val="82"/>
  </w:num>
  <w:num w:numId="32">
    <w:abstractNumId w:val="9"/>
  </w:num>
  <w:num w:numId="33">
    <w:abstractNumId w:val="29"/>
  </w:num>
  <w:num w:numId="34">
    <w:abstractNumId w:val="52"/>
  </w:num>
  <w:num w:numId="35">
    <w:abstractNumId w:val="59"/>
  </w:num>
  <w:num w:numId="36">
    <w:abstractNumId w:val="18"/>
  </w:num>
  <w:num w:numId="37">
    <w:abstractNumId w:val="43"/>
  </w:num>
  <w:num w:numId="38">
    <w:abstractNumId w:val="30"/>
  </w:num>
  <w:num w:numId="39">
    <w:abstractNumId w:val="40"/>
  </w:num>
  <w:num w:numId="40">
    <w:abstractNumId w:val="54"/>
  </w:num>
  <w:num w:numId="41">
    <w:abstractNumId w:val="13"/>
  </w:num>
  <w:num w:numId="42">
    <w:abstractNumId w:val="5"/>
  </w:num>
  <w:num w:numId="43">
    <w:abstractNumId w:val="11"/>
  </w:num>
  <w:num w:numId="44">
    <w:abstractNumId w:val="60"/>
  </w:num>
  <w:num w:numId="45">
    <w:abstractNumId w:val="85"/>
  </w:num>
  <w:num w:numId="46">
    <w:abstractNumId w:val="19"/>
  </w:num>
  <w:num w:numId="47">
    <w:abstractNumId w:val="46"/>
  </w:num>
  <w:num w:numId="48">
    <w:abstractNumId w:val="58"/>
  </w:num>
  <w:num w:numId="49">
    <w:abstractNumId w:val="33"/>
  </w:num>
  <w:num w:numId="50">
    <w:abstractNumId w:val="67"/>
  </w:num>
  <w:num w:numId="51">
    <w:abstractNumId w:val="25"/>
  </w:num>
  <w:num w:numId="52">
    <w:abstractNumId w:val="63"/>
  </w:num>
  <w:num w:numId="53">
    <w:abstractNumId w:val="55"/>
  </w:num>
  <w:num w:numId="54">
    <w:abstractNumId w:val="69"/>
  </w:num>
  <w:num w:numId="55">
    <w:abstractNumId w:val="94"/>
  </w:num>
  <w:num w:numId="56">
    <w:abstractNumId w:val="84"/>
  </w:num>
  <w:num w:numId="57">
    <w:abstractNumId w:val="91"/>
  </w:num>
  <w:num w:numId="58">
    <w:abstractNumId w:val="14"/>
  </w:num>
  <w:num w:numId="59">
    <w:abstractNumId w:val="48"/>
  </w:num>
  <w:num w:numId="60">
    <w:abstractNumId w:val="34"/>
  </w:num>
  <w:num w:numId="61">
    <w:abstractNumId w:val="83"/>
  </w:num>
  <w:num w:numId="62">
    <w:abstractNumId w:val="68"/>
  </w:num>
  <w:num w:numId="63">
    <w:abstractNumId w:val="78"/>
  </w:num>
  <w:num w:numId="64">
    <w:abstractNumId w:val="1"/>
  </w:num>
  <w:num w:numId="65">
    <w:abstractNumId w:val="38"/>
  </w:num>
  <w:num w:numId="66">
    <w:abstractNumId w:val="90"/>
  </w:num>
  <w:num w:numId="67">
    <w:abstractNumId w:val="7"/>
  </w:num>
  <w:num w:numId="68">
    <w:abstractNumId w:val="57"/>
  </w:num>
  <w:num w:numId="69">
    <w:abstractNumId w:val="0"/>
  </w:num>
  <w:num w:numId="70">
    <w:abstractNumId w:val="26"/>
  </w:num>
  <w:num w:numId="71">
    <w:abstractNumId w:val="76"/>
  </w:num>
  <w:num w:numId="72">
    <w:abstractNumId w:val="93"/>
  </w:num>
  <w:num w:numId="73">
    <w:abstractNumId w:val="70"/>
  </w:num>
  <w:num w:numId="74">
    <w:abstractNumId w:val="31"/>
  </w:num>
  <w:num w:numId="75">
    <w:abstractNumId w:val="36"/>
  </w:num>
  <w:num w:numId="76">
    <w:abstractNumId w:val="44"/>
  </w:num>
  <w:num w:numId="77">
    <w:abstractNumId w:val="88"/>
  </w:num>
  <w:num w:numId="78">
    <w:abstractNumId w:val="89"/>
  </w:num>
  <w:num w:numId="79">
    <w:abstractNumId w:val="49"/>
  </w:num>
  <w:num w:numId="80">
    <w:abstractNumId w:val="2"/>
  </w:num>
  <w:num w:numId="81">
    <w:abstractNumId w:val="87"/>
  </w:num>
  <w:num w:numId="82">
    <w:abstractNumId w:val="20"/>
  </w:num>
  <w:num w:numId="83">
    <w:abstractNumId w:val="77"/>
  </w:num>
  <w:num w:numId="84">
    <w:abstractNumId w:val="71"/>
  </w:num>
  <w:num w:numId="85">
    <w:abstractNumId w:val="12"/>
  </w:num>
  <w:num w:numId="86">
    <w:abstractNumId w:val="21"/>
  </w:num>
  <w:num w:numId="87">
    <w:abstractNumId w:val="56"/>
  </w:num>
  <w:num w:numId="88">
    <w:abstractNumId w:val="28"/>
  </w:num>
  <w:num w:numId="89">
    <w:abstractNumId w:val="4"/>
  </w:num>
  <w:num w:numId="90">
    <w:abstractNumId w:val="3"/>
  </w:num>
  <w:num w:numId="91">
    <w:abstractNumId w:val="95"/>
  </w:num>
  <w:num w:numId="92">
    <w:abstractNumId w:val="86"/>
  </w:num>
  <w:num w:numId="93">
    <w:abstractNumId w:val="24"/>
  </w:num>
  <w:num w:numId="94">
    <w:abstractNumId w:val="62"/>
  </w:num>
  <w:num w:numId="95">
    <w:abstractNumId w:val="50"/>
  </w:num>
  <w:num w:numId="96">
    <w:abstractNumId w:val="7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C2C317A-D094-46C0-B163-901277FDD165"/>
    <w:docVar w:name="LW_COVERPAGE_TYPE" w:val="1"/>
    <w:docVar w:name="LW_CROSSREFERENCE" w:val="{SWD(2026) 33 final} - {SWD(2026) 34 final} - {SWD(2026) 35 final} - {SWD(2026) 36 final} - {SWD(2026) 37 final} - {SWD(2026) 38 final} - {SWD(2026) 39 final} - {SWD(2026) 40 final} - {SWD(2026) 41 final} - {SWD(2026) 42 final} - {SWD(2026) 43 final} - {SWD(2026) 44 final} - {SWD(2026) 45 final} - {SWD(2026) 46 final} - {SWD(2026) 47 final} - {SWD(2026) 48 final} - {SWD(2026) 49 final} - {SWD(2026) 50 final} - {SWD(2026) 51 final} - {SWD(2026) 52 final} - {SWD(2026) 53 final} - {SWD(2026) 54 final} - {SWD(2026) 55 final} - {SWD(2026) 56 final} - {SWD(2026) 57 final} - {SWD(2026) 58 final} - {SWD(2026) 59 final}"/>
    <w:docVar w:name="LW_DocType" w:val="NORMAL"/>
    <w:docVar w:name="LW_EMISSION" w:val="13.2.2026"/>
    <w:docVar w:name="LW_EMISSION_ISODATE" w:val="2026-02-1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 privind punerea în aplicare a Cadrului de politic\u259? al UE privind siguran\u539?a rutier\u259? la mijlocul perioadei&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671023"/>
    <w:rsid w:val="00000A25"/>
    <w:rsid w:val="0000107D"/>
    <w:rsid w:val="00001436"/>
    <w:rsid w:val="0000173B"/>
    <w:rsid w:val="000028D6"/>
    <w:rsid w:val="0000295B"/>
    <w:rsid w:val="00003195"/>
    <w:rsid w:val="000036F5"/>
    <w:rsid w:val="00004668"/>
    <w:rsid w:val="00005695"/>
    <w:rsid w:val="00005A42"/>
    <w:rsid w:val="00005ED6"/>
    <w:rsid w:val="0000656F"/>
    <w:rsid w:val="000068F2"/>
    <w:rsid w:val="00006A75"/>
    <w:rsid w:val="00006B58"/>
    <w:rsid w:val="00006CB9"/>
    <w:rsid w:val="000077F5"/>
    <w:rsid w:val="00007ADF"/>
    <w:rsid w:val="00010054"/>
    <w:rsid w:val="000105AC"/>
    <w:rsid w:val="00010F00"/>
    <w:rsid w:val="00010F84"/>
    <w:rsid w:val="00010FC7"/>
    <w:rsid w:val="000114AE"/>
    <w:rsid w:val="00011690"/>
    <w:rsid w:val="00011B24"/>
    <w:rsid w:val="00011D8A"/>
    <w:rsid w:val="00012522"/>
    <w:rsid w:val="0001270D"/>
    <w:rsid w:val="00012940"/>
    <w:rsid w:val="000140BE"/>
    <w:rsid w:val="0001456A"/>
    <w:rsid w:val="0001483A"/>
    <w:rsid w:val="00014BA7"/>
    <w:rsid w:val="00014C0F"/>
    <w:rsid w:val="00014D1D"/>
    <w:rsid w:val="000152C5"/>
    <w:rsid w:val="000155F0"/>
    <w:rsid w:val="0001561A"/>
    <w:rsid w:val="00015E22"/>
    <w:rsid w:val="00015FBD"/>
    <w:rsid w:val="0001636C"/>
    <w:rsid w:val="00016CEA"/>
    <w:rsid w:val="00016D89"/>
    <w:rsid w:val="00017BA2"/>
    <w:rsid w:val="00017FB0"/>
    <w:rsid w:val="00020103"/>
    <w:rsid w:val="00020567"/>
    <w:rsid w:val="00020688"/>
    <w:rsid w:val="000206E2"/>
    <w:rsid w:val="00020F34"/>
    <w:rsid w:val="00020FF2"/>
    <w:rsid w:val="000211AE"/>
    <w:rsid w:val="000214DE"/>
    <w:rsid w:val="0002210D"/>
    <w:rsid w:val="0002217F"/>
    <w:rsid w:val="000222EF"/>
    <w:rsid w:val="000225FE"/>
    <w:rsid w:val="00022725"/>
    <w:rsid w:val="000227C6"/>
    <w:rsid w:val="00023054"/>
    <w:rsid w:val="00023EE5"/>
    <w:rsid w:val="000241B9"/>
    <w:rsid w:val="00024542"/>
    <w:rsid w:val="00024725"/>
    <w:rsid w:val="0002491D"/>
    <w:rsid w:val="00024B34"/>
    <w:rsid w:val="00024E9E"/>
    <w:rsid w:val="00024EBB"/>
    <w:rsid w:val="0002589B"/>
    <w:rsid w:val="00025E5A"/>
    <w:rsid w:val="0002736D"/>
    <w:rsid w:val="00027527"/>
    <w:rsid w:val="000311FA"/>
    <w:rsid w:val="000320B9"/>
    <w:rsid w:val="00032927"/>
    <w:rsid w:val="00032C9A"/>
    <w:rsid w:val="00033B7D"/>
    <w:rsid w:val="00033B8E"/>
    <w:rsid w:val="00033F76"/>
    <w:rsid w:val="00034FDC"/>
    <w:rsid w:val="00035C61"/>
    <w:rsid w:val="00036383"/>
    <w:rsid w:val="00036DFF"/>
    <w:rsid w:val="00036FF0"/>
    <w:rsid w:val="000372F8"/>
    <w:rsid w:val="00037306"/>
    <w:rsid w:val="0003741D"/>
    <w:rsid w:val="000375D8"/>
    <w:rsid w:val="000375F5"/>
    <w:rsid w:val="00037AD1"/>
    <w:rsid w:val="00040385"/>
    <w:rsid w:val="0004109F"/>
    <w:rsid w:val="00041487"/>
    <w:rsid w:val="000416F0"/>
    <w:rsid w:val="00041B08"/>
    <w:rsid w:val="0004217D"/>
    <w:rsid w:val="00042C5F"/>
    <w:rsid w:val="00042F8A"/>
    <w:rsid w:val="000431C1"/>
    <w:rsid w:val="00044440"/>
    <w:rsid w:val="0004465B"/>
    <w:rsid w:val="000449FF"/>
    <w:rsid w:val="00045123"/>
    <w:rsid w:val="000453C7"/>
    <w:rsid w:val="00045709"/>
    <w:rsid w:val="000458E3"/>
    <w:rsid w:val="00045F91"/>
    <w:rsid w:val="0004610A"/>
    <w:rsid w:val="000463AC"/>
    <w:rsid w:val="0004696D"/>
    <w:rsid w:val="000477D5"/>
    <w:rsid w:val="00047836"/>
    <w:rsid w:val="00047ABA"/>
    <w:rsid w:val="00047BE9"/>
    <w:rsid w:val="00047DA2"/>
    <w:rsid w:val="0005055E"/>
    <w:rsid w:val="00050BA5"/>
    <w:rsid w:val="00050BD8"/>
    <w:rsid w:val="000515CA"/>
    <w:rsid w:val="00051864"/>
    <w:rsid w:val="00051C96"/>
    <w:rsid w:val="00051DC2"/>
    <w:rsid w:val="00051F1E"/>
    <w:rsid w:val="0005206A"/>
    <w:rsid w:val="000524CF"/>
    <w:rsid w:val="00052FB5"/>
    <w:rsid w:val="000532DD"/>
    <w:rsid w:val="00053610"/>
    <w:rsid w:val="000537E3"/>
    <w:rsid w:val="00053F3D"/>
    <w:rsid w:val="000544AA"/>
    <w:rsid w:val="00054E88"/>
    <w:rsid w:val="00055277"/>
    <w:rsid w:val="0005533A"/>
    <w:rsid w:val="00055707"/>
    <w:rsid w:val="00055A4C"/>
    <w:rsid w:val="00055B2B"/>
    <w:rsid w:val="00055E51"/>
    <w:rsid w:val="0005648A"/>
    <w:rsid w:val="000566BE"/>
    <w:rsid w:val="00056C3D"/>
    <w:rsid w:val="00056C98"/>
    <w:rsid w:val="000576AD"/>
    <w:rsid w:val="000576DD"/>
    <w:rsid w:val="0005790D"/>
    <w:rsid w:val="00057928"/>
    <w:rsid w:val="00057EDE"/>
    <w:rsid w:val="00057F96"/>
    <w:rsid w:val="00060D7D"/>
    <w:rsid w:val="00061083"/>
    <w:rsid w:val="00061562"/>
    <w:rsid w:val="0006207C"/>
    <w:rsid w:val="000620A9"/>
    <w:rsid w:val="000622A8"/>
    <w:rsid w:val="00062A47"/>
    <w:rsid w:val="0006303E"/>
    <w:rsid w:val="00063246"/>
    <w:rsid w:val="000635DE"/>
    <w:rsid w:val="00063E72"/>
    <w:rsid w:val="00063E7A"/>
    <w:rsid w:val="0006422E"/>
    <w:rsid w:val="0006423A"/>
    <w:rsid w:val="00064DB0"/>
    <w:rsid w:val="00065549"/>
    <w:rsid w:val="000657F2"/>
    <w:rsid w:val="00065AD3"/>
    <w:rsid w:val="0006609C"/>
    <w:rsid w:val="000661BB"/>
    <w:rsid w:val="00066494"/>
    <w:rsid w:val="000667EA"/>
    <w:rsid w:val="00067535"/>
    <w:rsid w:val="0006786F"/>
    <w:rsid w:val="0007032A"/>
    <w:rsid w:val="0007058E"/>
    <w:rsid w:val="00070867"/>
    <w:rsid w:val="00070B62"/>
    <w:rsid w:val="00070CE7"/>
    <w:rsid w:val="00070D60"/>
    <w:rsid w:val="000715E0"/>
    <w:rsid w:val="000716EF"/>
    <w:rsid w:val="00071D31"/>
    <w:rsid w:val="0007251D"/>
    <w:rsid w:val="000725CD"/>
    <w:rsid w:val="00072F70"/>
    <w:rsid w:val="000731BB"/>
    <w:rsid w:val="000737BA"/>
    <w:rsid w:val="00074010"/>
    <w:rsid w:val="000742D6"/>
    <w:rsid w:val="00074D76"/>
    <w:rsid w:val="0007565D"/>
    <w:rsid w:val="00076CFC"/>
    <w:rsid w:val="000771F3"/>
    <w:rsid w:val="000777A0"/>
    <w:rsid w:val="00077814"/>
    <w:rsid w:val="00077C10"/>
    <w:rsid w:val="00077DEB"/>
    <w:rsid w:val="00080651"/>
    <w:rsid w:val="0008076A"/>
    <w:rsid w:val="00080911"/>
    <w:rsid w:val="000811A7"/>
    <w:rsid w:val="000813F8"/>
    <w:rsid w:val="000815A2"/>
    <w:rsid w:val="0008275A"/>
    <w:rsid w:val="00082FBD"/>
    <w:rsid w:val="000845FC"/>
    <w:rsid w:val="0008466F"/>
    <w:rsid w:val="00084975"/>
    <w:rsid w:val="00084CA0"/>
    <w:rsid w:val="00084CB9"/>
    <w:rsid w:val="00084EF5"/>
    <w:rsid w:val="00084F88"/>
    <w:rsid w:val="00085151"/>
    <w:rsid w:val="00085386"/>
    <w:rsid w:val="00085A58"/>
    <w:rsid w:val="00085B6D"/>
    <w:rsid w:val="00086374"/>
    <w:rsid w:val="00086475"/>
    <w:rsid w:val="0008690D"/>
    <w:rsid w:val="0008694C"/>
    <w:rsid w:val="000869B2"/>
    <w:rsid w:val="00086CCB"/>
    <w:rsid w:val="00086F4E"/>
    <w:rsid w:val="000870C5"/>
    <w:rsid w:val="00087A20"/>
    <w:rsid w:val="00087D56"/>
    <w:rsid w:val="00087D74"/>
    <w:rsid w:val="000900CE"/>
    <w:rsid w:val="00090192"/>
    <w:rsid w:val="00090309"/>
    <w:rsid w:val="000907BD"/>
    <w:rsid w:val="000907CA"/>
    <w:rsid w:val="0009083B"/>
    <w:rsid w:val="00090E93"/>
    <w:rsid w:val="00090F74"/>
    <w:rsid w:val="000911DE"/>
    <w:rsid w:val="00091516"/>
    <w:rsid w:val="00091A67"/>
    <w:rsid w:val="00091E05"/>
    <w:rsid w:val="00092001"/>
    <w:rsid w:val="000924F7"/>
    <w:rsid w:val="00092AA2"/>
    <w:rsid w:val="0009302A"/>
    <w:rsid w:val="000937D0"/>
    <w:rsid w:val="000937D9"/>
    <w:rsid w:val="000939C2"/>
    <w:rsid w:val="00093C28"/>
    <w:rsid w:val="00093D8E"/>
    <w:rsid w:val="00093ECD"/>
    <w:rsid w:val="000947AE"/>
    <w:rsid w:val="000947E8"/>
    <w:rsid w:val="000947E9"/>
    <w:rsid w:val="00094C2E"/>
    <w:rsid w:val="0009539E"/>
    <w:rsid w:val="00095D33"/>
    <w:rsid w:val="00096116"/>
    <w:rsid w:val="0009646A"/>
    <w:rsid w:val="0009660D"/>
    <w:rsid w:val="000966A8"/>
    <w:rsid w:val="00097F42"/>
    <w:rsid w:val="000A06B6"/>
    <w:rsid w:val="000A07BF"/>
    <w:rsid w:val="000A1043"/>
    <w:rsid w:val="000A1B13"/>
    <w:rsid w:val="000A1D42"/>
    <w:rsid w:val="000A20BF"/>
    <w:rsid w:val="000A20E7"/>
    <w:rsid w:val="000A269F"/>
    <w:rsid w:val="000A2B36"/>
    <w:rsid w:val="000A3160"/>
    <w:rsid w:val="000A33DA"/>
    <w:rsid w:val="000A3449"/>
    <w:rsid w:val="000A39E2"/>
    <w:rsid w:val="000A3CF8"/>
    <w:rsid w:val="000A4344"/>
    <w:rsid w:val="000A45D9"/>
    <w:rsid w:val="000A4690"/>
    <w:rsid w:val="000A4E29"/>
    <w:rsid w:val="000A4ED7"/>
    <w:rsid w:val="000A53DA"/>
    <w:rsid w:val="000A5AD9"/>
    <w:rsid w:val="000A6625"/>
    <w:rsid w:val="000A6B14"/>
    <w:rsid w:val="000A6B2D"/>
    <w:rsid w:val="000A6F66"/>
    <w:rsid w:val="000A7816"/>
    <w:rsid w:val="000A78D9"/>
    <w:rsid w:val="000A793F"/>
    <w:rsid w:val="000A7ADF"/>
    <w:rsid w:val="000A7B6A"/>
    <w:rsid w:val="000B003E"/>
    <w:rsid w:val="000B031D"/>
    <w:rsid w:val="000B0F1B"/>
    <w:rsid w:val="000B0F6F"/>
    <w:rsid w:val="000B1007"/>
    <w:rsid w:val="000B2388"/>
    <w:rsid w:val="000B2530"/>
    <w:rsid w:val="000B2778"/>
    <w:rsid w:val="000B3041"/>
    <w:rsid w:val="000B3FDF"/>
    <w:rsid w:val="000B43B2"/>
    <w:rsid w:val="000B4505"/>
    <w:rsid w:val="000B4875"/>
    <w:rsid w:val="000B48D8"/>
    <w:rsid w:val="000B4C3A"/>
    <w:rsid w:val="000B58B4"/>
    <w:rsid w:val="000B5A66"/>
    <w:rsid w:val="000B5D84"/>
    <w:rsid w:val="000B6139"/>
    <w:rsid w:val="000B66DE"/>
    <w:rsid w:val="000B753F"/>
    <w:rsid w:val="000B7BEC"/>
    <w:rsid w:val="000B7E33"/>
    <w:rsid w:val="000C00F5"/>
    <w:rsid w:val="000C0236"/>
    <w:rsid w:val="000C0307"/>
    <w:rsid w:val="000C0486"/>
    <w:rsid w:val="000C0967"/>
    <w:rsid w:val="000C0DAB"/>
    <w:rsid w:val="000C26BE"/>
    <w:rsid w:val="000C2CAE"/>
    <w:rsid w:val="000C2D02"/>
    <w:rsid w:val="000C36E4"/>
    <w:rsid w:val="000C373D"/>
    <w:rsid w:val="000C3A32"/>
    <w:rsid w:val="000C43B1"/>
    <w:rsid w:val="000C4452"/>
    <w:rsid w:val="000C4604"/>
    <w:rsid w:val="000C4C57"/>
    <w:rsid w:val="000C51B5"/>
    <w:rsid w:val="000C5355"/>
    <w:rsid w:val="000C56B6"/>
    <w:rsid w:val="000C5769"/>
    <w:rsid w:val="000C5C5B"/>
    <w:rsid w:val="000C5DF3"/>
    <w:rsid w:val="000C60BE"/>
    <w:rsid w:val="000C675A"/>
    <w:rsid w:val="000C6D89"/>
    <w:rsid w:val="000C70FE"/>
    <w:rsid w:val="000C7615"/>
    <w:rsid w:val="000C761D"/>
    <w:rsid w:val="000D0200"/>
    <w:rsid w:val="000D039D"/>
    <w:rsid w:val="000D081D"/>
    <w:rsid w:val="000D0F36"/>
    <w:rsid w:val="000D116C"/>
    <w:rsid w:val="000D1246"/>
    <w:rsid w:val="000D18D8"/>
    <w:rsid w:val="000D1A34"/>
    <w:rsid w:val="000D2370"/>
    <w:rsid w:val="000D25B8"/>
    <w:rsid w:val="000D2685"/>
    <w:rsid w:val="000D291D"/>
    <w:rsid w:val="000D336C"/>
    <w:rsid w:val="000D418A"/>
    <w:rsid w:val="000D427D"/>
    <w:rsid w:val="000D459D"/>
    <w:rsid w:val="000D45DA"/>
    <w:rsid w:val="000D4F96"/>
    <w:rsid w:val="000D5903"/>
    <w:rsid w:val="000D5AA8"/>
    <w:rsid w:val="000D625F"/>
    <w:rsid w:val="000D63CE"/>
    <w:rsid w:val="000D6877"/>
    <w:rsid w:val="000D6BA1"/>
    <w:rsid w:val="000D6C30"/>
    <w:rsid w:val="000D6E39"/>
    <w:rsid w:val="000D7080"/>
    <w:rsid w:val="000D727D"/>
    <w:rsid w:val="000D73CB"/>
    <w:rsid w:val="000D77ED"/>
    <w:rsid w:val="000E073A"/>
    <w:rsid w:val="000E0A9E"/>
    <w:rsid w:val="000E0C32"/>
    <w:rsid w:val="000E1441"/>
    <w:rsid w:val="000E14E3"/>
    <w:rsid w:val="000E19F2"/>
    <w:rsid w:val="000E21B1"/>
    <w:rsid w:val="000E2BCF"/>
    <w:rsid w:val="000E2EC0"/>
    <w:rsid w:val="000E326B"/>
    <w:rsid w:val="000E3509"/>
    <w:rsid w:val="000E3D46"/>
    <w:rsid w:val="000E4362"/>
    <w:rsid w:val="000E478A"/>
    <w:rsid w:val="000E5002"/>
    <w:rsid w:val="000E51A4"/>
    <w:rsid w:val="000E51B9"/>
    <w:rsid w:val="000E5362"/>
    <w:rsid w:val="000E5F00"/>
    <w:rsid w:val="000E67A5"/>
    <w:rsid w:val="000E6FF1"/>
    <w:rsid w:val="000E74AB"/>
    <w:rsid w:val="000E7828"/>
    <w:rsid w:val="000E7CA2"/>
    <w:rsid w:val="000F01EC"/>
    <w:rsid w:val="000F031A"/>
    <w:rsid w:val="000F05D5"/>
    <w:rsid w:val="000F0AA1"/>
    <w:rsid w:val="000F0C7D"/>
    <w:rsid w:val="000F0CFE"/>
    <w:rsid w:val="000F0EE0"/>
    <w:rsid w:val="000F1078"/>
    <w:rsid w:val="000F11A4"/>
    <w:rsid w:val="000F140A"/>
    <w:rsid w:val="000F18D2"/>
    <w:rsid w:val="000F19FD"/>
    <w:rsid w:val="000F1B95"/>
    <w:rsid w:val="000F27AB"/>
    <w:rsid w:val="000F3057"/>
    <w:rsid w:val="000F34EB"/>
    <w:rsid w:val="000F438F"/>
    <w:rsid w:val="000F441C"/>
    <w:rsid w:val="000F4905"/>
    <w:rsid w:val="000F4FF9"/>
    <w:rsid w:val="000F504B"/>
    <w:rsid w:val="000F513D"/>
    <w:rsid w:val="000F535D"/>
    <w:rsid w:val="000F5656"/>
    <w:rsid w:val="000F5792"/>
    <w:rsid w:val="000F5881"/>
    <w:rsid w:val="000F5891"/>
    <w:rsid w:val="000F5990"/>
    <w:rsid w:val="000F5A1B"/>
    <w:rsid w:val="000F5A90"/>
    <w:rsid w:val="000F5D01"/>
    <w:rsid w:val="000F6019"/>
    <w:rsid w:val="000F6A3B"/>
    <w:rsid w:val="000F716E"/>
    <w:rsid w:val="000F798A"/>
    <w:rsid w:val="00100A4C"/>
    <w:rsid w:val="00100A79"/>
    <w:rsid w:val="00100F2E"/>
    <w:rsid w:val="00101228"/>
    <w:rsid w:val="001019EB"/>
    <w:rsid w:val="001019F3"/>
    <w:rsid w:val="001025AD"/>
    <w:rsid w:val="00102D49"/>
    <w:rsid w:val="00102D5B"/>
    <w:rsid w:val="00103014"/>
    <w:rsid w:val="001031CE"/>
    <w:rsid w:val="00103415"/>
    <w:rsid w:val="00103872"/>
    <w:rsid w:val="001039E9"/>
    <w:rsid w:val="00103A98"/>
    <w:rsid w:val="00103C9A"/>
    <w:rsid w:val="00103DAD"/>
    <w:rsid w:val="0010401F"/>
    <w:rsid w:val="0010487F"/>
    <w:rsid w:val="00104898"/>
    <w:rsid w:val="00105371"/>
    <w:rsid w:val="00105785"/>
    <w:rsid w:val="00105D96"/>
    <w:rsid w:val="001062A9"/>
    <w:rsid w:val="0010636E"/>
    <w:rsid w:val="00106371"/>
    <w:rsid w:val="00106CFC"/>
    <w:rsid w:val="00107170"/>
    <w:rsid w:val="00107222"/>
    <w:rsid w:val="00107300"/>
    <w:rsid w:val="00107806"/>
    <w:rsid w:val="001079C6"/>
    <w:rsid w:val="00107B6A"/>
    <w:rsid w:val="001100B7"/>
    <w:rsid w:val="001104D2"/>
    <w:rsid w:val="00110AA1"/>
    <w:rsid w:val="00111497"/>
    <w:rsid w:val="00111934"/>
    <w:rsid w:val="00112230"/>
    <w:rsid w:val="001123F2"/>
    <w:rsid w:val="0011244A"/>
    <w:rsid w:val="001125C2"/>
    <w:rsid w:val="00112650"/>
    <w:rsid w:val="00112719"/>
    <w:rsid w:val="001127DC"/>
    <w:rsid w:val="00113156"/>
    <w:rsid w:val="001132AF"/>
    <w:rsid w:val="00113439"/>
    <w:rsid w:val="00113795"/>
    <w:rsid w:val="00113DCC"/>
    <w:rsid w:val="00113F3C"/>
    <w:rsid w:val="001140F9"/>
    <w:rsid w:val="00114560"/>
    <w:rsid w:val="00114D60"/>
    <w:rsid w:val="00114E45"/>
    <w:rsid w:val="001150DF"/>
    <w:rsid w:val="00115109"/>
    <w:rsid w:val="0011564C"/>
    <w:rsid w:val="0011584E"/>
    <w:rsid w:val="00115979"/>
    <w:rsid w:val="00115A2B"/>
    <w:rsid w:val="00116C17"/>
    <w:rsid w:val="00117656"/>
    <w:rsid w:val="00117781"/>
    <w:rsid w:val="001178BA"/>
    <w:rsid w:val="00117D7E"/>
    <w:rsid w:val="001207AD"/>
    <w:rsid w:val="00120F04"/>
    <w:rsid w:val="00121A3F"/>
    <w:rsid w:val="00121A81"/>
    <w:rsid w:val="00121AB4"/>
    <w:rsid w:val="00122C14"/>
    <w:rsid w:val="001230EC"/>
    <w:rsid w:val="00123CD1"/>
    <w:rsid w:val="00123FD4"/>
    <w:rsid w:val="00124CD8"/>
    <w:rsid w:val="001250DB"/>
    <w:rsid w:val="001250E8"/>
    <w:rsid w:val="00125109"/>
    <w:rsid w:val="00125868"/>
    <w:rsid w:val="00125C77"/>
    <w:rsid w:val="00126372"/>
    <w:rsid w:val="0012646C"/>
    <w:rsid w:val="00126F2E"/>
    <w:rsid w:val="0012719A"/>
    <w:rsid w:val="00127669"/>
    <w:rsid w:val="00127D76"/>
    <w:rsid w:val="001303EE"/>
    <w:rsid w:val="00130900"/>
    <w:rsid w:val="00130A9B"/>
    <w:rsid w:val="00130B27"/>
    <w:rsid w:val="00131118"/>
    <w:rsid w:val="001318EF"/>
    <w:rsid w:val="00131C30"/>
    <w:rsid w:val="00131F96"/>
    <w:rsid w:val="00132140"/>
    <w:rsid w:val="0013232F"/>
    <w:rsid w:val="001323B6"/>
    <w:rsid w:val="001328EE"/>
    <w:rsid w:val="0013336B"/>
    <w:rsid w:val="0013409E"/>
    <w:rsid w:val="001340EB"/>
    <w:rsid w:val="0013427A"/>
    <w:rsid w:val="00134660"/>
    <w:rsid w:val="00134B57"/>
    <w:rsid w:val="00135098"/>
    <w:rsid w:val="00135421"/>
    <w:rsid w:val="00135606"/>
    <w:rsid w:val="0013585B"/>
    <w:rsid w:val="001365FC"/>
    <w:rsid w:val="00136999"/>
    <w:rsid w:val="00137569"/>
    <w:rsid w:val="00137784"/>
    <w:rsid w:val="00137A86"/>
    <w:rsid w:val="00137AB3"/>
    <w:rsid w:val="00137D76"/>
    <w:rsid w:val="00140130"/>
    <w:rsid w:val="0014026F"/>
    <w:rsid w:val="0014063F"/>
    <w:rsid w:val="00140D8D"/>
    <w:rsid w:val="00141525"/>
    <w:rsid w:val="001421D9"/>
    <w:rsid w:val="0014225C"/>
    <w:rsid w:val="0014236D"/>
    <w:rsid w:val="00142862"/>
    <w:rsid w:val="001429D3"/>
    <w:rsid w:val="00142C6D"/>
    <w:rsid w:val="00142E62"/>
    <w:rsid w:val="001433B2"/>
    <w:rsid w:val="001436FB"/>
    <w:rsid w:val="00143B81"/>
    <w:rsid w:val="00144B45"/>
    <w:rsid w:val="001452A4"/>
    <w:rsid w:val="00145C17"/>
    <w:rsid w:val="00145C4E"/>
    <w:rsid w:val="00145C5E"/>
    <w:rsid w:val="00145D6F"/>
    <w:rsid w:val="00145E28"/>
    <w:rsid w:val="00146A0F"/>
    <w:rsid w:val="00146A76"/>
    <w:rsid w:val="00146D24"/>
    <w:rsid w:val="00147089"/>
    <w:rsid w:val="001473A9"/>
    <w:rsid w:val="00147449"/>
    <w:rsid w:val="001474B3"/>
    <w:rsid w:val="00147610"/>
    <w:rsid w:val="001504CE"/>
    <w:rsid w:val="00150B60"/>
    <w:rsid w:val="00150DAB"/>
    <w:rsid w:val="0015105E"/>
    <w:rsid w:val="001512E4"/>
    <w:rsid w:val="00151322"/>
    <w:rsid w:val="001522F9"/>
    <w:rsid w:val="001522FC"/>
    <w:rsid w:val="00152473"/>
    <w:rsid w:val="00152DC4"/>
    <w:rsid w:val="00153208"/>
    <w:rsid w:val="00153A6A"/>
    <w:rsid w:val="001542ED"/>
    <w:rsid w:val="001542F6"/>
    <w:rsid w:val="00154A4D"/>
    <w:rsid w:val="00154D96"/>
    <w:rsid w:val="00154E39"/>
    <w:rsid w:val="001550C5"/>
    <w:rsid w:val="00155B40"/>
    <w:rsid w:val="00156140"/>
    <w:rsid w:val="001564B7"/>
    <w:rsid w:val="00156599"/>
    <w:rsid w:val="00156943"/>
    <w:rsid w:val="00156C62"/>
    <w:rsid w:val="00157027"/>
    <w:rsid w:val="0015751E"/>
    <w:rsid w:val="00157850"/>
    <w:rsid w:val="00157D68"/>
    <w:rsid w:val="00160279"/>
    <w:rsid w:val="001606C8"/>
    <w:rsid w:val="001618F7"/>
    <w:rsid w:val="00161EAD"/>
    <w:rsid w:val="00162169"/>
    <w:rsid w:val="00162435"/>
    <w:rsid w:val="00162848"/>
    <w:rsid w:val="00162DEE"/>
    <w:rsid w:val="001633BD"/>
    <w:rsid w:val="001636D6"/>
    <w:rsid w:val="001639DE"/>
    <w:rsid w:val="00163DC7"/>
    <w:rsid w:val="00164C42"/>
    <w:rsid w:val="00164DB0"/>
    <w:rsid w:val="00165166"/>
    <w:rsid w:val="001655C9"/>
    <w:rsid w:val="001659BB"/>
    <w:rsid w:val="00165DEE"/>
    <w:rsid w:val="00165DFB"/>
    <w:rsid w:val="001668AD"/>
    <w:rsid w:val="001675BA"/>
    <w:rsid w:val="00167864"/>
    <w:rsid w:val="00167CF3"/>
    <w:rsid w:val="00167FE8"/>
    <w:rsid w:val="00170961"/>
    <w:rsid w:val="00170AC2"/>
    <w:rsid w:val="00170CE0"/>
    <w:rsid w:val="00171224"/>
    <w:rsid w:val="00172A88"/>
    <w:rsid w:val="00173755"/>
    <w:rsid w:val="00174263"/>
    <w:rsid w:val="0017432D"/>
    <w:rsid w:val="00175F0A"/>
    <w:rsid w:val="001762F4"/>
    <w:rsid w:val="0017634F"/>
    <w:rsid w:val="00176B2B"/>
    <w:rsid w:val="00176DE7"/>
    <w:rsid w:val="001770B2"/>
    <w:rsid w:val="001772F5"/>
    <w:rsid w:val="001774E1"/>
    <w:rsid w:val="001800C5"/>
    <w:rsid w:val="0018055D"/>
    <w:rsid w:val="00180AB2"/>
    <w:rsid w:val="00180D51"/>
    <w:rsid w:val="00181A01"/>
    <w:rsid w:val="00181C12"/>
    <w:rsid w:val="0018254E"/>
    <w:rsid w:val="00182E45"/>
    <w:rsid w:val="001833F5"/>
    <w:rsid w:val="001837C2"/>
    <w:rsid w:val="00183D31"/>
    <w:rsid w:val="0018404F"/>
    <w:rsid w:val="00184237"/>
    <w:rsid w:val="00185190"/>
    <w:rsid w:val="001854DD"/>
    <w:rsid w:val="0018570A"/>
    <w:rsid w:val="0018583E"/>
    <w:rsid w:val="0018588A"/>
    <w:rsid w:val="001865BD"/>
    <w:rsid w:val="0018700E"/>
    <w:rsid w:val="00187D28"/>
    <w:rsid w:val="00187F6D"/>
    <w:rsid w:val="00190445"/>
    <w:rsid w:val="00190C38"/>
    <w:rsid w:val="00190FB0"/>
    <w:rsid w:val="0019119A"/>
    <w:rsid w:val="0019136C"/>
    <w:rsid w:val="001918B3"/>
    <w:rsid w:val="00191AFD"/>
    <w:rsid w:val="00191C31"/>
    <w:rsid w:val="00191D75"/>
    <w:rsid w:val="00192500"/>
    <w:rsid w:val="00192E59"/>
    <w:rsid w:val="001930A1"/>
    <w:rsid w:val="00193224"/>
    <w:rsid w:val="001932F0"/>
    <w:rsid w:val="00193347"/>
    <w:rsid w:val="00193AFB"/>
    <w:rsid w:val="001949F0"/>
    <w:rsid w:val="00194C3B"/>
    <w:rsid w:val="00194EB6"/>
    <w:rsid w:val="00194ECF"/>
    <w:rsid w:val="00194F5D"/>
    <w:rsid w:val="0019531E"/>
    <w:rsid w:val="001954E8"/>
    <w:rsid w:val="0019552B"/>
    <w:rsid w:val="001955DF"/>
    <w:rsid w:val="00195AFB"/>
    <w:rsid w:val="00195BED"/>
    <w:rsid w:val="00195D84"/>
    <w:rsid w:val="0019625A"/>
    <w:rsid w:val="00196B34"/>
    <w:rsid w:val="00196F8D"/>
    <w:rsid w:val="0019715C"/>
    <w:rsid w:val="00197421"/>
    <w:rsid w:val="001A11DC"/>
    <w:rsid w:val="001A177D"/>
    <w:rsid w:val="001A1843"/>
    <w:rsid w:val="001A1D71"/>
    <w:rsid w:val="001A1F60"/>
    <w:rsid w:val="001A26DD"/>
    <w:rsid w:val="001A296F"/>
    <w:rsid w:val="001A2988"/>
    <w:rsid w:val="001A2DE4"/>
    <w:rsid w:val="001A2E1B"/>
    <w:rsid w:val="001A3669"/>
    <w:rsid w:val="001A39CD"/>
    <w:rsid w:val="001A3E83"/>
    <w:rsid w:val="001A4238"/>
    <w:rsid w:val="001A471F"/>
    <w:rsid w:val="001A4720"/>
    <w:rsid w:val="001A47F9"/>
    <w:rsid w:val="001A4AE3"/>
    <w:rsid w:val="001A5132"/>
    <w:rsid w:val="001A5A94"/>
    <w:rsid w:val="001A6732"/>
    <w:rsid w:val="001A74A1"/>
    <w:rsid w:val="001A757E"/>
    <w:rsid w:val="001A76A8"/>
    <w:rsid w:val="001A7B2C"/>
    <w:rsid w:val="001B0949"/>
    <w:rsid w:val="001B1BB9"/>
    <w:rsid w:val="001B2315"/>
    <w:rsid w:val="001B23AF"/>
    <w:rsid w:val="001B307B"/>
    <w:rsid w:val="001B3167"/>
    <w:rsid w:val="001B3254"/>
    <w:rsid w:val="001B34E2"/>
    <w:rsid w:val="001B3588"/>
    <w:rsid w:val="001B3770"/>
    <w:rsid w:val="001B3FC7"/>
    <w:rsid w:val="001B4058"/>
    <w:rsid w:val="001B4F52"/>
    <w:rsid w:val="001B4F6F"/>
    <w:rsid w:val="001B55DF"/>
    <w:rsid w:val="001B566E"/>
    <w:rsid w:val="001B5FEF"/>
    <w:rsid w:val="001B653E"/>
    <w:rsid w:val="001B6FA4"/>
    <w:rsid w:val="001B7A56"/>
    <w:rsid w:val="001B7D37"/>
    <w:rsid w:val="001C1404"/>
    <w:rsid w:val="001C1673"/>
    <w:rsid w:val="001C17BD"/>
    <w:rsid w:val="001C1DF5"/>
    <w:rsid w:val="001C21F3"/>
    <w:rsid w:val="001C269D"/>
    <w:rsid w:val="001C3127"/>
    <w:rsid w:val="001C398F"/>
    <w:rsid w:val="001C4288"/>
    <w:rsid w:val="001C46A4"/>
    <w:rsid w:val="001C486D"/>
    <w:rsid w:val="001C4B45"/>
    <w:rsid w:val="001C4B7F"/>
    <w:rsid w:val="001C50A3"/>
    <w:rsid w:val="001C5E31"/>
    <w:rsid w:val="001C5E40"/>
    <w:rsid w:val="001C6453"/>
    <w:rsid w:val="001C658E"/>
    <w:rsid w:val="001C725B"/>
    <w:rsid w:val="001C7299"/>
    <w:rsid w:val="001C7810"/>
    <w:rsid w:val="001C7AE3"/>
    <w:rsid w:val="001C7E73"/>
    <w:rsid w:val="001D01AE"/>
    <w:rsid w:val="001D0BF0"/>
    <w:rsid w:val="001D0CF3"/>
    <w:rsid w:val="001D0DA7"/>
    <w:rsid w:val="001D1279"/>
    <w:rsid w:val="001D14CF"/>
    <w:rsid w:val="001D164E"/>
    <w:rsid w:val="001D1845"/>
    <w:rsid w:val="001D1DDB"/>
    <w:rsid w:val="001D2305"/>
    <w:rsid w:val="001D2663"/>
    <w:rsid w:val="001D30F8"/>
    <w:rsid w:val="001D33F9"/>
    <w:rsid w:val="001D3C25"/>
    <w:rsid w:val="001D3F66"/>
    <w:rsid w:val="001D41FC"/>
    <w:rsid w:val="001D5D5E"/>
    <w:rsid w:val="001D61E6"/>
    <w:rsid w:val="001D6721"/>
    <w:rsid w:val="001D6E65"/>
    <w:rsid w:val="001D6F01"/>
    <w:rsid w:val="001D6F8D"/>
    <w:rsid w:val="001D705D"/>
    <w:rsid w:val="001D7B47"/>
    <w:rsid w:val="001D7C7A"/>
    <w:rsid w:val="001E032D"/>
    <w:rsid w:val="001E0411"/>
    <w:rsid w:val="001E0A36"/>
    <w:rsid w:val="001E0A58"/>
    <w:rsid w:val="001E0B76"/>
    <w:rsid w:val="001E0CFD"/>
    <w:rsid w:val="001E1210"/>
    <w:rsid w:val="001E13A7"/>
    <w:rsid w:val="001E1C44"/>
    <w:rsid w:val="001E1FE8"/>
    <w:rsid w:val="001E2223"/>
    <w:rsid w:val="001E25D0"/>
    <w:rsid w:val="001E2698"/>
    <w:rsid w:val="001E26E9"/>
    <w:rsid w:val="001E2783"/>
    <w:rsid w:val="001E2B4E"/>
    <w:rsid w:val="001E2C1C"/>
    <w:rsid w:val="001E30B2"/>
    <w:rsid w:val="001E3D77"/>
    <w:rsid w:val="001E521E"/>
    <w:rsid w:val="001E54E3"/>
    <w:rsid w:val="001E595C"/>
    <w:rsid w:val="001E5A40"/>
    <w:rsid w:val="001E5A54"/>
    <w:rsid w:val="001E5A65"/>
    <w:rsid w:val="001E62DC"/>
    <w:rsid w:val="001E659E"/>
    <w:rsid w:val="001E69BE"/>
    <w:rsid w:val="001E6A3C"/>
    <w:rsid w:val="001E6C7E"/>
    <w:rsid w:val="001E6D4A"/>
    <w:rsid w:val="001E6EBB"/>
    <w:rsid w:val="001E6EE1"/>
    <w:rsid w:val="001E7889"/>
    <w:rsid w:val="001E78F0"/>
    <w:rsid w:val="001E7A44"/>
    <w:rsid w:val="001E7D3F"/>
    <w:rsid w:val="001E7D40"/>
    <w:rsid w:val="001F013B"/>
    <w:rsid w:val="001F028C"/>
    <w:rsid w:val="001F153A"/>
    <w:rsid w:val="001F21CF"/>
    <w:rsid w:val="001F22F6"/>
    <w:rsid w:val="001F27E0"/>
    <w:rsid w:val="001F3AD5"/>
    <w:rsid w:val="001F42FB"/>
    <w:rsid w:val="001F4411"/>
    <w:rsid w:val="001F445B"/>
    <w:rsid w:val="001F496B"/>
    <w:rsid w:val="001F4AEA"/>
    <w:rsid w:val="001F4E17"/>
    <w:rsid w:val="001F4EA6"/>
    <w:rsid w:val="001F530B"/>
    <w:rsid w:val="001F5A96"/>
    <w:rsid w:val="001F60C2"/>
    <w:rsid w:val="001F6206"/>
    <w:rsid w:val="001F640A"/>
    <w:rsid w:val="001F64E0"/>
    <w:rsid w:val="001F65A9"/>
    <w:rsid w:val="001F673C"/>
    <w:rsid w:val="001F6F21"/>
    <w:rsid w:val="001F75E3"/>
    <w:rsid w:val="001F7DD4"/>
    <w:rsid w:val="001F7F23"/>
    <w:rsid w:val="00200768"/>
    <w:rsid w:val="00200C90"/>
    <w:rsid w:val="00201275"/>
    <w:rsid w:val="002012FA"/>
    <w:rsid w:val="00201937"/>
    <w:rsid w:val="002023D7"/>
    <w:rsid w:val="00202B7A"/>
    <w:rsid w:val="00202C19"/>
    <w:rsid w:val="00202D07"/>
    <w:rsid w:val="00202E12"/>
    <w:rsid w:val="00202F59"/>
    <w:rsid w:val="002033CA"/>
    <w:rsid w:val="00203454"/>
    <w:rsid w:val="002039AD"/>
    <w:rsid w:val="00203C60"/>
    <w:rsid w:val="00204190"/>
    <w:rsid w:val="002045BC"/>
    <w:rsid w:val="002046AD"/>
    <w:rsid w:val="0020486E"/>
    <w:rsid w:val="00204D6C"/>
    <w:rsid w:val="00204F39"/>
    <w:rsid w:val="00205590"/>
    <w:rsid w:val="00205864"/>
    <w:rsid w:val="002060E1"/>
    <w:rsid w:val="00206A39"/>
    <w:rsid w:val="00206FC9"/>
    <w:rsid w:val="00207002"/>
    <w:rsid w:val="00207265"/>
    <w:rsid w:val="00207370"/>
    <w:rsid w:val="00207426"/>
    <w:rsid w:val="0021055A"/>
    <w:rsid w:val="00210C99"/>
    <w:rsid w:val="00210F90"/>
    <w:rsid w:val="00211237"/>
    <w:rsid w:val="002116B0"/>
    <w:rsid w:val="00211E87"/>
    <w:rsid w:val="0021324C"/>
    <w:rsid w:val="00213647"/>
    <w:rsid w:val="0021367A"/>
    <w:rsid w:val="00213959"/>
    <w:rsid w:val="00213CFB"/>
    <w:rsid w:val="00213D7D"/>
    <w:rsid w:val="00213F79"/>
    <w:rsid w:val="00213FF6"/>
    <w:rsid w:val="00214101"/>
    <w:rsid w:val="00214553"/>
    <w:rsid w:val="00214583"/>
    <w:rsid w:val="0021460D"/>
    <w:rsid w:val="00214A39"/>
    <w:rsid w:val="00214E7D"/>
    <w:rsid w:val="00215318"/>
    <w:rsid w:val="00215379"/>
    <w:rsid w:val="0021594D"/>
    <w:rsid w:val="00215A5B"/>
    <w:rsid w:val="00216346"/>
    <w:rsid w:val="00216CBB"/>
    <w:rsid w:val="00216CC9"/>
    <w:rsid w:val="00216DC7"/>
    <w:rsid w:val="0021705A"/>
    <w:rsid w:val="0022007F"/>
    <w:rsid w:val="002203A6"/>
    <w:rsid w:val="00221332"/>
    <w:rsid w:val="00221479"/>
    <w:rsid w:val="00221A16"/>
    <w:rsid w:val="00221D92"/>
    <w:rsid w:val="00221E06"/>
    <w:rsid w:val="00221E58"/>
    <w:rsid w:val="00222558"/>
    <w:rsid w:val="002227FC"/>
    <w:rsid w:val="00222EB5"/>
    <w:rsid w:val="00222F28"/>
    <w:rsid w:val="002230DA"/>
    <w:rsid w:val="0022321D"/>
    <w:rsid w:val="00223E42"/>
    <w:rsid w:val="00224208"/>
    <w:rsid w:val="002259C8"/>
    <w:rsid w:val="00225D45"/>
    <w:rsid w:val="00226BD2"/>
    <w:rsid w:val="002271C0"/>
    <w:rsid w:val="0022760B"/>
    <w:rsid w:val="002277DE"/>
    <w:rsid w:val="00227863"/>
    <w:rsid w:val="00230626"/>
    <w:rsid w:val="00230B84"/>
    <w:rsid w:val="00230EB5"/>
    <w:rsid w:val="0023143D"/>
    <w:rsid w:val="00231E9F"/>
    <w:rsid w:val="00232274"/>
    <w:rsid w:val="0023242C"/>
    <w:rsid w:val="0023287D"/>
    <w:rsid w:val="0023318A"/>
    <w:rsid w:val="002331C5"/>
    <w:rsid w:val="00233247"/>
    <w:rsid w:val="002332A4"/>
    <w:rsid w:val="002334B3"/>
    <w:rsid w:val="00233BBC"/>
    <w:rsid w:val="00233C02"/>
    <w:rsid w:val="00233C8D"/>
    <w:rsid w:val="00234161"/>
    <w:rsid w:val="002345B0"/>
    <w:rsid w:val="00234816"/>
    <w:rsid w:val="002352CB"/>
    <w:rsid w:val="002354AC"/>
    <w:rsid w:val="00235614"/>
    <w:rsid w:val="00235E20"/>
    <w:rsid w:val="00236476"/>
    <w:rsid w:val="002369D2"/>
    <w:rsid w:val="0023701A"/>
    <w:rsid w:val="0023716F"/>
    <w:rsid w:val="00240060"/>
    <w:rsid w:val="0024057B"/>
    <w:rsid w:val="002405AA"/>
    <w:rsid w:val="00241809"/>
    <w:rsid w:val="00241DAE"/>
    <w:rsid w:val="00241FEE"/>
    <w:rsid w:val="00242722"/>
    <w:rsid w:val="002428A6"/>
    <w:rsid w:val="00242D5D"/>
    <w:rsid w:val="00243214"/>
    <w:rsid w:val="0024346B"/>
    <w:rsid w:val="002437D3"/>
    <w:rsid w:val="00243EE5"/>
    <w:rsid w:val="0024424F"/>
    <w:rsid w:val="0024456A"/>
    <w:rsid w:val="0024583F"/>
    <w:rsid w:val="0024594B"/>
    <w:rsid w:val="002459DC"/>
    <w:rsid w:val="00245A68"/>
    <w:rsid w:val="00245AAE"/>
    <w:rsid w:val="00245C36"/>
    <w:rsid w:val="00245F3C"/>
    <w:rsid w:val="002466F9"/>
    <w:rsid w:val="00246C0F"/>
    <w:rsid w:val="002470EA"/>
    <w:rsid w:val="00247341"/>
    <w:rsid w:val="002479B4"/>
    <w:rsid w:val="002500A8"/>
    <w:rsid w:val="00250347"/>
    <w:rsid w:val="0025087E"/>
    <w:rsid w:val="00250AB3"/>
    <w:rsid w:val="00250D95"/>
    <w:rsid w:val="002510D1"/>
    <w:rsid w:val="00251281"/>
    <w:rsid w:val="0025191A"/>
    <w:rsid w:val="00251C0F"/>
    <w:rsid w:val="00252226"/>
    <w:rsid w:val="00252271"/>
    <w:rsid w:val="0025237D"/>
    <w:rsid w:val="002525DD"/>
    <w:rsid w:val="00252F4F"/>
    <w:rsid w:val="00254B3A"/>
    <w:rsid w:val="00254D87"/>
    <w:rsid w:val="0025505E"/>
    <w:rsid w:val="002550DE"/>
    <w:rsid w:val="00255802"/>
    <w:rsid w:val="00256207"/>
    <w:rsid w:val="0025689F"/>
    <w:rsid w:val="00256CE7"/>
    <w:rsid w:val="00257016"/>
    <w:rsid w:val="00257173"/>
    <w:rsid w:val="00257367"/>
    <w:rsid w:val="0025746A"/>
    <w:rsid w:val="002575CE"/>
    <w:rsid w:val="00257BC8"/>
    <w:rsid w:val="00257D24"/>
    <w:rsid w:val="00260349"/>
    <w:rsid w:val="002604B4"/>
    <w:rsid w:val="002606E3"/>
    <w:rsid w:val="00260CA8"/>
    <w:rsid w:val="00260E16"/>
    <w:rsid w:val="002610D2"/>
    <w:rsid w:val="0026192F"/>
    <w:rsid w:val="00261A24"/>
    <w:rsid w:val="00262029"/>
    <w:rsid w:val="002629BD"/>
    <w:rsid w:val="00263064"/>
    <w:rsid w:val="0026397C"/>
    <w:rsid w:val="00264AE1"/>
    <w:rsid w:val="00265377"/>
    <w:rsid w:val="00265414"/>
    <w:rsid w:val="002657A5"/>
    <w:rsid w:val="0026594E"/>
    <w:rsid w:val="00265CE9"/>
    <w:rsid w:val="00265FF6"/>
    <w:rsid w:val="00266758"/>
    <w:rsid w:val="00266A9C"/>
    <w:rsid w:val="00267363"/>
    <w:rsid w:val="002701D8"/>
    <w:rsid w:val="00270480"/>
    <w:rsid w:val="00271607"/>
    <w:rsid w:val="002719A5"/>
    <w:rsid w:val="00271C37"/>
    <w:rsid w:val="00271EBD"/>
    <w:rsid w:val="00272098"/>
    <w:rsid w:val="002720FD"/>
    <w:rsid w:val="0027221C"/>
    <w:rsid w:val="00272BDF"/>
    <w:rsid w:val="002732FD"/>
    <w:rsid w:val="00274044"/>
    <w:rsid w:val="00274090"/>
    <w:rsid w:val="0027424A"/>
    <w:rsid w:val="00274B84"/>
    <w:rsid w:val="00274C86"/>
    <w:rsid w:val="002750D9"/>
    <w:rsid w:val="00275368"/>
    <w:rsid w:val="00276268"/>
    <w:rsid w:val="00276D1F"/>
    <w:rsid w:val="00276D72"/>
    <w:rsid w:val="00276D94"/>
    <w:rsid w:val="00276FC9"/>
    <w:rsid w:val="00277127"/>
    <w:rsid w:val="00277656"/>
    <w:rsid w:val="00277C17"/>
    <w:rsid w:val="00277E5C"/>
    <w:rsid w:val="00280576"/>
    <w:rsid w:val="002817B8"/>
    <w:rsid w:val="002818EC"/>
    <w:rsid w:val="00281B6E"/>
    <w:rsid w:val="00281C1D"/>
    <w:rsid w:val="00281C5F"/>
    <w:rsid w:val="00281F80"/>
    <w:rsid w:val="00282371"/>
    <w:rsid w:val="0028238B"/>
    <w:rsid w:val="00282C3F"/>
    <w:rsid w:val="00282C62"/>
    <w:rsid w:val="00283157"/>
    <w:rsid w:val="00284CE2"/>
    <w:rsid w:val="00284D9A"/>
    <w:rsid w:val="00284F19"/>
    <w:rsid w:val="00285002"/>
    <w:rsid w:val="0028583F"/>
    <w:rsid w:val="0028672C"/>
    <w:rsid w:val="002867EB"/>
    <w:rsid w:val="00286FAF"/>
    <w:rsid w:val="002872A2"/>
    <w:rsid w:val="00287374"/>
    <w:rsid w:val="00287641"/>
    <w:rsid w:val="00287776"/>
    <w:rsid w:val="0028798A"/>
    <w:rsid w:val="00287D82"/>
    <w:rsid w:val="002902CC"/>
    <w:rsid w:val="00290E62"/>
    <w:rsid w:val="00291A2A"/>
    <w:rsid w:val="00291AE4"/>
    <w:rsid w:val="00291B45"/>
    <w:rsid w:val="00291C93"/>
    <w:rsid w:val="00291F2F"/>
    <w:rsid w:val="002922B8"/>
    <w:rsid w:val="002923CA"/>
    <w:rsid w:val="00292B9A"/>
    <w:rsid w:val="00292F03"/>
    <w:rsid w:val="00292F42"/>
    <w:rsid w:val="002931E3"/>
    <w:rsid w:val="002939D3"/>
    <w:rsid w:val="00294537"/>
    <w:rsid w:val="002947F5"/>
    <w:rsid w:val="00295B3D"/>
    <w:rsid w:val="002968AD"/>
    <w:rsid w:val="00296BA3"/>
    <w:rsid w:val="00296C43"/>
    <w:rsid w:val="00297657"/>
    <w:rsid w:val="002978F1"/>
    <w:rsid w:val="00297990"/>
    <w:rsid w:val="00297B2A"/>
    <w:rsid w:val="002A00B3"/>
    <w:rsid w:val="002A0265"/>
    <w:rsid w:val="002A02DD"/>
    <w:rsid w:val="002A08D7"/>
    <w:rsid w:val="002A1C9D"/>
    <w:rsid w:val="002A20E1"/>
    <w:rsid w:val="002A2571"/>
    <w:rsid w:val="002A2935"/>
    <w:rsid w:val="002A2BC6"/>
    <w:rsid w:val="002A2CBF"/>
    <w:rsid w:val="002A2E32"/>
    <w:rsid w:val="002A325A"/>
    <w:rsid w:val="002A32AC"/>
    <w:rsid w:val="002A459C"/>
    <w:rsid w:val="002A45AD"/>
    <w:rsid w:val="002A466B"/>
    <w:rsid w:val="002A4770"/>
    <w:rsid w:val="002A48F7"/>
    <w:rsid w:val="002A4B12"/>
    <w:rsid w:val="002A5232"/>
    <w:rsid w:val="002A62D8"/>
    <w:rsid w:val="002A6825"/>
    <w:rsid w:val="002A6937"/>
    <w:rsid w:val="002A6AD8"/>
    <w:rsid w:val="002A6F02"/>
    <w:rsid w:val="002A7594"/>
    <w:rsid w:val="002A767F"/>
    <w:rsid w:val="002B0264"/>
    <w:rsid w:val="002B0461"/>
    <w:rsid w:val="002B084C"/>
    <w:rsid w:val="002B0C67"/>
    <w:rsid w:val="002B0DF3"/>
    <w:rsid w:val="002B156C"/>
    <w:rsid w:val="002B1649"/>
    <w:rsid w:val="002B1D6E"/>
    <w:rsid w:val="002B2D25"/>
    <w:rsid w:val="002B2EEF"/>
    <w:rsid w:val="002B3371"/>
    <w:rsid w:val="002B3566"/>
    <w:rsid w:val="002B3851"/>
    <w:rsid w:val="002B3BA0"/>
    <w:rsid w:val="002B42CC"/>
    <w:rsid w:val="002B4DCE"/>
    <w:rsid w:val="002B5269"/>
    <w:rsid w:val="002B5282"/>
    <w:rsid w:val="002B5A0C"/>
    <w:rsid w:val="002B5D13"/>
    <w:rsid w:val="002B5D1E"/>
    <w:rsid w:val="002B604C"/>
    <w:rsid w:val="002B6205"/>
    <w:rsid w:val="002B62A6"/>
    <w:rsid w:val="002B64A1"/>
    <w:rsid w:val="002B682B"/>
    <w:rsid w:val="002B6C02"/>
    <w:rsid w:val="002B6C22"/>
    <w:rsid w:val="002B7699"/>
    <w:rsid w:val="002C01EF"/>
    <w:rsid w:val="002C09E3"/>
    <w:rsid w:val="002C118F"/>
    <w:rsid w:val="002C21C2"/>
    <w:rsid w:val="002C2769"/>
    <w:rsid w:val="002C2A31"/>
    <w:rsid w:val="002C2FA9"/>
    <w:rsid w:val="002C33E1"/>
    <w:rsid w:val="002C36E0"/>
    <w:rsid w:val="002C3AFC"/>
    <w:rsid w:val="002C3FC1"/>
    <w:rsid w:val="002C41AA"/>
    <w:rsid w:val="002C47A0"/>
    <w:rsid w:val="002C4DD0"/>
    <w:rsid w:val="002C529C"/>
    <w:rsid w:val="002C5426"/>
    <w:rsid w:val="002C5566"/>
    <w:rsid w:val="002C5B5F"/>
    <w:rsid w:val="002C5DA3"/>
    <w:rsid w:val="002C61AC"/>
    <w:rsid w:val="002C65B3"/>
    <w:rsid w:val="002C68B3"/>
    <w:rsid w:val="002C6976"/>
    <w:rsid w:val="002C6E59"/>
    <w:rsid w:val="002C7263"/>
    <w:rsid w:val="002C765D"/>
    <w:rsid w:val="002C7678"/>
    <w:rsid w:val="002C7706"/>
    <w:rsid w:val="002C7AED"/>
    <w:rsid w:val="002C7F65"/>
    <w:rsid w:val="002D02AA"/>
    <w:rsid w:val="002D05C7"/>
    <w:rsid w:val="002D089D"/>
    <w:rsid w:val="002D09D1"/>
    <w:rsid w:val="002D0F7F"/>
    <w:rsid w:val="002D11FD"/>
    <w:rsid w:val="002D1683"/>
    <w:rsid w:val="002D2113"/>
    <w:rsid w:val="002D24A2"/>
    <w:rsid w:val="002D24DE"/>
    <w:rsid w:val="002D24F6"/>
    <w:rsid w:val="002D28FC"/>
    <w:rsid w:val="002D29AF"/>
    <w:rsid w:val="002D2B87"/>
    <w:rsid w:val="002D2B88"/>
    <w:rsid w:val="002D316E"/>
    <w:rsid w:val="002D333C"/>
    <w:rsid w:val="002D3488"/>
    <w:rsid w:val="002D3C46"/>
    <w:rsid w:val="002D40D0"/>
    <w:rsid w:val="002D44EA"/>
    <w:rsid w:val="002D48DB"/>
    <w:rsid w:val="002D55F7"/>
    <w:rsid w:val="002D58CF"/>
    <w:rsid w:val="002D58E2"/>
    <w:rsid w:val="002D60FD"/>
    <w:rsid w:val="002D620B"/>
    <w:rsid w:val="002D6327"/>
    <w:rsid w:val="002D659A"/>
    <w:rsid w:val="002D6C6F"/>
    <w:rsid w:val="002D6EDF"/>
    <w:rsid w:val="002D725B"/>
    <w:rsid w:val="002D730D"/>
    <w:rsid w:val="002D7CE9"/>
    <w:rsid w:val="002E04D1"/>
    <w:rsid w:val="002E085E"/>
    <w:rsid w:val="002E09DC"/>
    <w:rsid w:val="002E0ADA"/>
    <w:rsid w:val="002E0C44"/>
    <w:rsid w:val="002E2377"/>
    <w:rsid w:val="002E2495"/>
    <w:rsid w:val="002E2945"/>
    <w:rsid w:val="002E2F63"/>
    <w:rsid w:val="002E348C"/>
    <w:rsid w:val="002E387A"/>
    <w:rsid w:val="002E38AE"/>
    <w:rsid w:val="002E3989"/>
    <w:rsid w:val="002E3FBE"/>
    <w:rsid w:val="002E41B7"/>
    <w:rsid w:val="002E423B"/>
    <w:rsid w:val="002E42E7"/>
    <w:rsid w:val="002E49F2"/>
    <w:rsid w:val="002E4C8B"/>
    <w:rsid w:val="002E4D6E"/>
    <w:rsid w:val="002E5099"/>
    <w:rsid w:val="002E56D7"/>
    <w:rsid w:val="002E588B"/>
    <w:rsid w:val="002E5CC1"/>
    <w:rsid w:val="002F0134"/>
    <w:rsid w:val="002F0262"/>
    <w:rsid w:val="002F058D"/>
    <w:rsid w:val="002F09F4"/>
    <w:rsid w:val="002F0A72"/>
    <w:rsid w:val="002F13BC"/>
    <w:rsid w:val="002F1403"/>
    <w:rsid w:val="002F1E22"/>
    <w:rsid w:val="002F2416"/>
    <w:rsid w:val="002F253D"/>
    <w:rsid w:val="002F268C"/>
    <w:rsid w:val="002F3104"/>
    <w:rsid w:val="002F31C5"/>
    <w:rsid w:val="002F3B18"/>
    <w:rsid w:val="002F3FD5"/>
    <w:rsid w:val="002F4696"/>
    <w:rsid w:val="002F4BBC"/>
    <w:rsid w:val="002F515B"/>
    <w:rsid w:val="002F55A2"/>
    <w:rsid w:val="002F56F5"/>
    <w:rsid w:val="002F70E8"/>
    <w:rsid w:val="002F7A7B"/>
    <w:rsid w:val="002F7B80"/>
    <w:rsid w:val="002F7EC3"/>
    <w:rsid w:val="003007DA"/>
    <w:rsid w:val="00300CF9"/>
    <w:rsid w:val="00300ED6"/>
    <w:rsid w:val="00301248"/>
    <w:rsid w:val="003018D6"/>
    <w:rsid w:val="0030208A"/>
    <w:rsid w:val="00302ADF"/>
    <w:rsid w:val="00302F1B"/>
    <w:rsid w:val="00303411"/>
    <w:rsid w:val="00303740"/>
    <w:rsid w:val="00304D55"/>
    <w:rsid w:val="003054E9"/>
    <w:rsid w:val="00305BF3"/>
    <w:rsid w:val="00305DE6"/>
    <w:rsid w:val="00305F87"/>
    <w:rsid w:val="00306228"/>
    <w:rsid w:val="00306B1E"/>
    <w:rsid w:val="00306F89"/>
    <w:rsid w:val="0030723B"/>
    <w:rsid w:val="0030735A"/>
    <w:rsid w:val="003077B0"/>
    <w:rsid w:val="00307914"/>
    <w:rsid w:val="00311A86"/>
    <w:rsid w:val="00311B06"/>
    <w:rsid w:val="00311C6C"/>
    <w:rsid w:val="00311E53"/>
    <w:rsid w:val="00311EBD"/>
    <w:rsid w:val="00312524"/>
    <w:rsid w:val="0031333D"/>
    <w:rsid w:val="0031370B"/>
    <w:rsid w:val="003138F6"/>
    <w:rsid w:val="00313949"/>
    <w:rsid w:val="00313995"/>
    <w:rsid w:val="003139EB"/>
    <w:rsid w:val="00313DBE"/>
    <w:rsid w:val="00313F1A"/>
    <w:rsid w:val="00314A0C"/>
    <w:rsid w:val="00314A15"/>
    <w:rsid w:val="003152F7"/>
    <w:rsid w:val="003159B9"/>
    <w:rsid w:val="00315E28"/>
    <w:rsid w:val="00315E82"/>
    <w:rsid w:val="003160DD"/>
    <w:rsid w:val="00316284"/>
    <w:rsid w:val="003172CE"/>
    <w:rsid w:val="00317593"/>
    <w:rsid w:val="00317CE9"/>
    <w:rsid w:val="003204EA"/>
    <w:rsid w:val="0032055B"/>
    <w:rsid w:val="003205BB"/>
    <w:rsid w:val="003205C5"/>
    <w:rsid w:val="00320822"/>
    <w:rsid w:val="00320959"/>
    <w:rsid w:val="00320BA0"/>
    <w:rsid w:val="00320CDE"/>
    <w:rsid w:val="00320FE0"/>
    <w:rsid w:val="003212BE"/>
    <w:rsid w:val="00321FDD"/>
    <w:rsid w:val="003220EB"/>
    <w:rsid w:val="003225C3"/>
    <w:rsid w:val="003225F5"/>
    <w:rsid w:val="00322FA8"/>
    <w:rsid w:val="003233F3"/>
    <w:rsid w:val="0032343E"/>
    <w:rsid w:val="00323BCB"/>
    <w:rsid w:val="00323D4F"/>
    <w:rsid w:val="00324500"/>
    <w:rsid w:val="00324648"/>
    <w:rsid w:val="00324806"/>
    <w:rsid w:val="00324826"/>
    <w:rsid w:val="00324AD0"/>
    <w:rsid w:val="00324F96"/>
    <w:rsid w:val="00325387"/>
    <w:rsid w:val="003262CE"/>
    <w:rsid w:val="003263A4"/>
    <w:rsid w:val="0032654D"/>
    <w:rsid w:val="00326565"/>
    <w:rsid w:val="00326CC5"/>
    <w:rsid w:val="00327061"/>
    <w:rsid w:val="003278C0"/>
    <w:rsid w:val="00327D99"/>
    <w:rsid w:val="00330725"/>
    <w:rsid w:val="003308A8"/>
    <w:rsid w:val="003311F3"/>
    <w:rsid w:val="00331E27"/>
    <w:rsid w:val="003325D2"/>
    <w:rsid w:val="0033317A"/>
    <w:rsid w:val="00333C77"/>
    <w:rsid w:val="00333D7B"/>
    <w:rsid w:val="00333EB1"/>
    <w:rsid w:val="0033476F"/>
    <w:rsid w:val="00335415"/>
    <w:rsid w:val="00335CE0"/>
    <w:rsid w:val="0033608A"/>
    <w:rsid w:val="003362EE"/>
    <w:rsid w:val="00336C9C"/>
    <w:rsid w:val="00337D92"/>
    <w:rsid w:val="00340514"/>
    <w:rsid w:val="003409CC"/>
    <w:rsid w:val="00340D36"/>
    <w:rsid w:val="003412BA"/>
    <w:rsid w:val="0034146F"/>
    <w:rsid w:val="003419F7"/>
    <w:rsid w:val="00341A6A"/>
    <w:rsid w:val="003422CF"/>
    <w:rsid w:val="00342A02"/>
    <w:rsid w:val="00342BDD"/>
    <w:rsid w:val="0034324D"/>
    <w:rsid w:val="00343B07"/>
    <w:rsid w:val="00343DC9"/>
    <w:rsid w:val="003444E9"/>
    <w:rsid w:val="00344BBC"/>
    <w:rsid w:val="00344CED"/>
    <w:rsid w:val="00344E2F"/>
    <w:rsid w:val="00344F6C"/>
    <w:rsid w:val="00344F92"/>
    <w:rsid w:val="00345021"/>
    <w:rsid w:val="003453C5"/>
    <w:rsid w:val="00345822"/>
    <w:rsid w:val="003460E1"/>
    <w:rsid w:val="003466DC"/>
    <w:rsid w:val="0034674F"/>
    <w:rsid w:val="00346949"/>
    <w:rsid w:val="00346BF0"/>
    <w:rsid w:val="00346EC9"/>
    <w:rsid w:val="0034779C"/>
    <w:rsid w:val="00347B4E"/>
    <w:rsid w:val="00347B5E"/>
    <w:rsid w:val="00350944"/>
    <w:rsid w:val="00350987"/>
    <w:rsid w:val="00350A93"/>
    <w:rsid w:val="00350ECF"/>
    <w:rsid w:val="00351BD2"/>
    <w:rsid w:val="00351CB0"/>
    <w:rsid w:val="00351E92"/>
    <w:rsid w:val="00351F99"/>
    <w:rsid w:val="00351FD5"/>
    <w:rsid w:val="0035210A"/>
    <w:rsid w:val="0035324C"/>
    <w:rsid w:val="00353899"/>
    <w:rsid w:val="00353920"/>
    <w:rsid w:val="00353A2E"/>
    <w:rsid w:val="00353C26"/>
    <w:rsid w:val="00353D40"/>
    <w:rsid w:val="00354D57"/>
    <w:rsid w:val="00355194"/>
    <w:rsid w:val="00355CEF"/>
    <w:rsid w:val="00355E36"/>
    <w:rsid w:val="00355FFB"/>
    <w:rsid w:val="003565D0"/>
    <w:rsid w:val="00356FDF"/>
    <w:rsid w:val="00356FE6"/>
    <w:rsid w:val="00357905"/>
    <w:rsid w:val="003579E1"/>
    <w:rsid w:val="00357DAE"/>
    <w:rsid w:val="00360BD5"/>
    <w:rsid w:val="0036194C"/>
    <w:rsid w:val="00361F8C"/>
    <w:rsid w:val="003620AB"/>
    <w:rsid w:val="003641AB"/>
    <w:rsid w:val="00364968"/>
    <w:rsid w:val="00364977"/>
    <w:rsid w:val="00364D33"/>
    <w:rsid w:val="003650B8"/>
    <w:rsid w:val="00365576"/>
    <w:rsid w:val="00365A96"/>
    <w:rsid w:val="00365AD4"/>
    <w:rsid w:val="00366AA9"/>
    <w:rsid w:val="00366C30"/>
    <w:rsid w:val="00366D18"/>
    <w:rsid w:val="00366F5D"/>
    <w:rsid w:val="00367BE0"/>
    <w:rsid w:val="00367C88"/>
    <w:rsid w:val="00367CB7"/>
    <w:rsid w:val="0037160F"/>
    <w:rsid w:val="0037276E"/>
    <w:rsid w:val="003741BB"/>
    <w:rsid w:val="003741EA"/>
    <w:rsid w:val="00375526"/>
    <w:rsid w:val="003757FD"/>
    <w:rsid w:val="003762DF"/>
    <w:rsid w:val="00376617"/>
    <w:rsid w:val="00376874"/>
    <w:rsid w:val="00376BA5"/>
    <w:rsid w:val="00377638"/>
    <w:rsid w:val="003776EB"/>
    <w:rsid w:val="00377CBD"/>
    <w:rsid w:val="003809B4"/>
    <w:rsid w:val="00380BC9"/>
    <w:rsid w:val="00380C89"/>
    <w:rsid w:val="00380F18"/>
    <w:rsid w:val="0038113A"/>
    <w:rsid w:val="00381C0F"/>
    <w:rsid w:val="003823B8"/>
    <w:rsid w:val="00382434"/>
    <w:rsid w:val="0038284A"/>
    <w:rsid w:val="00382A41"/>
    <w:rsid w:val="003834D2"/>
    <w:rsid w:val="0038355A"/>
    <w:rsid w:val="003836E7"/>
    <w:rsid w:val="0038379D"/>
    <w:rsid w:val="003837C2"/>
    <w:rsid w:val="003838CF"/>
    <w:rsid w:val="0038390E"/>
    <w:rsid w:val="00383FFF"/>
    <w:rsid w:val="00384027"/>
    <w:rsid w:val="00384E43"/>
    <w:rsid w:val="003852C3"/>
    <w:rsid w:val="003855CD"/>
    <w:rsid w:val="003859B8"/>
    <w:rsid w:val="00385A92"/>
    <w:rsid w:val="00385D10"/>
    <w:rsid w:val="00385E81"/>
    <w:rsid w:val="003861F5"/>
    <w:rsid w:val="003862C0"/>
    <w:rsid w:val="003869A1"/>
    <w:rsid w:val="00386D65"/>
    <w:rsid w:val="00386E3C"/>
    <w:rsid w:val="003871EE"/>
    <w:rsid w:val="00387C00"/>
    <w:rsid w:val="00387C69"/>
    <w:rsid w:val="00390B59"/>
    <w:rsid w:val="00390E9D"/>
    <w:rsid w:val="00390F10"/>
    <w:rsid w:val="003915AF"/>
    <w:rsid w:val="00391956"/>
    <w:rsid w:val="0039223C"/>
    <w:rsid w:val="00392349"/>
    <w:rsid w:val="003927C4"/>
    <w:rsid w:val="00392BB4"/>
    <w:rsid w:val="003930BA"/>
    <w:rsid w:val="00393270"/>
    <w:rsid w:val="00393370"/>
    <w:rsid w:val="00393517"/>
    <w:rsid w:val="00393C3A"/>
    <w:rsid w:val="0039466E"/>
    <w:rsid w:val="00394A54"/>
    <w:rsid w:val="00394D6B"/>
    <w:rsid w:val="00395902"/>
    <w:rsid w:val="00395A82"/>
    <w:rsid w:val="00396994"/>
    <w:rsid w:val="00396AE7"/>
    <w:rsid w:val="003971B0"/>
    <w:rsid w:val="0039743D"/>
    <w:rsid w:val="00397986"/>
    <w:rsid w:val="003A040D"/>
    <w:rsid w:val="003A046B"/>
    <w:rsid w:val="003A0909"/>
    <w:rsid w:val="003A0962"/>
    <w:rsid w:val="003A0CB3"/>
    <w:rsid w:val="003A0D57"/>
    <w:rsid w:val="003A17F0"/>
    <w:rsid w:val="003A2185"/>
    <w:rsid w:val="003A2299"/>
    <w:rsid w:val="003A23ED"/>
    <w:rsid w:val="003A2636"/>
    <w:rsid w:val="003A303B"/>
    <w:rsid w:val="003A3433"/>
    <w:rsid w:val="003A36AF"/>
    <w:rsid w:val="003A37D3"/>
    <w:rsid w:val="003A3886"/>
    <w:rsid w:val="003A3920"/>
    <w:rsid w:val="003A3ED6"/>
    <w:rsid w:val="003A3F82"/>
    <w:rsid w:val="003A425F"/>
    <w:rsid w:val="003A4B54"/>
    <w:rsid w:val="003A4BE9"/>
    <w:rsid w:val="003A4FCC"/>
    <w:rsid w:val="003A539E"/>
    <w:rsid w:val="003A570A"/>
    <w:rsid w:val="003A57D9"/>
    <w:rsid w:val="003A58B7"/>
    <w:rsid w:val="003A5938"/>
    <w:rsid w:val="003A71D1"/>
    <w:rsid w:val="003A7465"/>
    <w:rsid w:val="003A77C5"/>
    <w:rsid w:val="003A7B56"/>
    <w:rsid w:val="003B0005"/>
    <w:rsid w:val="003B0325"/>
    <w:rsid w:val="003B0863"/>
    <w:rsid w:val="003B1899"/>
    <w:rsid w:val="003B19D9"/>
    <w:rsid w:val="003B1B5C"/>
    <w:rsid w:val="003B299D"/>
    <w:rsid w:val="003B2B32"/>
    <w:rsid w:val="003B2C68"/>
    <w:rsid w:val="003B3134"/>
    <w:rsid w:val="003B31DE"/>
    <w:rsid w:val="003B32A6"/>
    <w:rsid w:val="003B3307"/>
    <w:rsid w:val="003B34FE"/>
    <w:rsid w:val="003B42FA"/>
    <w:rsid w:val="003B4662"/>
    <w:rsid w:val="003B49B9"/>
    <w:rsid w:val="003B4F4C"/>
    <w:rsid w:val="003B4F9A"/>
    <w:rsid w:val="003B4FD3"/>
    <w:rsid w:val="003B51C9"/>
    <w:rsid w:val="003B573C"/>
    <w:rsid w:val="003B5B97"/>
    <w:rsid w:val="003B5F83"/>
    <w:rsid w:val="003B620B"/>
    <w:rsid w:val="003B696F"/>
    <w:rsid w:val="003B6B38"/>
    <w:rsid w:val="003B6E46"/>
    <w:rsid w:val="003B6E4D"/>
    <w:rsid w:val="003B72F2"/>
    <w:rsid w:val="003B7B8D"/>
    <w:rsid w:val="003B7F60"/>
    <w:rsid w:val="003C031D"/>
    <w:rsid w:val="003C0C79"/>
    <w:rsid w:val="003C1153"/>
    <w:rsid w:val="003C1351"/>
    <w:rsid w:val="003C1A56"/>
    <w:rsid w:val="003C1FA6"/>
    <w:rsid w:val="003C21EF"/>
    <w:rsid w:val="003C2392"/>
    <w:rsid w:val="003C246E"/>
    <w:rsid w:val="003C290C"/>
    <w:rsid w:val="003C29FA"/>
    <w:rsid w:val="003C2B21"/>
    <w:rsid w:val="003C2C69"/>
    <w:rsid w:val="003C2E4F"/>
    <w:rsid w:val="003C2E64"/>
    <w:rsid w:val="003C3CA9"/>
    <w:rsid w:val="003C413C"/>
    <w:rsid w:val="003C4140"/>
    <w:rsid w:val="003C4167"/>
    <w:rsid w:val="003C4262"/>
    <w:rsid w:val="003C4724"/>
    <w:rsid w:val="003C4853"/>
    <w:rsid w:val="003C5019"/>
    <w:rsid w:val="003C51B5"/>
    <w:rsid w:val="003C552A"/>
    <w:rsid w:val="003C5C0F"/>
    <w:rsid w:val="003C5F42"/>
    <w:rsid w:val="003C6355"/>
    <w:rsid w:val="003C69BC"/>
    <w:rsid w:val="003C6D60"/>
    <w:rsid w:val="003C6DDE"/>
    <w:rsid w:val="003C710F"/>
    <w:rsid w:val="003D04C8"/>
    <w:rsid w:val="003D0A39"/>
    <w:rsid w:val="003D0F29"/>
    <w:rsid w:val="003D1313"/>
    <w:rsid w:val="003D14CB"/>
    <w:rsid w:val="003D15CD"/>
    <w:rsid w:val="003D1A62"/>
    <w:rsid w:val="003D20C6"/>
    <w:rsid w:val="003D2190"/>
    <w:rsid w:val="003D23C2"/>
    <w:rsid w:val="003D25E5"/>
    <w:rsid w:val="003D2913"/>
    <w:rsid w:val="003D2B5C"/>
    <w:rsid w:val="003D2B92"/>
    <w:rsid w:val="003D2FF6"/>
    <w:rsid w:val="003D39B6"/>
    <w:rsid w:val="003D52A0"/>
    <w:rsid w:val="003D5CEC"/>
    <w:rsid w:val="003D5E55"/>
    <w:rsid w:val="003D5E9E"/>
    <w:rsid w:val="003D637D"/>
    <w:rsid w:val="003D6849"/>
    <w:rsid w:val="003D6E5F"/>
    <w:rsid w:val="003D7044"/>
    <w:rsid w:val="003D75A7"/>
    <w:rsid w:val="003D77A8"/>
    <w:rsid w:val="003D7B97"/>
    <w:rsid w:val="003D7D28"/>
    <w:rsid w:val="003E02B1"/>
    <w:rsid w:val="003E1191"/>
    <w:rsid w:val="003E12CD"/>
    <w:rsid w:val="003E1478"/>
    <w:rsid w:val="003E1688"/>
    <w:rsid w:val="003E1705"/>
    <w:rsid w:val="003E1917"/>
    <w:rsid w:val="003E2AC7"/>
    <w:rsid w:val="003E2DF2"/>
    <w:rsid w:val="003E34B0"/>
    <w:rsid w:val="003E3955"/>
    <w:rsid w:val="003E3DD8"/>
    <w:rsid w:val="003E4003"/>
    <w:rsid w:val="003E4C19"/>
    <w:rsid w:val="003E4E3C"/>
    <w:rsid w:val="003E5BA2"/>
    <w:rsid w:val="003E5CE9"/>
    <w:rsid w:val="003E678C"/>
    <w:rsid w:val="003E73CB"/>
    <w:rsid w:val="003E790C"/>
    <w:rsid w:val="003E7A2A"/>
    <w:rsid w:val="003E7E04"/>
    <w:rsid w:val="003F0ED0"/>
    <w:rsid w:val="003F1290"/>
    <w:rsid w:val="003F12DC"/>
    <w:rsid w:val="003F1B08"/>
    <w:rsid w:val="003F1F4A"/>
    <w:rsid w:val="003F1F86"/>
    <w:rsid w:val="003F2027"/>
    <w:rsid w:val="003F20B6"/>
    <w:rsid w:val="003F20E7"/>
    <w:rsid w:val="003F22D3"/>
    <w:rsid w:val="003F233C"/>
    <w:rsid w:val="003F26A2"/>
    <w:rsid w:val="003F278B"/>
    <w:rsid w:val="003F288A"/>
    <w:rsid w:val="003F2C10"/>
    <w:rsid w:val="003F2F51"/>
    <w:rsid w:val="003F2FFC"/>
    <w:rsid w:val="003F31A1"/>
    <w:rsid w:val="003F3E58"/>
    <w:rsid w:val="003F4B29"/>
    <w:rsid w:val="003F4E3D"/>
    <w:rsid w:val="003F4F87"/>
    <w:rsid w:val="003F541D"/>
    <w:rsid w:val="003F547B"/>
    <w:rsid w:val="003F5969"/>
    <w:rsid w:val="003F5CC5"/>
    <w:rsid w:val="003F5F2E"/>
    <w:rsid w:val="003F63CB"/>
    <w:rsid w:val="003F677E"/>
    <w:rsid w:val="003F678B"/>
    <w:rsid w:val="003F6F3C"/>
    <w:rsid w:val="003F7524"/>
    <w:rsid w:val="004004BE"/>
    <w:rsid w:val="0040069F"/>
    <w:rsid w:val="004008EB"/>
    <w:rsid w:val="00400E1B"/>
    <w:rsid w:val="0040100D"/>
    <w:rsid w:val="004015D7"/>
    <w:rsid w:val="00401C79"/>
    <w:rsid w:val="00401FE7"/>
    <w:rsid w:val="00402108"/>
    <w:rsid w:val="00402344"/>
    <w:rsid w:val="004023F0"/>
    <w:rsid w:val="0040267F"/>
    <w:rsid w:val="004028C4"/>
    <w:rsid w:val="00402983"/>
    <w:rsid w:val="00402DD4"/>
    <w:rsid w:val="00402FEC"/>
    <w:rsid w:val="00403022"/>
    <w:rsid w:val="0040326C"/>
    <w:rsid w:val="00403329"/>
    <w:rsid w:val="0040370C"/>
    <w:rsid w:val="00403B84"/>
    <w:rsid w:val="00403E03"/>
    <w:rsid w:val="004045C9"/>
    <w:rsid w:val="004046A6"/>
    <w:rsid w:val="00404849"/>
    <w:rsid w:val="00404B5C"/>
    <w:rsid w:val="004051B3"/>
    <w:rsid w:val="004053AB"/>
    <w:rsid w:val="004056D4"/>
    <w:rsid w:val="004058B3"/>
    <w:rsid w:val="004059B3"/>
    <w:rsid w:val="00405B31"/>
    <w:rsid w:val="00406293"/>
    <w:rsid w:val="00406340"/>
    <w:rsid w:val="004063FA"/>
    <w:rsid w:val="00406482"/>
    <w:rsid w:val="00406712"/>
    <w:rsid w:val="00406EB3"/>
    <w:rsid w:val="0040733C"/>
    <w:rsid w:val="00407DBE"/>
    <w:rsid w:val="00407DEA"/>
    <w:rsid w:val="004101D7"/>
    <w:rsid w:val="004108D0"/>
    <w:rsid w:val="004118FD"/>
    <w:rsid w:val="00412138"/>
    <w:rsid w:val="0041214B"/>
    <w:rsid w:val="00412575"/>
    <w:rsid w:val="0041262B"/>
    <w:rsid w:val="004127FA"/>
    <w:rsid w:val="004131D7"/>
    <w:rsid w:val="00413A8F"/>
    <w:rsid w:val="00413B40"/>
    <w:rsid w:val="00413D24"/>
    <w:rsid w:val="00415121"/>
    <w:rsid w:val="004153CC"/>
    <w:rsid w:val="00415C96"/>
    <w:rsid w:val="00415DA6"/>
    <w:rsid w:val="00416513"/>
    <w:rsid w:val="004167C9"/>
    <w:rsid w:val="0041713B"/>
    <w:rsid w:val="004178B8"/>
    <w:rsid w:val="0041793A"/>
    <w:rsid w:val="00417A6F"/>
    <w:rsid w:val="00417DB5"/>
    <w:rsid w:val="0042051B"/>
    <w:rsid w:val="00420552"/>
    <w:rsid w:val="004205DA"/>
    <w:rsid w:val="0042073D"/>
    <w:rsid w:val="00420F9C"/>
    <w:rsid w:val="00421BF9"/>
    <w:rsid w:val="00421E30"/>
    <w:rsid w:val="00422392"/>
    <w:rsid w:val="004228F0"/>
    <w:rsid w:val="00422EF4"/>
    <w:rsid w:val="004232DA"/>
    <w:rsid w:val="0042378F"/>
    <w:rsid w:val="00423C95"/>
    <w:rsid w:val="00423D27"/>
    <w:rsid w:val="00424556"/>
    <w:rsid w:val="004247C9"/>
    <w:rsid w:val="00425630"/>
    <w:rsid w:val="0042568B"/>
    <w:rsid w:val="00425900"/>
    <w:rsid w:val="00425907"/>
    <w:rsid w:val="00425F9F"/>
    <w:rsid w:val="0042634A"/>
    <w:rsid w:val="00426A1D"/>
    <w:rsid w:val="00426D9A"/>
    <w:rsid w:val="00426DA7"/>
    <w:rsid w:val="00426ECB"/>
    <w:rsid w:val="00427397"/>
    <w:rsid w:val="004273D7"/>
    <w:rsid w:val="00427719"/>
    <w:rsid w:val="004277A3"/>
    <w:rsid w:val="004278B0"/>
    <w:rsid w:val="00427BE2"/>
    <w:rsid w:val="00427E2D"/>
    <w:rsid w:val="00427F03"/>
    <w:rsid w:val="004304E3"/>
    <w:rsid w:val="004307C6"/>
    <w:rsid w:val="00430939"/>
    <w:rsid w:val="00430AA5"/>
    <w:rsid w:val="00430FD9"/>
    <w:rsid w:val="00431212"/>
    <w:rsid w:val="004313CF"/>
    <w:rsid w:val="00431778"/>
    <w:rsid w:val="00431C2E"/>
    <w:rsid w:val="004323F1"/>
    <w:rsid w:val="00433950"/>
    <w:rsid w:val="004339B0"/>
    <w:rsid w:val="00433B02"/>
    <w:rsid w:val="00434352"/>
    <w:rsid w:val="004346F2"/>
    <w:rsid w:val="0043594B"/>
    <w:rsid w:val="004360F6"/>
    <w:rsid w:val="004364CF"/>
    <w:rsid w:val="004365CF"/>
    <w:rsid w:val="00436C2C"/>
    <w:rsid w:val="00436D05"/>
    <w:rsid w:val="00436F9A"/>
    <w:rsid w:val="00437884"/>
    <w:rsid w:val="00437BC6"/>
    <w:rsid w:val="004406FE"/>
    <w:rsid w:val="004409F6"/>
    <w:rsid w:val="00440A07"/>
    <w:rsid w:val="00440D34"/>
    <w:rsid w:val="00440E3A"/>
    <w:rsid w:val="00441234"/>
    <w:rsid w:val="00442053"/>
    <w:rsid w:val="00442AA7"/>
    <w:rsid w:val="004439EC"/>
    <w:rsid w:val="00443E35"/>
    <w:rsid w:val="00443EC9"/>
    <w:rsid w:val="00444049"/>
    <w:rsid w:val="0044474B"/>
    <w:rsid w:val="00444F47"/>
    <w:rsid w:val="00445131"/>
    <w:rsid w:val="00445397"/>
    <w:rsid w:val="00445759"/>
    <w:rsid w:val="00445E0C"/>
    <w:rsid w:val="0044620D"/>
    <w:rsid w:val="00446671"/>
    <w:rsid w:val="004469F3"/>
    <w:rsid w:val="0045066C"/>
    <w:rsid w:val="0045089D"/>
    <w:rsid w:val="00450C07"/>
    <w:rsid w:val="00450E96"/>
    <w:rsid w:val="00451646"/>
    <w:rsid w:val="00451ED4"/>
    <w:rsid w:val="00451F7A"/>
    <w:rsid w:val="004521EE"/>
    <w:rsid w:val="0045220A"/>
    <w:rsid w:val="00452376"/>
    <w:rsid w:val="0045315D"/>
    <w:rsid w:val="0045386F"/>
    <w:rsid w:val="00453E8C"/>
    <w:rsid w:val="004540CA"/>
    <w:rsid w:val="00454546"/>
    <w:rsid w:val="00454B76"/>
    <w:rsid w:val="00454C14"/>
    <w:rsid w:val="00455055"/>
    <w:rsid w:val="00455717"/>
    <w:rsid w:val="004559D4"/>
    <w:rsid w:val="00455F7C"/>
    <w:rsid w:val="00456AD6"/>
    <w:rsid w:val="00457A87"/>
    <w:rsid w:val="004600C2"/>
    <w:rsid w:val="004602C0"/>
    <w:rsid w:val="00460696"/>
    <w:rsid w:val="00461051"/>
    <w:rsid w:val="0046128B"/>
    <w:rsid w:val="0046156E"/>
    <w:rsid w:val="00461636"/>
    <w:rsid w:val="0046165A"/>
    <w:rsid w:val="004616FF"/>
    <w:rsid w:val="004619C1"/>
    <w:rsid w:val="00461CC7"/>
    <w:rsid w:val="00461D02"/>
    <w:rsid w:val="00461E25"/>
    <w:rsid w:val="004623EB"/>
    <w:rsid w:val="004626BE"/>
    <w:rsid w:val="0046272C"/>
    <w:rsid w:val="004628BE"/>
    <w:rsid w:val="00462ECB"/>
    <w:rsid w:val="00463090"/>
    <w:rsid w:val="0046311E"/>
    <w:rsid w:val="004631E1"/>
    <w:rsid w:val="00463391"/>
    <w:rsid w:val="004635D1"/>
    <w:rsid w:val="004638D6"/>
    <w:rsid w:val="00463E6F"/>
    <w:rsid w:val="00464321"/>
    <w:rsid w:val="0046449B"/>
    <w:rsid w:val="004648B5"/>
    <w:rsid w:val="004649DF"/>
    <w:rsid w:val="004653DC"/>
    <w:rsid w:val="00465737"/>
    <w:rsid w:val="004662D9"/>
    <w:rsid w:val="0046653D"/>
    <w:rsid w:val="004665F4"/>
    <w:rsid w:val="004666D3"/>
    <w:rsid w:val="004667AF"/>
    <w:rsid w:val="00466FA2"/>
    <w:rsid w:val="00467107"/>
    <w:rsid w:val="00467739"/>
    <w:rsid w:val="00467BBB"/>
    <w:rsid w:val="0047008E"/>
    <w:rsid w:val="004701D9"/>
    <w:rsid w:val="00470306"/>
    <w:rsid w:val="00470415"/>
    <w:rsid w:val="00470FEF"/>
    <w:rsid w:val="004714FC"/>
    <w:rsid w:val="00471FF6"/>
    <w:rsid w:val="0047225E"/>
    <w:rsid w:val="0047334D"/>
    <w:rsid w:val="00473C6D"/>
    <w:rsid w:val="00474017"/>
    <w:rsid w:val="00474135"/>
    <w:rsid w:val="00474BCD"/>
    <w:rsid w:val="00474C73"/>
    <w:rsid w:val="00474F3F"/>
    <w:rsid w:val="00475114"/>
    <w:rsid w:val="00476155"/>
    <w:rsid w:val="00476906"/>
    <w:rsid w:val="00476D2A"/>
    <w:rsid w:val="00477377"/>
    <w:rsid w:val="00477DA8"/>
    <w:rsid w:val="00477E27"/>
    <w:rsid w:val="00480520"/>
    <w:rsid w:val="004806A6"/>
    <w:rsid w:val="00481FAF"/>
    <w:rsid w:val="00482271"/>
    <w:rsid w:val="00482511"/>
    <w:rsid w:val="004829EF"/>
    <w:rsid w:val="00483E29"/>
    <w:rsid w:val="00483FF5"/>
    <w:rsid w:val="004847C0"/>
    <w:rsid w:val="00484F4C"/>
    <w:rsid w:val="00484F7D"/>
    <w:rsid w:val="00485211"/>
    <w:rsid w:val="00486B13"/>
    <w:rsid w:val="00486BC2"/>
    <w:rsid w:val="00486C70"/>
    <w:rsid w:val="00486CD3"/>
    <w:rsid w:val="00487132"/>
    <w:rsid w:val="004874A7"/>
    <w:rsid w:val="00490164"/>
    <w:rsid w:val="00490278"/>
    <w:rsid w:val="00490CAD"/>
    <w:rsid w:val="004914A0"/>
    <w:rsid w:val="004915F0"/>
    <w:rsid w:val="00491FCB"/>
    <w:rsid w:val="00492039"/>
    <w:rsid w:val="0049226A"/>
    <w:rsid w:val="004923F0"/>
    <w:rsid w:val="00492426"/>
    <w:rsid w:val="004924FB"/>
    <w:rsid w:val="00492805"/>
    <w:rsid w:val="004928B7"/>
    <w:rsid w:val="004935A3"/>
    <w:rsid w:val="00493C44"/>
    <w:rsid w:val="00493DF5"/>
    <w:rsid w:val="004942DD"/>
    <w:rsid w:val="004942F9"/>
    <w:rsid w:val="0049443D"/>
    <w:rsid w:val="00494656"/>
    <w:rsid w:val="0049471E"/>
    <w:rsid w:val="00494C25"/>
    <w:rsid w:val="00494EE7"/>
    <w:rsid w:val="004952B2"/>
    <w:rsid w:val="004958F4"/>
    <w:rsid w:val="00495CF4"/>
    <w:rsid w:val="00495F97"/>
    <w:rsid w:val="00496248"/>
    <w:rsid w:val="004964C2"/>
    <w:rsid w:val="004967BA"/>
    <w:rsid w:val="004970FE"/>
    <w:rsid w:val="00497A79"/>
    <w:rsid w:val="00497EEE"/>
    <w:rsid w:val="004A0691"/>
    <w:rsid w:val="004A0714"/>
    <w:rsid w:val="004A0D40"/>
    <w:rsid w:val="004A12D8"/>
    <w:rsid w:val="004A1DB8"/>
    <w:rsid w:val="004A216B"/>
    <w:rsid w:val="004A24F2"/>
    <w:rsid w:val="004A3019"/>
    <w:rsid w:val="004A3CF8"/>
    <w:rsid w:val="004A3D7B"/>
    <w:rsid w:val="004A4390"/>
    <w:rsid w:val="004A569F"/>
    <w:rsid w:val="004A5F28"/>
    <w:rsid w:val="004A6D24"/>
    <w:rsid w:val="004A6E4C"/>
    <w:rsid w:val="004A72CD"/>
    <w:rsid w:val="004A7556"/>
    <w:rsid w:val="004A7C39"/>
    <w:rsid w:val="004B0127"/>
    <w:rsid w:val="004B07B0"/>
    <w:rsid w:val="004B08CF"/>
    <w:rsid w:val="004B0E0F"/>
    <w:rsid w:val="004B0F5A"/>
    <w:rsid w:val="004B1544"/>
    <w:rsid w:val="004B1659"/>
    <w:rsid w:val="004B1748"/>
    <w:rsid w:val="004B24F9"/>
    <w:rsid w:val="004B29DE"/>
    <w:rsid w:val="004B3030"/>
    <w:rsid w:val="004B30EF"/>
    <w:rsid w:val="004B4480"/>
    <w:rsid w:val="004B45E5"/>
    <w:rsid w:val="004B4AE9"/>
    <w:rsid w:val="004B4C25"/>
    <w:rsid w:val="004B4E30"/>
    <w:rsid w:val="004B548C"/>
    <w:rsid w:val="004B5536"/>
    <w:rsid w:val="004B568B"/>
    <w:rsid w:val="004B6527"/>
    <w:rsid w:val="004B65D9"/>
    <w:rsid w:val="004B6CB4"/>
    <w:rsid w:val="004B7CBC"/>
    <w:rsid w:val="004B7E0E"/>
    <w:rsid w:val="004C04A8"/>
    <w:rsid w:val="004C180A"/>
    <w:rsid w:val="004C19EB"/>
    <w:rsid w:val="004C1AC8"/>
    <w:rsid w:val="004C1B6A"/>
    <w:rsid w:val="004C2396"/>
    <w:rsid w:val="004C264A"/>
    <w:rsid w:val="004C27AB"/>
    <w:rsid w:val="004C2BF2"/>
    <w:rsid w:val="004C2EEB"/>
    <w:rsid w:val="004C3748"/>
    <w:rsid w:val="004C38D8"/>
    <w:rsid w:val="004C3B62"/>
    <w:rsid w:val="004C4214"/>
    <w:rsid w:val="004C4345"/>
    <w:rsid w:val="004C4594"/>
    <w:rsid w:val="004C46C4"/>
    <w:rsid w:val="004C5152"/>
    <w:rsid w:val="004C5264"/>
    <w:rsid w:val="004C56BE"/>
    <w:rsid w:val="004C5FAF"/>
    <w:rsid w:val="004C6198"/>
    <w:rsid w:val="004C67BC"/>
    <w:rsid w:val="004C782C"/>
    <w:rsid w:val="004D10AE"/>
    <w:rsid w:val="004D1EC7"/>
    <w:rsid w:val="004D1F64"/>
    <w:rsid w:val="004D284F"/>
    <w:rsid w:val="004D32CE"/>
    <w:rsid w:val="004D34AE"/>
    <w:rsid w:val="004D3774"/>
    <w:rsid w:val="004D3B74"/>
    <w:rsid w:val="004D3D85"/>
    <w:rsid w:val="004D3E34"/>
    <w:rsid w:val="004D56A6"/>
    <w:rsid w:val="004D587B"/>
    <w:rsid w:val="004D5924"/>
    <w:rsid w:val="004D5EF9"/>
    <w:rsid w:val="004D604C"/>
    <w:rsid w:val="004D63DC"/>
    <w:rsid w:val="004D64B5"/>
    <w:rsid w:val="004D6BCF"/>
    <w:rsid w:val="004D718F"/>
    <w:rsid w:val="004D782B"/>
    <w:rsid w:val="004E0244"/>
    <w:rsid w:val="004E0886"/>
    <w:rsid w:val="004E0905"/>
    <w:rsid w:val="004E167F"/>
    <w:rsid w:val="004E16EC"/>
    <w:rsid w:val="004E20AD"/>
    <w:rsid w:val="004E2172"/>
    <w:rsid w:val="004E2385"/>
    <w:rsid w:val="004E2525"/>
    <w:rsid w:val="004E264F"/>
    <w:rsid w:val="004E2660"/>
    <w:rsid w:val="004E2A18"/>
    <w:rsid w:val="004E2AFA"/>
    <w:rsid w:val="004E319E"/>
    <w:rsid w:val="004E34C5"/>
    <w:rsid w:val="004E39E0"/>
    <w:rsid w:val="004E39FC"/>
    <w:rsid w:val="004E3DBA"/>
    <w:rsid w:val="004E4216"/>
    <w:rsid w:val="004E4261"/>
    <w:rsid w:val="004E4361"/>
    <w:rsid w:val="004E443E"/>
    <w:rsid w:val="004E4777"/>
    <w:rsid w:val="004E484D"/>
    <w:rsid w:val="004E489A"/>
    <w:rsid w:val="004E4BB0"/>
    <w:rsid w:val="004E4C0E"/>
    <w:rsid w:val="004E5148"/>
    <w:rsid w:val="004E53F0"/>
    <w:rsid w:val="004E54DC"/>
    <w:rsid w:val="004E593F"/>
    <w:rsid w:val="004E62F0"/>
    <w:rsid w:val="004E695B"/>
    <w:rsid w:val="004E7360"/>
    <w:rsid w:val="004E78AC"/>
    <w:rsid w:val="004E78DA"/>
    <w:rsid w:val="004E7D27"/>
    <w:rsid w:val="004E7DE0"/>
    <w:rsid w:val="004F00AB"/>
    <w:rsid w:val="004F00BB"/>
    <w:rsid w:val="004F097C"/>
    <w:rsid w:val="004F0F72"/>
    <w:rsid w:val="004F13A3"/>
    <w:rsid w:val="004F1965"/>
    <w:rsid w:val="004F250F"/>
    <w:rsid w:val="004F2968"/>
    <w:rsid w:val="004F2ABB"/>
    <w:rsid w:val="004F2D05"/>
    <w:rsid w:val="004F2ECE"/>
    <w:rsid w:val="004F30D7"/>
    <w:rsid w:val="004F384F"/>
    <w:rsid w:val="004F3F14"/>
    <w:rsid w:val="004F47A1"/>
    <w:rsid w:val="004F495D"/>
    <w:rsid w:val="004F49CC"/>
    <w:rsid w:val="004F4A86"/>
    <w:rsid w:val="004F4B55"/>
    <w:rsid w:val="004F4CB1"/>
    <w:rsid w:val="004F5929"/>
    <w:rsid w:val="004F5C1F"/>
    <w:rsid w:val="004F5E0C"/>
    <w:rsid w:val="004F6F71"/>
    <w:rsid w:val="004F778D"/>
    <w:rsid w:val="004F7DA3"/>
    <w:rsid w:val="00500156"/>
    <w:rsid w:val="0050033C"/>
    <w:rsid w:val="00500847"/>
    <w:rsid w:val="00500D4A"/>
    <w:rsid w:val="00500F63"/>
    <w:rsid w:val="00501553"/>
    <w:rsid w:val="005015C7"/>
    <w:rsid w:val="00501A31"/>
    <w:rsid w:val="00501EF5"/>
    <w:rsid w:val="00501F8A"/>
    <w:rsid w:val="00502229"/>
    <w:rsid w:val="0050251C"/>
    <w:rsid w:val="00502E9A"/>
    <w:rsid w:val="00503082"/>
    <w:rsid w:val="00503572"/>
    <w:rsid w:val="005037E5"/>
    <w:rsid w:val="005038EB"/>
    <w:rsid w:val="00503908"/>
    <w:rsid w:val="0050413F"/>
    <w:rsid w:val="005043A9"/>
    <w:rsid w:val="00504472"/>
    <w:rsid w:val="00504609"/>
    <w:rsid w:val="005047DC"/>
    <w:rsid w:val="005049D2"/>
    <w:rsid w:val="00504A0A"/>
    <w:rsid w:val="0050507A"/>
    <w:rsid w:val="00505720"/>
    <w:rsid w:val="00505D63"/>
    <w:rsid w:val="0050648E"/>
    <w:rsid w:val="005065AF"/>
    <w:rsid w:val="005067EA"/>
    <w:rsid w:val="005071A1"/>
    <w:rsid w:val="005074F9"/>
    <w:rsid w:val="00507872"/>
    <w:rsid w:val="00507B77"/>
    <w:rsid w:val="00510080"/>
    <w:rsid w:val="00510A20"/>
    <w:rsid w:val="00510B27"/>
    <w:rsid w:val="00510CA4"/>
    <w:rsid w:val="00510D5A"/>
    <w:rsid w:val="00510E80"/>
    <w:rsid w:val="005113A3"/>
    <w:rsid w:val="00511A1A"/>
    <w:rsid w:val="00511A27"/>
    <w:rsid w:val="0051232C"/>
    <w:rsid w:val="00512ECD"/>
    <w:rsid w:val="005132A4"/>
    <w:rsid w:val="00513819"/>
    <w:rsid w:val="00513C10"/>
    <w:rsid w:val="005141BE"/>
    <w:rsid w:val="00514479"/>
    <w:rsid w:val="00514573"/>
    <w:rsid w:val="00514E7E"/>
    <w:rsid w:val="00514F6E"/>
    <w:rsid w:val="00515580"/>
    <w:rsid w:val="00515F39"/>
    <w:rsid w:val="00515F53"/>
    <w:rsid w:val="00516541"/>
    <w:rsid w:val="00516673"/>
    <w:rsid w:val="005167F7"/>
    <w:rsid w:val="00516DD5"/>
    <w:rsid w:val="0051730B"/>
    <w:rsid w:val="0051749B"/>
    <w:rsid w:val="00517C52"/>
    <w:rsid w:val="00517E73"/>
    <w:rsid w:val="00517EAB"/>
    <w:rsid w:val="005201AD"/>
    <w:rsid w:val="00520ABD"/>
    <w:rsid w:val="00520DC1"/>
    <w:rsid w:val="0052103E"/>
    <w:rsid w:val="00521C65"/>
    <w:rsid w:val="00521D29"/>
    <w:rsid w:val="00522107"/>
    <w:rsid w:val="00522196"/>
    <w:rsid w:val="00522764"/>
    <w:rsid w:val="00522933"/>
    <w:rsid w:val="0052301A"/>
    <w:rsid w:val="005242B1"/>
    <w:rsid w:val="00524B1D"/>
    <w:rsid w:val="00525377"/>
    <w:rsid w:val="00525C59"/>
    <w:rsid w:val="00525E6A"/>
    <w:rsid w:val="0052625A"/>
    <w:rsid w:val="00526602"/>
    <w:rsid w:val="005269BA"/>
    <w:rsid w:val="00526AAA"/>
    <w:rsid w:val="00526BF4"/>
    <w:rsid w:val="00526CA4"/>
    <w:rsid w:val="00526DF1"/>
    <w:rsid w:val="00526F53"/>
    <w:rsid w:val="00526FD5"/>
    <w:rsid w:val="00527395"/>
    <w:rsid w:val="0052739F"/>
    <w:rsid w:val="005277F4"/>
    <w:rsid w:val="00527B5A"/>
    <w:rsid w:val="00527EE0"/>
    <w:rsid w:val="00530091"/>
    <w:rsid w:val="00530491"/>
    <w:rsid w:val="0053059E"/>
    <w:rsid w:val="00530942"/>
    <w:rsid w:val="00530EE2"/>
    <w:rsid w:val="00530F5F"/>
    <w:rsid w:val="00530F89"/>
    <w:rsid w:val="005311E9"/>
    <w:rsid w:val="0053140D"/>
    <w:rsid w:val="00531A4B"/>
    <w:rsid w:val="00531B91"/>
    <w:rsid w:val="00531BD2"/>
    <w:rsid w:val="0053289C"/>
    <w:rsid w:val="00532C99"/>
    <w:rsid w:val="00532ECE"/>
    <w:rsid w:val="00534DB0"/>
    <w:rsid w:val="0053556D"/>
    <w:rsid w:val="00535734"/>
    <w:rsid w:val="00535C7C"/>
    <w:rsid w:val="00536690"/>
    <w:rsid w:val="0053673B"/>
    <w:rsid w:val="00536850"/>
    <w:rsid w:val="00536965"/>
    <w:rsid w:val="00536DA9"/>
    <w:rsid w:val="00536F59"/>
    <w:rsid w:val="00536F8E"/>
    <w:rsid w:val="00536FCA"/>
    <w:rsid w:val="00537049"/>
    <w:rsid w:val="005376E5"/>
    <w:rsid w:val="00537A9B"/>
    <w:rsid w:val="00540048"/>
    <w:rsid w:val="005400A1"/>
    <w:rsid w:val="005401B7"/>
    <w:rsid w:val="00540DB8"/>
    <w:rsid w:val="00540F8A"/>
    <w:rsid w:val="005416AA"/>
    <w:rsid w:val="005416DE"/>
    <w:rsid w:val="00541CFA"/>
    <w:rsid w:val="00541EB2"/>
    <w:rsid w:val="005420D7"/>
    <w:rsid w:val="005427E9"/>
    <w:rsid w:val="00542ECB"/>
    <w:rsid w:val="005430EC"/>
    <w:rsid w:val="005431E6"/>
    <w:rsid w:val="00543422"/>
    <w:rsid w:val="005438CA"/>
    <w:rsid w:val="00543B36"/>
    <w:rsid w:val="00543BFD"/>
    <w:rsid w:val="00544B81"/>
    <w:rsid w:val="00544BDC"/>
    <w:rsid w:val="00544D0A"/>
    <w:rsid w:val="005453DE"/>
    <w:rsid w:val="005457B0"/>
    <w:rsid w:val="00545DE3"/>
    <w:rsid w:val="00546683"/>
    <w:rsid w:val="005470C6"/>
    <w:rsid w:val="00547363"/>
    <w:rsid w:val="00547448"/>
    <w:rsid w:val="00547836"/>
    <w:rsid w:val="00547EC6"/>
    <w:rsid w:val="005501F3"/>
    <w:rsid w:val="005505E6"/>
    <w:rsid w:val="00551482"/>
    <w:rsid w:val="00551488"/>
    <w:rsid w:val="00551CB1"/>
    <w:rsid w:val="0055228E"/>
    <w:rsid w:val="005522B3"/>
    <w:rsid w:val="005524DC"/>
    <w:rsid w:val="0055251E"/>
    <w:rsid w:val="00552759"/>
    <w:rsid w:val="00552940"/>
    <w:rsid w:val="00552B25"/>
    <w:rsid w:val="005536F2"/>
    <w:rsid w:val="00553B8A"/>
    <w:rsid w:val="00554757"/>
    <w:rsid w:val="00554FD0"/>
    <w:rsid w:val="0055572E"/>
    <w:rsid w:val="0055599E"/>
    <w:rsid w:val="005567A5"/>
    <w:rsid w:val="00556B87"/>
    <w:rsid w:val="005572FE"/>
    <w:rsid w:val="005576C2"/>
    <w:rsid w:val="00557896"/>
    <w:rsid w:val="00561573"/>
    <w:rsid w:val="005619C3"/>
    <w:rsid w:val="005619E0"/>
    <w:rsid w:val="00561B8C"/>
    <w:rsid w:val="00561CC0"/>
    <w:rsid w:val="00561EC8"/>
    <w:rsid w:val="0056218B"/>
    <w:rsid w:val="00562998"/>
    <w:rsid w:val="00562F6F"/>
    <w:rsid w:val="005635FC"/>
    <w:rsid w:val="00563657"/>
    <w:rsid w:val="0056460A"/>
    <w:rsid w:val="00564984"/>
    <w:rsid w:val="00564C7F"/>
    <w:rsid w:val="00564E9D"/>
    <w:rsid w:val="00564FA9"/>
    <w:rsid w:val="00565444"/>
    <w:rsid w:val="00565C9F"/>
    <w:rsid w:val="005662BF"/>
    <w:rsid w:val="005667B4"/>
    <w:rsid w:val="00566914"/>
    <w:rsid w:val="00566D12"/>
    <w:rsid w:val="00566E36"/>
    <w:rsid w:val="005670A0"/>
    <w:rsid w:val="0056735C"/>
    <w:rsid w:val="005675EC"/>
    <w:rsid w:val="00567AA0"/>
    <w:rsid w:val="00567D6B"/>
    <w:rsid w:val="00570B35"/>
    <w:rsid w:val="00570F8E"/>
    <w:rsid w:val="005710EA"/>
    <w:rsid w:val="00571418"/>
    <w:rsid w:val="005714B8"/>
    <w:rsid w:val="005717CC"/>
    <w:rsid w:val="005717FE"/>
    <w:rsid w:val="00572258"/>
    <w:rsid w:val="00572B66"/>
    <w:rsid w:val="00573A5D"/>
    <w:rsid w:val="00573C85"/>
    <w:rsid w:val="00574238"/>
    <w:rsid w:val="0057424F"/>
    <w:rsid w:val="00574E56"/>
    <w:rsid w:val="00574EDB"/>
    <w:rsid w:val="00574F2E"/>
    <w:rsid w:val="00575C97"/>
    <w:rsid w:val="005766AD"/>
    <w:rsid w:val="00576710"/>
    <w:rsid w:val="00576A17"/>
    <w:rsid w:val="0057794B"/>
    <w:rsid w:val="005779A6"/>
    <w:rsid w:val="00577FFB"/>
    <w:rsid w:val="0058069D"/>
    <w:rsid w:val="005807B2"/>
    <w:rsid w:val="0058095F"/>
    <w:rsid w:val="00580B60"/>
    <w:rsid w:val="00581545"/>
    <w:rsid w:val="005822ED"/>
    <w:rsid w:val="0058345B"/>
    <w:rsid w:val="00583603"/>
    <w:rsid w:val="00583C05"/>
    <w:rsid w:val="0058414C"/>
    <w:rsid w:val="00584E28"/>
    <w:rsid w:val="00585486"/>
    <w:rsid w:val="00585622"/>
    <w:rsid w:val="00585851"/>
    <w:rsid w:val="00585B07"/>
    <w:rsid w:val="00585ED6"/>
    <w:rsid w:val="00586DCE"/>
    <w:rsid w:val="00586E82"/>
    <w:rsid w:val="0059125E"/>
    <w:rsid w:val="0059165F"/>
    <w:rsid w:val="005916F6"/>
    <w:rsid w:val="00591F4E"/>
    <w:rsid w:val="005925BD"/>
    <w:rsid w:val="00592618"/>
    <w:rsid w:val="00593119"/>
    <w:rsid w:val="005934F6"/>
    <w:rsid w:val="0059379C"/>
    <w:rsid w:val="005940E2"/>
    <w:rsid w:val="0059482A"/>
    <w:rsid w:val="0059496D"/>
    <w:rsid w:val="00594ED7"/>
    <w:rsid w:val="005956BD"/>
    <w:rsid w:val="00595CF2"/>
    <w:rsid w:val="00596375"/>
    <w:rsid w:val="00596575"/>
    <w:rsid w:val="00596EFC"/>
    <w:rsid w:val="0059720A"/>
    <w:rsid w:val="0059762A"/>
    <w:rsid w:val="0059793D"/>
    <w:rsid w:val="00597AC4"/>
    <w:rsid w:val="00597B47"/>
    <w:rsid w:val="005A0D6D"/>
    <w:rsid w:val="005A1178"/>
    <w:rsid w:val="005A16AE"/>
    <w:rsid w:val="005A1A19"/>
    <w:rsid w:val="005A1CC9"/>
    <w:rsid w:val="005A1E17"/>
    <w:rsid w:val="005A21DA"/>
    <w:rsid w:val="005A221A"/>
    <w:rsid w:val="005A25BA"/>
    <w:rsid w:val="005A3202"/>
    <w:rsid w:val="005A3DB7"/>
    <w:rsid w:val="005A3F84"/>
    <w:rsid w:val="005A48A0"/>
    <w:rsid w:val="005A4D78"/>
    <w:rsid w:val="005A5052"/>
    <w:rsid w:val="005A55F3"/>
    <w:rsid w:val="005A5650"/>
    <w:rsid w:val="005A594F"/>
    <w:rsid w:val="005A5A01"/>
    <w:rsid w:val="005A5C6C"/>
    <w:rsid w:val="005A5D30"/>
    <w:rsid w:val="005A6442"/>
    <w:rsid w:val="005A697F"/>
    <w:rsid w:val="005A7063"/>
    <w:rsid w:val="005A7946"/>
    <w:rsid w:val="005A7F15"/>
    <w:rsid w:val="005B0668"/>
    <w:rsid w:val="005B0886"/>
    <w:rsid w:val="005B0948"/>
    <w:rsid w:val="005B0A67"/>
    <w:rsid w:val="005B0CE0"/>
    <w:rsid w:val="005B1534"/>
    <w:rsid w:val="005B16EE"/>
    <w:rsid w:val="005B187B"/>
    <w:rsid w:val="005B1B24"/>
    <w:rsid w:val="005B1EC8"/>
    <w:rsid w:val="005B2129"/>
    <w:rsid w:val="005B25C3"/>
    <w:rsid w:val="005B277F"/>
    <w:rsid w:val="005B3039"/>
    <w:rsid w:val="005B3043"/>
    <w:rsid w:val="005B39C1"/>
    <w:rsid w:val="005B44D0"/>
    <w:rsid w:val="005B44D5"/>
    <w:rsid w:val="005B4569"/>
    <w:rsid w:val="005B4A03"/>
    <w:rsid w:val="005B4B71"/>
    <w:rsid w:val="005B4ECC"/>
    <w:rsid w:val="005B5041"/>
    <w:rsid w:val="005B52B3"/>
    <w:rsid w:val="005B557D"/>
    <w:rsid w:val="005B5D1D"/>
    <w:rsid w:val="005B675D"/>
    <w:rsid w:val="005B6D23"/>
    <w:rsid w:val="005B6EFA"/>
    <w:rsid w:val="005B7649"/>
    <w:rsid w:val="005C02E1"/>
    <w:rsid w:val="005C02F9"/>
    <w:rsid w:val="005C08CD"/>
    <w:rsid w:val="005C0F01"/>
    <w:rsid w:val="005C133D"/>
    <w:rsid w:val="005C17B7"/>
    <w:rsid w:val="005C18BE"/>
    <w:rsid w:val="005C1F14"/>
    <w:rsid w:val="005C255B"/>
    <w:rsid w:val="005C2585"/>
    <w:rsid w:val="005C259B"/>
    <w:rsid w:val="005C2D21"/>
    <w:rsid w:val="005C2FC2"/>
    <w:rsid w:val="005C2FC9"/>
    <w:rsid w:val="005C32DE"/>
    <w:rsid w:val="005C3A25"/>
    <w:rsid w:val="005C45B6"/>
    <w:rsid w:val="005C4600"/>
    <w:rsid w:val="005C46F8"/>
    <w:rsid w:val="005C481D"/>
    <w:rsid w:val="005C4D20"/>
    <w:rsid w:val="005C4F4F"/>
    <w:rsid w:val="005C5643"/>
    <w:rsid w:val="005C5788"/>
    <w:rsid w:val="005C5E67"/>
    <w:rsid w:val="005C6269"/>
    <w:rsid w:val="005C680F"/>
    <w:rsid w:val="005C6E8A"/>
    <w:rsid w:val="005C6F03"/>
    <w:rsid w:val="005C702A"/>
    <w:rsid w:val="005C7B43"/>
    <w:rsid w:val="005C7F11"/>
    <w:rsid w:val="005D049D"/>
    <w:rsid w:val="005D0525"/>
    <w:rsid w:val="005D0EE7"/>
    <w:rsid w:val="005D1843"/>
    <w:rsid w:val="005D20F8"/>
    <w:rsid w:val="005D237F"/>
    <w:rsid w:val="005D26DC"/>
    <w:rsid w:val="005D2833"/>
    <w:rsid w:val="005D290F"/>
    <w:rsid w:val="005D302A"/>
    <w:rsid w:val="005D3675"/>
    <w:rsid w:val="005D3753"/>
    <w:rsid w:val="005D38ED"/>
    <w:rsid w:val="005D3D1B"/>
    <w:rsid w:val="005D5349"/>
    <w:rsid w:val="005D635B"/>
    <w:rsid w:val="005D69CC"/>
    <w:rsid w:val="005D6C1F"/>
    <w:rsid w:val="005D6ED6"/>
    <w:rsid w:val="005D6FED"/>
    <w:rsid w:val="005D72B5"/>
    <w:rsid w:val="005D7DD2"/>
    <w:rsid w:val="005D7E81"/>
    <w:rsid w:val="005D7EC3"/>
    <w:rsid w:val="005D7F0E"/>
    <w:rsid w:val="005E0330"/>
    <w:rsid w:val="005E0414"/>
    <w:rsid w:val="005E0DB6"/>
    <w:rsid w:val="005E0DB9"/>
    <w:rsid w:val="005E0E3C"/>
    <w:rsid w:val="005E2558"/>
    <w:rsid w:val="005E2B3F"/>
    <w:rsid w:val="005E33FE"/>
    <w:rsid w:val="005E34E3"/>
    <w:rsid w:val="005E3755"/>
    <w:rsid w:val="005E3825"/>
    <w:rsid w:val="005E3C66"/>
    <w:rsid w:val="005E3DC9"/>
    <w:rsid w:val="005E3FFF"/>
    <w:rsid w:val="005E4D7D"/>
    <w:rsid w:val="005E589C"/>
    <w:rsid w:val="005E5ECD"/>
    <w:rsid w:val="005E5FBD"/>
    <w:rsid w:val="005E6595"/>
    <w:rsid w:val="005E6940"/>
    <w:rsid w:val="005E6A63"/>
    <w:rsid w:val="005E6B5F"/>
    <w:rsid w:val="005E6B87"/>
    <w:rsid w:val="005E6C75"/>
    <w:rsid w:val="005E6F8C"/>
    <w:rsid w:val="005E70CB"/>
    <w:rsid w:val="005E7807"/>
    <w:rsid w:val="005E78D5"/>
    <w:rsid w:val="005E7C8C"/>
    <w:rsid w:val="005F0558"/>
    <w:rsid w:val="005F0674"/>
    <w:rsid w:val="005F0D20"/>
    <w:rsid w:val="005F1069"/>
    <w:rsid w:val="005F12CA"/>
    <w:rsid w:val="005F1A19"/>
    <w:rsid w:val="005F1AA7"/>
    <w:rsid w:val="005F2502"/>
    <w:rsid w:val="005F3005"/>
    <w:rsid w:val="005F36C4"/>
    <w:rsid w:val="005F38CE"/>
    <w:rsid w:val="005F39C8"/>
    <w:rsid w:val="005F4033"/>
    <w:rsid w:val="005F40BB"/>
    <w:rsid w:val="005F57E7"/>
    <w:rsid w:val="005F5855"/>
    <w:rsid w:val="005F5DB5"/>
    <w:rsid w:val="005F6AEB"/>
    <w:rsid w:val="005F6B7E"/>
    <w:rsid w:val="005F6D1B"/>
    <w:rsid w:val="005F6E33"/>
    <w:rsid w:val="005F72CC"/>
    <w:rsid w:val="005F7BEA"/>
    <w:rsid w:val="00600748"/>
    <w:rsid w:val="00600BD3"/>
    <w:rsid w:val="00601379"/>
    <w:rsid w:val="0060169D"/>
    <w:rsid w:val="00601FBF"/>
    <w:rsid w:val="00602340"/>
    <w:rsid w:val="00602AD0"/>
    <w:rsid w:val="00602E2F"/>
    <w:rsid w:val="006036D3"/>
    <w:rsid w:val="00603898"/>
    <w:rsid w:val="006039A9"/>
    <w:rsid w:val="00603B2F"/>
    <w:rsid w:val="0060426F"/>
    <w:rsid w:val="006048EC"/>
    <w:rsid w:val="006049E5"/>
    <w:rsid w:val="00604EFC"/>
    <w:rsid w:val="006052B7"/>
    <w:rsid w:val="0060579A"/>
    <w:rsid w:val="00605B13"/>
    <w:rsid w:val="00606741"/>
    <w:rsid w:val="0060693C"/>
    <w:rsid w:val="00606967"/>
    <w:rsid w:val="00606CB2"/>
    <w:rsid w:val="00606DE0"/>
    <w:rsid w:val="0060760A"/>
    <w:rsid w:val="0061017E"/>
    <w:rsid w:val="00610376"/>
    <w:rsid w:val="00610579"/>
    <w:rsid w:val="00610590"/>
    <w:rsid w:val="00610822"/>
    <w:rsid w:val="006109D4"/>
    <w:rsid w:val="00610DB8"/>
    <w:rsid w:val="00610E10"/>
    <w:rsid w:val="00610E9F"/>
    <w:rsid w:val="0061128C"/>
    <w:rsid w:val="00611357"/>
    <w:rsid w:val="006113CC"/>
    <w:rsid w:val="00611816"/>
    <w:rsid w:val="006118F7"/>
    <w:rsid w:val="00611A46"/>
    <w:rsid w:val="00611B4E"/>
    <w:rsid w:val="006128C4"/>
    <w:rsid w:val="00612D56"/>
    <w:rsid w:val="006131BD"/>
    <w:rsid w:val="006137B5"/>
    <w:rsid w:val="006141A5"/>
    <w:rsid w:val="006146CF"/>
    <w:rsid w:val="00614F0D"/>
    <w:rsid w:val="00615417"/>
    <w:rsid w:val="00615B3E"/>
    <w:rsid w:val="00616151"/>
    <w:rsid w:val="00616A6D"/>
    <w:rsid w:val="00617833"/>
    <w:rsid w:val="00617BA4"/>
    <w:rsid w:val="00617E59"/>
    <w:rsid w:val="00620E6F"/>
    <w:rsid w:val="006216E1"/>
    <w:rsid w:val="00621D4D"/>
    <w:rsid w:val="00622003"/>
    <w:rsid w:val="00623356"/>
    <w:rsid w:val="006245AE"/>
    <w:rsid w:val="006249CC"/>
    <w:rsid w:val="00624C8D"/>
    <w:rsid w:val="00624CF1"/>
    <w:rsid w:val="00625243"/>
    <w:rsid w:val="00625371"/>
    <w:rsid w:val="00625590"/>
    <w:rsid w:val="00625AAF"/>
    <w:rsid w:val="00625B3F"/>
    <w:rsid w:val="00625CEF"/>
    <w:rsid w:val="00626C71"/>
    <w:rsid w:val="00627409"/>
    <w:rsid w:val="00627513"/>
    <w:rsid w:val="006277F9"/>
    <w:rsid w:val="006278DF"/>
    <w:rsid w:val="00627C1C"/>
    <w:rsid w:val="00627F3D"/>
    <w:rsid w:val="0063025F"/>
    <w:rsid w:val="006302FA"/>
    <w:rsid w:val="006303C6"/>
    <w:rsid w:val="006303D4"/>
    <w:rsid w:val="00630661"/>
    <w:rsid w:val="006308DF"/>
    <w:rsid w:val="00630B66"/>
    <w:rsid w:val="006319FC"/>
    <w:rsid w:val="00631AF5"/>
    <w:rsid w:val="00631C84"/>
    <w:rsid w:val="0063233C"/>
    <w:rsid w:val="006323F9"/>
    <w:rsid w:val="00633D84"/>
    <w:rsid w:val="00634083"/>
    <w:rsid w:val="00634465"/>
    <w:rsid w:val="00634B8A"/>
    <w:rsid w:val="0063538B"/>
    <w:rsid w:val="00635B05"/>
    <w:rsid w:val="00636179"/>
    <w:rsid w:val="006361EC"/>
    <w:rsid w:val="006368ED"/>
    <w:rsid w:val="006369DD"/>
    <w:rsid w:val="00636C14"/>
    <w:rsid w:val="00636C1F"/>
    <w:rsid w:val="00636C51"/>
    <w:rsid w:val="00636F06"/>
    <w:rsid w:val="00637134"/>
    <w:rsid w:val="00637182"/>
    <w:rsid w:val="00637945"/>
    <w:rsid w:val="00637F1A"/>
    <w:rsid w:val="006404C0"/>
    <w:rsid w:val="00640978"/>
    <w:rsid w:val="00640A2B"/>
    <w:rsid w:val="00640B77"/>
    <w:rsid w:val="0064130F"/>
    <w:rsid w:val="0064231E"/>
    <w:rsid w:val="00642642"/>
    <w:rsid w:val="00643029"/>
    <w:rsid w:val="00643450"/>
    <w:rsid w:val="00643533"/>
    <w:rsid w:val="00643A84"/>
    <w:rsid w:val="00643C13"/>
    <w:rsid w:val="00644439"/>
    <w:rsid w:val="00644C7C"/>
    <w:rsid w:val="00644D8E"/>
    <w:rsid w:val="006451AF"/>
    <w:rsid w:val="00645811"/>
    <w:rsid w:val="00645C00"/>
    <w:rsid w:val="00645CE9"/>
    <w:rsid w:val="00645EAF"/>
    <w:rsid w:val="0064644C"/>
    <w:rsid w:val="00646A27"/>
    <w:rsid w:val="00647093"/>
    <w:rsid w:val="0064756F"/>
    <w:rsid w:val="006478FB"/>
    <w:rsid w:val="0064799F"/>
    <w:rsid w:val="00647B28"/>
    <w:rsid w:val="00650167"/>
    <w:rsid w:val="00650A72"/>
    <w:rsid w:val="00650DF4"/>
    <w:rsid w:val="00651451"/>
    <w:rsid w:val="006516A7"/>
    <w:rsid w:val="00652186"/>
    <w:rsid w:val="006522E2"/>
    <w:rsid w:val="006522E3"/>
    <w:rsid w:val="006523E5"/>
    <w:rsid w:val="00652602"/>
    <w:rsid w:val="006526A6"/>
    <w:rsid w:val="00652A14"/>
    <w:rsid w:val="0065312E"/>
    <w:rsid w:val="0065315C"/>
    <w:rsid w:val="006532E4"/>
    <w:rsid w:val="00654379"/>
    <w:rsid w:val="00655205"/>
    <w:rsid w:val="00655900"/>
    <w:rsid w:val="006559BE"/>
    <w:rsid w:val="00655C5D"/>
    <w:rsid w:val="00655D77"/>
    <w:rsid w:val="0065601D"/>
    <w:rsid w:val="00656095"/>
    <w:rsid w:val="00656233"/>
    <w:rsid w:val="00656410"/>
    <w:rsid w:val="00656872"/>
    <w:rsid w:val="00656B31"/>
    <w:rsid w:val="0065767F"/>
    <w:rsid w:val="006577FF"/>
    <w:rsid w:val="0065795D"/>
    <w:rsid w:val="00657DEA"/>
    <w:rsid w:val="00660C37"/>
    <w:rsid w:val="00661306"/>
    <w:rsid w:val="00661D3A"/>
    <w:rsid w:val="0066292D"/>
    <w:rsid w:val="00662EE4"/>
    <w:rsid w:val="00663167"/>
    <w:rsid w:val="00663D4B"/>
    <w:rsid w:val="00664134"/>
    <w:rsid w:val="00664710"/>
    <w:rsid w:val="00664A12"/>
    <w:rsid w:val="00664B81"/>
    <w:rsid w:val="006655EE"/>
    <w:rsid w:val="006657AA"/>
    <w:rsid w:val="00665C30"/>
    <w:rsid w:val="00665DCC"/>
    <w:rsid w:val="0066661D"/>
    <w:rsid w:val="00666674"/>
    <w:rsid w:val="006667ED"/>
    <w:rsid w:val="00666843"/>
    <w:rsid w:val="00667556"/>
    <w:rsid w:val="006676FB"/>
    <w:rsid w:val="00667A66"/>
    <w:rsid w:val="00667CD0"/>
    <w:rsid w:val="00667FA3"/>
    <w:rsid w:val="00670FAF"/>
    <w:rsid w:val="00671023"/>
    <w:rsid w:val="00671358"/>
    <w:rsid w:val="00671A22"/>
    <w:rsid w:val="00671D50"/>
    <w:rsid w:val="00671FED"/>
    <w:rsid w:val="00672527"/>
    <w:rsid w:val="006727B8"/>
    <w:rsid w:val="0067296E"/>
    <w:rsid w:val="00672B51"/>
    <w:rsid w:val="00672F7E"/>
    <w:rsid w:val="0067371D"/>
    <w:rsid w:val="006737D1"/>
    <w:rsid w:val="00673B1B"/>
    <w:rsid w:val="00673E5A"/>
    <w:rsid w:val="00674502"/>
    <w:rsid w:val="006745D1"/>
    <w:rsid w:val="0067461C"/>
    <w:rsid w:val="00674E53"/>
    <w:rsid w:val="00674E5A"/>
    <w:rsid w:val="00674FED"/>
    <w:rsid w:val="006751DB"/>
    <w:rsid w:val="00675991"/>
    <w:rsid w:val="00675B34"/>
    <w:rsid w:val="00675D65"/>
    <w:rsid w:val="0067605D"/>
    <w:rsid w:val="006761A1"/>
    <w:rsid w:val="00676A73"/>
    <w:rsid w:val="00676DDB"/>
    <w:rsid w:val="006770FC"/>
    <w:rsid w:val="00677130"/>
    <w:rsid w:val="0067742D"/>
    <w:rsid w:val="006774A2"/>
    <w:rsid w:val="00677509"/>
    <w:rsid w:val="00677794"/>
    <w:rsid w:val="0068033F"/>
    <w:rsid w:val="0068050C"/>
    <w:rsid w:val="006809F0"/>
    <w:rsid w:val="00680AC6"/>
    <w:rsid w:val="00680CE8"/>
    <w:rsid w:val="00680DED"/>
    <w:rsid w:val="00680FA4"/>
    <w:rsid w:val="00680FE2"/>
    <w:rsid w:val="0068146C"/>
    <w:rsid w:val="0068184E"/>
    <w:rsid w:val="00681984"/>
    <w:rsid w:val="00681CCE"/>
    <w:rsid w:val="00682756"/>
    <w:rsid w:val="00682B1D"/>
    <w:rsid w:val="006838EC"/>
    <w:rsid w:val="006851DD"/>
    <w:rsid w:val="00685CE7"/>
    <w:rsid w:val="00685E86"/>
    <w:rsid w:val="00685FD6"/>
    <w:rsid w:val="00686257"/>
    <w:rsid w:val="00686630"/>
    <w:rsid w:val="006867E4"/>
    <w:rsid w:val="00686B2B"/>
    <w:rsid w:val="00687550"/>
    <w:rsid w:val="00687603"/>
    <w:rsid w:val="00687C58"/>
    <w:rsid w:val="00690147"/>
    <w:rsid w:val="0069051F"/>
    <w:rsid w:val="006909B4"/>
    <w:rsid w:val="00691F14"/>
    <w:rsid w:val="006921EF"/>
    <w:rsid w:val="0069255A"/>
    <w:rsid w:val="00692B8A"/>
    <w:rsid w:val="00692CD8"/>
    <w:rsid w:val="006931C6"/>
    <w:rsid w:val="006931E6"/>
    <w:rsid w:val="00693A4B"/>
    <w:rsid w:val="006940C0"/>
    <w:rsid w:val="0069426B"/>
    <w:rsid w:val="006948F4"/>
    <w:rsid w:val="00694A48"/>
    <w:rsid w:val="00694AFB"/>
    <w:rsid w:val="00694C02"/>
    <w:rsid w:val="006950FA"/>
    <w:rsid w:val="0069525F"/>
    <w:rsid w:val="006952B5"/>
    <w:rsid w:val="0069534D"/>
    <w:rsid w:val="00695A26"/>
    <w:rsid w:val="00695D5C"/>
    <w:rsid w:val="00695F4C"/>
    <w:rsid w:val="00696801"/>
    <w:rsid w:val="006968E8"/>
    <w:rsid w:val="006974E7"/>
    <w:rsid w:val="006976A3"/>
    <w:rsid w:val="00697997"/>
    <w:rsid w:val="006A0489"/>
    <w:rsid w:val="006A05ED"/>
    <w:rsid w:val="006A064A"/>
    <w:rsid w:val="006A0D68"/>
    <w:rsid w:val="006A0D95"/>
    <w:rsid w:val="006A1358"/>
    <w:rsid w:val="006A1C64"/>
    <w:rsid w:val="006A2406"/>
    <w:rsid w:val="006A27BB"/>
    <w:rsid w:val="006A358D"/>
    <w:rsid w:val="006A45F9"/>
    <w:rsid w:val="006A4B03"/>
    <w:rsid w:val="006A5278"/>
    <w:rsid w:val="006A5409"/>
    <w:rsid w:val="006A578D"/>
    <w:rsid w:val="006A581C"/>
    <w:rsid w:val="006A5F6D"/>
    <w:rsid w:val="006A6453"/>
    <w:rsid w:val="006A7694"/>
    <w:rsid w:val="006A7942"/>
    <w:rsid w:val="006B044A"/>
    <w:rsid w:val="006B0535"/>
    <w:rsid w:val="006B1072"/>
    <w:rsid w:val="006B1724"/>
    <w:rsid w:val="006B17F9"/>
    <w:rsid w:val="006B1C39"/>
    <w:rsid w:val="006B2424"/>
    <w:rsid w:val="006B2E2E"/>
    <w:rsid w:val="006B39A4"/>
    <w:rsid w:val="006B3D96"/>
    <w:rsid w:val="006B3F4D"/>
    <w:rsid w:val="006B4200"/>
    <w:rsid w:val="006B4219"/>
    <w:rsid w:val="006B4343"/>
    <w:rsid w:val="006B4433"/>
    <w:rsid w:val="006B4625"/>
    <w:rsid w:val="006B4C01"/>
    <w:rsid w:val="006B6436"/>
    <w:rsid w:val="006B67A2"/>
    <w:rsid w:val="006B7C87"/>
    <w:rsid w:val="006B7FFE"/>
    <w:rsid w:val="006C0074"/>
    <w:rsid w:val="006C00CE"/>
    <w:rsid w:val="006C07B1"/>
    <w:rsid w:val="006C1837"/>
    <w:rsid w:val="006C228F"/>
    <w:rsid w:val="006C25C9"/>
    <w:rsid w:val="006C27C3"/>
    <w:rsid w:val="006C2DD8"/>
    <w:rsid w:val="006C3855"/>
    <w:rsid w:val="006C4374"/>
    <w:rsid w:val="006C595B"/>
    <w:rsid w:val="006C59CC"/>
    <w:rsid w:val="006C5B27"/>
    <w:rsid w:val="006C5F83"/>
    <w:rsid w:val="006C60EB"/>
    <w:rsid w:val="006C639A"/>
    <w:rsid w:val="006C7019"/>
    <w:rsid w:val="006C70A4"/>
    <w:rsid w:val="006C74DC"/>
    <w:rsid w:val="006D00F6"/>
    <w:rsid w:val="006D01DE"/>
    <w:rsid w:val="006D0494"/>
    <w:rsid w:val="006D08CC"/>
    <w:rsid w:val="006D0D1D"/>
    <w:rsid w:val="006D10B7"/>
    <w:rsid w:val="006D1BB1"/>
    <w:rsid w:val="006D1F18"/>
    <w:rsid w:val="006D208A"/>
    <w:rsid w:val="006D2148"/>
    <w:rsid w:val="006D22FE"/>
    <w:rsid w:val="006D2585"/>
    <w:rsid w:val="006D26C9"/>
    <w:rsid w:val="006D2AC0"/>
    <w:rsid w:val="006D2D46"/>
    <w:rsid w:val="006D2E57"/>
    <w:rsid w:val="006D2F66"/>
    <w:rsid w:val="006D2F73"/>
    <w:rsid w:val="006D3167"/>
    <w:rsid w:val="006D4726"/>
    <w:rsid w:val="006D4CA3"/>
    <w:rsid w:val="006D52F7"/>
    <w:rsid w:val="006D560F"/>
    <w:rsid w:val="006D6453"/>
    <w:rsid w:val="006D64AF"/>
    <w:rsid w:val="006D6D7C"/>
    <w:rsid w:val="006D7081"/>
    <w:rsid w:val="006D7163"/>
    <w:rsid w:val="006D725E"/>
    <w:rsid w:val="006D728A"/>
    <w:rsid w:val="006D7436"/>
    <w:rsid w:val="006D7B01"/>
    <w:rsid w:val="006D7CDC"/>
    <w:rsid w:val="006E0BDA"/>
    <w:rsid w:val="006E21CE"/>
    <w:rsid w:val="006E26AE"/>
    <w:rsid w:val="006E291F"/>
    <w:rsid w:val="006E29E0"/>
    <w:rsid w:val="006E2D95"/>
    <w:rsid w:val="006E2F47"/>
    <w:rsid w:val="006E369B"/>
    <w:rsid w:val="006E3701"/>
    <w:rsid w:val="006E3F0D"/>
    <w:rsid w:val="006E3F16"/>
    <w:rsid w:val="006E3F23"/>
    <w:rsid w:val="006E421F"/>
    <w:rsid w:val="006E4DB0"/>
    <w:rsid w:val="006E502A"/>
    <w:rsid w:val="006E580C"/>
    <w:rsid w:val="006E5F77"/>
    <w:rsid w:val="006E64DF"/>
    <w:rsid w:val="006E6C64"/>
    <w:rsid w:val="006E6C7B"/>
    <w:rsid w:val="006E70B4"/>
    <w:rsid w:val="006E765C"/>
    <w:rsid w:val="006E7D99"/>
    <w:rsid w:val="006F0760"/>
    <w:rsid w:val="006F0DC8"/>
    <w:rsid w:val="006F0EE5"/>
    <w:rsid w:val="006F1105"/>
    <w:rsid w:val="006F1A47"/>
    <w:rsid w:val="006F1E61"/>
    <w:rsid w:val="006F215E"/>
    <w:rsid w:val="006F2390"/>
    <w:rsid w:val="006F2430"/>
    <w:rsid w:val="006F244C"/>
    <w:rsid w:val="006F3067"/>
    <w:rsid w:val="006F3166"/>
    <w:rsid w:val="006F3671"/>
    <w:rsid w:val="006F3785"/>
    <w:rsid w:val="006F3911"/>
    <w:rsid w:val="006F3C96"/>
    <w:rsid w:val="006F3D8B"/>
    <w:rsid w:val="006F46DD"/>
    <w:rsid w:val="006F4FF7"/>
    <w:rsid w:val="006F587B"/>
    <w:rsid w:val="006F5A74"/>
    <w:rsid w:val="006F5B0A"/>
    <w:rsid w:val="006F5BB0"/>
    <w:rsid w:val="006F5C4E"/>
    <w:rsid w:val="006F6EF6"/>
    <w:rsid w:val="006F7026"/>
    <w:rsid w:val="006F73DF"/>
    <w:rsid w:val="006F7466"/>
    <w:rsid w:val="006F758F"/>
    <w:rsid w:val="0070013B"/>
    <w:rsid w:val="00700249"/>
    <w:rsid w:val="0070078C"/>
    <w:rsid w:val="00700B28"/>
    <w:rsid w:val="00700D3D"/>
    <w:rsid w:val="0070144E"/>
    <w:rsid w:val="0070145F"/>
    <w:rsid w:val="00701FD3"/>
    <w:rsid w:val="0070408F"/>
    <w:rsid w:val="007046BB"/>
    <w:rsid w:val="007054AE"/>
    <w:rsid w:val="00705981"/>
    <w:rsid w:val="0070617F"/>
    <w:rsid w:val="007061AD"/>
    <w:rsid w:val="0070644D"/>
    <w:rsid w:val="00707139"/>
    <w:rsid w:val="007071CE"/>
    <w:rsid w:val="007073DC"/>
    <w:rsid w:val="007103A4"/>
    <w:rsid w:val="007105A5"/>
    <w:rsid w:val="0071074A"/>
    <w:rsid w:val="00710DF5"/>
    <w:rsid w:val="00711545"/>
    <w:rsid w:val="007116B4"/>
    <w:rsid w:val="00711A04"/>
    <w:rsid w:val="00712077"/>
    <w:rsid w:val="007121FA"/>
    <w:rsid w:val="007122C6"/>
    <w:rsid w:val="007123FA"/>
    <w:rsid w:val="007129A7"/>
    <w:rsid w:val="00712B94"/>
    <w:rsid w:val="007135D8"/>
    <w:rsid w:val="00713E8C"/>
    <w:rsid w:val="007147C0"/>
    <w:rsid w:val="007147E4"/>
    <w:rsid w:val="00714BB4"/>
    <w:rsid w:val="00714E27"/>
    <w:rsid w:val="0071505B"/>
    <w:rsid w:val="007157D3"/>
    <w:rsid w:val="00715970"/>
    <w:rsid w:val="00715A0B"/>
    <w:rsid w:val="00715F1A"/>
    <w:rsid w:val="00716201"/>
    <w:rsid w:val="00716870"/>
    <w:rsid w:val="007174B5"/>
    <w:rsid w:val="007178F5"/>
    <w:rsid w:val="00717A20"/>
    <w:rsid w:val="00717BEA"/>
    <w:rsid w:val="00717C78"/>
    <w:rsid w:val="00717E0D"/>
    <w:rsid w:val="00717EE1"/>
    <w:rsid w:val="0072117D"/>
    <w:rsid w:val="00721BC8"/>
    <w:rsid w:val="00721CAF"/>
    <w:rsid w:val="00721FAC"/>
    <w:rsid w:val="00722167"/>
    <w:rsid w:val="00722827"/>
    <w:rsid w:val="00722897"/>
    <w:rsid w:val="0072398B"/>
    <w:rsid w:val="00724BDA"/>
    <w:rsid w:val="00724CE1"/>
    <w:rsid w:val="00724F11"/>
    <w:rsid w:val="00725584"/>
    <w:rsid w:val="00725743"/>
    <w:rsid w:val="00725C04"/>
    <w:rsid w:val="0072632A"/>
    <w:rsid w:val="0072655E"/>
    <w:rsid w:val="00726FCA"/>
    <w:rsid w:val="00727031"/>
    <w:rsid w:val="00727190"/>
    <w:rsid w:val="00727305"/>
    <w:rsid w:val="00731079"/>
    <w:rsid w:val="00731E82"/>
    <w:rsid w:val="00731E92"/>
    <w:rsid w:val="00731FFB"/>
    <w:rsid w:val="00732713"/>
    <w:rsid w:val="0073280D"/>
    <w:rsid w:val="00732F90"/>
    <w:rsid w:val="007334DB"/>
    <w:rsid w:val="00733B96"/>
    <w:rsid w:val="00733FC6"/>
    <w:rsid w:val="0073407E"/>
    <w:rsid w:val="00734838"/>
    <w:rsid w:val="00735044"/>
    <w:rsid w:val="0073566A"/>
    <w:rsid w:val="00735FC1"/>
    <w:rsid w:val="00736611"/>
    <w:rsid w:val="0073692E"/>
    <w:rsid w:val="00736999"/>
    <w:rsid w:val="00737358"/>
    <w:rsid w:val="007376FA"/>
    <w:rsid w:val="00737928"/>
    <w:rsid w:val="00740642"/>
    <w:rsid w:val="007406C7"/>
    <w:rsid w:val="00740AD1"/>
    <w:rsid w:val="00741515"/>
    <w:rsid w:val="0074196C"/>
    <w:rsid w:val="007419F1"/>
    <w:rsid w:val="00741D5C"/>
    <w:rsid w:val="00741F5A"/>
    <w:rsid w:val="00742E0A"/>
    <w:rsid w:val="00743C64"/>
    <w:rsid w:val="007442EC"/>
    <w:rsid w:val="007448F8"/>
    <w:rsid w:val="00744C49"/>
    <w:rsid w:val="00744EC5"/>
    <w:rsid w:val="00744F8F"/>
    <w:rsid w:val="00745128"/>
    <w:rsid w:val="00745375"/>
    <w:rsid w:val="00745BC7"/>
    <w:rsid w:val="00745D78"/>
    <w:rsid w:val="00745E26"/>
    <w:rsid w:val="00745F30"/>
    <w:rsid w:val="007461E7"/>
    <w:rsid w:val="0074643C"/>
    <w:rsid w:val="0074680B"/>
    <w:rsid w:val="00746E4D"/>
    <w:rsid w:val="00747998"/>
    <w:rsid w:val="00750613"/>
    <w:rsid w:val="00750A43"/>
    <w:rsid w:val="00750BBE"/>
    <w:rsid w:val="00750BCF"/>
    <w:rsid w:val="00751145"/>
    <w:rsid w:val="007514BD"/>
    <w:rsid w:val="00751572"/>
    <w:rsid w:val="0075164C"/>
    <w:rsid w:val="00751B39"/>
    <w:rsid w:val="00751CA1"/>
    <w:rsid w:val="00751E89"/>
    <w:rsid w:val="007521EC"/>
    <w:rsid w:val="00752200"/>
    <w:rsid w:val="0075245F"/>
    <w:rsid w:val="00752AF8"/>
    <w:rsid w:val="00753008"/>
    <w:rsid w:val="007531C3"/>
    <w:rsid w:val="007533C8"/>
    <w:rsid w:val="007533D2"/>
    <w:rsid w:val="0075350D"/>
    <w:rsid w:val="0075364E"/>
    <w:rsid w:val="007539C7"/>
    <w:rsid w:val="00753E63"/>
    <w:rsid w:val="00753E69"/>
    <w:rsid w:val="007540D0"/>
    <w:rsid w:val="007541DE"/>
    <w:rsid w:val="00755030"/>
    <w:rsid w:val="0075553D"/>
    <w:rsid w:val="007564E0"/>
    <w:rsid w:val="00756D44"/>
    <w:rsid w:val="00756D6A"/>
    <w:rsid w:val="0075724B"/>
    <w:rsid w:val="00757284"/>
    <w:rsid w:val="007573A6"/>
    <w:rsid w:val="007579F0"/>
    <w:rsid w:val="00757A13"/>
    <w:rsid w:val="00757CE8"/>
    <w:rsid w:val="00757DF2"/>
    <w:rsid w:val="00757EC4"/>
    <w:rsid w:val="007602CC"/>
    <w:rsid w:val="007603F5"/>
    <w:rsid w:val="00761013"/>
    <w:rsid w:val="00761167"/>
    <w:rsid w:val="007618F8"/>
    <w:rsid w:val="00761D15"/>
    <w:rsid w:val="00762135"/>
    <w:rsid w:val="007624EB"/>
    <w:rsid w:val="00762E04"/>
    <w:rsid w:val="00762F71"/>
    <w:rsid w:val="007631C5"/>
    <w:rsid w:val="007638BF"/>
    <w:rsid w:val="00763D9C"/>
    <w:rsid w:val="0076430F"/>
    <w:rsid w:val="00764DC6"/>
    <w:rsid w:val="00765307"/>
    <w:rsid w:val="007654BA"/>
    <w:rsid w:val="00765B73"/>
    <w:rsid w:val="00766000"/>
    <w:rsid w:val="0076622A"/>
    <w:rsid w:val="0076635D"/>
    <w:rsid w:val="00766A5A"/>
    <w:rsid w:val="00766A8F"/>
    <w:rsid w:val="00767082"/>
    <w:rsid w:val="00767B6C"/>
    <w:rsid w:val="00767C65"/>
    <w:rsid w:val="0077019E"/>
    <w:rsid w:val="00770B5E"/>
    <w:rsid w:val="0077165F"/>
    <w:rsid w:val="00771B2F"/>
    <w:rsid w:val="00772253"/>
    <w:rsid w:val="00772672"/>
    <w:rsid w:val="007728E0"/>
    <w:rsid w:val="00772A7D"/>
    <w:rsid w:val="007738AC"/>
    <w:rsid w:val="00773DBC"/>
    <w:rsid w:val="00773FF6"/>
    <w:rsid w:val="007744E4"/>
    <w:rsid w:val="00774876"/>
    <w:rsid w:val="007749CF"/>
    <w:rsid w:val="007749E2"/>
    <w:rsid w:val="00774A37"/>
    <w:rsid w:val="00774C03"/>
    <w:rsid w:val="0077500D"/>
    <w:rsid w:val="0077566E"/>
    <w:rsid w:val="00775A47"/>
    <w:rsid w:val="00775C96"/>
    <w:rsid w:val="00775D80"/>
    <w:rsid w:val="00776186"/>
    <w:rsid w:val="00776222"/>
    <w:rsid w:val="00776344"/>
    <w:rsid w:val="0077682D"/>
    <w:rsid w:val="00776936"/>
    <w:rsid w:val="00776DE4"/>
    <w:rsid w:val="00776F39"/>
    <w:rsid w:val="00777CBA"/>
    <w:rsid w:val="00777DB2"/>
    <w:rsid w:val="0078013F"/>
    <w:rsid w:val="0078026D"/>
    <w:rsid w:val="00780404"/>
    <w:rsid w:val="0078088A"/>
    <w:rsid w:val="00781ED4"/>
    <w:rsid w:val="0078243C"/>
    <w:rsid w:val="00782463"/>
    <w:rsid w:val="00782650"/>
    <w:rsid w:val="007826B9"/>
    <w:rsid w:val="007826D1"/>
    <w:rsid w:val="00782756"/>
    <w:rsid w:val="00782A5A"/>
    <w:rsid w:val="00782B31"/>
    <w:rsid w:val="007833FB"/>
    <w:rsid w:val="007836AE"/>
    <w:rsid w:val="00784408"/>
    <w:rsid w:val="007847A1"/>
    <w:rsid w:val="00785BFF"/>
    <w:rsid w:val="00785F36"/>
    <w:rsid w:val="0078617F"/>
    <w:rsid w:val="0078741F"/>
    <w:rsid w:val="00787819"/>
    <w:rsid w:val="00787DE9"/>
    <w:rsid w:val="00790227"/>
    <w:rsid w:val="007918E9"/>
    <w:rsid w:val="00791B8B"/>
    <w:rsid w:val="0079212C"/>
    <w:rsid w:val="00792983"/>
    <w:rsid w:val="00793082"/>
    <w:rsid w:val="007932FE"/>
    <w:rsid w:val="00793EFA"/>
    <w:rsid w:val="00794220"/>
    <w:rsid w:val="0079451F"/>
    <w:rsid w:val="00794907"/>
    <w:rsid w:val="00794E71"/>
    <w:rsid w:val="007950A2"/>
    <w:rsid w:val="007959C2"/>
    <w:rsid w:val="00795CE1"/>
    <w:rsid w:val="007970F7"/>
    <w:rsid w:val="0079729C"/>
    <w:rsid w:val="0079767A"/>
    <w:rsid w:val="00797E68"/>
    <w:rsid w:val="007A0131"/>
    <w:rsid w:val="007A0464"/>
    <w:rsid w:val="007A05D2"/>
    <w:rsid w:val="007A0628"/>
    <w:rsid w:val="007A071D"/>
    <w:rsid w:val="007A0B3B"/>
    <w:rsid w:val="007A0C7B"/>
    <w:rsid w:val="007A0F86"/>
    <w:rsid w:val="007A10BA"/>
    <w:rsid w:val="007A14E2"/>
    <w:rsid w:val="007A1651"/>
    <w:rsid w:val="007A16C6"/>
    <w:rsid w:val="007A1A34"/>
    <w:rsid w:val="007A1BDA"/>
    <w:rsid w:val="007A2258"/>
    <w:rsid w:val="007A257E"/>
    <w:rsid w:val="007A2A37"/>
    <w:rsid w:val="007A2F1F"/>
    <w:rsid w:val="007A30C4"/>
    <w:rsid w:val="007A30F2"/>
    <w:rsid w:val="007A321E"/>
    <w:rsid w:val="007A39BA"/>
    <w:rsid w:val="007A39BB"/>
    <w:rsid w:val="007A3B8C"/>
    <w:rsid w:val="007A3C68"/>
    <w:rsid w:val="007A3D7E"/>
    <w:rsid w:val="007A3ECF"/>
    <w:rsid w:val="007A4162"/>
    <w:rsid w:val="007A5063"/>
    <w:rsid w:val="007A5FA5"/>
    <w:rsid w:val="007A63F2"/>
    <w:rsid w:val="007A675D"/>
    <w:rsid w:val="007A7183"/>
    <w:rsid w:val="007B0384"/>
    <w:rsid w:val="007B049A"/>
    <w:rsid w:val="007B088C"/>
    <w:rsid w:val="007B09CC"/>
    <w:rsid w:val="007B0A00"/>
    <w:rsid w:val="007B0B0B"/>
    <w:rsid w:val="007B0C4A"/>
    <w:rsid w:val="007B0E5D"/>
    <w:rsid w:val="007B198B"/>
    <w:rsid w:val="007B1CE7"/>
    <w:rsid w:val="007B1EAA"/>
    <w:rsid w:val="007B27F9"/>
    <w:rsid w:val="007B3411"/>
    <w:rsid w:val="007B386B"/>
    <w:rsid w:val="007B3B54"/>
    <w:rsid w:val="007B41C1"/>
    <w:rsid w:val="007B43B3"/>
    <w:rsid w:val="007B44FB"/>
    <w:rsid w:val="007B474F"/>
    <w:rsid w:val="007B4849"/>
    <w:rsid w:val="007B5A85"/>
    <w:rsid w:val="007B5CF5"/>
    <w:rsid w:val="007B5CFC"/>
    <w:rsid w:val="007B5D77"/>
    <w:rsid w:val="007B626E"/>
    <w:rsid w:val="007B651C"/>
    <w:rsid w:val="007B65D2"/>
    <w:rsid w:val="007B6FCD"/>
    <w:rsid w:val="007B770C"/>
    <w:rsid w:val="007B7777"/>
    <w:rsid w:val="007B7CB4"/>
    <w:rsid w:val="007B7DD9"/>
    <w:rsid w:val="007C0069"/>
    <w:rsid w:val="007C038C"/>
    <w:rsid w:val="007C065C"/>
    <w:rsid w:val="007C0AEE"/>
    <w:rsid w:val="007C0F27"/>
    <w:rsid w:val="007C1C6B"/>
    <w:rsid w:val="007C25B2"/>
    <w:rsid w:val="007C2713"/>
    <w:rsid w:val="007C3331"/>
    <w:rsid w:val="007C3416"/>
    <w:rsid w:val="007C35B3"/>
    <w:rsid w:val="007C3668"/>
    <w:rsid w:val="007C368B"/>
    <w:rsid w:val="007C44F1"/>
    <w:rsid w:val="007C4C0E"/>
    <w:rsid w:val="007C5758"/>
    <w:rsid w:val="007C5BEC"/>
    <w:rsid w:val="007C60B9"/>
    <w:rsid w:val="007C6BE6"/>
    <w:rsid w:val="007C6E91"/>
    <w:rsid w:val="007C7586"/>
    <w:rsid w:val="007C7DB0"/>
    <w:rsid w:val="007D0159"/>
    <w:rsid w:val="007D13C7"/>
    <w:rsid w:val="007D21E5"/>
    <w:rsid w:val="007D2922"/>
    <w:rsid w:val="007D2D70"/>
    <w:rsid w:val="007D2F87"/>
    <w:rsid w:val="007D2F91"/>
    <w:rsid w:val="007D31AA"/>
    <w:rsid w:val="007D450F"/>
    <w:rsid w:val="007D4822"/>
    <w:rsid w:val="007D5114"/>
    <w:rsid w:val="007D5419"/>
    <w:rsid w:val="007D55CD"/>
    <w:rsid w:val="007D58C0"/>
    <w:rsid w:val="007D5A9D"/>
    <w:rsid w:val="007D602B"/>
    <w:rsid w:val="007D6150"/>
    <w:rsid w:val="007D63C9"/>
    <w:rsid w:val="007D65E1"/>
    <w:rsid w:val="007D6CBE"/>
    <w:rsid w:val="007D6F4F"/>
    <w:rsid w:val="007D7317"/>
    <w:rsid w:val="007D76B8"/>
    <w:rsid w:val="007D77ED"/>
    <w:rsid w:val="007D799F"/>
    <w:rsid w:val="007D7E84"/>
    <w:rsid w:val="007D7FD5"/>
    <w:rsid w:val="007E0243"/>
    <w:rsid w:val="007E0A6F"/>
    <w:rsid w:val="007E0FBC"/>
    <w:rsid w:val="007E1183"/>
    <w:rsid w:val="007E1C3A"/>
    <w:rsid w:val="007E2198"/>
    <w:rsid w:val="007E2224"/>
    <w:rsid w:val="007E240B"/>
    <w:rsid w:val="007E304B"/>
    <w:rsid w:val="007E30F9"/>
    <w:rsid w:val="007E32EC"/>
    <w:rsid w:val="007E380B"/>
    <w:rsid w:val="007E39AA"/>
    <w:rsid w:val="007E412D"/>
    <w:rsid w:val="007E43D5"/>
    <w:rsid w:val="007E44F2"/>
    <w:rsid w:val="007E468F"/>
    <w:rsid w:val="007E4E90"/>
    <w:rsid w:val="007E5048"/>
    <w:rsid w:val="007E5205"/>
    <w:rsid w:val="007E52A4"/>
    <w:rsid w:val="007E5479"/>
    <w:rsid w:val="007E5817"/>
    <w:rsid w:val="007E58EB"/>
    <w:rsid w:val="007E5956"/>
    <w:rsid w:val="007E5AE8"/>
    <w:rsid w:val="007E5DA4"/>
    <w:rsid w:val="007E5E94"/>
    <w:rsid w:val="007E6E9F"/>
    <w:rsid w:val="007E6EF7"/>
    <w:rsid w:val="007E72D8"/>
    <w:rsid w:val="007E72EF"/>
    <w:rsid w:val="007E7849"/>
    <w:rsid w:val="007E7E70"/>
    <w:rsid w:val="007F0ABB"/>
    <w:rsid w:val="007F12B4"/>
    <w:rsid w:val="007F130A"/>
    <w:rsid w:val="007F149B"/>
    <w:rsid w:val="007F1AEC"/>
    <w:rsid w:val="007F299F"/>
    <w:rsid w:val="007F43A9"/>
    <w:rsid w:val="007F44F3"/>
    <w:rsid w:val="007F484A"/>
    <w:rsid w:val="007F48D6"/>
    <w:rsid w:val="007F542F"/>
    <w:rsid w:val="007F5814"/>
    <w:rsid w:val="007F5968"/>
    <w:rsid w:val="007F59E5"/>
    <w:rsid w:val="007F64C1"/>
    <w:rsid w:val="007F7182"/>
    <w:rsid w:val="007F71A3"/>
    <w:rsid w:val="007F764F"/>
    <w:rsid w:val="007F7BA8"/>
    <w:rsid w:val="007F7F0F"/>
    <w:rsid w:val="007F7FE4"/>
    <w:rsid w:val="008003B6"/>
    <w:rsid w:val="00800D37"/>
    <w:rsid w:val="008019BA"/>
    <w:rsid w:val="00801A1E"/>
    <w:rsid w:val="00801CAA"/>
    <w:rsid w:val="008026D9"/>
    <w:rsid w:val="008027EF"/>
    <w:rsid w:val="00802EC3"/>
    <w:rsid w:val="00803504"/>
    <w:rsid w:val="008042BC"/>
    <w:rsid w:val="008046C4"/>
    <w:rsid w:val="008056D4"/>
    <w:rsid w:val="008057EC"/>
    <w:rsid w:val="00805BA0"/>
    <w:rsid w:val="00805E5A"/>
    <w:rsid w:val="00805EC5"/>
    <w:rsid w:val="00806199"/>
    <w:rsid w:val="00806639"/>
    <w:rsid w:val="00806697"/>
    <w:rsid w:val="008069E8"/>
    <w:rsid w:val="00807514"/>
    <w:rsid w:val="008075B7"/>
    <w:rsid w:val="008076D4"/>
    <w:rsid w:val="00810845"/>
    <w:rsid w:val="00810B80"/>
    <w:rsid w:val="0081154D"/>
    <w:rsid w:val="008116B4"/>
    <w:rsid w:val="00811B0A"/>
    <w:rsid w:val="00812196"/>
    <w:rsid w:val="008127BA"/>
    <w:rsid w:val="00812DDD"/>
    <w:rsid w:val="00812F6E"/>
    <w:rsid w:val="00813038"/>
    <w:rsid w:val="0081304B"/>
    <w:rsid w:val="008135AF"/>
    <w:rsid w:val="008136B7"/>
    <w:rsid w:val="00813817"/>
    <w:rsid w:val="00814302"/>
    <w:rsid w:val="00814609"/>
    <w:rsid w:val="0081489E"/>
    <w:rsid w:val="00815550"/>
    <w:rsid w:val="008155F7"/>
    <w:rsid w:val="0081560E"/>
    <w:rsid w:val="00815DBD"/>
    <w:rsid w:val="008160F6"/>
    <w:rsid w:val="008169BD"/>
    <w:rsid w:val="008176D3"/>
    <w:rsid w:val="00817D4D"/>
    <w:rsid w:val="0082025F"/>
    <w:rsid w:val="0082058E"/>
    <w:rsid w:val="008207BB"/>
    <w:rsid w:val="008208C6"/>
    <w:rsid w:val="00820F08"/>
    <w:rsid w:val="0082110F"/>
    <w:rsid w:val="0082129A"/>
    <w:rsid w:val="008212CD"/>
    <w:rsid w:val="008216AC"/>
    <w:rsid w:val="00821BEE"/>
    <w:rsid w:val="00822CFB"/>
    <w:rsid w:val="00823A82"/>
    <w:rsid w:val="00823B48"/>
    <w:rsid w:val="00823EF5"/>
    <w:rsid w:val="008244B4"/>
    <w:rsid w:val="008251D1"/>
    <w:rsid w:val="008255A7"/>
    <w:rsid w:val="00825984"/>
    <w:rsid w:val="00826120"/>
    <w:rsid w:val="0082678E"/>
    <w:rsid w:val="00826949"/>
    <w:rsid w:val="00826A20"/>
    <w:rsid w:val="00826E6E"/>
    <w:rsid w:val="00826F18"/>
    <w:rsid w:val="00827B76"/>
    <w:rsid w:val="00827E91"/>
    <w:rsid w:val="00830052"/>
    <w:rsid w:val="0083067E"/>
    <w:rsid w:val="00830730"/>
    <w:rsid w:val="00830931"/>
    <w:rsid w:val="00831152"/>
    <w:rsid w:val="008311F2"/>
    <w:rsid w:val="00831482"/>
    <w:rsid w:val="00832351"/>
    <w:rsid w:val="008324F6"/>
    <w:rsid w:val="00833AA2"/>
    <w:rsid w:val="00833B26"/>
    <w:rsid w:val="00833E3D"/>
    <w:rsid w:val="00834610"/>
    <w:rsid w:val="008349C4"/>
    <w:rsid w:val="00834A49"/>
    <w:rsid w:val="00835C8B"/>
    <w:rsid w:val="00835D26"/>
    <w:rsid w:val="00835F74"/>
    <w:rsid w:val="008360B0"/>
    <w:rsid w:val="008361A8"/>
    <w:rsid w:val="008361D6"/>
    <w:rsid w:val="0083724C"/>
    <w:rsid w:val="0083782B"/>
    <w:rsid w:val="00840344"/>
    <w:rsid w:val="00840CF7"/>
    <w:rsid w:val="008416BD"/>
    <w:rsid w:val="00841A31"/>
    <w:rsid w:val="00842CFA"/>
    <w:rsid w:val="00842FE8"/>
    <w:rsid w:val="00843020"/>
    <w:rsid w:val="008432D3"/>
    <w:rsid w:val="008436E8"/>
    <w:rsid w:val="0084377B"/>
    <w:rsid w:val="00843C86"/>
    <w:rsid w:val="00843F90"/>
    <w:rsid w:val="008442E9"/>
    <w:rsid w:val="0084437E"/>
    <w:rsid w:val="008446F2"/>
    <w:rsid w:val="0084512B"/>
    <w:rsid w:val="00845D45"/>
    <w:rsid w:val="0084604C"/>
    <w:rsid w:val="008462C5"/>
    <w:rsid w:val="00846864"/>
    <w:rsid w:val="00847611"/>
    <w:rsid w:val="00850431"/>
    <w:rsid w:val="008505BF"/>
    <w:rsid w:val="00850876"/>
    <w:rsid w:val="00850C92"/>
    <w:rsid w:val="008512EC"/>
    <w:rsid w:val="00851A6B"/>
    <w:rsid w:val="008521C6"/>
    <w:rsid w:val="00852208"/>
    <w:rsid w:val="008526F8"/>
    <w:rsid w:val="008528ED"/>
    <w:rsid w:val="0085308F"/>
    <w:rsid w:val="00853425"/>
    <w:rsid w:val="008538CF"/>
    <w:rsid w:val="00854042"/>
    <w:rsid w:val="0085410B"/>
    <w:rsid w:val="008541D2"/>
    <w:rsid w:val="00854323"/>
    <w:rsid w:val="008543C1"/>
    <w:rsid w:val="00854429"/>
    <w:rsid w:val="008547A6"/>
    <w:rsid w:val="00854835"/>
    <w:rsid w:val="008557BE"/>
    <w:rsid w:val="00855C16"/>
    <w:rsid w:val="008561B3"/>
    <w:rsid w:val="008562E9"/>
    <w:rsid w:val="00856948"/>
    <w:rsid w:val="00856CCB"/>
    <w:rsid w:val="00856D44"/>
    <w:rsid w:val="0085740D"/>
    <w:rsid w:val="008575DA"/>
    <w:rsid w:val="0085769C"/>
    <w:rsid w:val="00857D1F"/>
    <w:rsid w:val="0086007E"/>
    <w:rsid w:val="008602D8"/>
    <w:rsid w:val="00860774"/>
    <w:rsid w:val="00860791"/>
    <w:rsid w:val="00860A9C"/>
    <w:rsid w:val="008613B2"/>
    <w:rsid w:val="008616B7"/>
    <w:rsid w:val="008617D7"/>
    <w:rsid w:val="00861DAF"/>
    <w:rsid w:val="00862BF8"/>
    <w:rsid w:val="00862DE7"/>
    <w:rsid w:val="0086303D"/>
    <w:rsid w:val="0086318E"/>
    <w:rsid w:val="0086374E"/>
    <w:rsid w:val="00863E54"/>
    <w:rsid w:val="00863F12"/>
    <w:rsid w:val="00865618"/>
    <w:rsid w:val="00865DB0"/>
    <w:rsid w:val="008662B3"/>
    <w:rsid w:val="008663E9"/>
    <w:rsid w:val="00866E1A"/>
    <w:rsid w:val="0086745B"/>
    <w:rsid w:val="0086749A"/>
    <w:rsid w:val="008675F4"/>
    <w:rsid w:val="008677DB"/>
    <w:rsid w:val="0087033A"/>
    <w:rsid w:val="00870EAE"/>
    <w:rsid w:val="0087170F"/>
    <w:rsid w:val="00871A15"/>
    <w:rsid w:val="00871DBE"/>
    <w:rsid w:val="00871E9E"/>
    <w:rsid w:val="0087208F"/>
    <w:rsid w:val="00872C3D"/>
    <w:rsid w:val="00873637"/>
    <w:rsid w:val="0087523F"/>
    <w:rsid w:val="008753EF"/>
    <w:rsid w:val="00875436"/>
    <w:rsid w:val="0087545A"/>
    <w:rsid w:val="008759BD"/>
    <w:rsid w:val="00875E2D"/>
    <w:rsid w:val="0087619C"/>
    <w:rsid w:val="008763D5"/>
    <w:rsid w:val="0087643E"/>
    <w:rsid w:val="0087666B"/>
    <w:rsid w:val="00876C63"/>
    <w:rsid w:val="00876EAB"/>
    <w:rsid w:val="00876EC4"/>
    <w:rsid w:val="008773B2"/>
    <w:rsid w:val="00877461"/>
    <w:rsid w:val="008774D1"/>
    <w:rsid w:val="008775F5"/>
    <w:rsid w:val="00877BCB"/>
    <w:rsid w:val="00877E05"/>
    <w:rsid w:val="0088074F"/>
    <w:rsid w:val="00880B86"/>
    <w:rsid w:val="00880EFC"/>
    <w:rsid w:val="00881305"/>
    <w:rsid w:val="0088142E"/>
    <w:rsid w:val="008814C2"/>
    <w:rsid w:val="00881563"/>
    <w:rsid w:val="00881B00"/>
    <w:rsid w:val="00882666"/>
    <w:rsid w:val="00882D00"/>
    <w:rsid w:val="00883145"/>
    <w:rsid w:val="008831C7"/>
    <w:rsid w:val="008835B5"/>
    <w:rsid w:val="00883D4B"/>
    <w:rsid w:val="008853B2"/>
    <w:rsid w:val="00885BE7"/>
    <w:rsid w:val="00885C28"/>
    <w:rsid w:val="00886B54"/>
    <w:rsid w:val="0089036A"/>
    <w:rsid w:val="008904F0"/>
    <w:rsid w:val="00890EFC"/>
    <w:rsid w:val="008918D3"/>
    <w:rsid w:val="00892096"/>
    <w:rsid w:val="00892127"/>
    <w:rsid w:val="0089245A"/>
    <w:rsid w:val="0089292C"/>
    <w:rsid w:val="008936EB"/>
    <w:rsid w:val="00893915"/>
    <w:rsid w:val="008946B5"/>
    <w:rsid w:val="008948FB"/>
    <w:rsid w:val="008949FD"/>
    <w:rsid w:val="0089560E"/>
    <w:rsid w:val="0089572C"/>
    <w:rsid w:val="00895849"/>
    <w:rsid w:val="008958ED"/>
    <w:rsid w:val="00895E90"/>
    <w:rsid w:val="008962BB"/>
    <w:rsid w:val="008967D3"/>
    <w:rsid w:val="00896FDE"/>
    <w:rsid w:val="008976A8"/>
    <w:rsid w:val="00897DA7"/>
    <w:rsid w:val="008A0607"/>
    <w:rsid w:val="008A06EF"/>
    <w:rsid w:val="008A088A"/>
    <w:rsid w:val="008A099F"/>
    <w:rsid w:val="008A0FB0"/>
    <w:rsid w:val="008A1DBE"/>
    <w:rsid w:val="008A22E4"/>
    <w:rsid w:val="008A230A"/>
    <w:rsid w:val="008A2540"/>
    <w:rsid w:val="008A29E4"/>
    <w:rsid w:val="008A2DC3"/>
    <w:rsid w:val="008A2ECA"/>
    <w:rsid w:val="008A353C"/>
    <w:rsid w:val="008A4537"/>
    <w:rsid w:val="008A49B6"/>
    <w:rsid w:val="008A4A39"/>
    <w:rsid w:val="008A4CEF"/>
    <w:rsid w:val="008A4FFD"/>
    <w:rsid w:val="008A5422"/>
    <w:rsid w:val="008A6360"/>
    <w:rsid w:val="008A66BC"/>
    <w:rsid w:val="008A6801"/>
    <w:rsid w:val="008A6A26"/>
    <w:rsid w:val="008A6B0D"/>
    <w:rsid w:val="008A725C"/>
    <w:rsid w:val="008A79AC"/>
    <w:rsid w:val="008B074A"/>
    <w:rsid w:val="008B09FE"/>
    <w:rsid w:val="008B0C3C"/>
    <w:rsid w:val="008B0D4A"/>
    <w:rsid w:val="008B14AC"/>
    <w:rsid w:val="008B1686"/>
    <w:rsid w:val="008B1734"/>
    <w:rsid w:val="008B1DA8"/>
    <w:rsid w:val="008B20B3"/>
    <w:rsid w:val="008B234E"/>
    <w:rsid w:val="008B23BE"/>
    <w:rsid w:val="008B2CB6"/>
    <w:rsid w:val="008B3209"/>
    <w:rsid w:val="008B32F1"/>
    <w:rsid w:val="008B33EB"/>
    <w:rsid w:val="008B3652"/>
    <w:rsid w:val="008B36F8"/>
    <w:rsid w:val="008B3920"/>
    <w:rsid w:val="008B3AD2"/>
    <w:rsid w:val="008B418A"/>
    <w:rsid w:val="008B4472"/>
    <w:rsid w:val="008B4C0F"/>
    <w:rsid w:val="008B563D"/>
    <w:rsid w:val="008B58C5"/>
    <w:rsid w:val="008B594F"/>
    <w:rsid w:val="008B59D3"/>
    <w:rsid w:val="008B5E01"/>
    <w:rsid w:val="008B5E12"/>
    <w:rsid w:val="008B5EA0"/>
    <w:rsid w:val="008B627F"/>
    <w:rsid w:val="008B62CA"/>
    <w:rsid w:val="008B6B79"/>
    <w:rsid w:val="008B6DB2"/>
    <w:rsid w:val="008B7193"/>
    <w:rsid w:val="008B785F"/>
    <w:rsid w:val="008B787D"/>
    <w:rsid w:val="008B7A83"/>
    <w:rsid w:val="008B7F1C"/>
    <w:rsid w:val="008C0162"/>
    <w:rsid w:val="008C01BA"/>
    <w:rsid w:val="008C043F"/>
    <w:rsid w:val="008C07C0"/>
    <w:rsid w:val="008C0D9F"/>
    <w:rsid w:val="008C0DDD"/>
    <w:rsid w:val="008C1013"/>
    <w:rsid w:val="008C1628"/>
    <w:rsid w:val="008C16E5"/>
    <w:rsid w:val="008C1A18"/>
    <w:rsid w:val="008C2504"/>
    <w:rsid w:val="008C252E"/>
    <w:rsid w:val="008C261A"/>
    <w:rsid w:val="008C2A0F"/>
    <w:rsid w:val="008C2B94"/>
    <w:rsid w:val="008C2D14"/>
    <w:rsid w:val="008C38FA"/>
    <w:rsid w:val="008C3936"/>
    <w:rsid w:val="008C3DDD"/>
    <w:rsid w:val="008C3FF5"/>
    <w:rsid w:val="008C4E0F"/>
    <w:rsid w:val="008C4F01"/>
    <w:rsid w:val="008C5666"/>
    <w:rsid w:val="008C5B1D"/>
    <w:rsid w:val="008C5C6C"/>
    <w:rsid w:val="008C63B6"/>
    <w:rsid w:val="008C651E"/>
    <w:rsid w:val="008C6735"/>
    <w:rsid w:val="008C6771"/>
    <w:rsid w:val="008C6A96"/>
    <w:rsid w:val="008C7319"/>
    <w:rsid w:val="008C7F8C"/>
    <w:rsid w:val="008D0D51"/>
    <w:rsid w:val="008D0DF7"/>
    <w:rsid w:val="008D106F"/>
    <w:rsid w:val="008D1085"/>
    <w:rsid w:val="008D195C"/>
    <w:rsid w:val="008D1C82"/>
    <w:rsid w:val="008D20B4"/>
    <w:rsid w:val="008D2545"/>
    <w:rsid w:val="008D27F9"/>
    <w:rsid w:val="008D2A24"/>
    <w:rsid w:val="008D2E61"/>
    <w:rsid w:val="008D2EF2"/>
    <w:rsid w:val="008D30E6"/>
    <w:rsid w:val="008D39EA"/>
    <w:rsid w:val="008D3AA7"/>
    <w:rsid w:val="008D3E6E"/>
    <w:rsid w:val="008D4EDC"/>
    <w:rsid w:val="008D532B"/>
    <w:rsid w:val="008D5D13"/>
    <w:rsid w:val="008D5EFE"/>
    <w:rsid w:val="008D6149"/>
    <w:rsid w:val="008D6DDB"/>
    <w:rsid w:val="008D7652"/>
    <w:rsid w:val="008E0B73"/>
    <w:rsid w:val="008E12CE"/>
    <w:rsid w:val="008E145E"/>
    <w:rsid w:val="008E172A"/>
    <w:rsid w:val="008E1DEE"/>
    <w:rsid w:val="008E1EAE"/>
    <w:rsid w:val="008E1F0C"/>
    <w:rsid w:val="008E2B7A"/>
    <w:rsid w:val="008E327E"/>
    <w:rsid w:val="008E36FD"/>
    <w:rsid w:val="008E39B6"/>
    <w:rsid w:val="008E3A12"/>
    <w:rsid w:val="008E3F46"/>
    <w:rsid w:val="008E453D"/>
    <w:rsid w:val="008E4E1E"/>
    <w:rsid w:val="008E5373"/>
    <w:rsid w:val="008E5DE7"/>
    <w:rsid w:val="008E6063"/>
    <w:rsid w:val="008E620B"/>
    <w:rsid w:val="008E647D"/>
    <w:rsid w:val="008E653F"/>
    <w:rsid w:val="008E6A86"/>
    <w:rsid w:val="008E6FB1"/>
    <w:rsid w:val="008E71B3"/>
    <w:rsid w:val="008E74EA"/>
    <w:rsid w:val="008E7684"/>
    <w:rsid w:val="008E7B60"/>
    <w:rsid w:val="008F02D2"/>
    <w:rsid w:val="008F068B"/>
    <w:rsid w:val="008F0B72"/>
    <w:rsid w:val="008F0BDB"/>
    <w:rsid w:val="008F0CA6"/>
    <w:rsid w:val="008F1758"/>
    <w:rsid w:val="008F1B4C"/>
    <w:rsid w:val="008F1DCC"/>
    <w:rsid w:val="008F1F6C"/>
    <w:rsid w:val="008F20B7"/>
    <w:rsid w:val="008F25F4"/>
    <w:rsid w:val="008F2D48"/>
    <w:rsid w:val="008F3050"/>
    <w:rsid w:val="008F31E1"/>
    <w:rsid w:val="008F3F38"/>
    <w:rsid w:val="008F4000"/>
    <w:rsid w:val="008F42F7"/>
    <w:rsid w:val="008F558A"/>
    <w:rsid w:val="008F588E"/>
    <w:rsid w:val="008F6247"/>
    <w:rsid w:val="008F6CFF"/>
    <w:rsid w:val="008F71BF"/>
    <w:rsid w:val="008F7B13"/>
    <w:rsid w:val="008F7DB5"/>
    <w:rsid w:val="008F7E8B"/>
    <w:rsid w:val="009009FD"/>
    <w:rsid w:val="00900FB6"/>
    <w:rsid w:val="0090137A"/>
    <w:rsid w:val="00901F46"/>
    <w:rsid w:val="00902B3F"/>
    <w:rsid w:val="009035F5"/>
    <w:rsid w:val="00904330"/>
    <w:rsid w:val="00904B11"/>
    <w:rsid w:val="0090545F"/>
    <w:rsid w:val="00905923"/>
    <w:rsid w:val="00906599"/>
    <w:rsid w:val="009069A2"/>
    <w:rsid w:val="00906E94"/>
    <w:rsid w:val="00907FF4"/>
    <w:rsid w:val="00910591"/>
    <w:rsid w:val="00910AC9"/>
    <w:rsid w:val="00910E3A"/>
    <w:rsid w:val="00910FB8"/>
    <w:rsid w:val="0091139A"/>
    <w:rsid w:val="0091142C"/>
    <w:rsid w:val="00911887"/>
    <w:rsid w:val="0091246C"/>
    <w:rsid w:val="0091337A"/>
    <w:rsid w:val="00913501"/>
    <w:rsid w:val="00913975"/>
    <w:rsid w:val="00913E10"/>
    <w:rsid w:val="00913FC3"/>
    <w:rsid w:val="0091430F"/>
    <w:rsid w:val="009145A0"/>
    <w:rsid w:val="00915238"/>
    <w:rsid w:val="0091526C"/>
    <w:rsid w:val="00915442"/>
    <w:rsid w:val="00915571"/>
    <w:rsid w:val="00915587"/>
    <w:rsid w:val="009159F9"/>
    <w:rsid w:val="0091611E"/>
    <w:rsid w:val="009161A0"/>
    <w:rsid w:val="0091685D"/>
    <w:rsid w:val="009169EC"/>
    <w:rsid w:val="00916A3A"/>
    <w:rsid w:val="00916A82"/>
    <w:rsid w:val="00916BF5"/>
    <w:rsid w:val="00916C5A"/>
    <w:rsid w:val="00917461"/>
    <w:rsid w:val="0091778C"/>
    <w:rsid w:val="00917E87"/>
    <w:rsid w:val="00920674"/>
    <w:rsid w:val="009208C4"/>
    <w:rsid w:val="00920CCA"/>
    <w:rsid w:val="0092103D"/>
    <w:rsid w:val="0092127E"/>
    <w:rsid w:val="0092131E"/>
    <w:rsid w:val="00921B24"/>
    <w:rsid w:val="009225D1"/>
    <w:rsid w:val="00922805"/>
    <w:rsid w:val="00922F30"/>
    <w:rsid w:val="00923559"/>
    <w:rsid w:val="00924065"/>
    <w:rsid w:val="0092424F"/>
    <w:rsid w:val="009248CF"/>
    <w:rsid w:val="00924C86"/>
    <w:rsid w:val="00924E87"/>
    <w:rsid w:val="00924EDB"/>
    <w:rsid w:val="00924FAE"/>
    <w:rsid w:val="009250C0"/>
    <w:rsid w:val="009253A9"/>
    <w:rsid w:val="0092578A"/>
    <w:rsid w:val="0092597F"/>
    <w:rsid w:val="00926602"/>
    <w:rsid w:val="00926B57"/>
    <w:rsid w:val="00927144"/>
    <w:rsid w:val="00927175"/>
    <w:rsid w:val="0092747D"/>
    <w:rsid w:val="009300ED"/>
    <w:rsid w:val="009302DA"/>
    <w:rsid w:val="00930790"/>
    <w:rsid w:val="009307FE"/>
    <w:rsid w:val="009316BF"/>
    <w:rsid w:val="00932C8B"/>
    <w:rsid w:val="00932E44"/>
    <w:rsid w:val="00933F32"/>
    <w:rsid w:val="00934914"/>
    <w:rsid w:val="00934BCA"/>
    <w:rsid w:val="00934C54"/>
    <w:rsid w:val="00935650"/>
    <w:rsid w:val="00935743"/>
    <w:rsid w:val="00936809"/>
    <w:rsid w:val="00936DA6"/>
    <w:rsid w:val="00936DDE"/>
    <w:rsid w:val="00936E14"/>
    <w:rsid w:val="00936EF7"/>
    <w:rsid w:val="009371F2"/>
    <w:rsid w:val="00937326"/>
    <w:rsid w:val="00937459"/>
    <w:rsid w:val="0093755C"/>
    <w:rsid w:val="00937AFE"/>
    <w:rsid w:val="00937F3B"/>
    <w:rsid w:val="0094004F"/>
    <w:rsid w:val="009401DB"/>
    <w:rsid w:val="009402EC"/>
    <w:rsid w:val="0094081D"/>
    <w:rsid w:val="00940F19"/>
    <w:rsid w:val="009412BD"/>
    <w:rsid w:val="0094147B"/>
    <w:rsid w:val="0094169C"/>
    <w:rsid w:val="0094174E"/>
    <w:rsid w:val="00941E1D"/>
    <w:rsid w:val="0094209E"/>
    <w:rsid w:val="0094210C"/>
    <w:rsid w:val="00942851"/>
    <w:rsid w:val="00942BE0"/>
    <w:rsid w:val="00943166"/>
    <w:rsid w:val="00943184"/>
    <w:rsid w:val="009434C0"/>
    <w:rsid w:val="00943B5E"/>
    <w:rsid w:val="00943C9A"/>
    <w:rsid w:val="00943EE4"/>
    <w:rsid w:val="00943F3A"/>
    <w:rsid w:val="0094415E"/>
    <w:rsid w:val="009442A2"/>
    <w:rsid w:val="009444C0"/>
    <w:rsid w:val="009445E9"/>
    <w:rsid w:val="00944FFC"/>
    <w:rsid w:val="009453F8"/>
    <w:rsid w:val="0094565C"/>
    <w:rsid w:val="009457A9"/>
    <w:rsid w:val="009464FE"/>
    <w:rsid w:val="0094663A"/>
    <w:rsid w:val="00946953"/>
    <w:rsid w:val="009473A8"/>
    <w:rsid w:val="009476F6"/>
    <w:rsid w:val="00947A7A"/>
    <w:rsid w:val="00947C66"/>
    <w:rsid w:val="00947FE4"/>
    <w:rsid w:val="00950002"/>
    <w:rsid w:val="00950567"/>
    <w:rsid w:val="009506D8"/>
    <w:rsid w:val="00950746"/>
    <w:rsid w:val="00951054"/>
    <w:rsid w:val="0095131F"/>
    <w:rsid w:val="009513D4"/>
    <w:rsid w:val="0095151B"/>
    <w:rsid w:val="00951648"/>
    <w:rsid w:val="00951725"/>
    <w:rsid w:val="00951C1E"/>
    <w:rsid w:val="00952123"/>
    <w:rsid w:val="00952562"/>
    <w:rsid w:val="00952720"/>
    <w:rsid w:val="00952B08"/>
    <w:rsid w:val="009530B5"/>
    <w:rsid w:val="00953C88"/>
    <w:rsid w:val="0095435B"/>
    <w:rsid w:val="00954778"/>
    <w:rsid w:val="00954C9B"/>
    <w:rsid w:val="00954F77"/>
    <w:rsid w:val="00955126"/>
    <w:rsid w:val="00955FC2"/>
    <w:rsid w:val="00956164"/>
    <w:rsid w:val="009567F6"/>
    <w:rsid w:val="00956C17"/>
    <w:rsid w:val="00956EAE"/>
    <w:rsid w:val="00956F31"/>
    <w:rsid w:val="0096017F"/>
    <w:rsid w:val="00960E28"/>
    <w:rsid w:val="00960FD3"/>
    <w:rsid w:val="0096112C"/>
    <w:rsid w:val="0096159B"/>
    <w:rsid w:val="00961874"/>
    <w:rsid w:val="0096191E"/>
    <w:rsid w:val="00961F69"/>
    <w:rsid w:val="00962C1D"/>
    <w:rsid w:val="00962EB0"/>
    <w:rsid w:val="00963023"/>
    <w:rsid w:val="00963B64"/>
    <w:rsid w:val="00964332"/>
    <w:rsid w:val="00964489"/>
    <w:rsid w:val="00964643"/>
    <w:rsid w:val="00964A3A"/>
    <w:rsid w:val="00964A80"/>
    <w:rsid w:val="009650F2"/>
    <w:rsid w:val="00965390"/>
    <w:rsid w:val="0096591A"/>
    <w:rsid w:val="00965982"/>
    <w:rsid w:val="0096659B"/>
    <w:rsid w:val="00966812"/>
    <w:rsid w:val="00966D89"/>
    <w:rsid w:val="00966EB5"/>
    <w:rsid w:val="0096701F"/>
    <w:rsid w:val="00967245"/>
    <w:rsid w:val="00967276"/>
    <w:rsid w:val="00967D4B"/>
    <w:rsid w:val="00967D8E"/>
    <w:rsid w:val="00970201"/>
    <w:rsid w:val="009708F1"/>
    <w:rsid w:val="00970BBC"/>
    <w:rsid w:val="00970C23"/>
    <w:rsid w:val="00971CD0"/>
    <w:rsid w:val="00971DCE"/>
    <w:rsid w:val="009720A4"/>
    <w:rsid w:val="009721FA"/>
    <w:rsid w:val="009723A3"/>
    <w:rsid w:val="0097248B"/>
    <w:rsid w:val="00972A65"/>
    <w:rsid w:val="00972E37"/>
    <w:rsid w:val="00973047"/>
    <w:rsid w:val="0097473F"/>
    <w:rsid w:val="0097513D"/>
    <w:rsid w:val="00975472"/>
    <w:rsid w:val="00975786"/>
    <w:rsid w:val="009763FA"/>
    <w:rsid w:val="0097689F"/>
    <w:rsid w:val="00976E96"/>
    <w:rsid w:val="009778BE"/>
    <w:rsid w:val="0097793E"/>
    <w:rsid w:val="00981256"/>
    <w:rsid w:val="009812F3"/>
    <w:rsid w:val="009822C5"/>
    <w:rsid w:val="00983206"/>
    <w:rsid w:val="00983967"/>
    <w:rsid w:val="00983AD5"/>
    <w:rsid w:val="00984565"/>
    <w:rsid w:val="009846DC"/>
    <w:rsid w:val="00984961"/>
    <w:rsid w:val="00984E1E"/>
    <w:rsid w:val="00984E53"/>
    <w:rsid w:val="00984F91"/>
    <w:rsid w:val="009852FA"/>
    <w:rsid w:val="00985455"/>
    <w:rsid w:val="009862B5"/>
    <w:rsid w:val="009862FF"/>
    <w:rsid w:val="009863C1"/>
    <w:rsid w:val="0098697D"/>
    <w:rsid w:val="00986F04"/>
    <w:rsid w:val="009871EF"/>
    <w:rsid w:val="00987DE6"/>
    <w:rsid w:val="0099075B"/>
    <w:rsid w:val="00990BFE"/>
    <w:rsid w:val="00990C21"/>
    <w:rsid w:val="00990D98"/>
    <w:rsid w:val="00990DF3"/>
    <w:rsid w:val="009912C8"/>
    <w:rsid w:val="0099133B"/>
    <w:rsid w:val="0099157B"/>
    <w:rsid w:val="009918CF"/>
    <w:rsid w:val="00991957"/>
    <w:rsid w:val="0099197E"/>
    <w:rsid w:val="00991BAC"/>
    <w:rsid w:val="00991BB3"/>
    <w:rsid w:val="00992C21"/>
    <w:rsid w:val="009930CD"/>
    <w:rsid w:val="009930DF"/>
    <w:rsid w:val="00993483"/>
    <w:rsid w:val="009936D4"/>
    <w:rsid w:val="00993A4E"/>
    <w:rsid w:val="00993ACD"/>
    <w:rsid w:val="00994129"/>
    <w:rsid w:val="00994926"/>
    <w:rsid w:val="00994B86"/>
    <w:rsid w:val="00995048"/>
    <w:rsid w:val="00995719"/>
    <w:rsid w:val="00995BD2"/>
    <w:rsid w:val="00995C57"/>
    <w:rsid w:val="00995C9F"/>
    <w:rsid w:val="00996424"/>
    <w:rsid w:val="00996589"/>
    <w:rsid w:val="00996AAC"/>
    <w:rsid w:val="009972D2"/>
    <w:rsid w:val="0099786C"/>
    <w:rsid w:val="00997C13"/>
    <w:rsid w:val="00997DD7"/>
    <w:rsid w:val="00997FF2"/>
    <w:rsid w:val="009A0070"/>
    <w:rsid w:val="009A0550"/>
    <w:rsid w:val="009A05BF"/>
    <w:rsid w:val="009A0A37"/>
    <w:rsid w:val="009A2C9B"/>
    <w:rsid w:val="009A319D"/>
    <w:rsid w:val="009A31E8"/>
    <w:rsid w:val="009A3306"/>
    <w:rsid w:val="009A42D9"/>
    <w:rsid w:val="009A47E7"/>
    <w:rsid w:val="009A498A"/>
    <w:rsid w:val="009A4C52"/>
    <w:rsid w:val="009A513E"/>
    <w:rsid w:val="009A662F"/>
    <w:rsid w:val="009A6BDC"/>
    <w:rsid w:val="009A6EBE"/>
    <w:rsid w:val="009A786B"/>
    <w:rsid w:val="009B0265"/>
    <w:rsid w:val="009B078F"/>
    <w:rsid w:val="009B0EDB"/>
    <w:rsid w:val="009B0FEA"/>
    <w:rsid w:val="009B1566"/>
    <w:rsid w:val="009B1792"/>
    <w:rsid w:val="009B1AD6"/>
    <w:rsid w:val="009B1EAF"/>
    <w:rsid w:val="009B2599"/>
    <w:rsid w:val="009B276F"/>
    <w:rsid w:val="009B2E50"/>
    <w:rsid w:val="009B2E72"/>
    <w:rsid w:val="009B3148"/>
    <w:rsid w:val="009B351B"/>
    <w:rsid w:val="009B35C4"/>
    <w:rsid w:val="009B38EB"/>
    <w:rsid w:val="009B3984"/>
    <w:rsid w:val="009B4127"/>
    <w:rsid w:val="009B418D"/>
    <w:rsid w:val="009B4A1D"/>
    <w:rsid w:val="009B4B0F"/>
    <w:rsid w:val="009B4CFE"/>
    <w:rsid w:val="009B5146"/>
    <w:rsid w:val="009B5AA2"/>
    <w:rsid w:val="009B5AF9"/>
    <w:rsid w:val="009B5B55"/>
    <w:rsid w:val="009B5F9A"/>
    <w:rsid w:val="009B61EB"/>
    <w:rsid w:val="009B6A77"/>
    <w:rsid w:val="009B6DC4"/>
    <w:rsid w:val="009B6F61"/>
    <w:rsid w:val="009B6F7D"/>
    <w:rsid w:val="009B7987"/>
    <w:rsid w:val="009B7BFB"/>
    <w:rsid w:val="009B7C25"/>
    <w:rsid w:val="009B7C7E"/>
    <w:rsid w:val="009B7EF0"/>
    <w:rsid w:val="009C010D"/>
    <w:rsid w:val="009C074E"/>
    <w:rsid w:val="009C119D"/>
    <w:rsid w:val="009C23EF"/>
    <w:rsid w:val="009C3A47"/>
    <w:rsid w:val="009C4C78"/>
    <w:rsid w:val="009C4F2E"/>
    <w:rsid w:val="009C53E0"/>
    <w:rsid w:val="009C59D6"/>
    <w:rsid w:val="009C5DD1"/>
    <w:rsid w:val="009C5E31"/>
    <w:rsid w:val="009C5E36"/>
    <w:rsid w:val="009C5FFC"/>
    <w:rsid w:val="009C64E3"/>
    <w:rsid w:val="009C71B7"/>
    <w:rsid w:val="009C7D53"/>
    <w:rsid w:val="009C7EA9"/>
    <w:rsid w:val="009D0180"/>
    <w:rsid w:val="009D16E0"/>
    <w:rsid w:val="009D277C"/>
    <w:rsid w:val="009D2A8C"/>
    <w:rsid w:val="009D322C"/>
    <w:rsid w:val="009D3993"/>
    <w:rsid w:val="009D3C5C"/>
    <w:rsid w:val="009D417C"/>
    <w:rsid w:val="009D417D"/>
    <w:rsid w:val="009D4431"/>
    <w:rsid w:val="009D4B88"/>
    <w:rsid w:val="009D4BB6"/>
    <w:rsid w:val="009D4FE3"/>
    <w:rsid w:val="009D596A"/>
    <w:rsid w:val="009D5AD9"/>
    <w:rsid w:val="009D5BAA"/>
    <w:rsid w:val="009D614A"/>
    <w:rsid w:val="009D6228"/>
    <w:rsid w:val="009D698A"/>
    <w:rsid w:val="009D7292"/>
    <w:rsid w:val="009D7B88"/>
    <w:rsid w:val="009E0E68"/>
    <w:rsid w:val="009E0EF3"/>
    <w:rsid w:val="009E1859"/>
    <w:rsid w:val="009E19F4"/>
    <w:rsid w:val="009E1DBF"/>
    <w:rsid w:val="009E29CB"/>
    <w:rsid w:val="009E338E"/>
    <w:rsid w:val="009E342D"/>
    <w:rsid w:val="009E3D4B"/>
    <w:rsid w:val="009E46BF"/>
    <w:rsid w:val="009E60BF"/>
    <w:rsid w:val="009E6130"/>
    <w:rsid w:val="009E6145"/>
    <w:rsid w:val="009E63AF"/>
    <w:rsid w:val="009E63F7"/>
    <w:rsid w:val="009E64DD"/>
    <w:rsid w:val="009E6602"/>
    <w:rsid w:val="009E6987"/>
    <w:rsid w:val="009E7453"/>
    <w:rsid w:val="009E7645"/>
    <w:rsid w:val="009E78C0"/>
    <w:rsid w:val="009E7A8C"/>
    <w:rsid w:val="009E7B2E"/>
    <w:rsid w:val="009F0EF3"/>
    <w:rsid w:val="009F1462"/>
    <w:rsid w:val="009F158B"/>
    <w:rsid w:val="009F193C"/>
    <w:rsid w:val="009F1B21"/>
    <w:rsid w:val="009F1F1B"/>
    <w:rsid w:val="009F2168"/>
    <w:rsid w:val="009F2642"/>
    <w:rsid w:val="009F270C"/>
    <w:rsid w:val="009F27DC"/>
    <w:rsid w:val="009F2ABD"/>
    <w:rsid w:val="009F2BFF"/>
    <w:rsid w:val="009F400A"/>
    <w:rsid w:val="009F43AF"/>
    <w:rsid w:val="009F49B4"/>
    <w:rsid w:val="009F541A"/>
    <w:rsid w:val="009F5A51"/>
    <w:rsid w:val="009F5D70"/>
    <w:rsid w:val="009F68F9"/>
    <w:rsid w:val="009F6AE2"/>
    <w:rsid w:val="009F74F2"/>
    <w:rsid w:val="009F76FF"/>
    <w:rsid w:val="009F7A78"/>
    <w:rsid w:val="009F7F86"/>
    <w:rsid w:val="00A00061"/>
    <w:rsid w:val="00A00283"/>
    <w:rsid w:val="00A00524"/>
    <w:rsid w:val="00A00F85"/>
    <w:rsid w:val="00A01205"/>
    <w:rsid w:val="00A019B1"/>
    <w:rsid w:val="00A01A91"/>
    <w:rsid w:val="00A023D2"/>
    <w:rsid w:val="00A02D8D"/>
    <w:rsid w:val="00A03907"/>
    <w:rsid w:val="00A03AF9"/>
    <w:rsid w:val="00A03B91"/>
    <w:rsid w:val="00A04235"/>
    <w:rsid w:val="00A04E5D"/>
    <w:rsid w:val="00A052D7"/>
    <w:rsid w:val="00A0585D"/>
    <w:rsid w:val="00A059C5"/>
    <w:rsid w:val="00A05A99"/>
    <w:rsid w:val="00A061B1"/>
    <w:rsid w:val="00A06920"/>
    <w:rsid w:val="00A07149"/>
    <w:rsid w:val="00A07935"/>
    <w:rsid w:val="00A10C55"/>
    <w:rsid w:val="00A10F81"/>
    <w:rsid w:val="00A10FE5"/>
    <w:rsid w:val="00A11652"/>
    <w:rsid w:val="00A116A9"/>
    <w:rsid w:val="00A11A0C"/>
    <w:rsid w:val="00A11ACD"/>
    <w:rsid w:val="00A12091"/>
    <w:rsid w:val="00A137CC"/>
    <w:rsid w:val="00A13EC8"/>
    <w:rsid w:val="00A13F4C"/>
    <w:rsid w:val="00A15325"/>
    <w:rsid w:val="00A1583A"/>
    <w:rsid w:val="00A15C18"/>
    <w:rsid w:val="00A15CB7"/>
    <w:rsid w:val="00A15E75"/>
    <w:rsid w:val="00A1625C"/>
    <w:rsid w:val="00A162A4"/>
    <w:rsid w:val="00A16C04"/>
    <w:rsid w:val="00A16D41"/>
    <w:rsid w:val="00A16E93"/>
    <w:rsid w:val="00A17429"/>
    <w:rsid w:val="00A17C36"/>
    <w:rsid w:val="00A203DF"/>
    <w:rsid w:val="00A207CB"/>
    <w:rsid w:val="00A20B3C"/>
    <w:rsid w:val="00A20FF5"/>
    <w:rsid w:val="00A213AB"/>
    <w:rsid w:val="00A213CB"/>
    <w:rsid w:val="00A22986"/>
    <w:rsid w:val="00A22BCE"/>
    <w:rsid w:val="00A22CDF"/>
    <w:rsid w:val="00A23359"/>
    <w:rsid w:val="00A238FD"/>
    <w:rsid w:val="00A239BE"/>
    <w:rsid w:val="00A259D3"/>
    <w:rsid w:val="00A25B65"/>
    <w:rsid w:val="00A25DBC"/>
    <w:rsid w:val="00A26369"/>
    <w:rsid w:val="00A26955"/>
    <w:rsid w:val="00A26C65"/>
    <w:rsid w:val="00A30224"/>
    <w:rsid w:val="00A30250"/>
    <w:rsid w:val="00A30964"/>
    <w:rsid w:val="00A30A3D"/>
    <w:rsid w:val="00A30A9C"/>
    <w:rsid w:val="00A30CB5"/>
    <w:rsid w:val="00A30FCE"/>
    <w:rsid w:val="00A31145"/>
    <w:rsid w:val="00A31768"/>
    <w:rsid w:val="00A317BE"/>
    <w:rsid w:val="00A321D9"/>
    <w:rsid w:val="00A326CD"/>
    <w:rsid w:val="00A3331C"/>
    <w:rsid w:val="00A33423"/>
    <w:rsid w:val="00A334E9"/>
    <w:rsid w:val="00A336B3"/>
    <w:rsid w:val="00A33749"/>
    <w:rsid w:val="00A3384E"/>
    <w:rsid w:val="00A33D19"/>
    <w:rsid w:val="00A343A1"/>
    <w:rsid w:val="00A34AD7"/>
    <w:rsid w:val="00A34DE4"/>
    <w:rsid w:val="00A350AA"/>
    <w:rsid w:val="00A35297"/>
    <w:rsid w:val="00A354F9"/>
    <w:rsid w:val="00A357FB"/>
    <w:rsid w:val="00A35B42"/>
    <w:rsid w:val="00A364AB"/>
    <w:rsid w:val="00A3667B"/>
    <w:rsid w:val="00A36BA4"/>
    <w:rsid w:val="00A36F22"/>
    <w:rsid w:val="00A370D8"/>
    <w:rsid w:val="00A37406"/>
    <w:rsid w:val="00A3782F"/>
    <w:rsid w:val="00A37B4B"/>
    <w:rsid w:val="00A40B64"/>
    <w:rsid w:val="00A40FE2"/>
    <w:rsid w:val="00A412BF"/>
    <w:rsid w:val="00A414F6"/>
    <w:rsid w:val="00A41BB1"/>
    <w:rsid w:val="00A41D97"/>
    <w:rsid w:val="00A41F36"/>
    <w:rsid w:val="00A41FD3"/>
    <w:rsid w:val="00A42100"/>
    <w:rsid w:val="00A42778"/>
    <w:rsid w:val="00A429FE"/>
    <w:rsid w:val="00A42A4D"/>
    <w:rsid w:val="00A434CA"/>
    <w:rsid w:val="00A44899"/>
    <w:rsid w:val="00A44E13"/>
    <w:rsid w:val="00A451C9"/>
    <w:rsid w:val="00A4530B"/>
    <w:rsid w:val="00A4559E"/>
    <w:rsid w:val="00A47221"/>
    <w:rsid w:val="00A47626"/>
    <w:rsid w:val="00A47FB1"/>
    <w:rsid w:val="00A501A2"/>
    <w:rsid w:val="00A50478"/>
    <w:rsid w:val="00A50684"/>
    <w:rsid w:val="00A50930"/>
    <w:rsid w:val="00A50BC1"/>
    <w:rsid w:val="00A50CEF"/>
    <w:rsid w:val="00A51122"/>
    <w:rsid w:val="00A511DC"/>
    <w:rsid w:val="00A5135B"/>
    <w:rsid w:val="00A51400"/>
    <w:rsid w:val="00A516AA"/>
    <w:rsid w:val="00A51DFC"/>
    <w:rsid w:val="00A52783"/>
    <w:rsid w:val="00A528E0"/>
    <w:rsid w:val="00A52D70"/>
    <w:rsid w:val="00A53380"/>
    <w:rsid w:val="00A53511"/>
    <w:rsid w:val="00A536F4"/>
    <w:rsid w:val="00A53F90"/>
    <w:rsid w:val="00A5430A"/>
    <w:rsid w:val="00A54317"/>
    <w:rsid w:val="00A54405"/>
    <w:rsid w:val="00A54439"/>
    <w:rsid w:val="00A548B7"/>
    <w:rsid w:val="00A54F2B"/>
    <w:rsid w:val="00A5509A"/>
    <w:rsid w:val="00A550C4"/>
    <w:rsid w:val="00A553DA"/>
    <w:rsid w:val="00A55573"/>
    <w:rsid w:val="00A55B69"/>
    <w:rsid w:val="00A55FD3"/>
    <w:rsid w:val="00A5620B"/>
    <w:rsid w:val="00A5629B"/>
    <w:rsid w:val="00A5659E"/>
    <w:rsid w:val="00A566E2"/>
    <w:rsid w:val="00A56C07"/>
    <w:rsid w:val="00A56FA1"/>
    <w:rsid w:val="00A57AFD"/>
    <w:rsid w:val="00A57DA7"/>
    <w:rsid w:val="00A57E56"/>
    <w:rsid w:val="00A601C4"/>
    <w:rsid w:val="00A602D7"/>
    <w:rsid w:val="00A60764"/>
    <w:rsid w:val="00A60BAD"/>
    <w:rsid w:val="00A60D4E"/>
    <w:rsid w:val="00A610B7"/>
    <w:rsid w:val="00A610DB"/>
    <w:rsid w:val="00A615EE"/>
    <w:rsid w:val="00A6160D"/>
    <w:rsid w:val="00A619C8"/>
    <w:rsid w:val="00A61CC7"/>
    <w:rsid w:val="00A6282C"/>
    <w:rsid w:val="00A6293D"/>
    <w:rsid w:val="00A639CD"/>
    <w:rsid w:val="00A63B50"/>
    <w:rsid w:val="00A63B7D"/>
    <w:rsid w:val="00A63E7E"/>
    <w:rsid w:val="00A63F22"/>
    <w:rsid w:val="00A64A46"/>
    <w:rsid w:val="00A65561"/>
    <w:rsid w:val="00A65A5E"/>
    <w:rsid w:val="00A66109"/>
    <w:rsid w:val="00A6611B"/>
    <w:rsid w:val="00A668AB"/>
    <w:rsid w:val="00A66968"/>
    <w:rsid w:val="00A674E4"/>
    <w:rsid w:val="00A67647"/>
    <w:rsid w:val="00A677BA"/>
    <w:rsid w:val="00A67A5A"/>
    <w:rsid w:val="00A7003D"/>
    <w:rsid w:val="00A7079A"/>
    <w:rsid w:val="00A70850"/>
    <w:rsid w:val="00A70ADB"/>
    <w:rsid w:val="00A70CA1"/>
    <w:rsid w:val="00A70F40"/>
    <w:rsid w:val="00A70FD2"/>
    <w:rsid w:val="00A70FF9"/>
    <w:rsid w:val="00A710D5"/>
    <w:rsid w:val="00A718CA"/>
    <w:rsid w:val="00A719D8"/>
    <w:rsid w:val="00A72552"/>
    <w:rsid w:val="00A725AA"/>
    <w:rsid w:val="00A726C2"/>
    <w:rsid w:val="00A7370C"/>
    <w:rsid w:val="00A73BB2"/>
    <w:rsid w:val="00A742CE"/>
    <w:rsid w:val="00A74320"/>
    <w:rsid w:val="00A747F5"/>
    <w:rsid w:val="00A748C7"/>
    <w:rsid w:val="00A756BD"/>
    <w:rsid w:val="00A75A3B"/>
    <w:rsid w:val="00A76326"/>
    <w:rsid w:val="00A763A3"/>
    <w:rsid w:val="00A76C4E"/>
    <w:rsid w:val="00A772DA"/>
    <w:rsid w:val="00A802FB"/>
    <w:rsid w:val="00A810E7"/>
    <w:rsid w:val="00A812BA"/>
    <w:rsid w:val="00A817CE"/>
    <w:rsid w:val="00A81C90"/>
    <w:rsid w:val="00A82289"/>
    <w:rsid w:val="00A823F8"/>
    <w:rsid w:val="00A828DC"/>
    <w:rsid w:val="00A8314E"/>
    <w:rsid w:val="00A83187"/>
    <w:rsid w:val="00A840AA"/>
    <w:rsid w:val="00A84B03"/>
    <w:rsid w:val="00A854A1"/>
    <w:rsid w:val="00A85531"/>
    <w:rsid w:val="00A8569A"/>
    <w:rsid w:val="00A85C87"/>
    <w:rsid w:val="00A85C9A"/>
    <w:rsid w:val="00A85EF6"/>
    <w:rsid w:val="00A867E0"/>
    <w:rsid w:val="00A86E39"/>
    <w:rsid w:val="00A87752"/>
    <w:rsid w:val="00A87A13"/>
    <w:rsid w:val="00A87C64"/>
    <w:rsid w:val="00A901D9"/>
    <w:rsid w:val="00A902C3"/>
    <w:rsid w:val="00A903AA"/>
    <w:rsid w:val="00A90809"/>
    <w:rsid w:val="00A90FA9"/>
    <w:rsid w:val="00A91CA0"/>
    <w:rsid w:val="00A91CD9"/>
    <w:rsid w:val="00A92056"/>
    <w:rsid w:val="00A920F8"/>
    <w:rsid w:val="00A923B5"/>
    <w:rsid w:val="00A92758"/>
    <w:rsid w:val="00A92D8F"/>
    <w:rsid w:val="00A9316C"/>
    <w:rsid w:val="00A93412"/>
    <w:rsid w:val="00A93725"/>
    <w:rsid w:val="00A93AED"/>
    <w:rsid w:val="00A93EC7"/>
    <w:rsid w:val="00A94348"/>
    <w:rsid w:val="00A94D26"/>
    <w:rsid w:val="00A957FC"/>
    <w:rsid w:val="00A95DD1"/>
    <w:rsid w:val="00A95E3D"/>
    <w:rsid w:val="00A96B76"/>
    <w:rsid w:val="00A96F2C"/>
    <w:rsid w:val="00A97471"/>
    <w:rsid w:val="00A9775B"/>
    <w:rsid w:val="00A97771"/>
    <w:rsid w:val="00A97F35"/>
    <w:rsid w:val="00AA0594"/>
    <w:rsid w:val="00AA0B75"/>
    <w:rsid w:val="00AA1F14"/>
    <w:rsid w:val="00AA23B4"/>
    <w:rsid w:val="00AA28FD"/>
    <w:rsid w:val="00AA2DA2"/>
    <w:rsid w:val="00AA3E99"/>
    <w:rsid w:val="00AA4120"/>
    <w:rsid w:val="00AA42C1"/>
    <w:rsid w:val="00AA4B7B"/>
    <w:rsid w:val="00AA58EE"/>
    <w:rsid w:val="00AA669E"/>
    <w:rsid w:val="00AA6B1D"/>
    <w:rsid w:val="00AA6B6E"/>
    <w:rsid w:val="00AA7B11"/>
    <w:rsid w:val="00AA7E65"/>
    <w:rsid w:val="00AB0053"/>
    <w:rsid w:val="00AB032A"/>
    <w:rsid w:val="00AB09BC"/>
    <w:rsid w:val="00AB0E3B"/>
    <w:rsid w:val="00AB0F20"/>
    <w:rsid w:val="00AB13ED"/>
    <w:rsid w:val="00AB1710"/>
    <w:rsid w:val="00AB1979"/>
    <w:rsid w:val="00AB2455"/>
    <w:rsid w:val="00AB2868"/>
    <w:rsid w:val="00AB2C06"/>
    <w:rsid w:val="00AB2DB2"/>
    <w:rsid w:val="00AB3248"/>
    <w:rsid w:val="00AB3449"/>
    <w:rsid w:val="00AB356D"/>
    <w:rsid w:val="00AB35E2"/>
    <w:rsid w:val="00AB3D04"/>
    <w:rsid w:val="00AB3F46"/>
    <w:rsid w:val="00AB406B"/>
    <w:rsid w:val="00AB513E"/>
    <w:rsid w:val="00AB5D66"/>
    <w:rsid w:val="00AB6F66"/>
    <w:rsid w:val="00AB6F75"/>
    <w:rsid w:val="00AB732B"/>
    <w:rsid w:val="00AC0288"/>
    <w:rsid w:val="00AC02A4"/>
    <w:rsid w:val="00AC0376"/>
    <w:rsid w:val="00AC0734"/>
    <w:rsid w:val="00AC0CBC"/>
    <w:rsid w:val="00AC0EF7"/>
    <w:rsid w:val="00AC1548"/>
    <w:rsid w:val="00AC1E3E"/>
    <w:rsid w:val="00AC210A"/>
    <w:rsid w:val="00AC216D"/>
    <w:rsid w:val="00AC22DC"/>
    <w:rsid w:val="00AC23B7"/>
    <w:rsid w:val="00AC2512"/>
    <w:rsid w:val="00AC30D5"/>
    <w:rsid w:val="00AC3D77"/>
    <w:rsid w:val="00AC3F0B"/>
    <w:rsid w:val="00AC4050"/>
    <w:rsid w:val="00AC4462"/>
    <w:rsid w:val="00AC4D2C"/>
    <w:rsid w:val="00AC4EDF"/>
    <w:rsid w:val="00AC5028"/>
    <w:rsid w:val="00AC533F"/>
    <w:rsid w:val="00AC5388"/>
    <w:rsid w:val="00AC5610"/>
    <w:rsid w:val="00AC5C97"/>
    <w:rsid w:val="00AC5E36"/>
    <w:rsid w:val="00AC6766"/>
    <w:rsid w:val="00AC6844"/>
    <w:rsid w:val="00AC6A39"/>
    <w:rsid w:val="00AC6AF9"/>
    <w:rsid w:val="00AC7471"/>
    <w:rsid w:val="00AC7ABA"/>
    <w:rsid w:val="00AC7C4B"/>
    <w:rsid w:val="00AC7E56"/>
    <w:rsid w:val="00AD06D7"/>
    <w:rsid w:val="00AD19F4"/>
    <w:rsid w:val="00AD1A60"/>
    <w:rsid w:val="00AD1FB1"/>
    <w:rsid w:val="00AD2038"/>
    <w:rsid w:val="00AD235A"/>
    <w:rsid w:val="00AD27EB"/>
    <w:rsid w:val="00AD2A1A"/>
    <w:rsid w:val="00AD2C0B"/>
    <w:rsid w:val="00AD3B3D"/>
    <w:rsid w:val="00AD4888"/>
    <w:rsid w:val="00AD4F51"/>
    <w:rsid w:val="00AD51E7"/>
    <w:rsid w:val="00AD5226"/>
    <w:rsid w:val="00AD55E5"/>
    <w:rsid w:val="00AD597C"/>
    <w:rsid w:val="00AD5B4A"/>
    <w:rsid w:val="00AD6260"/>
    <w:rsid w:val="00AD6744"/>
    <w:rsid w:val="00AD6771"/>
    <w:rsid w:val="00AD6B19"/>
    <w:rsid w:val="00AD6D77"/>
    <w:rsid w:val="00AD706F"/>
    <w:rsid w:val="00AD70DB"/>
    <w:rsid w:val="00AD7286"/>
    <w:rsid w:val="00AD76B1"/>
    <w:rsid w:val="00AD774B"/>
    <w:rsid w:val="00AD7E7C"/>
    <w:rsid w:val="00AD7F1F"/>
    <w:rsid w:val="00AE01DA"/>
    <w:rsid w:val="00AE051F"/>
    <w:rsid w:val="00AE0752"/>
    <w:rsid w:val="00AE1369"/>
    <w:rsid w:val="00AE1823"/>
    <w:rsid w:val="00AE1A8A"/>
    <w:rsid w:val="00AE26CA"/>
    <w:rsid w:val="00AE2AE7"/>
    <w:rsid w:val="00AE2F69"/>
    <w:rsid w:val="00AE3695"/>
    <w:rsid w:val="00AE3BC4"/>
    <w:rsid w:val="00AE3D17"/>
    <w:rsid w:val="00AE3E15"/>
    <w:rsid w:val="00AE3F0E"/>
    <w:rsid w:val="00AE3F86"/>
    <w:rsid w:val="00AE40E3"/>
    <w:rsid w:val="00AE4C99"/>
    <w:rsid w:val="00AE4D0D"/>
    <w:rsid w:val="00AE4F07"/>
    <w:rsid w:val="00AE50C4"/>
    <w:rsid w:val="00AE5656"/>
    <w:rsid w:val="00AE5B5E"/>
    <w:rsid w:val="00AE5C76"/>
    <w:rsid w:val="00AE6970"/>
    <w:rsid w:val="00AE6C45"/>
    <w:rsid w:val="00AE74F6"/>
    <w:rsid w:val="00AE7745"/>
    <w:rsid w:val="00AE7847"/>
    <w:rsid w:val="00AE7A44"/>
    <w:rsid w:val="00AE7D95"/>
    <w:rsid w:val="00AF030B"/>
    <w:rsid w:val="00AF0916"/>
    <w:rsid w:val="00AF0A1B"/>
    <w:rsid w:val="00AF0AD0"/>
    <w:rsid w:val="00AF0EBF"/>
    <w:rsid w:val="00AF10DC"/>
    <w:rsid w:val="00AF115A"/>
    <w:rsid w:val="00AF126C"/>
    <w:rsid w:val="00AF130E"/>
    <w:rsid w:val="00AF152B"/>
    <w:rsid w:val="00AF1C05"/>
    <w:rsid w:val="00AF1FAB"/>
    <w:rsid w:val="00AF2277"/>
    <w:rsid w:val="00AF28CF"/>
    <w:rsid w:val="00AF306E"/>
    <w:rsid w:val="00AF3159"/>
    <w:rsid w:val="00AF3611"/>
    <w:rsid w:val="00AF365D"/>
    <w:rsid w:val="00AF38B6"/>
    <w:rsid w:val="00AF3A39"/>
    <w:rsid w:val="00AF3AA1"/>
    <w:rsid w:val="00AF4D6D"/>
    <w:rsid w:val="00AF539D"/>
    <w:rsid w:val="00AF5CC4"/>
    <w:rsid w:val="00AF5E95"/>
    <w:rsid w:val="00AF62A8"/>
    <w:rsid w:val="00AF6896"/>
    <w:rsid w:val="00AF75E0"/>
    <w:rsid w:val="00AF764D"/>
    <w:rsid w:val="00AF7A04"/>
    <w:rsid w:val="00AF7A24"/>
    <w:rsid w:val="00B002B8"/>
    <w:rsid w:val="00B006DB"/>
    <w:rsid w:val="00B00805"/>
    <w:rsid w:val="00B00887"/>
    <w:rsid w:val="00B00E08"/>
    <w:rsid w:val="00B0116D"/>
    <w:rsid w:val="00B01DEE"/>
    <w:rsid w:val="00B0242C"/>
    <w:rsid w:val="00B029AF"/>
    <w:rsid w:val="00B02A98"/>
    <w:rsid w:val="00B02E67"/>
    <w:rsid w:val="00B0319F"/>
    <w:rsid w:val="00B03428"/>
    <w:rsid w:val="00B0357E"/>
    <w:rsid w:val="00B03F97"/>
    <w:rsid w:val="00B04E52"/>
    <w:rsid w:val="00B050C2"/>
    <w:rsid w:val="00B050F6"/>
    <w:rsid w:val="00B05349"/>
    <w:rsid w:val="00B05A0C"/>
    <w:rsid w:val="00B05CE4"/>
    <w:rsid w:val="00B05DE5"/>
    <w:rsid w:val="00B05E00"/>
    <w:rsid w:val="00B060BA"/>
    <w:rsid w:val="00B06955"/>
    <w:rsid w:val="00B072EE"/>
    <w:rsid w:val="00B078B2"/>
    <w:rsid w:val="00B0793D"/>
    <w:rsid w:val="00B07D44"/>
    <w:rsid w:val="00B103FC"/>
    <w:rsid w:val="00B10CB2"/>
    <w:rsid w:val="00B10FA2"/>
    <w:rsid w:val="00B11165"/>
    <w:rsid w:val="00B11F52"/>
    <w:rsid w:val="00B120BE"/>
    <w:rsid w:val="00B12295"/>
    <w:rsid w:val="00B12581"/>
    <w:rsid w:val="00B12818"/>
    <w:rsid w:val="00B12988"/>
    <w:rsid w:val="00B12A91"/>
    <w:rsid w:val="00B12BEB"/>
    <w:rsid w:val="00B12D33"/>
    <w:rsid w:val="00B136B4"/>
    <w:rsid w:val="00B1373B"/>
    <w:rsid w:val="00B13D23"/>
    <w:rsid w:val="00B141C2"/>
    <w:rsid w:val="00B142B7"/>
    <w:rsid w:val="00B14437"/>
    <w:rsid w:val="00B1482B"/>
    <w:rsid w:val="00B14C92"/>
    <w:rsid w:val="00B1549A"/>
    <w:rsid w:val="00B15B2E"/>
    <w:rsid w:val="00B15BEA"/>
    <w:rsid w:val="00B160FC"/>
    <w:rsid w:val="00B16687"/>
    <w:rsid w:val="00B167BF"/>
    <w:rsid w:val="00B168EE"/>
    <w:rsid w:val="00B16AC6"/>
    <w:rsid w:val="00B16B4A"/>
    <w:rsid w:val="00B16DF9"/>
    <w:rsid w:val="00B179E9"/>
    <w:rsid w:val="00B200AE"/>
    <w:rsid w:val="00B207F2"/>
    <w:rsid w:val="00B20AC0"/>
    <w:rsid w:val="00B22318"/>
    <w:rsid w:val="00B224ED"/>
    <w:rsid w:val="00B22662"/>
    <w:rsid w:val="00B227B1"/>
    <w:rsid w:val="00B22ED6"/>
    <w:rsid w:val="00B22F3F"/>
    <w:rsid w:val="00B2304A"/>
    <w:rsid w:val="00B232D1"/>
    <w:rsid w:val="00B23873"/>
    <w:rsid w:val="00B23C04"/>
    <w:rsid w:val="00B23CA5"/>
    <w:rsid w:val="00B23D97"/>
    <w:rsid w:val="00B23D9A"/>
    <w:rsid w:val="00B23DFE"/>
    <w:rsid w:val="00B23E2C"/>
    <w:rsid w:val="00B245CB"/>
    <w:rsid w:val="00B24ABF"/>
    <w:rsid w:val="00B24FE4"/>
    <w:rsid w:val="00B25942"/>
    <w:rsid w:val="00B25BE5"/>
    <w:rsid w:val="00B25C95"/>
    <w:rsid w:val="00B25CD8"/>
    <w:rsid w:val="00B25FE0"/>
    <w:rsid w:val="00B26129"/>
    <w:rsid w:val="00B264E8"/>
    <w:rsid w:val="00B2731E"/>
    <w:rsid w:val="00B302DE"/>
    <w:rsid w:val="00B30846"/>
    <w:rsid w:val="00B3203E"/>
    <w:rsid w:val="00B32111"/>
    <w:rsid w:val="00B32161"/>
    <w:rsid w:val="00B321A4"/>
    <w:rsid w:val="00B32FFE"/>
    <w:rsid w:val="00B339EE"/>
    <w:rsid w:val="00B33BC9"/>
    <w:rsid w:val="00B33FE7"/>
    <w:rsid w:val="00B34215"/>
    <w:rsid w:val="00B34739"/>
    <w:rsid w:val="00B347E1"/>
    <w:rsid w:val="00B3495A"/>
    <w:rsid w:val="00B34AA3"/>
    <w:rsid w:val="00B34BF5"/>
    <w:rsid w:val="00B34D88"/>
    <w:rsid w:val="00B35687"/>
    <w:rsid w:val="00B35701"/>
    <w:rsid w:val="00B357A3"/>
    <w:rsid w:val="00B36516"/>
    <w:rsid w:val="00B36568"/>
    <w:rsid w:val="00B3680D"/>
    <w:rsid w:val="00B36E3A"/>
    <w:rsid w:val="00B37BDA"/>
    <w:rsid w:val="00B37CCD"/>
    <w:rsid w:val="00B40B5A"/>
    <w:rsid w:val="00B41605"/>
    <w:rsid w:val="00B41ADE"/>
    <w:rsid w:val="00B41AE8"/>
    <w:rsid w:val="00B41C98"/>
    <w:rsid w:val="00B4222E"/>
    <w:rsid w:val="00B42BB4"/>
    <w:rsid w:val="00B4363A"/>
    <w:rsid w:val="00B43751"/>
    <w:rsid w:val="00B4414A"/>
    <w:rsid w:val="00B44826"/>
    <w:rsid w:val="00B448EC"/>
    <w:rsid w:val="00B44D44"/>
    <w:rsid w:val="00B44DF3"/>
    <w:rsid w:val="00B44E80"/>
    <w:rsid w:val="00B455A8"/>
    <w:rsid w:val="00B464A2"/>
    <w:rsid w:val="00B46F5B"/>
    <w:rsid w:val="00B47A30"/>
    <w:rsid w:val="00B503EE"/>
    <w:rsid w:val="00B50857"/>
    <w:rsid w:val="00B50AE0"/>
    <w:rsid w:val="00B51613"/>
    <w:rsid w:val="00B52970"/>
    <w:rsid w:val="00B52DAA"/>
    <w:rsid w:val="00B52FAC"/>
    <w:rsid w:val="00B530CB"/>
    <w:rsid w:val="00B5321F"/>
    <w:rsid w:val="00B53528"/>
    <w:rsid w:val="00B53545"/>
    <w:rsid w:val="00B53771"/>
    <w:rsid w:val="00B537CE"/>
    <w:rsid w:val="00B54734"/>
    <w:rsid w:val="00B5488F"/>
    <w:rsid w:val="00B54C94"/>
    <w:rsid w:val="00B54D3A"/>
    <w:rsid w:val="00B54E42"/>
    <w:rsid w:val="00B54FE9"/>
    <w:rsid w:val="00B5549D"/>
    <w:rsid w:val="00B5565E"/>
    <w:rsid w:val="00B5578F"/>
    <w:rsid w:val="00B5595C"/>
    <w:rsid w:val="00B55C06"/>
    <w:rsid w:val="00B560D5"/>
    <w:rsid w:val="00B56261"/>
    <w:rsid w:val="00B57513"/>
    <w:rsid w:val="00B57688"/>
    <w:rsid w:val="00B60B8C"/>
    <w:rsid w:val="00B60EDA"/>
    <w:rsid w:val="00B61492"/>
    <w:rsid w:val="00B61621"/>
    <w:rsid w:val="00B61B2D"/>
    <w:rsid w:val="00B61BF8"/>
    <w:rsid w:val="00B61CDA"/>
    <w:rsid w:val="00B61EE6"/>
    <w:rsid w:val="00B6277D"/>
    <w:rsid w:val="00B62839"/>
    <w:rsid w:val="00B62B93"/>
    <w:rsid w:val="00B6349E"/>
    <w:rsid w:val="00B63F44"/>
    <w:rsid w:val="00B6408D"/>
    <w:rsid w:val="00B64E7D"/>
    <w:rsid w:val="00B651DE"/>
    <w:rsid w:val="00B652E3"/>
    <w:rsid w:val="00B654E2"/>
    <w:rsid w:val="00B65A57"/>
    <w:rsid w:val="00B65CD2"/>
    <w:rsid w:val="00B66010"/>
    <w:rsid w:val="00B665CA"/>
    <w:rsid w:val="00B66D6A"/>
    <w:rsid w:val="00B67387"/>
    <w:rsid w:val="00B67389"/>
    <w:rsid w:val="00B67426"/>
    <w:rsid w:val="00B674BB"/>
    <w:rsid w:val="00B675C5"/>
    <w:rsid w:val="00B67CB4"/>
    <w:rsid w:val="00B70209"/>
    <w:rsid w:val="00B707BE"/>
    <w:rsid w:val="00B71991"/>
    <w:rsid w:val="00B71B22"/>
    <w:rsid w:val="00B720F5"/>
    <w:rsid w:val="00B72122"/>
    <w:rsid w:val="00B72178"/>
    <w:rsid w:val="00B738BE"/>
    <w:rsid w:val="00B74257"/>
    <w:rsid w:val="00B74AF9"/>
    <w:rsid w:val="00B74D40"/>
    <w:rsid w:val="00B754FD"/>
    <w:rsid w:val="00B75A95"/>
    <w:rsid w:val="00B760D9"/>
    <w:rsid w:val="00B764E0"/>
    <w:rsid w:val="00B76B0B"/>
    <w:rsid w:val="00B76BF3"/>
    <w:rsid w:val="00B773D6"/>
    <w:rsid w:val="00B7745A"/>
    <w:rsid w:val="00B77697"/>
    <w:rsid w:val="00B7778F"/>
    <w:rsid w:val="00B801F2"/>
    <w:rsid w:val="00B80A9B"/>
    <w:rsid w:val="00B80F26"/>
    <w:rsid w:val="00B81BF6"/>
    <w:rsid w:val="00B82665"/>
    <w:rsid w:val="00B835BF"/>
    <w:rsid w:val="00B838CA"/>
    <w:rsid w:val="00B83D81"/>
    <w:rsid w:val="00B84121"/>
    <w:rsid w:val="00B846E3"/>
    <w:rsid w:val="00B85B76"/>
    <w:rsid w:val="00B86DBE"/>
    <w:rsid w:val="00B87224"/>
    <w:rsid w:val="00B87513"/>
    <w:rsid w:val="00B87614"/>
    <w:rsid w:val="00B87654"/>
    <w:rsid w:val="00B90073"/>
    <w:rsid w:val="00B906E0"/>
    <w:rsid w:val="00B9078B"/>
    <w:rsid w:val="00B90E6F"/>
    <w:rsid w:val="00B916B1"/>
    <w:rsid w:val="00B91B02"/>
    <w:rsid w:val="00B91B33"/>
    <w:rsid w:val="00B928F3"/>
    <w:rsid w:val="00B92B84"/>
    <w:rsid w:val="00B92F77"/>
    <w:rsid w:val="00B9372E"/>
    <w:rsid w:val="00B93731"/>
    <w:rsid w:val="00B939A7"/>
    <w:rsid w:val="00B93D14"/>
    <w:rsid w:val="00B94085"/>
    <w:rsid w:val="00B9490C"/>
    <w:rsid w:val="00B94AD0"/>
    <w:rsid w:val="00B94CE6"/>
    <w:rsid w:val="00B9547E"/>
    <w:rsid w:val="00B9717E"/>
    <w:rsid w:val="00B976B8"/>
    <w:rsid w:val="00B976C7"/>
    <w:rsid w:val="00B97A11"/>
    <w:rsid w:val="00B97C41"/>
    <w:rsid w:val="00BA0559"/>
    <w:rsid w:val="00BA0735"/>
    <w:rsid w:val="00BA1644"/>
    <w:rsid w:val="00BA1BD5"/>
    <w:rsid w:val="00BA1E34"/>
    <w:rsid w:val="00BA2125"/>
    <w:rsid w:val="00BA2590"/>
    <w:rsid w:val="00BA33A7"/>
    <w:rsid w:val="00BA3530"/>
    <w:rsid w:val="00BA367C"/>
    <w:rsid w:val="00BA39F3"/>
    <w:rsid w:val="00BA3BA4"/>
    <w:rsid w:val="00BA555E"/>
    <w:rsid w:val="00BA5764"/>
    <w:rsid w:val="00BA58C0"/>
    <w:rsid w:val="00BA6223"/>
    <w:rsid w:val="00BA6788"/>
    <w:rsid w:val="00BA7866"/>
    <w:rsid w:val="00BA7F3D"/>
    <w:rsid w:val="00BB072F"/>
    <w:rsid w:val="00BB0EC7"/>
    <w:rsid w:val="00BB1514"/>
    <w:rsid w:val="00BB1728"/>
    <w:rsid w:val="00BB1939"/>
    <w:rsid w:val="00BB1F75"/>
    <w:rsid w:val="00BB23C9"/>
    <w:rsid w:val="00BB2CD9"/>
    <w:rsid w:val="00BB3233"/>
    <w:rsid w:val="00BB36E4"/>
    <w:rsid w:val="00BB39B9"/>
    <w:rsid w:val="00BB3CEB"/>
    <w:rsid w:val="00BB42AB"/>
    <w:rsid w:val="00BB4FC6"/>
    <w:rsid w:val="00BB5084"/>
    <w:rsid w:val="00BB5226"/>
    <w:rsid w:val="00BB5625"/>
    <w:rsid w:val="00BB56E5"/>
    <w:rsid w:val="00BB5839"/>
    <w:rsid w:val="00BB5A48"/>
    <w:rsid w:val="00BB60D9"/>
    <w:rsid w:val="00BB7B0A"/>
    <w:rsid w:val="00BC03F4"/>
    <w:rsid w:val="00BC0637"/>
    <w:rsid w:val="00BC0A78"/>
    <w:rsid w:val="00BC16CE"/>
    <w:rsid w:val="00BC199D"/>
    <w:rsid w:val="00BC21BD"/>
    <w:rsid w:val="00BC239F"/>
    <w:rsid w:val="00BC28C9"/>
    <w:rsid w:val="00BC2978"/>
    <w:rsid w:val="00BC2F3C"/>
    <w:rsid w:val="00BC3274"/>
    <w:rsid w:val="00BC3386"/>
    <w:rsid w:val="00BC33DE"/>
    <w:rsid w:val="00BC39F7"/>
    <w:rsid w:val="00BC3C55"/>
    <w:rsid w:val="00BC42F4"/>
    <w:rsid w:val="00BC4483"/>
    <w:rsid w:val="00BC4BD0"/>
    <w:rsid w:val="00BC522E"/>
    <w:rsid w:val="00BC5C7B"/>
    <w:rsid w:val="00BC6285"/>
    <w:rsid w:val="00BC6E62"/>
    <w:rsid w:val="00BC737B"/>
    <w:rsid w:val="00BC766D"/>
    <w:rsid w:val="00BC7C95"/>
    <w:rsid w:val="00BC7E18"/>
    <w:rsid w:val="00BD0D9F"/>
    <w:rsid w:val="00BD23CC"/>
    <w:rsid w:val="00BD2B58"/>
    <w:rsid w:val="00BD326C"/>
    <w:rsid w:val="00BD3442"/>
    <w:rsid w:val="00BD3B45"/>
    <w:rsid w:val="00BD3E48"/>
    <w:rsid w:val="00BD4D38"/>
    <w:rsid w:val="00BD554F"/>
    <w:rsid w:val="00BD5E72"/>
    <w:rsid w:val="00BD612B"/>
    <w:rsid w:val="00BD6983"/>
    <w:rsid w:val="00BD6DA9"/>
    <w:rsid w:val="00BD7802"/>
    <w:rsid w:val="00BD79B3"/>
    <w:rsid w:val="00BD7FAF"/>
    <w:rsid w:val="00BE050F"/>
    <w:rsid w:val="00BE08D3"/>
    <w:rsid w:val="00BE0AB9"/>
    <w:rsid w:val="00BE0E66"/>
    <w:rsid w:val="00BE105C"/>
    <w:rsid w:val="00BE1106"/>
    <w:rsid w:val="00BE1B43"/>
    <w:rsid w:val="00BE2234"/>
    <w:rsid w:val="00BE282E"/>
    <w:rsid w:val="00BE28AD"/>
    <w:rsid w:val="00BE395F"/>
    <w:rsid w:val="00BE487E"/>
    <w:rsid w:val="00BE493F"/>
    <w:rsid w:val="00BE49D3"/>
    <w:rsid w:val="00BE4BD1"/>
    <w:rsid w:val="00BE5389"/>
    <w:rsid w:val="00BE5A61"/>
    <w:rsid w:val="00BE5E20"/>
    <w:rsid w:val="00BE60B4"/>
    <w:rsid w:val="00BE632C"/>
    <w:rsid w:val="00BE68D6"/>
    <w:rsid w:val="00BE7046"/>
    <w:rsid w:val="00BE7184"/>
    <w:rsid w:val="00BE7626"/>
    <w:rsid w:val="00BE78FA"/>
    <w:rsid w:val="00BE79F3"/>
    <w:rsid w:val="00BE7FBD"/>
    <w:rsid w:val="00BEA6DB"/>
    <w:rsid w:val="00BF03B2"/>
    <w:rsid w:val="00BF04CB"/>
    <w:rsid w:val="00BF191B"/>
    <w:rsid w:val="00BF1B6A"/>
    <w:rsid w:val="00BF1C4A"/>
    <w:rsid w:val="00BF2C04"/>
    <w:rsid w:val="00BF2F2E"/>
    <w:rsid w:val="00BF34C8"/>
    <w:rsid w:val="00BF3715"/>
    <w:rsid w:val="00BF3793"/>
    <w:rsid w:val="00BF42C6"/>
    <w:rsid w:val="00BF44CC"/>
    <w:rsid w:val="00BF4687"/>
    <w:rsid w:val="00BF5071"/>
    <w:rsid w:val="00BF5208"/>
    <w:rsid w:val="00BF5B8D"/>
    <w:rsid w:val="00BF5E8F"/>
    <w:rsid w:val="00BF6081"/>
    <w:rsid w:val="00BF6448"/>
    <w:rsid w:val="00BF654D"/>
    <w:rsid w:val="00BF6D82"/>
    <w:rsid w:val="00BF6DF0"/>
    <w:rsid w:val="00BF6DFE"/>
    <w:rsid w:val="00BF76B4"/>
    <w:rsid w:val="00BF77A2"/>
    <w:rsid w:val="00BF790D"/>
    <w:rsid w:val="00BF7F1F"/>
    <w:rsid w:val="00C007C4"/>
    <w:rsid w:val="00C007F0"/>
    <w:rsid w:val="00C0080F"/>
    <w:rsid w:val="00C00889"/>
    <w:rsid w:val="00C00A42"/>
    <w:rsid w:val="00C00CE2"/>
    <w:rsid w:val="00C00E51"/>
    <w:rsid w:val="00C014F4"/>
    <w:rsid w:val="00C01951"/>
    <w:rsid w:val="00C01D79"/>
    <w:rsid w:val="00C0217F"/>
    <w:rsid w:val="00C02283"/>
    <w:rsid w:val="00C0286A"/>
    <w:rsid w:val="00C02A20"/>
    <w:rsid w:val="00C03837"/>
    <w:rsid w:val="00C0393E"/>
    <w:rsid w:val="00C03A19"/>
    <w:rsid w:val="00C044E5"/>
    <w:rsid w:val="00C04ECD"/>
    <w:rsid w:val="00C05173"/>
    <w:rsid w:val="00C0537D"/>
    <w:rsid w:val="00C054B2"/>
    <w:rsid w:val="00C0596C"/>
    <w:rsid w:val="00C05E19"/>
    <w:rsid w:val="00C06EAD"/>
    <w:rsid w:val="00C073DA"/>
    <w:rsid w:val="00C074E6"/>
    <w:rsid w:val="00C1058E"/>
    <w:rsid w:val="00C10770"/>
    <w:rsid w:val="00C10FA8"/>
    <w:rsid w:val="00C11BBA"/>
    <w:rsid w:val="00C11E0C"/>
    <w:rsid w:val="00C11F28"/>
    <w:rsid w:val="00C1206D"/>
    <w:rsid w:val="00C1238A"/>
    <w:rsid w:val="00C12566"/>
    <w:rsid w:val="00C12577"/>
    <w:rsid w:val="00C127FE"/>
    <w:rsid w:val="00C12BFE"/>
    <w:rsid w:val="00C12C2E"/>
    <w:rsid w:val="00C130E7"/>
    <w:rsid w:val="00C134F4"/>
    <w:rsid w:val="00C1366B"/>
    <w:rsid w:val="00C139E4"/>
    <w:rsid w:val="00C13A83"/>
    <w:rsid w:val="00C14096"/>
    <w:rsid w:val="00C14F4D"/>
    <w:rsid w:val="00C159E3"/>
    <w:rsid w:val="00C1628C"/>
    <w:rsid w:val="00C164A3"/>
    <w:rsid w:val="00C16A58"/>
    <w:rsid w:val="00C171C2"/>
    <w:rsid w:val="00C175BF"/>
    <w:rsid w:val="00C17968"/>
    <w:rsid w:val="00C17F3E"/>
    <w:rsid w:val="00C20058"/>
    <w:rsid w:val="00C2063B"/>
    <w:rsid w:val="00C20EFE"/>
    <w:rsid w:val="00C21529"/>
    <w:rsid w:val="00C2169B"/>
    <w:rsid w:val="00C2188D"/>
    <w:rsid w:val="00C21CBF"/>
    <w:rsid w:val="00C22275"/>
    <w:rsid w:val="00C22558"/>
    <w:rsid w:val="00C22730"/>
    <w:rsid w:val="00C2277D"/>
    <w:rsid w:val="00C22B04"/>
    <w:rsid w:val="00C22D28"/>
    <w:rsid w:val="00C23BD9"/>
    <w:rsid w:val="00C23DA6"/>
    <w:rsid w:val="00C23DFF"/>
    <w:rsid w:val="00C23E22"/>
    <w:rsid w:val="00C24035"/>
    <w:rsid w:val="00C244E6"/>
    <w:rsid w:val="00C246E4"/>
    <w:rsid w:val="00C24E51"/>
    <w:rsid w:val="00C25011"/>
    <w:rsid w:val="00C2507E"/>
    <w:rsid w:val="00C25474"/>
    <w:rsid w:val="00C25784"/>
    <w:rsid w:val="00C25B8A"/>
    <w:rsid w:val="00C261A3"/>
    <w:rsid w:val="00C26EDC"/>
    <w:rsid w:val="00C2773E"/>
    <w:rsid w:val="00C27C8B"/>
    <w:rsid w:val="00C30DDB"/>
    <w:rsid w:val="00C31253"/>
    <w:rsid w:val="00C3177B"/>
    <w:rsid w:val="00C31AAF"/>
    <w:rsid w:val="00C31E54"/>
    <w:rsid w:val="00C32C17"/>
    <w:rsid w:val="00C331DE"/>
    <w:rsid w:val="00C3385F"/>
    <w:rsid w:val="00C34662"/>
    <w:rsid w:val="00C34C72"/>
    <w:rsid w:val="00C34E14"/>
    <w:rsid w:val="00C351CC"/>
    <w:rsid w:val="00C35901"/>
    <w:rsid w:val="00C35A6F"/>
    <w:rsid w:val="00C35BA2"/>
    <w:rsid w:val="00C367BF"/>
    <w:rsid w:val="00C3686C"/>
    <w:rsid w:val="00C36DB5"/>
    <w:rsid w:val="00C37013"/>
    <w:rsid w:val="00C37028"/>
    <w:rsid w:val="00C370FD"/>
    <w:rsid w:val="00C376DF"/>
    <w:rsid w:val="00C37701"/>
    <w:rsid w:val="00C37A7B"/>
    <w:rsid w:val="00C37ECA"/>
    <w:rsid w:val="00C404F6"/>
    <w:rsid w:val="00C4065E"/>
    <w:rsid w:val="00C40666"/>
    <w:rsid w:val="00C40E1D"/>
    <w:rsid w:val="00C417D8"/>
    <w:rsid w:val="00C4256C"/>
    <w:rsid w:val="00C4271D"/>
    <w:rsid w:val="00C429B5"/>
    <w:rsid w:val="00C42CFC"/>
    <w:rsid w:val="00C435BA"/>
    <w:rsid w:val="00C44260"/>
    <w:rsid w:val="00C442B5"/>
    <w:rsid w:val="00C443E6"/>
    <w:rsid w:val="00C456F5"/>
    <w:rsid w:val="00C45F2B"/>
    <w:rsid w:val="00C46074"/>
    <w:rsid w:val="00C4624D"/>
    <w:rsid w:val="00C46357"/>
    <w:rsid w:val="00C46ED2"/>
    <w:rsid w:val="00C4751B"/>
    <w:rsid w:val="00C50087"/>
    <w:rsid w:val="00C504FC"/>
    <w:rsid w:val="00C5098E"/>
    <w:rsid w:val="00C510C1"/>
    <w:rsid w:val="00C512AA"/>
    <w:rsid w:val="00C51473"/>
    <w:rsid w:val="00C51C1B"/>
    <w:rsid w:val="00C51D7D"/>
    <w:rsid w:val="00C51FCF"/>
    <w:rsid w:val="00C5227A"/>
    <w:rsid w:val="00C52340"/>
    <w:rsid w:val="00C523FC"/>
    <w:rsid w:val="00C53086"/>
    <w:rsid w:val="00C530F8"/>
    <w:rsid w:val="00C55069"/>
    <w:rsid w:val="00C55839"/>
    <w:rsid w:val="00C560DD"/>
    <w:rsid w:val="00C56840"/>
    <w:rsid w:val="00C56A37"/>
    <w:rsid w:val="00C56FA6"/>
    <w:rsid w:val="00C571FD"/>
    <w:rsid w:val="00C576B6"/>
    <w:rsid w:val="00C57726"/>
    <w:rsid w:val="00C5799D"/>
    <w:rsid w:val="00C57DCA"/>
    <w:rsid w:val="00C6070C"/>
    <w:rsid w:val="00C60BAC"/>
    <w:rsid w:val="00C61104"/>
    <w:rsid w:val="00C61860"/>
    <w:rsid w:val="00C61DC8"/>
    <w:rsid w:val="00C62310"/>
    <w:rsid w:val="00C6297B"/>
    <w:rsid w:val="00C62D13"/>
    <w:rsid w:val="00C63A55"/>
    <w:rsid w:val="00C63C0D"/>
    <w:rsid w:val="00C63D0A"/>
    <w:rsid w:val="00C64120"/>
    <w:rsid w:val="00C64613"/>
    <w:rsid w:val="00C647C0"/>
    <w:rsid w:val="00C64AA3"/>
    <w:rsid w:val="00C64F9D"/>
    <w:rsid w:val="00C65181"/>
    <w:rsid w:val="00C651DC"/>
    <w:rsid w:val="00C65344"/>
    <w:rsid w:val="00C654EC"/>
    <w:rsid w:val="00C65817"/>
    <w:rsid w:val="00C65F2A"/>
    <w:rsid w:val="00C66077"/>
    <w:rsid w:val="00C662A5"/>
    <w:rsid w:val="00C66A75"/>
    <w:rsid w:val="00C66D1D"/>
    <w:rsid w:val="00C66EE8"/>
    <w:rsid w:val="00C67380"/>
    <w:rsid w:val="00C67D5F"/>
    <w:rsid w:val="00C7021E"/>
    <w:rsid w:val="00C70355"/>
    <w:rsid w:val="00C70AC2"/>
    <w:rsid w:val="00C70AFB"/>
    <w:rsid w:val="00C70EFC"/>
    <w:rsid w:val="00C7129E"/>
    <w:rsid w:val="00C71691"/>
    <w:rsid w:val="00C71893"/>
    <w:rsid w:val="00C71C9E"/>
    <w:rsid w:val="00C71D67"/>
    <w:rsid w:val="00C71E21"/>
    <w:rsid w:val="00C72A4C"/>
    <w:rsid w:val="00C72B1F"/>
    <w:rsid w:val="00C72C75"/>
    <w:rsid w:val="00C72E80"/>
    <w:rsid w:val="00C72F54"/>
    <w:rsid w:val="00C72FA2"/>
    <w:rsid w:val="00C7338F"/>
    <w:rsid w:val="00C73783"/>
    <w:rsid w:val="00C738C9"/>
    <w:rsid w:val="00C73CAF"/>
    <w:rsid w:val="00C73FE9"/>
    <w:rsid w:val="00C745B9"/>
    <w:rsid w:val="00C74EA8"/>
    <w:rsid w:val="00C753C4"/>
    <w:rsid w:val="00C7568E"/>
    <w:rsid w:val="00C757EE"/>
    <w:rsid w:val="00C75F5A"/>
    <w:rsid w:val="00C76620"/>
    <w:rsid w:val="00C76760"/>
    <w:rsid w:val="00C7700B"/>
    <w:rsid w:val="00C8000A"/>
    <w:rsid w:val="00C80192"/>
    <w:rsid w:val="00C80E63"/>
    <w:rsid w:val="00C8150A"/>
    <w:rsid w:val="00C819AB"/>
    <w:rsid w:val="00C81FA1"/>
    <w:rsid w:val="00C82B3A"/>
    <w:rsid w:val="00C82CE9"/>
    <w:rsid w:val="00C8333F"/>
    <w:rsid w:val="00C8336D"/>
    <w:rsid w:val="00C837B3"/>
    <w:rsid w:val="00C838C2"/>
    <w:rsid w:val="00C83DB2"/>
    <w:rsid w:val="00C84452"/>
    <w:rsid w:val="00C85954"/>
    <w:rsid w:val="00C85AEA"/>
    <w:rsid w:val="00C86AC8"/>
    <w:rsid w:val="00C86B51"/>
    <w:rsid w:val="00C86C04"/>
    <w:rsid w:val="00C878AA"/>
    <w:rsid w:val="00C90890"/>
    <w:rsid w:val="00C90BD0"/>
    <w:rsid w:val="00C90F30"/>
    <w:rsid w:val="00C90FF4"/>
    <w:rsid w:val="00C91C11"/>
    <w:rsid w:val="00C92861"/>
    <w:rsid w:val="00C928E7"/>
    <w:rsid w:val="00C92978"/>
    <w:rsid w:val="00C9324D"/>
    <w:rsid w:val="00C932A8"/>
    <w:rsid w:val="00C9376F"/>
    <w:rsid w:val="00C94374"/>
    <w:rsid w:val="00C94A23"/>
    <w:rsid w:val="00C94BFB"/>
    <w:rsid w:val="00C94D30"/>
    <w:rsid w:val="00C94E59"/>
    <w:rsid w:val="00C95719"/>
    <w:rsid w:val="00C95B07"/>
    <w:rsid w:val="00C95F20"/>
    <w:rsid w:val="00C9626F"/>
    <w:rsid w:val="00C9637B"/>
    <w:rsid w:val="00C9647A"/>
    <w:rsid w:val="00C9652D"/>
    <w:rsid w:val="00C975B7"/>
    <w:rsid w:val="00C975CA"/>
    <w:rsid w:val="00CA052F"/>
    <w:rsid w:val="00CA095B"/>
    <w:rsid w:val="00CA1859"/>
    <w:rsid w:val="00CA1879"/>
    <w:rsid w:val="00CA1BDA"/>
    <w:rsid w:val="00CA1ED4"/>
    <w:rsid w:val="00CA2211"/>
    <w:rsid w:val="00CA22B9"/>
    <w:rsid w:val="00CA2627"/>
    <w:rsid w:val="00CA2C6A"/>
    <w:rsid w:val="00CA3040"/>
    <w:rsid w:val="00CA335A"/>
    <w:rsid w:val="00CA34BA"/>
    <w:rsid w:val="00CA36CA"/>
    <w:rsid w:val="00CA376E"/>
    <w:rsid w:val="00CA39D5"/>
    <w:rsid w:val="00CA42BB"/>
    <w:rsid w:val="00CA46E6"/>
    <w:rsid w:val="00CA50A3"/>
    <w:rsid w:val="00CA61B3"/>
    <w:rsid w:val="00CA6466"/>
    <w:rsid w:val="00CA6875"/>
    <w:rsid w:val="00CA6A57"/>
    <w:rsid w:val="00CA6BE8"/>
    <w:rsid w:val="00CA6E63"/>
    <w:rsid w:val="00CA702B"/>
    <w:rsid w:val="00CA71D4"/>
    <w:rsid w:val="00CA745C"/>
    <w:rsid w:val="00CA7954"/>
    <w:rsid w:val="00CB1971"/>
    <w:rsid w:val="00CB1F23"/>
    <w:rsid w:val="00CB21E2"/>
    <w:rsid w:val="00CB2244"/>
    <w:rsid w:val="00CB36B1"/>
    <w:rsid w:val="00CB3B10"/>
    <w:rsid w:val="00CB4395"/>
    <w:rsid w:val="00CB4BB8"/>
    <w:rsid w:val="00CB54A6"/>
    <w:rsid w:val="00CB5768"/>
    <w:rsid w:val="00CB586C"/>
    <w:rsid w:val="00CB5A84"/>
    <w:rsid w:val="00CB6007"/>
    <w:rsid w:val="00CB645D"/>
    <w:rsid w:val="00CB6585"/>
    <w:rsid w:val="00CC03A1"/>
    <w:rsid w:val="00CC0611"/>
    <w:rsid w:val="00CC0C07"/>
    <w:rsid w:val="00CC14FD"/>
    <w:rsid w:val="00CC1793"/>
    <w:rsid w:val="00CC2139"/>
    <w:rsid w:val="00CC23C1"/>
    <w:rsid w:val="00CC25AB"/>
    <w:rsid w:val="00CC2ABA"/>
    <w:rsid w:val="00CC30D8"/>
    <w:rsid w:val="00CC36EF"/>
    <w:rsid w:val="00CC3B2D"/>
    <w:rsid w:val="00CC3D8D"/>
    <w:rsid w:val="00CC486C"/>
    <w:rsid w:val="00CC4FFC"/>
    <w:rsid w:val="00CC60E8"/>
    <w:rsid w:val="00CC6336"/>
    <w:rsid w:val="00CC6AD5"/>
    <w:rsid w:val="00CC7077"/>
    <w:rsid w:val="00CC7807"/>
    <w:rsid w:val="00CC7B58"/>
    <w:rsid w:val="00CD0973"/>
    <w:rsid w:val="00CD0CFB"/>
    <w:rsid w:val="00CD1233"/>
    <w:rsid w:val="00CD191A"/>
    <w:rsid w:val="00CD1F7F"/>
    <w:rsid w:val="00CD31E5"/>
    <w:rsid w:val="00CD35C2"/>
    <w:rsid w:val="00CD3711"/>
    <w:rsid w:val="00CD381E"/>
    <w:rsid w:val="00CD4083"/>
    <w:rsid w:val="00CD46C3"/>
    <w:rsid w:val="00CD4AE2"/>
    <w:rsid w:val="00CD4C29"/>
    <w:rsid w:val="00CD4D03"/>
    <w:rsid w:val="00CD5120"/>
    <w:rsid w:val="00CD554B"/>
    <w:rsid w:val="00CD5BAC"/>
    <w:rsid w:val="00CD5E4B"/>
    <w:rsid w:val="00CD6277"/>
    <w:rsid w:val="00CD639D"/>
    <w:rsid w:val="00CD6599"/>
    <w:rsid w:val="00CD6CB0"/>
    <w:rsid w:val="00CD6F99"/>
    <w:rsid w:val="00CD73ED"/>
    <w:rsid w:val="00CE07C7"/>
    <w:rsid w:val="00CE0826"/>
    <w:rsid w:val="00CE0CA7"/>
    <w:rsid w:val="00CE1383"/>
    <w:rsid w:val="00CE13BC"/>
    <w:rsid w:val="00CE18E1"/>
    <w:rsid w:val="00CE18FC"/>
    <w:rsid w:val="00CE1C86"/>
    <w:rsid w:val="00CE21A5"/>
    <w:rsid w:val="00CE3281"/>
    <w:rsid w:val="00CE32A3"/>
    <w:rsid w:val="00CE34BF"/>
    <w:rsid w:val="00CE378F"/>
    <w:rsid w:val="00CE3DBE"/>
    <w:rsid w:val="00CE3F9C"/>
    <w:rsid w:val="00CE435C"/>
    <w:rsid w:val="00CE4505"/>
    <w:rsid w:val="00CE507B"/>
    <w:rsid w:val="00CE5163"/>
    <w:rsid w:val="00CE5543"/>
    <w:rsid w:val="00CE5B31"/>
    <w:rsid w:val="00CE6111"/>
    <w:rsid w:val="00CE6633"/>
    <w:rsid w:val="00CE67EC"/>
    <w:rsid w:val="00CE72DB"/>
    <w:rsid w:val="00CF05B0"/>
    <w:rsid w:val="00CF0609"/>
    <w:rsid w:val="00CF0636"/>
    <w:rsid w:val="00CF0673"/>
    <w:rsid w:val="00CF0802"/>
    <w:rsid w:val="00CF2169"/>
    <w:rsid w:val="00CF2D63"/>
    <w:rsid w:val="00CF2F7B"/>
    <w:rsid w:val="00CF3003"/>
    <w:rsid w:val="00CF34E1"/>
    <w:rsid w:val="00CF3AA9"/>
    <w:rsid w:val="00CF3E8A"/>
    <w:rsid w:val="00CF4A24"/>
    <w:rsid w:val="00CF4C67"/>
    <w:rsid w:val="00CF516B"/>
    <w:rsid w:val="00CF55DB"/>
    <w:rsid w:val="00CF567F"/>
    <w:rsid w:val="00CF5B88"/>
    <w:rsid w:val="00CF5F0C"/>
    <w:rsid w:val="00CF6077"/>
    <w:rsid w:val="00CF69DE"/>
    <w:rsid w:val="00CF6E87"/>
    <w:rsid w:val="00CF7224"/>
    <w:rsid w:val="00CF72DD"/>
    <w:rsid w:val="00CF7474"/>
    <w:rsid w:val="00CF7A04"/>
    <w:rsid w:val="00CF7FB7"/>
    <w:rsid w:val="00D01054"/>
    <w:rsid w:val="00D0129D"/>
    <w:rsid w:val="00D019A0"/>
    <w:rsid w:val="00D027E8"/>
    <w:rsid w:val="00D029CD"/>
    <w:rsid w:val="00D02C0C"/>
    <w:rsid w:val="00D03057"/>
    <w:rsid w:val="00D03404"/>
    <w:rsid w:val="00D03751"/>
    <w:rsid w:val="00D038B4"/>
    <w:rsid w:val="00D03B0F"/>
    <w:rsid w:val="00D03F55"/>
    <w:rsid w:val="00D04074"/>
    <w:rsid w:val="00D0409B"/>
    <w:rsid w:val="00D05E32"/>
    <w:rsid w:val="00D06882"/>
    <w:rsid w:val="00D070D1"/>
    <w:rsid w:val="00D0719C"/>
    <w:rsid w:val="00D07268"/>
    <w:rsid w:val="00D0752F"/>
    <w:rsid w:val="00D10506"/>
    <w:rsid w:val="00D10E47"/>
    <w:rsid w:val="00D1157B"/>
    <w:rsid w:val="00D11803"/>
    <w:rsid w:val="00D119DD"/>
    <w:rsid w:val="00D11F67"/>
    <w:rsid w:val="00D12284"/>
    <w:rsid w:val="00D123BE"/>
    <w:rsid w:val="00D12619"/>
    <w:rsid w:val="00D12771"/>
    <w:rsid w:val="00D12CA2"/>
    <w:rsid w:val="00D12E5C"/>
    <w:rsid w:val="00D132C1"/>
    <w:rsid w:val="00D13D2C"/>
    <w:rsid w:val="00D13E70"/>
    <w:rsid w:val="00D1412F"/>
    <w:rsid w:val="00D141E2"/>
    <w:rsid w:val="00D1421C"/>
    <w:rsid w:val="00D14287"/>
    <w:rsid w:val="00D14623"/>
    <w:rsid w:val="00D1469D"/>
    <w:rsid w:val="00D1499C"/>
    <w:rsid w:val="00D150B5"/>
    <w:rsid w:val="00D15258"/>
    <w:rsid w:val="00D1528E"/>
    <w:rsid w:val="00D15A61"/>
    <w:rsid w:val="00D165EF"/>
    <w:rsid w:val="00D167F6"/>
    <w:rsid w:val="00D16CD6"/>
    <w:rsid w:val="00D16DBB"/>
    <w:rsid w:val="00D1708A"/>
    <w:rsid w:val="00D172B5"/>
    <w:rsid w:val="00D173B6"/>
    <w:rsid w:val="00D17D13"/>
    <w:rsid w:val="00D17FE6"/>
    <w:rsid w:val="00D2029D"/>
    <w:rsid w:val="00D20871"/>
    <w:rsid w:val="00D20EF0"/>
    <w:rsid w:val="00D20F3C"/>
    <w:rsid w:val="00D20FC1"/>
    <w:rsid w:val="00D21523"/>
    <w:rsid w:val="00D215D9"/>
    <w:rsid w:val="00D22727"/>
    <w:rsid w:val="00D22791"/>
    <w:rsid w:val="00D22929"/>
    <w:rsid w:val="00D22B14"/>
    <w:rsid w:val="00D22BC3"/>
    <w:rsid w:val="00D22CA3"/>
    <w:rsid w:val="00D2346B"/>
    <w:rsid w:val="00D23533"/>
    <w:rsid w:val="00D239ED"/>
    <w:rsid w:val="00D23DD7"/>
    <w:rsid w:val="00D23E54"/>
    <w:rsid w:val="00D24D71"/>
    <w:rsid w:val="00D25079"/>
    <w:rsid w:val="00D251E3"/>
    <w:rsid w:val="00D25459"/>
    <w:rsid w:val="00D25FB6"/>
    <w:rsid w:val="00D2631A"/>
    <w:rsid w:val="00D2656A"/>
    <w:rsid w:val="00D26A77"/>
    <w:rsid w:val="00D26DE4"/>
    <w:rsid w:val="00D26EAD"/>
    <w:rsid w:val="00D2728E"/>
    <w:rsid w:val="00D27AF3"/>
    <w:rsid w:val="00D3149A"/>
    <w:rsid w:val="00D31601"/>
    <w:rsid w:val="00D316E3"/>
    <w:rsid w:val="00D31980"/>
    <w:rsid w:val="00D31CAA"/>
    <w:rsid w:val="00D31F02"/>
    <w:rsid w:val="00D32249"/>
    <w:rsid w:val="00D32297"/>
    <w:rsid w:val="00D32354"/>
    <w:rsid w:val="00D32400"/>
    <w:rsid w:val="00D324A8"/>
    <w:rsid w:val="00D32B47"/>
    <w:rsid w:val="00D3373A"/>
    <w:rsid w:val="00D338FE"/>
    <w:rsid w:val="00D33B63"/>
    <w:rsid w:val="00D33BD9"/>
    <w:rsid w:val="00D33E14"/>
    <w:rsid w:val="00D34254"/>
    <w:rsid w:val="00D34904"/>
    <w:rsid w:val="00D34E55"/>
    <w:rsid w:val="00D34FFA"/>
    <w:rsid w:val="00D35AD6"/>
    <w:rsid w:val="00D35C24"/>
    <w:rsid w:val="00D373DD"/>
    <w:rsid w:val="00D376E0"/>
    <w:rsid w:val="00D37ABB"/>
    <w:rsid w:val="00D37FA2"/>
    <w:rsid w:val="00D4027B"/>
    <w:rsid w:val="00D40354"/>
    <w:rsid w:val="00D4060D"/>
    <w:rsid w:val="00D406E8"/>
    <w:rsid w:val="00D40EB3"/>
    <w:rsid w:val="00D41193"/>
    <w:rsid w:val="00D41395"/>
    <w:rsid w:val="00D419C0"/>
    <w:rsid w:val="00D41BB0"/>
    <w:rsid w:val="00D421BF"/>
    <w:rsid w:val="00D422CA"/>
    <w:rsid w:val="00D424DD"/>
    <w:rsid w:val="00D42828"/>
    <w:rsid w:val="00D42A4D"/>
    <w:rsid w:val="00D43222"/>
    <w:rsid w:val="00D43333"/>
    <w:rsid w:val="00D43F3E"/>
    <w:rsid w:val="00D43FDA"/>
    <w:rsid w:val="00D4410C"/>
    <w:rsid w:val="00D44CF2"/>
    <w:rsid w:val="00D44F52"/>
    <w:rsid w:val="00D4573C"/>
    <w:rsid w:val="00D465F6"/>
    <w:rsid w:val="00D46E59"/>
    <w:rsid w:val="00D472FE"/>
    <w:rsid w:val="00D47806"/>
    <w:rsid w:val="00D479D8"/>
    <w:rsid w:val="00D47D10"/>
    <w:rsid w:val="00D47F9B"/>
    <w:rsid w:val="00D47FDB"/>
    <w:rsid w:val="00D47FE5"/>
    <w:rsid w:val="00D50946"/>
    <w:rsid w:val="00D50E89"/>
    <w:rsid w:val="00D50EE3"/>
    <w:rsid w:val="00D51187"/>
    <w:rsid w:val="00D5126C"/>
    <w:rsid w:val="00D514E7"/>
    <w:rsid w:val="00D51629"/>
    <w:rsid w:val="00D518CB"/>
    <w:rsid w:val="00D51926"/>
    <w:rsid w:val="00D51DB7"/>
    <w:rsid w:val="00D528A5"/>
    <w:rsid w:val="00D5295F"/>
    <w:rsid w:val="00D529A0"/>
    <w:rsid w:val="00D529A4"/>
    <w:rsid w:val="00D52C40"/>
    <w:rsid w:val="00D52F72"/>
    <w:rsid w:val="00D53679"/>
    <w:rsid w:val="00D53796"/>
    <w:rsid w:val="00D5382C"/>
    <w:rsid w:val="00D53903"/>
    <w:rsid w:val="00D53FFD"/>
    <w:rsid w:val="00D540CA"/>
    <w:rsid w:val="00D54850"/>
    <w:rsid w:val="00D54EB3"/>
    <w:rsid w:val="00D54F25"/>
    <w:rsid w:val="00D54FC9"/>
    <w:rsid w:val="00D550B0"/>
    <w:rsid w:val="00D55175"/>
    <w:rsid w:val="00D5537D"/>
    <w:rsid w:val="00D5545C"/>
    <w:rsid w:val="00D5592C"/>
    <w:rsid w:val="00D5618F"/>
    <w:rsid w:val="00D56386"/>
    <w:rsid w:val="00D564AE"/>
    <w:rsid w:val="00D566C2"/>
    <w:rsid w:val="00D5765C"/>
    <w:rsid w:val="00D57703"/>
    <w:rsid w:val="00D57928"/>
    <w:rsid w:val="00D57B8D"/>
    <w:rsid w:val="00D60609"/>
    <w:rsid w:val="00D6069A"/>
    <w:rsid w:val="00D60B2C"/>
    <w:rsid w:val="00D60B37"/>
    <w:rsid w:val="00D611AD"/>
    <w:rsid w:val="00D6186B"/>
    <w:rsid w:val="00D61A1A"/>
    <w:rsid w:val="00D61AAA"/>
    <w:rsid w:val="00D61AB4"/>
    <w:rsid w:val="00D61C43"/>
    <w:rsid w:val="00D61DE2"/>
    <w:rsid w:val="00D622A0"/>
    <w:rsid w:val="00D626A6"/>
    <w:rsid w:val="00D62D46"/>
    <w:rsid w:val="00D62E69"/>
    <w:rsid w:val="00D63A0A"/>
    <w:rsid w:val="00D63BDC"/>
    <w:rsid w:val="00D64576"/>
    <w:rsid w:val="00D64619"/>
    <w:rsid w:val="00D646DB"/>
    <w:rsid w:val="00D6530B"/>
    <w:rsid w:val="00D65E30"/>
    <w:rsid w:val="00D65EDB"/>
    <w:rsid w:val="00D660F7"/>
    <w:rsid w:val="00D66644"/>
    <w:rsid w:val="00D66A85"/>
    <w:rsid w:val="00D66D4C"/>
    <w:rsid w:val="00D66D97"/>
    <w:rsid w:val="00D673C8"/>
    <w:rsid w:val="00D67790"/>
    <w:rsid w:val="00D67BDC"/>
    <w:rsid w:val="00D67C60"/>
    <w:rsid w:val="00D67E34"/>
    <w:rsid w:val="00D70528"/>
    <w:rsid w:val="00D705C1"/>
    <w:rsid w:val="00D709F9"/>
    <w:rsid w:val="00D71033"/>
    <w:rsid w:val="00D715B7"/>
    <w:rsid w:val="00D71837"/>
    <w:rsid w:val="00D71A91"/>
    <w:rsid w:val="00D71FBA"/>
    <w:rsid w:val="00D724B4"/>
    <w:rsid w:val="00D72675"/>
    <w:rsid w:val="00D72885"/>
    <w:rsid w:val="00D73059"/>
    <w:rsid w:val="00D731B3"/>
    <w:rsid w:val="00D7323A"/>
    <w:rsid w:val="00D73280"/>
    <w:rsid w:val="00D738C9"/>
    <w:rsid w:val="00D73E07"/>
    <w:rsid w:val="00D74128"/>
    <w:rsid w:val="00D74F0F"/>
    <w:rsid w:val="00D75040"/>
    <w:rsid w:val="00D7549A"/>
    <w:rsid w:val="00D75B2E"/>
    <w:rsid w:val="00D75EAC"/>
    <w:rsid w:val="00D7708B"/>
    <w:rsid w:val="00D8013B"/>
    <w:rsid w:val="00D809E4"/>
    <w:rsid w:val="00D80C0B"/>
    <w:rsid w:val="00D81A90"/>
    <w:rsid w:val="00D82382"/>
    <w:rsid w:val="00D8292B"/>
    <w:rsid w:val="00D82A78"/>
    <w:rsid w:val="00D83B6E"/>
    <w:rsid w:val="00D83F31"/>
    <w:rsid w:val="00D84233"/>
    <w:rsid w:val="00D8490C"/>
    <w:rsid w:val="00D8499B"/>
    <w:rsid w:val="00D8515D"/>
    <w:rsid w:val="00D8515F"/>
    <w:rsid w:val="00D852AB"/>
    <w:rsid w:val="00D85578"/>
    <w:rsid w:val="00D856B9"/>
    <w:rsid w:val="00D861F7"/>
    <w:rsid w:val="00D8636D"/>
    <w:rsid w:val="00D866BA"/>
    <w:rsid w:val="00D868DE"/>
    <w:rsid w:val="00D86972"/>
    <w:rsid w:val="00D87186"/>
    <w:rsid w:val="00D872CA"/>
    <w:rsid w:val="00D87950"/>
    <w:rsid w:val="00D87A32"/>
    <w:rsid w:val="00D87D9D"/>
    <w:rsid w:val="00D907FC"/>
    <w:rsid w:val="00D909BB"/>
    <w:rsid w:val="00D90B76"/>
    <w:rsid w:val="00D91495"/>
    <w:rsid w:val="00D91ACF"/>
    <w:rsid w:val="00D91D15"/>
    <w:rsid w:val="00D921EA"/>
    <w:rsid w:val="00D92345"/>
    <w:rsid w:val="00D9271D"/>
    <w:rsid w:val="00D92876"/>
    <w:rsid w:val="00D9335B"/>
    <w:rsid w:val="00D93AA1"/>
    <w:rsid w:val="00D93B7C"/>
    <w:rsid w:val="00D93B8E"/>
    <w:rsid w:val="00D94F5E"/>
    <w:rsid w:val="00D952E6"/>
    <w:rsid w:val="00D9552C"/>
    <w:rsid w:val="00D957A7"/>
    <w:rsid w:val="00D95A69"/>
    <w:rsid w:val="00D9699E"/>
    <w:rsid w:val="00D97DC9"/>
    <w:rsid w:val="00DA0295"/>
    <w:rsid w:val="00DA0913"/>
    <w:rsid w:val="00DA0FBF"/>
    <w:rsid w:val="00DA11BA"/>
    <w:rsid w:val="00DA12B7"/>
    <w:rsid w:val="00DA1FB6"/>
    <w:rsid w:val="00DA20D5"/>
    <w:rsid w:val="00DA214A"/>
    <w:rsid w:val="00DA2634"/>
    <w:rsid w:val="00DA2A50"/>
    <w:rsid w:val="00DA2BD4"/>
    <w:rsid w:val="00DA3959"/>
    <w:rsid w:val="00DA399A"/>
    <w:rsid w:val="00DA40CB"/>
    <w:rsid w:val="00DA40F0"/>
    <w:rsid w:val="00DA434F"/>
    <w:rsid w:val="00DA44BA"/>
    <w:rsid w:val="00DA4BFC"/>
    <w:rsid w:val="00DA4E32"/>
    <w:rsid w:val="00DA655B"/>
    <w:rsid w:val="00DA69F1"/>
    <w:rsid w:val="00DA6DC1"/>
    <w:rsid w:val="00DA6E86"/>
    <w:rsid w:val="00DA6FB6"/>
    <w:rsid w:val="00DA7CF0"/>
    <w:rsid w:val="00DB025E"/>
    <w:rsid w:val="00DB02A8"/>
    <w:rsid w:val="00DB03D4"/>
    <w:rsid w:val="00DB0862"/>
    <w:rsid w:val="00DB0938"/>
    <w:rsid w:val="00DB1269"/>
    <w:rsid w:val="00DB1421"/>
    <w:rsid w:val="00DB18E1"/>
    <w:rsid w:val="00DB19A7"/>
    <w:rsid w:val="00DB1E9A"/>
    <w:rsid w:val="00DB24BA"/>
    <w:rsid w:val="00DB253C"/>
    <w:rsid w:val="00DB2A68"/>
    <w:rsid w:val="00DB36E0"/>
    <w:rsid w:val="00DB38C8"/>
    <w:rsid w:val="00DB39C1"/>
    <w:rsid w:val="00DB3E0E"/>
    <w:rsid w:val="00DB3F51"/>
    <w:rsid w:val="00DB436B"/>
    <w:rsid w:val="00DB4776"/>
    <w:rsid w:val="00DB490D"/>
    <w:rsid w:val="00DB490F"/>
    <w:rsid w:val="00DB4B71"/>
    <w:rsid w:val="00DB4C14"/>
    <w:rsid w:val="00DB4CC9"/>
    <w:rsid w:val="00DB5200"/>
    <w:rsid w:val="00DB552E"/>
    <w:rsid w:val="00DB5C57"/>
    <w:rsid w:val="00DB601F"/>
    <w:rsid w:val="00DB61A4"/>
    <w:rsid w:val="00DB6214"/>
    <w:rsid w:val="00DB6529"/>
    <w:rsid w:val="00DB6B60"/>
    <w:rsid w:val="00DB6CCB"/>
    <w:rsid w:val="00DB7182"/>
    <w:rsid w:val="00DB75C8"/>
    <w:rsid w:val="00DC001C"/>
    <w:rsid w:val="00DC06B3"/>
    <w:rsid w:val="00DC0806"/>
    <w:rsid w:val="00DC150A"/>
    <w:rsid w:val="00DC1670"/>
    <w:rsid w:val="00DC23A9"/>
    <w:rsid w:val="00DC23E8"/>
    <w:rsid w:val="00DC2904"/>
    <w:rsid w:val="00DC358B"/>
    <w:rsid w:val="00DC3601"/>
    <w:rsid w:val="00DC3613"/>
    <w:rsid w:val="00DC4253"/>
    <w:rsid w:val="00DC4727"/>
    <w:rsid w:val="00DC47DC"/>
    <w:rsid w:val="00DC48D4"/>
    <w:rsid w:val="00DC48F0"/>
    <w:rsid w:val="00DC51BD"/>
    <w:rsid w:val="00DC5882"/>
    <w:rsid w:val="00DC59D8"/>
    <w:rsid w:val="00DC5FAB"/>
    <w:rsid w:val="00DC61A5"/>
    <w:rsid w:val="00DC6229"/>
    <w:rsid w:val="00DC62A6"/>
    <w:rsid w:val="00DC637E"/>
    <w:rsid w:val="00DC6396"/>
    <w:rsid w:val="00DC642A"/>
    <w:rsid w:val="00DC6798"/>
    <w:rsid w:val="00DC6F76"/>
    <w:rsid w:val="00DC74FE"/>
    <w:rsid w:val="00DC76D9"/>
    <w:rsid w:val="00DC79C8"/>
    <w:rsid w:val="00DD0312"/>
    <w:rsid w:val="00DD042B"/>
    <w:rsid w:val="00DD0608"/>
    <w:rsid w:val="00DD088E"/>
    <w:rsid w:val="00DD0EC4"/>
    <w:rsid w:val="00DD1118"/>
    <w:rsid w:val="00DD2933"/>
    <w:rsid w:val="00DD2ADF"/>
    <w:rsid w:val="00DD2BCD"/>
    <w:rsid w:val="00DD2FB6"/>
    <w:rsid w:val="00DD3063"/>
    <w:rsid w:val="00DD34D7"/>
    <w:rsid w:val="00DD39F6"/>
    <w:rsid w:val="00DD3E02"/>
    <w:rsid w:val="00DD4112"/>
    <w:rsid w:val="00DD4390"/>
    <w:rsid w:val="00DD43B5"/>
    <w:rsid w:val="00DD4401"/>
    <w:rsid w:val="00DD4CA9"/>
    <w:rsid w:val="00DD4E09"/>
    <w:rsid w:val="00DD51C0"/>
    <w:rsid w:val="00DD51C3"/>
    <w:rsid w:val="00DD5645"/>
    <w:rsid w:val="00DD57D9"/>
    <w:rsid w:val="00DD5BBA"/>
    <w:rsid w:val="00DD5FC0"/>
    <w:rsid w:val="00DD657F"/>
    <w:rsid w:val="00DD65D8"/>
    <w:rsid w:val="00DD67FC"/>
    <w:rsid w:val="00DD7972"/>
    <w:rsid w:val="00DE0315"/>
    <w:rsid w:val="00DE046D"/>
    <w:rsid w:val="00DE049C"/>
    <w:rsid w:val="00DE056E"/>
    <w:rsid w:val="00DE0C1E"/>
    <w:rsid w:val="00DE139C"/>
    <w:rsid w:val="00DE1C61"/>
    <w:rsid w:val="00DE28BA"/>
    <w:rsid w:val="00DE2C2A"/>
    <w:rsid w:val="00DE2ED2"/>
    <w:rsid w:val="00DE37EE"/>
    <w:rsid w:val="00DE39A6"/>
    <w:rsid w:val="00DE50A8"/>
    <w:rsid w:val="00DE59C8"/>
    <w:rsid w:val="00DE5F1B"/>
    <w:rsid w:val="00DE68B6"/>
    <w:rsid w:val="00DE6AD4"/>
    <w:rsid w:val="00DE6FF0"/>
    <w:rsid w:val="00DE7B4C"/>
    <w:rsid w:val="00DF0317"/>
    <w:rsid w:val="00DF05DB"/>
    <w:rsid w:val="00DF08FF"/>
    <w:rsid w:val="00DF0BE5"/>
    <w:rsid w:val="00DF1068"/>
    <w:rsid w:val="00DF150F"/>
    <w:rsid w:val="00DF1B72"/>
    <w:rsid w:val="00DF2211"/>
    <w:rsid w:val="00DF23B5"/>
    <w:rsid w:val="00DF3903"/>
    <w:rsid w:val="00DF3F1D"/>
    <w:rsid w:val="00DF3FBF"/>
    <w:rsid w:val="00DF5389"/>
    <w:rsid w:val="00DF55A2"/>
    <w:rsid w:val="00DF591D"/>
    <w:rsid w:val="00DF5981"/>
    <w:rsid w:val="00DF5DE7"/>
    <w:rsid w:val="00DF5E82"/>
    <w:rsid w:val="00DF6259"/>
    <w:rsid w:val="00DF6AA0"/>
    <w:rsid w:val="00DF7290"/>
    <w:rsid w:val="00E000C7"/>
    <w:rsid w:val="00E00181"/>
    <w:rsid w:val="00E001E7"/>
    <w:rsid w:val="00E002BE"/>
    <w:rsid w:val="00E00439"/>
    <w:rsid w:val="00E013EE"/>
    <w:rsid w:val="00E020E8"/>
    <w:rsid w:val="00E02306"/>
    <w:rsid w:val="00E0254D"/>
    <w:rsid w:val="00E026F0"/>
    <w:rsid w:val="00E02AC2"/>
    <w:rsid w:val="00E02DA5"/>
    <w:rsid w:val="00E03476"/>
    <w:rsid w:val="00E0361D"/>
    <w:rsid w:val="00E03802"/>
    <w:rsid w:val="00E0384A"/>
    <w:rsid w:val="00E038AF"/>
    <w:rsid w:val="00E03A03"/>
    <w:rsid w:val="00E040BB"/>
    <w:rsid w:val="00E0426E"/>
    <w:rsid w:val="00E04444"/>
    <w:rsid w:val="00E04FFC"/>
    <w:rsid w:val="00E05A06"/>
    <w:rsid w:val="00E06CD5"/>
    <w:rsid w:val="00E0758A"/>
    <w:rsid w:val="00E075E9"/>
    <w:rsid w:val="00E079D4"/>
    <w:rsid w:val="00E07BCB"/>
    <w:rsid w:val="00E07F5E"/>
    <w:rsid w:val="00E1036A"/>
    <w:rsid w:val="00E104BE"/>
    <w:rsid w:val="00E10D5B"/>
    <w:rsid w:val="00E11F58"/>
    <w:rsid w:val="00E12585"/>
    <w:rsid w:val="00E1269D"/>
    <w:rsid w:val="00E12CAD"/>
    <w:rsid w:val="00E12D44"/>
    <w:rsid w:val="00E12F39"/>
    <w:rsid w:val="00E13024"/>
    <w:rsid w:val="00E13183"/>
    <w:rsid w:val="00E13218"/>
    <w:rsid w:val="00E13849"/>
    <w:rsid w:val="00E138FF"/>
    <w:rsid w:val="00E13F18"/>
    <w:rsid w:val="00E15499"/>
    <w:rsid w:val="00E158D3"/>
    <w:rsid w:val="00E15C09"/>
    <w:rsid w:val="00E15D77"/>
    <w:rsid w:val="00E16B19"/>
    <w:rsid w:val="00E17044"/>
    <w:rsid w:val="00E173F2"/>
    <w:rsid w:val="00E174DF"/>
    <w:rsid w:val="00E17614"/>
    <w:rsid w:val="00E17651"/>
    <w:rsid w:val="00E17A99"/>
    <w:rsid w:val="00E17D8C"/>
    <w:rsid w:val="00E20187"/>
    <w:rsid w:val="00E2022E"/>
    <w:rsid w:val="00E202A4"/>
    <w:rsid w:val="00E20843"/>
    <w:rsid w:val="00E213C8"/>
    <w:rsid w:val="00E232C4"/>
    <w:rsid w:val="00E232CD"/>
    <w:rsid w:val="00E235EC"/>
    <w:rsid w:val="00E23FAE"/>
    <w:rsid w:val="00E24DFE"/>
    <w:rsid w:val="00E2504E"/>
    <w:rsid w:val="00E256B6"/>
    <w:rsid w:val="00E25871"/>
    <w:rsid w:val="00E25B1A"/>
    <w:rsid w:val="00E25DE5"/>
    <w:rsid w:val="00E25DED"/>
    <w:rsid w:val="00E262C2"/>
    <w:rsid w:val="00E26843"/>
    <w:rsid w:val="00E26D14"/>
    <w:rsid w:val="00E26DFC"/>
    <w:rsid w:val="00E278F6"/>
    <w:rsid w:val="00E27906"/>
    <w:rsid w:val="00E27920"/>
    <w:rsid w:val="00E27CA8"/>
    <w:rsid w:val="00E3065C"/>
    <w:rsid w:val="00E30690"/>
    <w:rsid w:val="00E30908"/>
    <w:rsid w:val="00E312B7"/>
    <w:rsid w:val="00E31430"/>
    <w:rsid w:val="00E31604"/>
    <w:rsid w:val="00E31C49"/>
    <w:rsid w:val="00E322B7"/>
    <w:rsid w:val="00E32618"/>
    <w:rsid w:val="00E32A9C"/>
    <w:rsid w:val="00E3347C"/>
    <w:rsid w:val="00E34747"/>
    <w:rsid w:val="00E34CA9"/>
    <w:rsid w:val="00E35056"/>
    <w:rsid w:val="00E3512A"/>
    <w:rsid w:val="00E35698"/>
    <w:rsid w:val="00E35B76"/>
    <w:rsid w:val="00E36228"/>
    <w:rsid w:val="00E36300"/>
    <w:rsid w:val="00E365A1"/>
    <w:rsid w:val="00E36743"/>
    <w:rsid w:val="00E36D93"/>
    <w:rsid w:val="00E372A1"/>
    <w:rsid w:val="00E375D1"/>
    <w:rsid w:val="00E37FB6"/>
    <w:rsid w:val="00E401CB"/>
    <w:rsid w:val="00E402AD"/>
    <w:rsid w:val="00E4050B"/>
    <w:rsid w:val="00E405EE"/>
    <w:rsid w:val="00E40C8D"/>
    <w:rsid w:val="00E40D03"/>
    <w:rsid w:val="00E41DD4"/>
    <w:rsid w:val="00E42197"/>
    <w:rsid w:val="00E427C9"/>
    <w:rsid w:val="00E42DAE"/>
    <w:rsid w:val="00E42F79"/>
    <w:rsid w:val="00E4311D"/>
    <w:rsid w:val="00E43236"/>
    <w:rsid w:val="00E440B8"/>
    <w:rsid w:val="00E447CD"/>
    <w:rsid w:val="00E45066"/>
    <w:rsid w:val="00E4532A"/>
    <w:rsid w:val="00E45659"/>
    <w:rsid w:val="00E45B55"/>
    <w:rsid w:val="00E45C7C"/>
    <w:rsid w:val="00E461C8"/>
    <w:rsid w:val="00E465D9"/>
    <w:rsid w:val="00E46901"/>
    <w:rsid w:val="00E46C63"/>
    <w:rsid w:val="00E46D57"/>
    <w:rsid w:val="00E46DDB"/>
    <w:rsid w:val="00E472FA"/>
    <w:rsid w:val="00E475A0"/>
    <w:rsid w:val="00E47F4E"/>
    <w:rsid w:val="00E50416"/>
    <w:rsid w:val="00E50685"/>
    <w:rsid w:val="00E5099E"/>
    <w:rsid w:val="00E50D42"/>
    <w:rsid w:val="00E512F4"/>
    <w:rsid w:val="00E513D6"/>
    <w:rsid w:val="00E51B8C"/>
    <w:rsid w:val="00E51BAD"/>
    <w:rsid w:val="00E51F56"/>
    <w:rsid w:val="00E52544"/>
    <w:rsid w:val="00E525B7"/>
    <w:rsid w:val="00E5279D"/>
    <w:rsid w:val="00E5298A"/>
    <w:rsid w:val="00E52FB4"/>
    <w:rsid w:val="00E533EE"/>
    <w:rsid w:val="00E54209"/>
    <w:rsid w:val="00E558E5"/>
    <w:rsid w:val="00E561CE"/>
    <w:rsid w:val="00E56522"/>
    <w:rsid w:val="00E5724F"/>
    <w:rsid w:val="00E57FD3"/>
    <w:rsid w:val="00E6034A"/>
    <w:rsid w:val="00E60AE0"/>
    <w:rsid w:val="00E61420"/>
    <w:rsid w:val="00E614F8"/>
    <w:rsid w:val="00E622E4"/>
    <w:rsid w:val="00E622FA"/>
    <w:rsid w:val="00E6243D"/>
    <w:rsid w:val="00E62963"/>
    <w:rsid w:val="00E629DF"/>
    <w:rsid w:val="00E62FC0"/>
    <w:rsid w:val="00E6357B"/>
    <w:rsid w:val="00E635CD"/>
    <w:rsid w:val="00E6374F"/>
    <w:rsid w:val="00E637D1"/>
    <w:rsid w:val="00E63AF0"/>
    <w:rsid w:val="00E644D1"/>
    <w:rsid w:val="00E64A3F"/>
    <w:rsid w:val="00E64E74"/>
    <w:rsid w:val="00E6558B"/>
    <w:rsid w:val="00E65799"/>
    <w:rsid w:val="00E658C7"/>
    <w:rsid w:val="00E65D37"/>
    <w:rsid w:val="00E66118"/>
    <w:rsid w:val="00E66121"/>
    <w:rsid w:val="00E66AD4"/>
    <w:rsid w:val="00E66C4A"/>
    <w:rsid w:val="00E67619"/>
    <w:rsid w:val="00E70003"/>
    <w:rsid w:val="00E7069F"/>
    <w:rsid w:val="00E708AB"/>
    <w:rsid w:val="00E711FE"/>
    <w:rsid w:val="00E713A5"/>
    <w:rsid w:val="00E71CBB"/>
    <w:rsid w:val="00E72155"/>
    <w:rsid w:val="00E7232E"/>
    <w:rsid w:val="00E72396"/>
    <w:rsid w:val="00E72561"/>
    <w:rsid w:val="00E72A64"/>
    <w:rsid w:val="00E72D06"/>
    <w:rsid w:val="00E7319A"/>
    <w:rsid w:val="00E7346F"/>
    <w:rsid w:val="00E73E9C"/>
    <w:rsid w:val="00E747F0"/>
    <w:rsid w:val="00E7495F"/>
    <w:rsid w:val="00E74B9F"/>
    <w:rsid w:val="00E752F3"/>
    <w:rsid w:val="00E7531D"/>
    <w:rsid w:val="00E75396"/>
    <w:rsid w:val="00E75639"/>
    <w:rsid w:val="00E75AC3"/>
    <w:rsid w:val="00E75B8F"/>
    <w:rsid w:val="00E76222"/>
    <w:rsid w:val="00E76388"/>
    <w:rsid w:val="00E765BE"/>
    <w:rsid w:val="00E76748"/>
    <w:rsid w:val="00E76868"/>
    <w:rsid w:val="00E76B18"/>
    <w:rsid w:val="00E779BB"/>
    <w:rsid w:val="00E77DC2"/>
    <w:rsid w:val="00E77F90"/>
    <w:rsid w:val="00E80214"/>
    <w:rsid w:val="00E80824"/>
    <w:rsid w:val="00E80C8B"/>
    <w:rsid w:val="00E80EEF"/>
    <w:rsid w:val="00E81D7F"/>
    <w:rsid w:val="00E81FE6"/>
    <w:rsid w:val="00E823A3"/>
    <w:rsid w:val="00E827B8"/>
    <w:rsid w:val="00E82F0C"/>
    <w:rsid w:val="00E834B0"/>
    <w:rsid w:val="00E834C5"/>
    <w:rsid w:val="00E83654"/>
    <w:rsid w:val="00E8385B"/>
    <w:rsid w:val="00E841BB"/>
    <w:rsid w:val="00E84392"/>
    <w:rsid w:val="00E845BE"/>
    <w:rsid w:val="00E851EC"/>
    <w:rsid w:val="00E85731"/>
    <w:rsid w:val="00E85899"/>
    <w:rsid w:val="00E859B4"/>
    <w:rsid w:val="00E859B5"/>
    <w:rsid w:val="00E86517"/>
    <w:rsid w:val="00E86F59"/>
    <w:rsid w:val="00E86F79"/>
    <w:rsid w:val="00E87E69"/>
    <w:rsid w:val="00E91135"/>
    <w:rsid w:val="00E9124B"/>
    <w:rsid w:val="00E9195D"/>
    <w:rsid w:val="00E91CEC"/>
    <w:rsid w:val="00E91D56"/>
    <w:rsid w:val="00E91E43"/>
    <w:rsid w:val="00E926A0"/>
    <w:rsid w:val="00E92B15"/>
    <w:rsid w:val="00E92F3F"/>
    <w:rsid w:val="00E9313A"/>
    <w:rsid w:val="00E9358B"/>
    <w:rsid w:val="00E93629"/>
    <w:rsid w:val="00E93ACC"/>
    <w:rsid w:val="00E9459A"/>
    <w:rsid w:val="00E94943"/>
    <w:rsid w:val="00E94CF6"/>
    <w:rsid w:val="00E94F8A"/>
    <w:rsid w:val="00E958DC"/>
    <w:rsid w:val="00E95A4C"/>
    <w:rsid w:val="00E95BAF"/>
    <w:rsid w:val="00E96224"/>
    <w:rsid w:val="00E9642B"/>
    <w:rsid w:val="00E96D95"/>
    <w:rsid w:val="00E97152"/>
    <w:rsid w:val="00E9A465"/>
    <w:rsid w:val="00EA06FB"/>
    <w:rsid w:val="00EA139C"/>
    <w:rsid w:val="00EA1447"/>
    <w:rsid w:val="00EA23FF"/>
    <w:rsid w:val="00EA2439"/>
    <w:rsid w:val="00EA2730"/>
    <w:rsid w:val="00EA2B5D"/>
    <w:rsid w:val="00EA2FC5"/>
    <w:rsid w:val="00EA326A"/>
    <w:rsid w:val="00EA32B1"/>
    <w:rsid w:val="00EA3526"/>
    <w:rsid w:val="00EA48E1"/>
    <w:rsid w:val="00EA4923"/>
    <w:rsid w:val="00EA4D34"/>
    <w:rsid w:val="00EA4DD4"/>
    <w:rsid w:val="00EA5F36"/>
    <w:rsid w:val="00EA6335"/>
    <w:rsid w:val="00EA6981"/>
    <w:rsid w:val="00EA6BB4"/>
    <w:rsid w:val="00EA6DD1"/>
    <w:rsid w:val="00EA7C2A"/>
    <w:rsid w:val="00EA7F9C"/>
    <w:rsid w:val="00EB02F9"/>
    <w:rsid w:val="00EB0844"/>
    <w:rsid w:val="00EB09AE"/>
    <w:rsid w:val="00EB09F0"/>
    <w:rsid w:val="00EB0EAE"/>
    <w:rsid w:val="00EB1089"/>
    <w:rsid w:val="00EB2190"/>
    <w:rsid w:val="00EB2752"/>
    <w:rsid w:val="00EB2A05"/>
    <w:rsid w:val="00EB2BF8"/>
    <w:rsid w:val="00EB2C51"/>
    <w:rsid w:val="00EB2DB8"/>
    <w:rsid w:val="00EB3631"/>
    <w:rsid w:val="00EB3B97"/>
    <w:rsid w:val="00EB442A"/>
    <w:rsid w:val="00EB4529"/>
    <w:rsid w:val="00EB480C"/>
    <w:rsid w:val="00EB4A8E"/>
    <w:rsid w:val="00EB4C3D"/>
    <w:rsid w:val="00EB5174"/>
    <w:rsid w:val="00EB55DE"/>
    <w:rsid w:val="00EB5773"/>
    <w:rsid w:val="00EB5A76"/>
    <w:rsid w:val="00EB6745"/>
    <w:rsid w:val="00EB697D"/>
    <w:rsid w:val="00EB6A36"/>
    <w:rsid w:val="00EB6BBB"/>
    <w:rsid w:val="00EB6F11"/>
    <w:rsid w:val="00EB7A9F"/>
    <w:rsid w:val="00EC00C1"/>
    <w:rsid w:val="00EC015A"/>
    <w:rsid w:val="00EC0422"/>
    <w:rsid w:val="00EC0EAD"/>
    <w:rsid w:val="00EC1217"/>
    <w:rsid w:val="00EC1664"/>
    <w:rsid w:val="00EC2C52"/>
    <w:rsid w:val="00EC2DA8"/>
    <w:rsid w:val="00EC378A"/>
    <w:rsid w:val="00EC3ABB"/>
    <w:rsid w:val="00EC3BB5"/>
    <w:rsid w:val="00EC41DB"/>
    <w:rsid w:val="00EC46DC"/>
    <w:rsid w:val="00EC4C44"/>
    <w:rsid w:val="00EC591B"/>
    <w:rsid w:val="00EC61CB"/>
    <w:rsid w:val="00EC7E74"/>
    <w:rsid w:val="00ED08D1"/>
    <w:rsid w:val="00ED0D83"/>
    <w:rsid w:val="00ED1586"/>
    <w:rsid w:val="00ED15E7"/>
    <w:rsid w:val="00ED1940"/>
    <w:rsid w:val="00ED1C51"/>
    <w:rsid w:val="00ED1FC6"/>
    <w:rsid w:val="00ED2061"/>
    <w:rsid w:val="00ED2F26"/>
    <w:rsid w:val="00ED33A1"/>
    <w:rsid w:val="00ED3FD5"/>
    <w:rsid w:val="00ED42C1"/>
    <w:rsid w:val="00ED42CB"/>
    <w:rsid w:val="00ED4F26"/>
    <w:rsid w:val="00ED5061"/>
    <w:rsid w:val="00ED50E7"/>
    <w:rsid w:val="00ED56A6"/>
    <w:rsid w:val="00ED57F9"/>
    <w:rsid w:val="00ED5806"/>
    <w:rsid w:val="00ED65DB"/>
    <w:rsid w:val="00ED6F14"/>
    <w:rsid w:val="00ED73E8"/>
    <w:rsid w:val="00ED7D71"/>
    <w:rsid w:val="00ED7DA1"/>
    <w:rsid w:val="00EE03D3"/>
    <w:rsid w:val="00EE0E17"/>
    <w:rsid w:val="00EE100F"/>
    <w:rsid w:val="00EE117D"/>
    <w:rsid w:val="00EE17F4"/>
    <w:rsid w:val="00EE1A22"/>
    <w:rsid w:val="00EE2255"/>
    <w:rsid w:val="00EE24EC"/>
    <w:rsid w:val="00EE2632"/>
    <w:rsid w:val="00EE2735"/>
    <w:rsid w:val="00EE2982"/>
    <w:rsid w:val="00EE2A3F"/>
    <w:rsid w:val="00EE2D3F"/>
    <w:rsid w:val="00EE344C"/>
    <w:rsid w:val="00EE37A8"/>
    <w:rsid w:val="00EE42A3"/>
    <w:rsid w:val="00EE42C4"/>
    <w:rsid w:val="00EE4F18"/>
    <w:rsid w:val="00EE5193"/>
    <w:rsid w:val="00EE51A9"/>
    <w:rsid w:val="00EE5377"/>
    <w:rsid w:val="00EE56A2"/>
    <w:rsid w:val="00EE5F5F"/>
    <w:rsid w:val="00EE6725"/>
    <w:rsid w:val="00EE712E"/>
    <w:rsid w:val="00EE7430"/>
    <w:rsid w:val="00EE7BB0"/>
    <w:rsid w:val="00EF06D8"/>
    <w:rsid w:val="00EF0B84"/>
    <w:rsid w:val="00EF16CE"/>
    <w:rsid w:val="00EF1804"/>
    <w:rsid w:val="00EF1B86"/>
    <w:rsid w:val="00EF1B92"/>
    <w:rsid w:val="00EF1FF7"/>
    <w:rsid w:val="00EF231D"/>
    <w:rsid w:val="00EF2599"/>
    <w:rsid w:val="00EF280C"/>
    <w:rsid w:val="00EF2D5B"/>
    <w:rsid w:val="00EF2F4F"/>
    <w:rsid w:val="00EF3955"/>
    <w:rsid w:val="00EF3C2E"/>
    <w:rsid w:val="00EF3DD6"/>
    <w:rsid w:val="00EF3E4B"/>
    <w:rsid w:val="00EF458A"/>
    <w:rsid w:val="00EF496C"/>
    <w:rsid w:val="00EF4F26"/>
    <w:rsid w:val="00EF5074"/>
    <w:rsid w:val="00EF50BA"/>
    <w:rsid w:val="00EF5E56"/>
    <w:rsid w:val="00EF5EC4"/>
    <w:rsid w:val="00EF6705"/>
    <w:rsid w:val="00EF6C44"/>
    <w:rsid w:val="00EF6C68"/>
    <w:rsid w:val="00EF7265"/>
    <w:rsid w:val="00EF759A"/>
    <w:rsid w:val="00EF798B"/>
    <w:rsid w:val="00EF7F04"/>
    <w:rsid w:val="00F00DE6"/>
    <w:rsid w:val="00F00EEB"/>
    <w:rsid w:val="00F01245"/>
    <w:rsid w:val="00F017FD"/>
    <w:rsid w:val="00F01D3B"/>
    <w:rsid w:val="00F0259D"/>
    <w:rsid w:val="00F02FB5"/>
    <w:rsid w:val="00F03520"/>
    <w:rsid w:val="00F03A60"/>
    <w:rsid w:val="00F03A66"/>
    <w:rsid w:val="00F03BB1"/>
    <w:rsid w:val="00F03FF7"/>
    <w:rsid w:val="00F04243"/>
    <w:rsid w:val="00F04DD4"/>
    <w:rsid w:val="00F05123"/>
    <w:rsid w:val="00F05ED3"/>
    <w:rsid w:val="00F05F64"/>
    <w:rsid w:val="00F0600D"/>
    <w:rsid w:val="00F072EC"/>
    <w:rsid w:val="00F078C4"/>
    <w:rsid w:val="00F07BD6"/>
    <w:rsid w:val="00F07EFF"/>
    <w:rsid w:val="00F07F88"/>
    <w:rsid w:val="00F101C8"/>
    <w:rsid w:val="00F102EE"/>
    <w:rsid w:val="00F108A7"/>
    <w:rsid w:val="00F118BA"/>
    <w:rsid w:val="00F11B99"/>
    <w:rsid w:val="00F11F51"/>
    <w:rsid w:val="00F126E8"/>
    <w:rsid w:val="00F12A95"/>
    <w:rsid w:val="00F12C15"/>
    <w:rsid w:val="00F12D3D"/>
    <w:rsid w:val="00F13985"/>
    <w:rsid w:val="00F13E89"/>
    <w:rsid w:val="00F140CB"/>
    <w:rsid w:val="00F14124"/>
    <w:rsid w:val="00F14575"/>
    <w:rsid w:val="00F14C65"/>
    <w:rsid w:val="00F14FFC"/>
    <w:rsid w:val="00F151F9"/>
    <w:rsid w:val="00F1532E"/>
    <w:rsid w:val="00F1553D"/>
    <w:rsid w:val="00F15A9B"/>
    <w:rsid w:val="00F161F6"/>
    <w:rsid w:val="00F1637C"/>
    <w:rsid w:val="00F169F8"/>
    <w:rsid w:val="00F16C15"/>
    <w:rsid w:val="00F16D34"/>
    <w:rsid w:val="00F16D8E"/>
    <w:rsid w:val="00F1703D"/>
    <w:rsid w:val="00F17082"/>
    <w:rsid w:val="00F172AA"/>
    <w:rsid w:val="00F17A02"/>
    <w:rsid w:val="00F17A63"/>
    <w:rsid w:val="00F17C79"/>
    <w:rsid w:val="00F17D2B"/>
    <w:rsid w:val="00F20BC9"/>
    <w:rsid w:val="00F20C9A"/>
    <w:rsid w:val="00F20F67"/>
    <w:rsid w:val="00F21A63"/>
    <w:rsid w:val="00F22469"/>
    <w:rsid w:val="00F234AC"/>
    <w:rsid w:val="00F23563"/>
    <w:rsid w:val="00F24091"/>
    <w:rsid w:val="00F250C3"/>
    <w:rsid w:val="00F256EA"/>
    <w:rsid w:val="00F25773"/>
    <w:rsid w:val="00F25C3F"/>
    <w:rsid w:val="00F26335"/>
    <w:rsid w:val="00F265AA"/>
    <w:rsid w:val="00F268A7"/>
    <w:rsid w:val="00F268DB"/>
    <w:rsid w:val="00F270EA"/>
    <w:rsid w:val="00F2726B"/>
    <w:rsid w:val="00F30267"/>
    <w:rsid w:val="00F3068A"/>
    <w:rsid w:val="00F30888"/>
    <w:rsid w:val="00F308F8"/>
    <w:rsid w:val="00F30A91"/>
    <w:rsid w:val="00F30C3A"/>
    <w:rsid w:val="00F30C97"/>
    <w:rsid w:val="00F31419"/>
    <w:rsid w:val="00F315E7"/>
    <w:rsid w:val="00F31A38"/>
    <w:rsid w:val="00F31A56"/>
    <w:rsid w:val="00F3204C"/>
    <w:rsid w:val="00F323B4"/>
    <w:rsid w:val="00F3321A"/>
    <w:rsid w:val="00F3332B"/>
    <w:rsid w:val="00F33DA0"/>
    <w:rsid w:val="00F341AA"/>
    <w:rsid w:val="00F34A64"/>
    <w:rsid w:val="00F34D6C"/>
    <w:rsid w:val="00F35479"/>
    <w:rsid w:val="00F355DC"/>
    <w:rsid w:val="00F35727"/>
    <w:rsid w:val="00F3629F"/>
    <w:rsid w:val="00F3654C"/>
    <w:rsid w:val="00F3693C"/>
    <w:rsid w:val="00F37207"/>
    <w:rsid w:val="00F37902"/>
    <w:rsid w:val="00F4060C"/>
    <w:rsid w:val="00F40908"/>
    <w:rsid w:val="00F40AF2"/>
    <w:rsid w:val="00F4133D"/>
    <w:rsid w:val="00F41FD6"/>
    <w:rsid w:val="00F42F7C"/>
    <w:rsid w:val="00F4317B"/>
    <w:rsid w:val="00F433A4"/>
    <w:rsid w:val="00F43504"/>
    <w:rsid w:val="00F43D1A"/>
    <w:rsid w:val="00F43F2E"/>
    <w:rsid w:val="00F4415A"/>
    <w:rsid w:val="00F442E2"/>
    <w:rsid w:val="00F4491B"/>
    <w:rsid w:val="00F44F74"/>
    <w:rsid w:val="00F45620"/>
    <w:rsid w:val="00F4610D"/>
    <w:rsid w:val="00F47B2B"/>
    <w:rsid w:val="00F47D0B"/>
    <w:rsid w:val="00F47E19"/>
    <w:rsid w:val="00F5080A"/>
    <w:rsid w:val="00F50A44"/>
    <w:rsid w:val="00F50A8B"/>
    <w:rsid w:val="00F50C91"/>
    <w:rsid w:val="00F50FCD"/>
    <w:rsid w:val="00F512AA"/>
    <w:rsid w:val="00F51854"/>
    <w:rsid w:val="00F5190B"/>
    <w:rsid w:val="00F519A2"/>
    <w:rsid w:val="00F51B6C"/>
    <w:rsid w:val="00F51EC0"/>
    <w:rsid w:val="00F5203F"/>
    <w:rsid w:val="00F52224"/>
    <w:rsid w:val="00F52367"/>
    <w:rsid w:val="00F52AA9"/>
    <w:rsid w:val="00F5313D"/>
    <w:rsid w:val="00F5368F"/>
    <w:rsid w:val="00F53E8A"/>
    <w:rsid w:val="00F5424A"/>
    <w:rsid w:val="00F54277"/>
    <w:rsid w:val="00F54667"/>
    <w:rsid w:val="00F54932"/>
    <w:rsid w:val="00F549B8"/>
    <w:rsid w:val="00F54A22"/>
    <w:rsid w:val="00F5500B"/>
    <w:rsid w:val="00F55178"/>
    <w:rsid w:val="00F555B1"/>
    <w:rsid w:val="00F555B7"/>
    <w:rsid w:val="00F55893"/>
    <w:rsid w:val="00F55C98"/>
    <w:rsid w:val="00F55EC9"/>
    <w:rsid w:val="00F5644D"/>
    <w:rsid w:val="00F56727"/>
    <w:rsid w:val="00F56F2A"/>
    <w:rsid w:val="00F571CE"/>
    <w:rsid w:val="00F5723B"/>
    <w:rsid w:val="00F57C38"/>
    <w:rsid w:val="00F600A1"/>
    <w:rsid w:val="00F60813"/>
    <w:rsid w:val="00F60C15"/>
    <w:rsid w:val="00F60C29"/>
    <w:rsid w:val="00F613FC"/>
    <w:rsid w:val="00F61CB7"/>
    <w:rsid w:val="00F6209D"/>
    <w:rsid w:val="00F626F4"/>
    <w:rsid w:val="00F63756"/>
    <w:rsid w:val="00F63886"/>
    <w:rsid w:val="00F63EB6"/>
    <w:rsid w:val="00F6431C"/>
    <w:rsid w:val="00F647FA"/>
    <w:rsid w:val="00F649B6"/>
    <w:rsid w:val="00F64D81"/>
    <w:rsid w:val="00F65406"/>
    <w:rsid w:val="00F6545E"/>
    <w:rsid w:val="00F656CE"/>
    <w:rsid w:val="00F65741"/>
    <w:rsid w:val="00F66122"/>
    <w:rsid w:val="00F66214"/>
    <w:rsid w:val="00F6656D"/>
    <w:rsid w:val="00F66FD5"/>
    <w:rsid w:val="00F672ED"/>
    <w:rsid w:val="00F673C6"/>
    <w:rsid w:val="00F6765C"/>
    <w:rsid w:val="00F679E2"/>
    <w:rsid w:val="00F67F28"/>
    <w:rsid w:val="00F70856"/>
    <w:rsid w:val="00F709C7"/>
    <w:rsid w:val="00F70EF7"/>
    <w:rsid w:val="00F713BE"/>
    <w:rsid w:val="00F716D5"/>
    <w:rsid w:val="00F71855"/>
    <w:rsid w:val="00F71B1D"/>
    <w:rsid w:val="00F71FF9"/>
    <w:rsid w:val="00F72348"/>
    <w:rsid w:val="00F72A80"/>
    <w:rsid w:val="00F72AD8"/>
    <w:rsid w:val="00F7309D"/>
    <w:rsid w:val="00F733B2"/>
    <w:rsid w:val="00F7347D"/>
    <w:rsid w:val="00F7403B"/>
    <w:rsid w:val="00F74A4A"/>
    <w:rsid w:val="00F74EC5"/>
    <w:rsid w:val="00F74F0E"/>
    <w:rsid w:val="00F7560B"/>
    <w:rsid w:val="00F75C09"/>
    <w:rsid w:val="00F75FCC"/>
    <w:rsid w:val="00F760C5"/>
    <w:rsid w:val="00F76201"/>
    <w:rsid w:val="00F7624F"/>
    <w:rsid w:val="00F7636E"/>
    <w:rsid w:val="00F76451"/>
    <w:rsid w:val="00F76544"/>
    <w:rsid w:val="00F76641"/>
    <w:rsid w:val="00F76678"/>
    <w:rsid w:val="00F772D8"/>
    <w:rsid w:val="00F77438"/>
    <w:rsid w:val="00F777F6"/>
    <w:rsid w:val="00F77951"/>
    <w:rsid w:val="00F802C3"/>
    <w:rsid w:val="00F80450"/>
    <w:rsid w:val="00F80505"/>
    <w:rsid w:val="00F80980"/>
    <w:rsid w:val="00F809F6"/>
    <w:rsid w:val="00F80EDB"/>
    <w:rsid w:val="00F815DE"/>
    <w:rsid w:val="00F817ED"/>
    <w:rsid w:val="00F818A2"/>
    <w:rsid w:val="00F81F2B"/>
    <w:rsid w:val="00F81F5C"/>
    <w:rsid w:val="00F81F6C"/>
    <w:rsid w:val="00F822A3"/>
    <w:rsid w:val="00F822CA"/>
    <w:rsid w:val="00F823E7"/>
    <w:rsid w:val="00F827B9"/>
    <w:rsid w:val="00F82F8D"/>
    <w:rsid w:val="00F83189"/>
    <w:rsid w:val="00F8337F"/>
    <w:rsid w:val="00F83400"/>
    <w:rsid w:val="00F83526"/>
    <w:rsid w:val="00F839BF"/>
    <w:rsid w:val="00F849B0"/>
    <w:rsid w:val="00F84A38"/>
    <w:rsid w:val="00F84B5B"/>
    <w:rsid w:val="00F84CBC"/>
    <w:rsid w:val="00F8521C"/>
    <w:rsid w:val="00F85328"/>
    <w:rsid w:val="00F85382"/>
    <w:rsid w:val="00F86174"/>
    <w:rsid w:val="00F87525"/>
    <w:rsid w:val="00F879D1"/>
    <w:rsid w:val="00F90905"/>
    <w:rsid w:val="00F9096D"/>
    <w:rsid w:val="00F916ED"/>
    <w:rsid w:val="00F91E71"/>
    <w:rsid w:val="00F9242E"/>
    <w:rsid w:val="00F93E57"/>
    <w:rsid w:val="00F94810"/>
    <w:rsid w:val="00F94A07"/>
    <w:rsid w:val="00F94CBB"/>
    <w:rsid w:val="00F94CD9"/>
    <w:rsid w:val="00F94F46"/>
    <w:rsid w:val="00F9506C"/>
    <w:rsid w:val="00F952BD"/>
    <w:rsid w:val="00F95722"/>
    <w:rsid w:val="00F95A8B"/>
    <w:rsid w:val="00F95BAF"/>
    <w:rsid w:val="00F95CEA"/>
    <w:rsid w:val="00F95D11"/>
    <w:rsid w:val="00F9605D"/>
    <w:rsid w:val="00F96106"/>
    <w:rsid w:val="00F96470"/>
    <w:rsid w:val="00F96919"/>
    <w:rsid w:val="00F9696F"/>
    <w:rsid w:val="00F96D14"/>
    <w:rsid w:val="00F96E72"/>
    <w:rsid w:val="00F97542"/>
    <w:rsid w:val="00F97641"/>
    <w:rsid w:val="00F97648"/>
    <w:rsid w:val="00F97885"/>
    <w:rsid w:val="00F97C3E"/>
    <w:rsid w:val="00FA00F8"/>
    <w:rsid w:val="00FA041D"/>
    <w:rsid w:val="00FA07A9"/>
    <w:rsid w:val="00FA0C10"/>
    <w:rsid w:val="00FA0CFD"/>
    <w:rsid w:val="00FA19CD"/>
    <w:rsid w:val="00FA1D14"/>
    <w:rsid w:val="00FA20BD"/>
    <w:rsid w:val="00FA2288"/>
    <w:rsid w:val="00FA299E"/>
    <w:rsid w:val="00FA29BD"/>
    <w:rsid w:val="00FA2C4C"/>
    <w:rsid w:val="00FA465A"/>
    <w:rsid w:val="00FA53E7"/>
    <w:rsid w:val="00FA54C9"/>
    <w:rsid w:val="00FA5818"/>
    <w:rsid w:val="00FA58E8"/>
    <w:rsid w:val="00FA5AF1"/>
    <w:rsid w:val="00FA5C6C"/>
    <w:rsid w:val="00FA6202"/>
    <w:rsid w:val="00FA699F"/>
    <w:rsid w:val="00FA6FB0"/>
    <w:rsid w:val="00FA6FD2"/>
    <w:rsid w:val="00FA7030"/>
    <w:rsid w:val="00FA7683"/>
    <w:rsid w:val="00FA7A67"/>
    <w:rsid w:val="00FA7BDB"/>
    <w:rsid w:val="00FA7D1A"/>
    <w:rsid w:val="00FA7DBD"/>
    <w:rsid w:val="00FB00EC"/>
    <w:rsid w:val="00FB0343"/>
    <w:rsid w:val="00FB0485"/>
    <w:rsid w:val="00FB04FA"/>
    <w:rsid w:val="00FB095B"/>
    <w:rsid w:val="00FB0AB7"/>
    <w:rsid w:val="00FB0AE3"/>
    <w:rsid w:val="00FB0BC7"/>
    <w:rsid w:val="00FB0BFE"/>
    <w:rsid w:val="00FB1635"/>
    <w:rsid w:val="00FB1966"/>
    <w:rsid w:val="00FB19EE"/>
    <w:rsid w:val="00FB1E6A"/>
    <w:rsid w:val="00FB1FD2"/>
    <w:rsid w:val="00FB28A8"/>
    <w:rsid w:val="00FB371E"/>
    <w:rsid w:val="00FB3DBA"/>
    <w:rsid w:val="00FB4F3D"/>
    <w:rsid w:val="00FB518D"/>
    <w:rsid w:val="00FB545A"/>
    <w:rsid w:val="00FB57A4"/>
    <w:rsid w:val="00FB5CF7"/>
    <w:rsid w:val="00FB6547"/>
    <w:rsid w:val="00FB6697"/>
    <w:rsid w:val="00FB66E3"/>
    <w:rsid w:val="00FB6704"/>
    <w:rsid w:val="00FB6F6B"/>
    <w:rsid w:val="00FB75E1"/>
    <w:rsid w:val="00FB7DD6"/>
    <w:rsid w:val="00FB7DD8"/>
    <w:rsid w:val="00FB7F80"/>
    <w:rsid w:val="00FC0F0C"/>
    <w:rsid w:val="00FC1384"/>
    <w:rsid w:val="00FC1799"/>
    <w:rsid w:val="00FC17EE"/>
    <w:rsid w:val="00FC1AF0"/>
    <w:rsid w:val="00FC1CA9"/>
    <w:rsid w:val="00FC21E2"/>
    <w:rsid w:val="00FC22D8"/>
    <w:rsid w:val="00FC25DF"/>
    <w:rsid w:val="00FC284B"/>
    <w:rsid w:val="00FC2854"/>
    <w:rsid w:val="00FC2EAD"/>
    <w:rsid w:val="00FC3AF1"/>
    <w:rsid w:val="00FC3BDA"/>
    <w:rsid w:val="00FC4376"/>
    <w:rsid w:val="00FC4AB4"/>
    <w:rsid w:val="00FC4EF1"/>
    <w:rsid w:val="00FC4F5B"/>
    <w:rsid w:val="00FC5F6F"/>
    <w:rsid w:val="00FC675F"/>
    <w:rsid w:val="00FC6E77"/>
    <w:rsid w:val="00FC714E"/>
    <w:rsid w:val="00FC77E4"/>
    <w:rsid w:val="00FD01D1"/>
    <w:rsid w:val="00FD0811"/>
    <w:rsid w:val="00FD0859"/>
    <w:rsid w:val="00FD09CF"/>
    <w:rsid w:val="00FD1B6A"/>
    <w:rsid w:val="00FD1CD3"/>
    <w:rsid w:val="00FD2EDD"/>
    <w:rsid w:val="00FD357B"/>
    <w:rsid w:val="00FD38B6"/>
    <w:rsid w:val="00FD3C8A"/>
    <w:rsid w:val="00FD3E54"/>
    <w:rsid w:val="00FD4708"/>
    <w:rsid w:val="00FD4AF1"/>
    <w:rsid w:val="00FD4F19"/>
    <w:rsid w:val="00FD5522"/>
    <w:rsid w:val="00FD5A2B"/>
    <w:rsid w:val="00FD5F6B"/>
    <w:rsid w:val="00FD6241"/>
    <w:rsid w:val="00FD687D"/>
    <w:rsid w:val="00FD6AF7"/>
    <w:rsid w:val="00FD6EE2"/>
    <w:rsid w:val="00FD7B93"/>
    <w:rsid w:val="00FD7CDE"/>
    <w:rsid w:val="00FD7E28"/>
    <w:rsid w:val="00FE0053"/>
    <w:rsid w:val="00FE0B70"/>
    <w:rsid w:val="00FE0BAC"/>
    <w:rsid w:val="00FE11A9"/>
    <w:rsid w:val="00FE13C9"/>
    <w:rsid w:val="00FE1B32"/>
    <w:rsid w:val="00FE2040"/>
    <w:rsid w:val="00FE2168"/>
    <w:rsid w:val="00FE26E1"/>
    <w:rsid w:val="00FE27A8"/>
    <w:rsid w:val="00FE291D"/>
    <w:rsid w:val="00FE2B58"/>
    <w:rsid w:val="00FE2D50"/>
    <w:rsid w:val="00FE309E"/>
    <w:rsid w:val="00FE32E6"/>
    <w:rsid w:val="00FE352F"/>
    <w:rsid w:val="00FE3C18"/>
    <w:rsid w:val="00FE3CBA"/>
    <w:rsid w:val="00FE3CE6"/>
    <w:rsid w:val="00FE47CE"/>
    <w:rsid w:val="00FE4AF0"/>
    <w:rsid w:val="00FE5783"/>
    <w:rsid w:val="00FE5E95"/>
    <w:rsid w:val="00FE60AE"/>
    <w:rsid w:val="00FE64BD"/>
    <w:rsid w:val="00FE688C"/>
    <w:rsid w:val="00FE6C6C"/>
    <w:rsid w:val="00FE72B1"/>
    <w:rsid w:val="00FE78D3"/>
    <w:rsid w:val="00FE7B60"/>
    <w:rsid w:val="00FE7EA3"/>
    <w:rsid w:val="00FF01BE"/>
    <w:rsid w:val="00FF03CD"/>
    <w:rsid w:val="00FF0BA1"/>
    <w:rsid w:val="00FF1147"/>
    <w:rsid w:val="00FF1205"/>
    <w:rsid w:val="00FF148A"/>
    <w:rsid w:val="00FF17A6"/>
    <w:rsid w:val="00FF1B41"/>
    <w:rsid w:val="00FF1BFC"/>
    <w:rsid w:val="00FF1D34"/>
    <w:rsid w:val="00FF22CA"/>
    <w:rsid w:val="00FF2702"/>
    <w:rsid w:val="00FF2C07"/>
    <w:rsid w:val="00FF3EE9"/>
    <w:rsid w:val="00FF43DA"/>
    <w:rsid w:val="00FF443A"/>
    <w:rsid w:val="00FF455B"/>
    <w:rsid w:val="00FF461E"/>
    <w:rsid w:val="00FF4A4C"/>
    <w:rsid w:val="00FF4F0B"/>
    <w:rsid w:val="00FF532E"/>
    <w:rsid w:val="00FF5423"/>
    <w:rsid w:val="00FF556E"/>
    <w:rsid w:val="00FF5A23"/>
    <w:rsid w:val="00FF5F53"/>
    <w:rsid w:val="00FF6B4C"/>
    <w:rsid w:val="00FF6BCE"/>
    <w:rsid w:val="00FF7ECD"/>
    <w:rsid w:val="00FF7EEE"/>
    <w:rsid w:val="01586132"/>
    <w:rsid w:val="01BC3D07"/>
    <w:rsid w:val="029FB61B"/>
    <w:rsid w:val="02A63607"/>
    <w:rsid w:val="02B6E303"/>
    <w:rsid w:val="02D336C0"/>
    <w:rsid w:val="02FFFA65"/>
    <w:rsid w:val="032870E4"/>
    <w:rsid w:val="034E6FA7"/>
    <w:rsid w:val="03952B72"/>
    <w:rsid w:val="039EDEA2"/>
    <w:rsid w:val="03D8089E"/>
    <w:rsid w:val="03E52080"/>
    <w:rsid w:val="04D98032"/>
    <w:rsid w:val="0515A0C7"/>
    <w:rsid w:val="051E7AA7"/>
    <w:rsid w:val="054EFCA8"/>
    <w:rsid w:val="05723C29"/>
    <w:rsid w:val="058C8FB5"/>
    <w:rsid w:val="05AC043E"/>
    <w:rsid w:val="05C5E7F1"/>
    <w:rsid w:val="067E9871"/>
    <w:rsid w:val="06855AF9"/>
    <w:rsid w:val="07266D06"/>
    <w:rsid w:val="0733684E"/>
    <w:rsid w:val="077AF82E"/>
    <w:rsid w:val="078950F9"/>
    <w:rsid w:val="07D6F6FC"/>
    <w:rsid w:val="07EB3BB7"/>
    <w:rsid w:val="080453CC"/>
    <w:rsid w:val="0807C409"/>
    <w:rsid w:val="080D6842"/>
    <w:rsid w:val="08351D8E"/>
    <w:rsid w:val="08BA1A17"/>
    <w:rsid w:val="08BC5B21"/>
    <w:rsid w:val="0931A550"/>
    <w:rsid w:val="0953D83F"/>
    <w:rsid w:val="097A5ED6"/>
    <w:rsid w:val="0989268B"/>
    <w:rsid w:val="0B65E286"/>
    <w:rsid w:val="0BE2DF26"/>
    <w:rsid w:val="0C104B38"/>
    <w:rsid w:val="0C47A384"/>
    <w:rsid w:val="0C498D71"/>
    <w:rsid w:val="0CAA3139"/>
    <w:rsid w:val="0CEE9846"/>
    <w:rsid w:val="0D0CAFFC"/>
    <w:rsid w:val="0D5E30A8"/>
    <w:rsid w:val="0E069C6A"/>
    <w:rsid w:val="0E58393F"/>
    <w:rsid w:val="0EB347DD"/>
    <w:rsid w:val="0EDF79BF"/>
    <w:rsid w:val="0F389BBB"/>
    <w:rsid w:val="0F5D5076"/>
    <w:rsid w:val="0FCA24C4"/>
    <w:rsid w:val="10049D31"/>
    <w:rsid w:val="1052F02E"/>
    <w:rsid w:val="1097187A"/>
    <w:rsid w:val="10ECB7F9"/>
    <w:rsid w:val="11E0F378"/>
    <w:rsid w:val="11E715F3"/>
    <w:rsid w:val="124798F5"/>
    <w:rsid w:val="12555D65"/>
    <w:rsid w:val="12E828A2"/>
    <w:rsid w:val="140FA625"/>
    <w:rsid w:val="152A6C45"/>
    <w:rsid w:val="15379CE8"/>
    <w:rsid w:val="164A925F"/>
    <w:rsid w:val="165CCF85"/>
    <w:rsid w:val="1697D8E9"/>
    <w:rsid w:val="172C008E"/>
    <w:rsid w:val="17328176"/>
    <w:rsid w:val="17456E8D"/>
    <w:rsid w:val="175880CA"/>
    <w:rsid w:val="17B2E09B"/>
    <w:rsid w:val="17DF6FB2"/>
    <w:rsid w:val="18323604"/>
    <w:rsid w:val="188F3FBE"/>
    <w:rsid w:val="18DDF4E7"/>
    <w:rsid w:val="191DBF3F"/>
    <w:rsid w:val="199469BE"/>
    <w:rsid w:val="199DEC2D"/>
    <w:rsid w:val="19BC8CA7"/>
    <w:rsid w:val="1A123BF7"/>
    <w:rsid w:val="1A67BF28"/>
    <w:rsid w:val="1A6B0EE6"/>
    <w:rsid w:val="1A85A80A"/>
    <w:rsid w:val="1AD369C4"/>
    <w:rsid w:val="1AED71B5"/>
    <w:rsid w:val="1B1B1BDB"/>
    <w:rsid w:val="1B2C32B5"/>
    <w:rsid w:val="1B6504A6"/>
    <w:rsid w:val="1BB066E8"/>
    <w:rsid w:val="1BB7D82D"/>
    <w:rsid w:val="1BC9E29D"/>
    <w:rsid w:val="1C0C1380"/>
    <w:rsid w:val="1C3B5C9C"/>
    <w:rsid w:val="1C476662"/>
    <w:rsid w:val="1CA4B7ED"/>
    <w:rsid w:val="1CAE674C"/>
    <w:rsid w:val="1CC13FA1"/>
    <w:rsid w:val="1CE668D6"/>
    <w:rsid w:val="1DB714C5"/>
    <w:rsid w:val="1DD9A709"/>
    <w:rsid w:val="1E6A8113"/>
    <w:rsid w:val="1EBC637C"/>
    <w:rsid w:val="1EBCB546"/>
    <w:rsid w:val="1F6A2F7A"/>
    <w:rsid w:val="1F7E5877"/>
    <w:rsid w:val="1F857649"/>
    <w:rsid w:val="1FE657BD"/>
    <w:rsid w:val="201F7503"/>
    <w:rsid w:val="208225C8"/>
    <w:rsid w:val="2116EF6F"/>
    <w:rsid w:val="21934A9C"/>
    <w:rsid w:val="21B30E40"/>
    <w:rsid w:val="21F2C445"/>
    <w:rsid w:val="21FFE4F4"/>
    <w:rsid w:val="23D173D0"/>
    <w:rsid w:val="247E9132"/>
    <w:rsid w:val="2480BE2F"/>
    <w:rsid w:val="249CB309"/>
    <w:rsid w:val="2537B16A"/>
    <w:rsid w:val="253D9E2E"/>
    <w:rsid w:val="25630E73"/>
    <w:rsid w:val="25693138"/>
    <w:rsid w:val="2578396B"/>
    <w:rsid w:val="261EF1D0"/>
    <w:rsid w:val="276AC97D"/>
    <w:rsid w:val="27B36947"/>
    <w:rsid w:val="285098B4"/>
    <w:rsid w:val="291FA557"/>
    <w:rsid w:val="29CAA04E"/>
    <w:rsid w:val="2A739D9B"/>
    <w:rsid w:val="2B9AAB62"/>
    <w:rsid w:val="2C383905"/>
    <w:rsid w:val="2C506EE3"/>
    <w:rsid w:val="2C6B4A4A"/>
    <w:rsid w:val="2CD16B22"/>
    <w:rsid w:val="2D42BAD3"/>
    <w:rsid w:val="2D49CE45"/>
    <w:rsid w:val="2E5095AC"/>
    <w:rsid w:val="2E611BD0"/>
    <w:rsid w:val="2F176CF7"/>
    <w:rsid w:val="2F64B039"/>
    <w:rsid w:val="306CFAD0"/>
    <w:rsid w:val="31786045"/>
    <w:rsid w:val="31C6022D"/>
    <w:rsid w:val="31EFB35A"/>
    <w:rsid w:val="31F7AD8E"/>
    <w:rsid w:val="3273A1F8"/>
    <w:rsid w:val="329804C4"/>
    <w:rsid w:val="33018498"/>
    <w:rsid w:val="3307688A"/>
    <w:rsid w:val="33249381"/>
    <w:rsid w:val="3332DEDC"/>
    <w:rsid w:val="33925535"/>
    <w:rsid w:val="33C13FB4"/>
    <w:rsid w:val="33E65358"/>
    <w:rsid w:val="3419730F"/>
    <w:rsid w:val="346473D8"/>
    <w:rsid w:val="35438166"/>
    <w:rsid w:val="35BC9621"/>
    <w:rsid w:val="35D2D4F0"/>
    <w:rsid w:val="36833EE9"/>
    <w:rsid w:val="3689F758"/>
    <w:rsid w:val="369CC736"/>
    <w:rsid w:val="36E4F803"/>
    <w:rsid w:val="371C936C"/>
    <w:rsid w:val="37A973CB"/>
    <w:rsid w:val="37D994B7"/>
    <w:rsid w:val="382BD5E7"/>
    <w:rsid w:val="38418DB6"/>
    <w:rsid w:val="38442BF9"/>
    <w:rsid w:val="38A22EF4"/>
    <w:rsid w:val="38D37252"/>
    <w:rsid w:val="3961419A"/>
    <w:rsid w:val="39C5D509"/>
    <w:rsid w:val="3AD8A7B2"/>
    <w:rsid w:val="3AE1A8FD"/>
    <w:rsid w:val="3AFB4BBB"/>
    <w:rsid w:val="3B5C3E1E"/>
    <w:rsid w:val="3B7A728A"/>
    <w:rsid w:val="3BA9CED1"/>
    <w:rsid w:val="3C026A56"/>
    <w:rsid w:val="3C3CD0FD"/>
    <w:rsid w:val="3C4BAE72"/>
    <w:rsid w:val="3C9660D6"/>
    <w:rsid w:val="3CB25EAC"/>
    <w:rsid w:val="3CCF087F"/>
    <w:rsid w:val="3CEFFC87"/>
    <w:rsid w:val="3D615008"/>
    <w:rsid w:val="3DFEE199"/>
    <w:rsid w:val="3E7AB0E8"/>
    <w:rsid w:val="3E8D76C7"/>
    <w:rsid w:val="3F79B618"/>
    <w:rsid w:val="402A152A"/>
    <w:rsid w:val="4097B9B0"/>
    <w:rsid w:val="40FA9506"/>
    <w:rsid w:val="411BDA30"/>
    <w:rsid w:val="41A46770"/>
    <w:rsid w:val="42F23583"/>
    <w:rsid w:val="437BD40C"/>
    <w:rsid w:val="43E74353"/>
    <w:rsid w:val="44FF0978"/>
    <w:rsid w:val="45039198"/>
    <w:rsid w:val="451490B5"/>
    <w:rsid w:val="45896D57"/>
    <w:rsid w:val="4591FE6D"/>
    <w:rsid w:val="4659D841"/>
    <w:rsid w:val="466A7F78"/>
    <w:rsid w:val="46E4B8B6"/>
    <w:rsid w:val="4703CC2A"/>
    <w:rsid w:val="4709E895"/>
    <w:rsid w:val="471E77E0"/>
    <w:rsid w:val="4781DD25"/>
    <w:rsid w:val="479324AC"/>
    <w:rsid w:val="47B886A4"/>
    <w:rsid w:val="47E60409"/>
    <w:rsid w:val="47FFB88B"/>
    <w:rsid w:val="481E201A"/>
    <w:rsid w:val="485497F6"/>
    <w:rsid w:val="48EB03EF"/>
    <w:rsid w:val="4911A7C1"/>
    <w:rsid w:val="49330739"/>
    <w:rsid w:val="49A054D3"/>
    <w:rsid w:val="49E2065E"/>
    <w:rsid w:val="4A4233A1"/>
    <w:rsid w:val="4A5EF649"/>
    <w:rsid w:val="4A5F4B9F"/>
    <w:rsid w:val="4B25DA90"/>
    <w:rsid w:val="4B34DFE9"/>
    <w:rsid w:val="4BDB3618"/>
    <w:rsid w:val="4BDEA656"/>
    <w:rsid w:val="4C15E906"/>
    <w:rsid w:val="4D224BD2"/>
    <w:rsid w:val="4D3FA74B"/>
    <w:rsid w:val="4DD60198"/>
    <w:rsid w:val="4E414732"/>
    <w:rsid w:val="4E7BDE2D"/>
    <w:rsid w:val="4EA28FAF"/>
    <w:rsid w:val="4EA7052A"/>
    <w:rsid w:val="4EB2716F"/>
    <w:rsid w:val="4EE97C1D"/>
    <w:rsid w:val="4F3F7D98"/>
    <w:rsid w:val="4F570211"/>
    <w:rsid w:val="5083B276"/>
    <w:rsid w:val="512C84CE"/>
    <w:rsid w:val="51793AD4"/>
    <w:rsid w:val="5299DD46"/>
    <w:rsid w:val="534C8FBB"/>
    <w:rsid w:val="54755525"/>
    <w:rsid w:val="54B9FB36"/>
    <w:rsid w:val="5500F518"/>
    <w:rsid w:val="55381787"/>
    <w:rsid w:val="556E329F"/>
    <w:rsid w:val="55D80F26"/>
    <w:rsid w:val="56601ED4"/>
    <w:rsid w:val="56A33483"/>
    <w:rsid w:val="56A96E1B"/>
    <w:rsid w:val="56ABAA60"/>
    <w:rsid w:val="56CC9972"/>
    <w:rsid w:val="56F2257A"/>
    <w:rsid w:val="57A3C6E6"/>
    <w:rsid w:val="5804EE9F"/>
    <w:rsid w:val="5842310C"/>
    <w:rsid w:val="58793030"/>
    <w:rsid w:val="58A04DA3"/>
    <w:rsid w:val="590FC195"/>
    <w:rsid w:val="5954F6E3"/>
    <w:rsid w:val="599B8D12"/>
    <w:rsid w:val="59B80C11"/>
    <w:rsid w:val="59CEFC85"/>
    <w:rsid w:val="5AA8DF4C"/>
    <w:rsid w:val="5B868467"/>
    <w:rsid w:val="5BAEBFDB"/>
    <w:rsid w:val="5BCF6719"/>
    <w:rsid w:val="5D381AEA"/>
    <w:rsid w:val="5DC67833"/>
    <w:rsid w:val="5DCEBCF2"/>
    <w:rsid w:val="5E467371"/>
    <w:rsid w:val="5E55F97D"/>
    <w:rsid w:val="5E8934C2"/>
    <w:rsid w:val="5E96A6EF"/>
    <w:rsid w:val="5F09F89F"/>
    <w:rsid w:val="5F211BCE"/>
    <w:rsid w:val="5F23B48C"/>
    <w:rsid w:val="5F423B66"/>
    <w:rsid w:val="5F4CCECB"/>
    <w:rsid w:val="5F5696A0"/>
    <w:rsid w:val="5F5E47F9"/>
    <w:rsid w:val="5F6845E0"/>
    <w:rsid w:val="6039339B"/>
    <w:rsid w:val="603EF176"/>
    <w:rsid w:val="6057F6F7"/>
    <w:rsid w:val="60743E8B"/>
    <w:rsid w:val="607574FD"/>
    <w:rsid w:val="60971025"/>
    <w:rsid w:val="60FFE0F8"/>
    <w:rsid w:val="61C0EE97"/>
    <w:rsid w:val="62547C6B"/>
    <w:rsid w:val="6267804C"/>
    <w:rsid w:val="62C856F8"/>
    <w:rsid w:val="63DAF125"/>
    <w:rsid w:val="6411DDC8"/>
    <w:rsid w:val="64254EE4"/>
    <w:rsid w:val="64FF70A4"/>
    <w:rsid w:val="65492235"/>
    <w:rsid w:val="6634A0D1"/>
    <w:rsid w:val="66C61203"/>
    <w:rsid w:val="66E8BE11"/>
    <w:rsid w:val="6709551E"/>
    <w:rsid w:val="67710C88"/>
    <w:rsid w:val="67CAF901"/>
    <w:rsid w:val="67D4F7D9"/>
    <w:rsid w:val="67FDB4FF"/>
    <w:rsid w:val="685D117C"/>
    <w:rsid w:val="687357D2"/>
    <w:rsid w:val="68834290"/>
    <w:rsid w:val="68AE442F"/>
    <w:rsid w:val="68D69AE5"/>
    <w:rsid w:val="68DC2DE2"/>
    <w:rsid w:val="68FE98B0"/>
    <w:rsid w:val="690B0A64"/>
    <w:rsid w:val="6A270876"/>
    <w:rsid w:val="6AB3A600"/>
    <w:rsid w:val="6B1B7274"/>
    <w:rsid w:val="6B7A2F45"/>
    <w:rsid w:val="6BC94EC2"/>
    <w:rsid w:val="6C2F7394"/>
    <w:rsid w:val="6E4CDF09"/>
    <w:rsid w:val="6EBDA1E7"/>
    <w:rsid w:val="6F4B90E5"/>
    <w:rsid w:val="6F5C1DB3"/>
    <w:rsid w:val="6F7967D6"/>
    <w:rsid w:val="6F919B8B"/>
    <w:rsid w:val="70153FF4"/>
    <w:rsid w:val="70332B1D"/>
    <w:rsid w:val="70411B73"/>
    <w:rsid w:val="7064254A"/>
    <w:rsid w:val="70B92ED9"/>
    <w:rsid w:val="70F49F7C"/>
    <w:rsid w:val="7114BF38"/>
    <w:rsid w:val="711A84BF"/>
    <w:rsid w:val="715163BF"/>
    <w:rsid w:val="7153CC6F"/>
    <w:rsid w:val="71C65916"/>
    <w:rsid w:val="71DE9465"/>
    <w:rsid w:val="72042736"/>
    <w:rsid w:val="7271BD8B"/>
    <w:rsid w:val="73662E28"/>
    <w:rsid w:val="73CB4658"/>
    <w:rsid w:val="7425F1DA"/>
    <w:rsid w:val="74D263FA"/>
    <w:rsid w:val="74DAA37C"/>
    <w:rsid w:val="7517BE6F"/>
    <w:rsid w:val="75416F5B"/>
    <w:rsid w:val="7574F189"/>
    <w:rsid w:val="7595CEE9"/>
    <w:rsid w:val="767A18C7"/>
    <w:rsid w:val="77874B7A"/>
    <w:rsid w:val="77A85B91"/>
    <w:rsid w:val="7840FEA7"/>
    <w:rsid w:val="787AAF56"/>
    <w:rsid w:val="787DBD51"/>
    <w:rsid w:val="78A4E091"/>
    <w:rsid w:val="78A92BA7"/>
    <w:rsid w:val="78CBC78E"/>
    <w:rsid w:val="78F6FC62"/>
    <w:rsid w:val="792F8982"/>
    <w:rsid w:val="795CCF95"/>
    <w:rsid w:val="79B98DCA"/>
    <w:rsid w:val="7A0A37E7"/>
    <w:rsid w:val="7A22645C"/>
    <w:rsid w:val="7A370A17"/>
    <w:rsid w:val="7A85BADD"/>
    <w:rsid w:val="7B21E4AB"/>
    <w:rsid w:val="7B3589F8"/>
    <w:rsid w:val="7B46F355"/>
    <w:rsid w:val="7B57B153"/>
    <w:rsid w:val="7BB5314E"/>
    <w:rsid w:val="7D7688EF"/>
    <w:rsid w:val="7E19533F"/>
    <w:rsid w:val="7E22574C"/>
    <w:rsid w:val="7E3053E6"/>
    <w:rsid w:val="7F1BE91D"/>
    <w:rsid w:val="7F97329B"/>
    <w:rsid w:val="7FB591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CD4FB2"/>
  <w15:chartTrackingRefBased/>
  <w15:docId w15:val="{99A5DAFD-4F42-4409-BDB0-893C01DA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rsid w:val="00671023"/>
    <w:pPr>
      <w:spacing w:after="240" w:line="240" w:lineRule="auto"/>
      <w:jc w:val="both"/>
    </w:pPr>
    <w:rPr>
      <w:rFonts w:ascii="Times New Roman" w:eastAsia="Times New Roman" w:hAnsi="Times New Roman" w:cs="Times New Roman"/>
      <w:kern w:val="0"/>
      <w:sz w:val="24"/>
      <w:szCs w:val="20"/>
      <w:lang w:eastAsia="en-GB"/>
    </w:rPr>
  </w:style>
  <w:style w:type="paragraph" w:styleId="Heading1">
    <w:name w:val="heading 1"/>
    <w:basedOn w:val="Normal"/>
    <w:next w:val="Normal"/>
    <w:link w:val="Heading1Char"/>
    <w:uiPriority w:val="90"/>
    <w:qFormat/>
    <w:rsid w:val="0067102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0"/>
    <w:unhideWhenUsed/>
    <w:qFormat/>
    <w:rsid w:val="0067102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0"/>
    <w:unhideWhenUsed/>
    <w:qFormat/>
    <w:rsid w:val="0067102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0"/>
    <w:unhideWhenUsed/>
    <w:qFormat/>
    <w:rsid w:val="0067102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67102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671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671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671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671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02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7102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7102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102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7102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71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023"/>
    <w:rPr>
      <w:rFonts w:eastAsiaTheme="majorEastAsia" w:cstheme="majorBidi"/>
      <w:color w:val="272727" w:themeColor="text1" w:themeTint="D8"/>
    </w:rPr>
  </w:style>
  <w:style w:type="paragraph" w:styleId="Title">
    <w:name w:val="Title"/>
    <w:basedOn w:val="Normal"/>
    <w:next w:val="Normal"/>
    <w:link w:val="TitleChar"/>
    <w:qFormat/>
    <w:rsid w:val="006710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023"/>
    <w:pPr>
      <w:spacing w:before="160"/>
      <w:jc w:val="center"/>
    </w:pPr>
    <w:rPr>
      <w:i/>
      <w:iCs/>
      <w:color w:val="404040" w:themeColor="text1" w:themeTint="BF"/>
    </w:rPr>
  </w:style>
  <w:style w:type="character" w:customStyle="1" w:styleId="QuoteChar">
    <w:name w:val="Quote Char"/>
    <w:basedOn w:val="DefaultParagraphFont"/>
    <w:link w:val="Quote"/>
    <w:uiPriority w:val="29"/>
    <w:rsid w:val="00671023"/>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671023"/>
    <w:pPr>
      <w:ind w:left="720"/>
      <w:contextualSpacing/>
    </w:pPr>
  </w:style>
  <w:style w:type="character" w:styleId="IntenseEmphasis">
    <w:name w:val="Intense Emphasis"/>
    <w:basedOn w:val="DefaultParagraphFont"/>
    <w:uiPriority w:val="21"/>
    <w:qFormat/>
    <w:rsid w:val="00671023"/>
    <w:rPr>
      <w:i/>
      <w:iCs/>
      <w:color w:val="365F91" w:themeColor="accent1" w:themeShade="BF"/>
    </w:rPr>
  </w:style>
  <w:style w:type="paragraph" w:styleId="IntenseQuote">
    <w:name w:val="Intense Quote"/>
    <w:basedOn w:val="Normal"/>
    <w:next w:val="Normal"/>
    <w:link w:val="IntenseQuoteChar"/>
    <w:uiPriority w:val="30"/>
    <w:qFormat/>
    <w:rsid w:val="0067102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1023"/>
    <w:rPr>
      <w:i/>
      <w:iCs/>
      <w:color w:val="365F91" w:themeColor="accent1" w:themeShade="BF"/>
    </w:rPr>
  </w:style>
  <w:style w:type="character" w:styleId="IntenseReference">
    <w:name w:val="Intense Reference"/>
    <w:basedOn w:val="DefaultParagraphFont"/>
    <w:uiPriority w:val="32"/>
    <w:qFormat/>
    <w:rsid w:val="00671023"/>
    <w:rPr>
      <w:b/>
      <w:bCs/>
      <w:smallCaps/>
      <w:color w:val="365F91" w:themeColor="accent1" w:themeShade="BF"/>
      <w:spacing w:val="5"/>
    </w:rPr>
  </w:style>
  <w:style w:type="character" w:styleId="PlaceholderText">
    <w:name w:val="Placeholder Text"/>
    <w:basedOn w:val="DefaultParagraphFont"/>
    <w:uiPriority w:val="99"/>
    <w:semiHidden/>
    <w:rsid w:val="00671023"/>
    <w:rPr>
      <w:color w:val="288061"/>
    </w:rPr>
  </w:style>
  <w:style w:type="character" w:customStyle="1" w:styleId="BodyPlaceholderText">
    <w:name w:val="BodyPlaceholderText"/>
    <w:basedOn w:val="PlaceholderText"/>
    <w:uiPriority w:val="1"/>
    <w:semiHidden/>
    <w:rsid w:val="00671023"/>
    <w:rPr>
      <w:color w:val="3366CC"/>
    </w:rPr>
  </w:style>
  <w:style w:type="character" w:customStyle="1" w:styleId="MarkingLabel">
    <w:name w:val="MarkingLabel"/>
    <w:semiHidden/>
    <w:rsid w:val="00671023"/>
    <w:rPr>
      <w:b/>
      <w:caps/>
      <w:sz w:val="28"/>
    </w:rPr>
  </w:style>
  <w:style w:type="character" w:customStyle="1" w:styleId="MarkingText">
    <w:name w:val="MarkingText"/>
    <w:semiHidden/>
    <w:rsid w:val="00671023"/>
    <w:rPr>
      <w:i/>
      <w:sz w:val="28"/>
    </w:rPr>
  </w:style>
  <w:style w:type="character" w:customStyle="1" w:styleId="CrossReference">
    <w:name w:val="Cross Reference"/>
    <w:basedOn w:val="DefaultParagraphFont"/>
    <w:uiPriority w:val="99"/>
    <w:rsid w:val="00671023"/>
    <w:rPr>
      <w:i/>
    </w:rPr>
  </w:style>
  <w:style w:type="paragraph" w:customStyle="1" w:styleId="FigureSource">
    <w:name w:val="Figure Source"/>
    <w:basedOn w:val="Normal"/>
    <w:next w:val="Normal"/>
    <w:uiPriority w:val="7"/>
    <w:rsid w:val="00671023"/>
    <w:rPr>
      <w:sz w:val="20"/>
    </w:rPr>
  </w:style>
  <w:style w:type="paragraph" w:customStyle="1" w:styleId="FigureNote">
    <w:name w:val="Figure Note"/>
    <w:basedOn w:val="FigureSource"/>
    <w:next w:val="FigureSource"/>
    <w:uiPriority w:val="7"/>
    <w:rsid w:val="00671023"/>
    <w:rPr>
      <w:b/>
    </w:rPr>
  </w:style>
  <w:style w:type="paragraph" w:customStyle="1" w:styleId="FigureBody">
    <w:name w:val="Figure Body"/>
    <w:basedOn w:val="Normal"/>
    <w:next w:val="FigureNote"/>
    <w:uiPriority w:val="7"/>
    <w:rsid w:val="00671023"/>
    <w:pPr>
      <w:keepNext/>
      <w:spacing w:after="40"/>
    </w:pPr>
  </w:style>
  <w:style w:type="paragraph" w:customStyle="1" w:styleId="FigureTitle">
    <w:name w:val="Figure Title"/>
    <w:basedOn w:val="Normal"/>
    <w:next w:val="FigureBody"/>
    <w:uiPriority w:val="6"/>
    <w:rsid w:val="00671023"/>
    <w:pPr>
      <w:keepNext/>
      <w:spacing w:after="180"/>
    </w:pPr>
    <w:rPr>
      <w:b/>
    </w:rPr>
  </w:style>
  <w:style w:type="paragraph" w:customStyle="1" w:styleId="HistTableHeading">
    <w:name w:val="HistTableHeading"/>
    <w:basedOn w:val="Normal"/>
    <w:next w:val="HistoryTable"/>
    <w:rsid w:val="00671023"/>
    <w:pPr>
      <w:spacing w:before="240"/>
      <w:jc w:val="center"/>
    </w:pPr>
    <w:rPr>
      <w:rFonts w:ascii="Times New Roman Bold" w:hAnsi="Times New Roman Bold"/>
      <w:b/>
      <w:caps/>
    </w:rPr>
  </w:style>
  <w:style w:type="paragraph" w:customStyle="1" w:styleId="HistoryTable">
    <w:name w:val="HistoryTable"/>
    <w:basedOn w:val="Normal"/>
    <w:rsid w:val="00671023"/>
    <w:pPr>
      <w:spacing w:before="60" w:after="60"/>
      <w:jc w:val="left"/>
    </w:pPr>
    <w:rPr>
      <w:sz w:val="20"/>
    </w:rPr>
  </w:style>
  <w:style w:type="paragraph" w:customStyle="1" w:styleId="FooterLine">
    <w:name w:val="Footer Line"/>
    <w:basedOn w:val="Footer"/>
    <w:next w:val="Footer"/>
    <w:uiPriority w:val="99"/>
    <w:rsid w:val="00671023"/>
    <w:pPr>
      <w:tabs>
        <w:tab w:val="right" w:pos="8646"/>
      </w:tabs>
      <w:spacing w:before="120" w:line="264" w:lineRule="auto"/>
      <w:ind w:right="0"/>
      <w:jc w:val="both"/>
    </w:pPr>
  </w:style>
  <w:style w:type="paragraph" w:customStyle="1" w:styleId="YReferences">
    <w:name w:val="YReferences"/>
    <w:basedOn w:val="Normal"/>
    <w:next w:val="Normal"/>
    <w:rsid w:val="00671023"/>
    <w:pPr>
      <w:spacing w:after="480"/>
      <w:ind w:left="3062" w:hanging="1531"/>
    </w:pPr>
  </w:style>
  <w:style w:type="paragraph" w:customStyle="1" w:styleId="SubTitle2">
    <w:name w:val="SubTitle 2"/>
    <w:basedOn w:val="Normal"/>
    <w:rsid w:val="00671023"/>
    <w:pPr>
      <w:jc w:val="center"/>
    </w:pPr>
    <w:rPr>
      <w:b/>
      <w:sz w:val="32"/>
    </w:rPr>
  </w:style>
  <w:style w:type="paragraph" w:customStyle="1" w:styleId="SubTitle1">
    <w:name w:val="SubTitle 1"/>
    <w:basedOn w:val="Normal"/>
    <w:next w:val="SubTitle2"/>
    <w:rsid w:val="00671023"/>
    <w:pPr>
      <w:jc w:val="center"/>
    </w:pPr>
    <w:rPr>
      <w:b/>
      <w:sz w:val="40"/>
    </w:rPr>
  </w:style>
  <w:style w:type="paragraph" w:customStyle="1" w:styleId="Enclosures">
    <w:name w:val="Enclosures"/>
    <w:basedOn w:val="Normal"/>
    <w:uiPriority w:val="99"/>
    <w:rsid w:val="00671023"/>
    <w:pPr>
      <w:keepNext/>
      <w:keepLines/>
      <w:tabs>
        <w:tab w:val="left" w:pos="5641"/>
      </w:tabs>
      <w:spacing w:before="480" w:after="0"/>
      <w:ind w:left="2382" w:hanging="1191"/>
      <w:jc w:val="left"/>
    </w:pPr>
  </w:style>
  <w:style w:type="paragraph" w:customStyle="1" w:styleId="DoubSign">
    <w:name w:val="DoubSign"/>
    <w:basedOn w:val="Normal"/>
    <w:next w:val="Enclosures"/>
    <w:rsid w:val="00671023"/>
    <w:pPr>
      <w:tabs>
        <w:tab w:val="left" w:pos="5102"/>
      </w:tabs>
      <w:spacing w:before="1200" w:after="0"/>
      <w:jc w:val="left"/>
    </w:pPr>
  </w:style>
  <w:style w:type="paragraph" w:customStyle="1" w:styleId="SignatureL">
    <w:name w:val="SignatureL"/>
    <w:basedOn w:val="Normal"/>
    <w:next w:val="Enclosures"/>
    <w:rsid w:val="00671023"/>
    <w:pPr>
      <w:tabs>
        <w:tab w:val="left" w:pos="5102"/>
      </w:tabs>
      <w:spacing w:before="1200" w:after="0"/>
      <w:jc w:val="left"/>
    </w:pPr>
  </w:style>
  <w:style w:type="paragraph" w:styleId="Signature">
    <w:name w:val="Signature"/>
    <w:basedOn w:val="Normal"/>
    <w:next w:val="Enclosures"/>
    <w:link w:val="SignatureChar"/>
    <w:rsid w:val="00671023"/>
    <w:pPr>
      <w:tabs>
        <w:tab w:val="left" w:pos="5102"/>
      </w:tabs>
      <w:spacing w:before="1200" w:after="0"/>
      <w:ind w:left="5102"/>
      <w:jc w:val="center"/>
    </w:pPr>
  </w:style>
  <w:style w:type="character" w:customStyle="1" w:styleId="SignatureChar">
    <w:name w:val="Signature Char"/>
    <w:basedOn w:val="DefaultParagraphFont"/>
    <w:link w:val="Signature"/>
    <w:rsid w:val="00671023"/>
    <w:rPr>
      <w:rFonts w:ascii="Times New Roman" w:eastAsia="Times New Roman" w:hAnsi="Times New Roman" w:cs="Times New Roman"/>
      <w:kern w:val="0"/>
      <w:sz w:val="24"/>
      <w:szCs w:val="20"/>
      <w:lang w:eastAsia="en-GB"/>
    </w:rPr>
  </w:style>
  <w:style w:type="paragraph" w:customStyle="1" w:styleId="SectionTitle">
    <w:name w:val="SectionTitle"/>
    <w:basedOn w:val="Normal"/>
    <w:next w:val="Heading1"/>
    <w:uiPriority w:val="90"/>
    <w:qFormat/>
    <w:rsid w:val="00671023"/>
    <w:pPr>
      <w:keepNext/>
      <w:spacing w:after="480"/>
      <w:jc w:val="center"/>
      <w:outlineLvl w:val="0"/>
    </w:pPr>
    <w:rPr>
      <w:b/>
      <w:smallCaps/>
      <w:sz w:val="28"/>
    </w:rPr>
  </w:style>
  <w:style w:type="paragraph" w:customStyle="1" w:styleId="ChapterTitle">
    <w:name w:val="ChapterTitle"/>
    <w:basedOn w:val="Normal"/>
    <w:next w:val="SectionTitle"/>
    <w:uiPriority w:val="90"/>
    <w:qFormat/>
    <w:rsid w:val="00671023"/>
    <w:pPr>
      <w:keepNext/>
      <w:spacing w:after="480"/>
      <w:jc w:val="center"/>
      <w:outlineLvl w:val="0"/>
    </w:pPr>
    <w:rPr>
      <w:b/>
      <w:sz w:val="32"/>
    </w:rPr>
  </w:style>
  <w:style w:type="paragraph" w:customStyle="1" w:styleId="PartTitle">
    <w:name w:val="PartTitle"/>
    <w:basedOn w:val="Normal"/>
    <w:next w:val="ChapterTitle"/>
    <w:uiPriority w:val="90"/>
    <w:qFormat/>
    <w:rsid w:val="00671023"/>
    <w:pPr>
      <w:keepNext/>
      <w:pageBreakBefore/>
      <w:spacing w:after="480"/>
      <w:jc w:val="center"/>
      <w:outlineLvl w:val="0"/>
    </w:pPr>
    <w:rPr>
      <w:b/>
      <w:sz w:val="36"/>
    </w:rPr>
  </w:style>
  <w:style w:type="paragraph" w:customStyle="1" w:styleId="AddressTR">
    <w:name w:val="AddressTR"/>
    <w:basedOn w:val="Normal"/>
    <w:next w:val="Normal"/>
    <w:rsid w:val="00671023"/>
    <w:pPr>
      <w:spacing w:after="720"/>
      <w:ind w:left="5102"/>
      <w:jc w:val="left"/>
    </w:pPr>
  </w:style>
  <w:style w:type="paragraph" w:customStyle="1" w:styleId="AddressTL">
    <w:name w:val="AddressTL"/>
    <w:basedOn w:val="Normal"/>
    <w:next w:val="Normal"/>
    <w:rsid w:val="00671023"/>
    <w:pPr>
      <w:spacing w:after="720"/>
      <w:jc w:val="left"/>
    </w:pPr>
  </w:style>
  <w:style w:type="paragraph" w:customStyle="1" w:styleId="Address">
    <w:name w:val="Address"/>
    <w:basedOn w:val="Normal"/>
    <w:rsid w:val="00671023"/>
    <w:pPr>
      <w:spacing w:after="0"/>
      <w:jc w:val="left"/>
    </w:pPr>
  </w:style>
  <w:style w:type="paragraph" w:customStyle="1" w:styleId="Text4">
    <w:name w:val="Text 4"/>
    <w:basedOn w:val="Normal"/>
    <w:qFormat/>
    <w:rsid w:val="00671023"/>
    <w:pPr>
      <w:ind w:left="1202"/>
    </w:pPr>
  </w:style>
  <w:style w:type="paragraph" w:customStyle="1" w:styleId="Text3">
    <w:name w:val="Text 3"/>
    <w:basedOn w:val="Normal"/>
    <w:uiPriority w:val="90"/>
    <w:qFormat/>
    <w:rsid w:val="00671023"/>
    <w:pPr>
      <w:ind w:left="1202"/>
    </w:pPr>
  </w:style>
  <w:style w:type="paragraph" w:customStyle="1" w:styleId="Text2">
    <w:name w:val="Text 2"/>
    <w:basedOn w:val="Normal"/>
    <w:uiPriority w:val="90"/>
    <w:qFormat/>
    <w:rsid w:val="00671023"/>
    <w:pPr>
      <w:ind w:left="1202"/>
    </w:pPr>
  </w:style>
  <w:style w:type="paragraph" w:customStyle="1" w:styleId="Text1">
    <w:name w:val="Text 1"/>
    <w:basedOn w:val="Normal"/>
    <w:uiPriority w:val="90"/>
    <w:qFormat/>
    <w:rsid w:val="00671023"/>
    <w:pPr>
      <w:ind w:left="482"/>
    </w:pPr>
  </w:style>
  <w:style w:type="paragraph" w:customStyle="1" w:styleId="ZFlag">
    <w:name w:val="Z_Flag"/>
    <w:basedOn w:val="Normal"/>
    <w:next w:val="Normal"/>
    <w:uiPriority w:val="99"/>
    <w:semiHidden/>
    <w:rsid w:val="00671023"/>
    <w:pPr>
      <w:widowControl w:val="0"/>
      <w:spacing w:after="0"/>
      <w:ind w:right="85"/>
    </w:pPr>
  </w:style>
  <w:style w:type="paragraph" w:customStyle="1" w:styleId="ZCom">
    <w:name w:val="Z_Com"/>
    <w:basedOn w:val="Normal"/>
    <w:next w:val="Normal"/>
    <w:uiPriority w:val="99"/>
    <w:semiHidden/>
    <w:rsid w:val="00671023"/>
    <w:pPr>
      <w:widowControl w:val="0"/>
      <w:spacing w:before="90" w:after="0"/>
      <w:ind w:right="85"/>
    </w:pPr>
  </w:style>
  <w:style w:type="paragraph" w:customStyle="1" w:styleId="ZDGName">
    <w:name w:val="Z_DGName"/>
    <w:basedOn w:val="Normal"/>
    <w:uiPriority w:val="99"/>
    <w:semiHidden/>
    <w:rsid w:val="00671023"/>
    <w:pPr>
      <w:widowControl w:val="0"/>
      <w:spacing w:after="0"/>
      <w:ind w:right="85"/>
      <w:jc w:val="left"/>
    </w:pPr>
    <w:rPr>
      <w:sz w:val="16"/>
    </w:rPr>
  </w:style>
  <w:style w:type="paragraph" w:styleId="Caption">
    <w:name w:val="caption"/>
    <w:basedOn w:val="Normal"/>
    <w:next w:val="Normal"/>
    <w:rsid w:val="00671023"/>
    <w:pPr>
      <w:spacing w:before="160"/>
    </w:pPr>
    <w:rPr>
      <w:i/>
      <w:sz w:val="22"/>
    </w:rPr>
  </w:style>
  <w:style w:type="paragraph" w:customStyle="1" w:styleId="Contact">
    <w:name w:val="Contact"/>
    <w:basedOn w:val="Normal"/>
    <w:uiPriority w:val="99"/>
    <w:rsid w:val="00671023"/>
    <w:pPr>
      <w:spacing w:before="480" w:after="0"/>
      <w:ind w:left="567" w:hanging="567"/>
      <w:jc w:val="left"/>
    </w:pPr>
  </w:style>
  <w:style w:type="paragraph" w:styleId="Date">
    <w:name w:val="Date"/>
    <w:basedOn w:val="Normal"/>
    <w:next w:val="References"/>
    <w:link w:val="DateChar"/>
    <w:rsid w:val="00671023"/>
    <w:pPr>
      <w:spacing w:after="0"/>
      <w:ind w:left="5102" w:right="-567"/>
      <w:jc w:val="left"/>
    </w:pPr>
  </w:style>
  <w:style w:type="character" w:customStyle="1" w:styleId="DateChar">
    <w:name w:val="Date Char"/>
    <w:basedOn w:val="DefaultParagraphFont"/>
    <w:link w:val="Date"/>
    <w:rsid w:val="00671023"/>
    <w:rPr>
      <w:rFonts w:ascii="Times New Roman" w:eastAsia="Times New Roman" w:hAnsi="Times New Roman" w:cs="Times New Roman"/>
      <w:kern w:val="0"/>
      <w:sz w:val="24"/>
      <w:szCs w:val="20"/>
      <w:lang w:eastAsia="en-GB"/>
    </w:rPr>
  </w:style>
  <w:style w:type="paragraph" w:customStyle="1" w:styleId="References">
    <w:name w:val="References"/>
    <w:basedOn w:val="Normal"/>
    <w:next w:val="Normal"/>
    <w:rsid w:val="00671023"/>
    <w:pPr>
      <w:ind w:left="5102" w:right="-567"/>
      <w:jc w:val="left"/>
    </w:pPr>
    <w:rPr>
      <w:sz w:val="20"/>
    </w:rPr>
  </w:style>
  <w:style w:type="paragraph" w:customStyle="1" w:styleId="Designator">
    <w:name w:val="Designator"/>
    <w:basedOn w:val="Normal"/>
    <w:rsid w:val="00671023"/>
    <w:pPr>
      <w:spacing w:after="0"/>
      <w:jc w:val="center"/>
    </w:pPr>
    <w:rPr>
      <w:b/>
      <w:caps/>
      <w:sz w:val="32"/>
    </w:rPr>
  </w:style>
  <w:style w:type="paragraph" w:customStyle="1" w:styleId="Releasable">
    <w:name w:val="Releasable"/>
    <w:basedOn w:val="Normal"/>
    <w:rsid w:val="00671023"/>
    <w:pPr>
      <w:spacing w:after="0"/>
      <w:jc w:val="center"/>
    </w:pPr>
    <w:rPr>
      <w:b/>
      <w:caps/>
      <w:sz w:val="32"/>
    </w:rPr>
  </w:style>
  <w:style w:type="paragraph" w:customStyle="1" w:styleId="RUE">
    <w:name w:val="RUE"/>
    <w:basedOn w:val="Normal"/>
    <w:rsid w:val="00671023"/>
    <w:pPr>
      <w:spacing w:after="0"/>
      <w:jc w:val="center"/>
    </w:pPr>
    <w:rPr>
      <w:b/>
      <w:caps/>
      <w:sz w:val="32"/>
      <w:bdr w:val="single" w:sz="18" w:space="0" w:color="auto"/>
    </w:rPr>
  </w:style>
  <w:style w:type="paragraph" w:customStyle="1" w:styleId="ConfidentialUE">
    <w:name w:val="Confidential UE"/>
    <w:basedOn w:val="Normal"/>
    <w:rsid w:val="00671023"/>
    <w:pPr>
      <w:spacing w:after="0"/>
      <w:jc w:val="center"/>
    </w:pPr>
    <w:rPr>
      <w:b/>
      <w:caps/>
      <w:sz w:val="32"/>
      <w:bdr w:val="single" w:sz="18" w:space="0" w:color="auto"/>
    </w:rPr>
  </w:style>
  <w:style w:type="paragraph" w:customStyle="1" w:styleId="SecretUE">
    <w:name w:val="Secret UE"/>
    <w:basedOn w:val="Normal"/>
    <w:rsid w:val="00671023"/>
    <w:pPr>
      <w:spacing w:after="0"/>
      <w:jc w:val="center"/>
    </w:pPr>
    <w:rPr>
      <w:b/>
      <w:caps/>
      <w:color w:val="FF0000"/>
      <w:sz w:val="32"/>
      <w:bdr w:val="single" w:sz="18" w:space="0" w:color="FF0000"/>
    </w:rPr>
  </w:style>
  <w:style w:type="paragraph" w:customStyle="1" w:styleId="TrsSecretUE">
    <w:name w:val="Très Secret UE"/>
    <w:basedOn w:val="Normal"/>
    <w:rsid w:val="00671023"/>
    <w:pPr>
      <w:spacing w:after="0"/>
      <w:jc w:val="center"/>
    </w:pPr>
    <w:rPr>
      <w:b/>
      <w:caps/>
      <w:color w:val="FF0000"/>
      <w:sz w:val="32"/>
      <w:bdr w:val="single" w:sz="18" w:space="0" w:color="FF0000"/>
    </w:rPr>
  </w:style>
  <w:style w:type="paragraph" w:styleId="EndnoteText">
    <w:name w:val="endnote text"/>
    <w:basedOn w:val="Normal"/>
    <w:link w:val="EndnoteTextChar"/>
    <w:semiHidden/>
    <w:rsid w:val="00671023"/>
    <w:rPr>
      <w:sz w:val="20"/>
    </w:rPr>
  </w:style>
  <w:style w:type="character" w:customStyle="1" w:styleId="EndnoteTextChar">
    <w:name w:val="Endnote Text Char"/>
    <w:basedOn w:val="DefaultParagraphFont"/>
    <w:link w:val="EndnoteText"/>
    <w:semiHidden/>
    <w:rsid w:val="00671023"/>
    <w:rPr>
      <w:rFonts w:ascii="Times New Roman" w:eastAsia="Times New Roman" w:hAnsi="Times New Roman" w:cs="Times New Roman"/>
      <w:kern w:val="0"/>
      <w:sz w:val="20"/>
      <w:szCs w:val="20"/>
      <w:lang w:eastAsia="en-GB"/>
    </w:rPr>
  </w:style>
  <w:style w:type="paragraph" w:styleId="Footer">
    <w:name w:val="footer"/>
    <w:basedOn w:val="Normal"/>
    <w:link w:val="FooterChar"/>
    <w:uiPriority w:val="99"/>
    <w:rsid w:val="00671023"/>
    <w:pPr>
      <w:spacing w:after="0"/>
      <w:ind w:right="-567"/>
      <w:jc w:val="left"/>
    </w:pPr>
    <w:rPr>
      <w:sz w:val="16"/>
    </w:rPr>
  </w:style>
  <w:style w:type="character" w:customStyle="1" w:styleId="FooterChar">
    <w:name w:val="Footer Char"/>
    <w:basedOn w:val="DefaultParagraphFont"/>
    <w:link w:val="Footer"/>
    <w:uiPriority w:val="99"/>
    <w:rsid w:val="00671023"/>
    <w:rPr>
      <w:rFonts w:ascii="Times New Roman" w:eastAsia="Times New Roman" w:hAnsi="Times New Roman" w:cs="Times New Roman"/>
      <w:kern w:val="0"/>
      <w:sz w:val="16"/>
      <w:szCs w:val="20"/>
      <w:lang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f,Footnote text,o"/>
    <w:basedOn w:val="Normal"/>
    <w:link w:val="FootnoteTextChar"/>
    <w:uiPriority w:val="99"/>
    <w:qFormat/>
    <w:rsid w:val="00671023"/>
    <w:pPr>
      <w:spacing w:after="120"/>
      <w:ind w:left="357" w:hanging="357"/>
    </w:pPr>
    <w:rPr>
      <w:sz w:val="20"/>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f Char"/>
    <w:basedOn w:val="DefaultParagraphFont"/>
    <w:link w:val="FootnoteText"/>
    <w:uiPriority w:val="99"/>
    <w:rsid w:val="00671023"/>
    <w:rPr>
      <w:rFonts w:ascii="Times New Roman" w:eastAsia="Times New Roman" w:hAnsi="Times New Roman" w:cs="Times New Roman"/>
      <w:kern w:val="0"/>
      <w:sz w:val="20"/>
      <w:szCs w:val="20"/>
      <w:lang w:eastAsia="en-GB"/>
    </w:rPr>
  </w:style>
  <w:style w:type="paragraph" w:styleId="MacroText">
    <w:name w:val="macro"/>
    <w:basedOn w:val="Normal"/>
    <w:link w:val="MacroTextChar"/>
    <w:uiPriority w:val="90"/>
    <w:qFormat/>
    <w:rsid w:val="00671023"/>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sid w:val="00671023"/>
    <w:rPr>
      <w:rFonts w:ascii="Courier New" w:eastAsia="Times New Roman" w:hAnsi="Courier New" w:cs="Times New Roman"/>
      <w:kern w:val="0"/>
      <w:szCs w:val="20"/>
      <w:lang w:eastAsia="en-GB"/>
    </w:rPr>
  </w:style>
  <w:style w:type="paragraph" w:customStyle="1" w:styleId="NumPar1">
    <w:name w:val="NumPar 1"/>
    <w:basedOn w:val="Heading1"/>
    <w:uiPriority w:val="90"/>
    <w:qFormat/>
    <w:rsid w:val="00671023"/>
    <w:pPr>
      <w:keepNext w:val="0"/>
      <w:keepLines w:val="0"/>
      <w:tabs>
        <w:tab w:val="num" w:pos="482"/>
      </w:tabs>
      <w:spacing w:before="0" w:after="240"/>
      <w:ind w:left="482" w:hanging="482"/>
      <w:outlineLvl w:val="9"/>
    </w:pPr>
    <w:rPr>
      <w:rFonts w:ascii="Times New Roman" w:eastAsia="Times New Roman" w:hAnsi="Times New Roman" w:cs="Times New Roman"/>
      <w:color w:val="auto"/>
      <w:sz w:val="24"/>
      <w:szCs w:val="20"/>
    </w:rPr>
  </w:style>
  <w:style w:type="paragraph" w:customStyle="1" w:styleId="NumPar2">
    <w:name w:val="NumPar 2"/>
    <w:basedOn w:val="Heading2"/>
    <w:uiPriority w:val="90"/>
    <w:qFormat/>
    <w:rsid w:val="00671023"/>
    <w:pPr>
      <w:keepNext w:val="0"/>
      <w:keepLines w:val="0"/>
      <w:numPr>
        <w:ilvl w:val="1"/>
      </w:numPr>
      <w:tabs>
        <w:tab w:val="num" w:pos="1202"/>
      </w:tabs>
      <w:spacing w:before="0" w:after="240"/>
      <w:ind w:left="1202" w:hanging="720"/>
      <w:outlineLvl w:val="9"/>
    </w:pPr>
    <w:rPr>
      <w:rFonts w:ascii="Times New Roman" w:eastAsia="Times New Roman" w:hAnsi="Times New Roman" w:cs="Times New Roman"/>
      <w:color w:val="auto"/>
      <w:sz w:val="24"/>
      <w:szCs w:val="20"/>
    </w:rPr>
  </w:style>
  <w:style w:type="paragraph" w:customStyle="1" w:styleId="NumPar3">
    <w:name w:val="NumPar 3"/>
    <w:basedOn w:val="Heading3"/>
    <w:uiPriority w:val="90"/>
    <w:qFormat/>
    <w:rsid w:val="00671023"/>
    <w:pPr>
      <w:keepNext w:val="0"/>
      <w:keepLines w:val="0"/>
      <w:numPr>
        <w:ilvl w:val="2"/>
      </w:numPr>
      <w:tabs>
        <w:tab w:val="num" w:pos="1922"/>
      </w:tabs>
      <w:spacing w:before="0" w:after="240"/>
      <w:ind w:left="1922" w:hanging="720"/>
      <w:outlineLvl w:val="9"/>
    </w:pPr>
    <w:rPr>
      <w:rFonts w:eastAsia="Times New Roman" w:cs="Times New Roman"/>
      <w:color w:val="auto"/>
      <w:sz w:val="24"/>
      <w:szCs w:val="20"/>
    </w:rPr>
  </w:style>
  <w:style w:type="paragraph" w:customStyle="1" w:styleId="NumPar4">
    <w:name w:val="NumPar 4"/>
    <w:basedOn w:val="Heading4"/>
    <w:uiPriority w:val="90"/>
    <w:qFormat/>
    <w:rsid w:val="00671023"/>
    <w:pPr>
      <w:keepNext w:val="0"/>
      <w:keepLines w:val="0"/>
      <w:numPr>
        <w:ilvl w:val="3"/>
      </w:numPr>
      <w:tabs>
        <w:tab w:val="num" w:pos="1922"/>
      </w:tabs>
      <w:spacing w:before="0" w:after="240"/>
      <w:ind w:left="1922" w:hanging="720"/>
      <w:outlineLvl w:val="9"/>
    </w:pPr>
    <w:rPr>
      <w:rFonts w:eastAsia="Times New Roman" w:cs="Times New Roman"/>
      <w:i w:val="0"/>
      <w:iCs w:val="0"/>
      <w:color w:val="auto"/>
    </w:rPr>
  </w:style>
  <w:style w:type="paragraph" w:customStyle="1" w:styleId="AnnexTitle">
    <w:name w:val="AnnexTitle"/>
    <w:basedOn w:val="Normal"/>
    <w:next w:val="Normal"/>
    <w:uiPriority w:val="90"/>
    <w:qFormat/>
    <w:rsid w:val="00671023"/>
    <w:pPr>
      <w:pageBreakBefore/>
      <w:numPr>
        <w:numId w:val="18"/>
      </w:numPr>
      <w:tabs>
        <w:tab w:val="clear" w:pos="2268"/>
        <w:tab w:val="num" w:pos="360"/>
      </w:tabs>
      <w:spacing w:after="480"/>
      <w:ind w:left="0" w:firstLine="0"/>
      <w:outlineLvl w:val="0"/>
    </w:pPr>
    <w:rPr>
      <w:b/>
      <w:sz w:val="32"/>
    </w:rPr>
  </w:style>
  <w:style w:type="paragraph" w:styleId="TOCHeading">
    <w:name w:val="TOC Heading"/>
    <w:basedOn w:val="Normal"/>
    <w:next w:val="Normal"/>
    <w:uiPriority w:val="39"/>
    <w:qFormat/>
    <w:rsid w:val="00671023"/>
    <w:pPr>
      <w:spacing w:before="240"/>
      <w:jc w:val="center"/>
    </w:pPr>
    <w:rPr>
      <w:rFonts w:ascii="Times New Roman Bold" w:hAnsi="Times New Roman Bold"/>
      <w:b/>
      <w:caps/>
    </w:rPr>
  </w:style>
  <w:style w:type="paragraph" w:styleId="TOC1">
    <w:name w:val="toc 1"/>
    <w:basedOn w:val="Normal"/>
    <w:next w:val="Normal"/>
    <w:uiPriority w:val="39"/>
    <w:rsid w:val="00671023"/>
    <w:pPr>
      <w:tabs>
        <w:tab w:val="right" w:leader="dot" w:pos="8640"/>
      </w:tabs>
      <w:spacing w:before="120" w:after="120"/>
      <w:ind w:left="482" w:right="720" w:hanging="482"/>
    </w:pPr>
    <w:rPr>
      <w:caps/>
    </w:rPr>
  </w:style>
  <w:style w:type="paragraph" w:styleId="TOC2">
    <w:name w:val="toc 2"/>
    <w:basedOn w:val="Normal"/>
    <w:next w:val="Normal"/>
    <w:uiPriority w:val="39"/>
    <w:rsid w:val="00671023"/>
    <w:pPr>
      <w:tabs>
        <w:tab w:val="right" w:leader="dot" w:pos="8640"/>
      </w:tabs>
      <w:spacing w:before="60" w:after="60"/>
      <w:ind w:left="1077" w:right="720" w:hanging="595"/>
    </w:pPr>
    <w:rPr>
      <w:noProof/>
    </w:rPr>
  </w:style>
  <w:style w:type="paragraph" w:styleId="TOC3">
    <w:name w:val="toc 3"/>
    <w:basedOn w:val="Normal"/>
    <w:next w:val="Normal"/>
    <w:uiPriority w:val="39"/>
    <w:rsid w:val="00671023"/>
    <w:pPr>
      <w:tabs>
        <w:tab w:val="right" w:leader="dot" w:pos="8640"/>
      </w:tabs>
      <w:spacing w:before="60" w:after="60"/>
      <w:ind w:left="1916" w:right="720" w:hanging="839"/>
    </w:pPr>
  </w:style>
  <w:style w:type="paragraph" w:styleId="TOC4">
    <w:name w:val="toc 4"/>
    <w:basedOn w:val="Normal"/>
    <w:next w:val="Normal"/>
    <w:uiPriority w:val="99"/>
    <w:semiHidden/>
    <w:rsid w:val="00671023"/>
    <w:pPr>
      <w:tabs>
        <w:tab w:val="right" w:leader="dot" w:pos="8640"/>
      </w:tabs>
      <w:spacing w:before="60" w:after="60"/>
      <w:ind w:left="2880" w:right="720" w:hanging="964"/>
    </w:pPr>
    <w:rPr>
      <w:noProof/>
    </w:rPr>
  </w:style>
  <w:style w:type="paragraph" w:styleId="TOC5">
    <w:name w:val="toc 5"/>
    <w:basedOn w:val="Normal"/>
    <w:next w:val="Normal"/>
    <w:semiHidden/>
    <w:rsid w:val="00671023"/>
    <w:pPr>
      <w:tabs>
        <w:tab w:val="right" w:leader="dot" w:pos="8640"/>
      </w:tabs>
      <w:spacing w:before="240" w:after="120"/>
      <w:ind w:right="720"/>
    </w:pPr>
    <w:rPr>
      <w:caps/>
    </w:rPr>
  </w:style>
  <w:style w:type="paragraph" w:styleId="TOC6">
    <w:name w:val="toc 6"/>
    <w:basedOn w:val="Normal"/>
    <w:next w:val="Normal"/>
    <w:semiHidden/>
    <w:rsid w:val="00671023"/>
    <w:rPr>
      <w:caps/>
    </w:rPr>
  </w:style>
  <w:style w:type="paragraph" w:styleId="TOC7">
    <w:name w:val="toc 7"/>
    <w:basedOn w:val="Normal"/>
    <w:next w:val="Normal"/>
    <w:semiHidden/>
    <w:rsid w:val="00671023"/>
    <w:pPr>
      <w:tabs>
        <w:tab w:val="right" w:leader="dot" w:pos="8640"/>
      </w:tabs>
    </w:pPr>
  </w:style>
  <w:style w:type="paragraph" w:styleId="TOC8">
    <w:name w:val="toc 8"/>
    <w:basedOn w:val="Normal"/>
    <w:next w:val="Normal"/>
    <w:semiHidden/>
    <w:rsid w:val="00671023"/>
    <w:pPr>
      <w:tabs>
        <w:tab w:val="right" w:leader="dot" w:pos="8640"/>
      </w:tabs>
    </w:pPr>
  </w:style>
  <w:style w:type="paragraph" w:styleId="TOC9">
    <w:name w:val="toc 9"/>
    <w:basedOn w:val="Normal"/>
    <w:next w:val="Normal"/>
    <w:semiHidden/>
    <w:rsid w:val="00671023"/>
    <w:pPr>
      <w:tabs>
        <w:tab w:val="right" w:leader="dot" w:pos="8640"/>
      </w:tabs>
    </w:pPr>
  </w:style>
  <w:style w:type="paragraph" w:styleId="ListBullet">
    <w:name w:val="List Bullet"/>
    <w:basedOn w:val="Normal"/>
    <w:rsid w:val="00671023"/>
    <w:pPr>
      <w:numPr>
        <w:numId w:val="16"/>
      </w:numPr>
    </w:pPr>
  </w:style>
  <w:style w:type="paragraph" w:customStyle="1" w:styleId="ListBulletLevel2">
    <w:name w:val="List Bullet (Level 2)"/>
    <w:basedOn w:val="Text1"/>
    <w:rsid w:val="00671023"/>
    <w:pPr>
      <w:numPr>
        <w:ilvl w:val="1"/>
        <w:numId w:val="16"/>
      </w:numPr>
    </w:pPr>
  </w:style>
  <w:style w:type="paragraph" w:customStyle="1" w:styleId="ListBulletLevel3">
    <w:name w:val="List Bullet (Level 3)"/>
    <w:basedOn w:val="Text1"/>
    <w:semiHidden/>
    <w:unhideWhenUsed/>
    <w:rsid w:val="00671023"/>
    <w:pPr>
      <w:numPr>
        <w:ilvl w:val="2"/>
        <w:numId w:val="16"/>
      </w:numPr>
    </w:pPr>
  </w:style>
  <w:style w:type="paragraph" w:customStyle="1" w:styleId="ListBulletLevel4">
    <w:name w:val="List Bullet (Level 4)"/>
    <w:basedOn w:val="Text1"/>
    <w:semiHidden/>
    <w:unhideWhenUsed/>
    <w:rsid w:val="00671023"/>
    <w:pPr>
      <w:numPr>
        <w:ilvl w:val="3"/>
        <w:numId w:val="16"/>
      </w:numPr>
    </w:pPr>
  </w:style>
  <w:style w:type="paragraph" w:customStyle="1" w:styleId="ListBullet1">
    <w:name w:val="List Bullet 1"/>
    <w:basedOn w:val="Text1"/>
    <w:rsid w:val="00671023"/>
    <w:pPr>
      <w:numPr>
        <w:numId w:val="15"/>
      </w:numPr>
    </w:pPr>
  </w:style>
  <w:style w:type="paragraph" w:customStyle="1" w:styleId="ListBullet1Level2">
    <w:name w:val="List Bullet 1 (Level 2)"/>
    <w:basedOn w:val="Text1"/>
    <w:rsid w:val="00671023"/>
    <w:pPr>
      <w:numPr>
        <w:ilvl w:val="1"/>
        <w:numId w:val="15"/>
      </w:numPr>
    </w:pPr>
  </w:style>
  <w:style w:type="paragraph" w:customStyle="1" w:styleId="ListBullet1Level3">
    <w:name w:val="List Bullet 1 (Level 3)"/>
    <w:basedOn w:val="Text1"/>
    <w:semiHidden/>
    <w:unhideWhenUsed/>
    <w:rsid w:val="00671023"/>
    <w:pPr>
      <w:numPr>
        <w:ilvl w:val="2"/>
        <w:numId w:val="15"/>
      </w:numPr>
    </w:pPr>
  </w:style>
  <w:style w:type="paragraph" w:customStyle="1" w:styleId="ListBullet1Level4">
    <w:name w:val="List Bullet 1 (Level 4)"/>
    <w:basedOn w:val="Text1"/>
    <w:semiHidden/>
    <w:unhideWhenUsed/>
    <w:rsid w:val="00671023"/>
    <w:pPr>
      <w:numPr>
        <w:ilvl w:val="3"/>
        <w:numId w:val="15"/>
      </w:numPr>
    </w:pPr>
  </w:style>
  <w:style w:type="paragraph" w:styleId="ListBullet2">
    <w:name w:val="List Bullet 2"/>
    <w:basedOn w:val="Text2"/>
    <w:rsid w:val="00671023"/>
    <w:pPr>
      <w:numPr>
        <w:numId w:val="14"/>
      </w:numPr>
    </w:pPr>
  </w:style>
  <w:style w:type="paragraph" w:customStyle="1" w:styleId="ListBullet2Level2">
    <w:name w:val="List Bullet 2 (Level 2)"/>
    <w:basedOn w:val="Text2"/>
    <w:rsid w:val="00671023"/>
    <w:pPr>
      <w:numPr>
        <w:ilvl w:val="1"/>
        <w:numId w:val="14"/>
      </w:numPr>
    </w:pPr>
  </w:style>
  <w:style w:type="paragraph" w:customStyle="1" w:styleId="ListBullet2Level3">
    <w:name w:val="List Bullet 2 (Level 3)"/>
    <w:basedOn w:val="Text2"/>
    <w:semiHidden/>
    <w:unhideWhenUsed/>
    <w:rsid w:val="00671023"/>
    <w:pPr>
      <w:numPr>
        <w:ilvl w:val="2"/>
        <w:numId w:val="14"/>
      </w:numPr>
    </w:pPr>
  </w:style>
  <w:style w:type="paragraph" w:customStyle="1" w:styleId="ListBullet2Level4">
    <w:name w:val="List Bullet 2 (Level 4)"/>
    <w:basedOn w:val="Text2"/>
    <w:semiHidden/>
    <w:unhideWhenUsed/>
    <w:rsid w:val="00671023"/>
    <w:pPr>
      <w:numPr>
        <w:ilvl w:val="3"/>
        <w:numId w:val="14"/>
      </w:numPr>
    </w:pPr>
  </w:style>
  <w:style w:type="paragraph" w:styleId="ListBullet3">
    <w:name w:val="List Bullet 3"/>
    <w:basedOn w:val="Text3"/>
    <w:rsid w:val="00671023"/>
    <w:pPr>
      <w:numPr>
        <w:numId w:val="13"/>
      </w:numPr>
    </w:pPr>
  </w:style>
  <w:style w:type="paragraph" w:customStyle="1" w:styleId="ListBullet3Level2">
    <w:name w:val="List Bullet 3 (Level 2)"/>
    <w:basedOn w:val="Text3"/>
    <w:rsid w:val="00671023"/>
    <w:pPr>
      <w:numPr>
        <w:ilvl w:val="1"/>
        <w:numId w:val="13"/>
      </w:numPr>
    </w:pPr>
  </w:style>
  <w:style w:type="paragraph" w:customStyle="1" w:styleId="ListBullet3Level3">
    <w:name w:val="List Bullet 3 (Level 3)"/>
    <w:basedOn w:val="Text3"/>
    <w:semiHidden/>
    <w:unhideWhenUsed/>
    <w:rsid w:val="00671023"/>
    <w:pPr>
      <w:numPr>
        <w:ilvl w:val="2"/>
        <w:numId w:val="13"/>
      </w:numPr>
    </w:pPr>
  </w:style>
  <w:style w:type="paragraph" w:customStyle="1" w:styleId="ListBullet3Level4">
    <w:name w:val="List Bullet 3 (Level 4)"/>
    <w:basedOn w:val="Text3"/>
    <w:semiHidden/>
    <w:unhideWhenUsed/>
    <w:rsid w:val="00671023"/>
    <w:pPr>
      <w:numPr>
        <w:ilvl w:val="3"/>
        <w:numId w:val="13"/>
      </w:numPr>
    </w:pPr>
  </w:style>
  <w:style w:type="paragraph" w:styleId="ListBullet4">
    <w:name w:val="List Bullet 4"/>
    <w:basedOn w:val="Text4"/>
    <w:rsid w:val="00671023"/>
    <w:pPr>
      <w:numPr>
        <w:numId w:val="12"/>
      </w:numPr>
    </w:pPr>
  </w:style>
  <w:style w:type="paragraph" w:customStyle="1" w:styleId="ListBullet4Level2">
    <w:name w:val="List Bullet 4 (Level 2)"/>
    <w:basedOn w:val="Text4"/>
    <w:rsid w:val="00671023"/>
    <w:pPr>
      <w:numPr>
        <w:ilvl w:val="1"/>
        <w:numId w:val="12"/>
      </w:numPr>
    </w:pPr>
  </w:style>
  <w:style w:type="paragraph" w:customStyle="1" w:styleId="ListBullet4Level3">
    <w:name w:val="List Bullet 4 (Level 3)"/>
    <w:basedOn w:val="Text4"/>
    <w:semiHidden/>
    <w:unhideWhenUsed/>
    <w:rsid w:val="00671023"/>
    <w:pPr>
      <w:numPr>
        <w:ilvl w:val="2"/>
        <w:numId w:val="12"/>
      </w:numPr>
    </w:pPr>
  </w:style>
  <w:style w:type="paragraph" w:customStyle="1" w:styleId="ListBullet4Level4">
    <w:name w:val="List Bullet 4 (Level 4)"/>
    <w:basedOn w:val="Text4"/>
    <w:semiHidden/>
    <w:unhideWhenUsed/>
    <w:rsid w:val="00671023"/>
    <w:pPr>
      <w:numPr>
        <w:ilvl w:val="3"/>
        <w:numId w:val="12"/>
      </w:numPr>
    </w:pPr>
  </w:style>
  <w:style w:type="paragraph" w:customStyle="1" w:styleId="ListDash">
    <w:name w:val="List Dash"/>
    <w:basedOn w:val="Normal"/>
    <w:rsid w:val="00671023"/>
    <w:pPr>
      <w:numPr>
        <w:numId w:val="6"/>
      </w:numPr>
    </w:pPr>
  </w:style>
  <w:style w:type="paragraph" w:customStyle="1" w:styleId="ListDashLevel2">
    <w:name w:val="List Dash (Level 2)"/>
    <w:basedOn w:val="Normal"/>
    <w:rsid w:val="00671023"/>
    <w:pPr>
      <w:numPr>
        <w:ilvl w:val="1"/>
        <w:numId w:val="6"/>
      </w:numPr>
    </w:pPr>
  </w:style>
  <w:style w:type="paragraph" w:customStyle="1" w:styleId="ListDashLevel3">
    <w:name w:val="List Dash (Level 3)"/>
    <w:basedOn w:val="Normal"/>
    <w:semiHidden/>
    <w:unhideWhenUsed/>
    <w:rsid w:val="00671023"/>
    <w:pPr>
      <w:numPr>
        <w:ilvl w:val="2"/>
        <w:numId w:val="6"/>
      </w:numPr>
    </w:pPr>
  </w:style>
  <w:style w:type="paragraph" w:customStyle="1" w:styleId="ListDashLevel4">
    <w:name w:val="List Dash (Level 4)"/>
    <w:basedOn w:val="Normal"/>
    <w:semiHidden/>
    <w:unhideWhenUsed/>
    <w:rsid w:val="00671023"/>
    <w:pPr>
      <w:numPr>
        <w:ilvl w:val="3"/>
        <w:numId w:val="6"/>
      </w:numPr>
    </w:pPr>
  </w:style>
  <w:style w:type="paragraph" w:customStyle="1" w:styleId="ListDash1">
    <w:name w:val="List Dash 1"/>
    <w:basedOn w:val="Text1"/>
    <w:rsid w:val="00671023"/>
    <w:pPr>
      <w:numPr>
        <w:numId w:val="5"/>
      </w:numPr>
    </w:pPr>
  </w:style>
  <w:style w:type="paragraph" w:customStyle="1" w:styleId="ListDash1Level2">
    <w:name w:val="List Dash 1 (Level 2)"/>
    <w:basedOn w:val="Text1"/>
    <w:rsid w:val="00671023"/>
    <w:pPr>
      <w:numPr>
        <w:ilvl w:val="1"/>
        <w:numId w:val="5"/>
      </w:numPr>
    </w:pPr>
  </w:style>
  <w:style w:type="paragraph" w:customStyle="1" w:styleId="ListDash1Level3">
    <w:name w:val="List Dash 1 (Level 3)"/>
    <w:basedOn w:val="Text1"/>
    <w:semiHidden/>
    <w:unhideWhenUsed/>
    <w:rsid w:val="00671023"/>
    <w:pPr>
      <w:numPr>
        <w:ilvl w:val="2"/>
        <w:numId w:val="5"/>
      </w:numPr>
    </w:pPr>
  </w:style>
  <w:style w:type="paragraph" w:customStyle="1" w:styleId="ListDash1Level4">
    <w:name w:val="List Dash 1 (Level 4)"/>
    <w:basedOn w:val="Text1"/>
    <w:semiHidden/>
    <w:unhideWhenUsed/>
    <w:rsid w:val="00671023"/>
    <w:pPr>
      <w:numPr>
        <w:ilvl w:val="3"/>
        <w:numId w:val="5"/>
      </w:numPr>
    </w:pPr>
  </w:style>
  <w:style w:type="paragraph" w:customStyle="1" w:styleId="ListDash2">
    <w:name w:val="List Dash 2"/>
    <w:basedOn w:val="Text2"/>
    <w:rsid w:val="00671023"/>
    <w:pPr>
      <w:numPr>
        <w:numId w:val="4"/>
      </w:numPr>
    </w:pPr>
  </w:style>
  <w:style w:type="paragraph" w:customStyle="1" w:styleId="ListDash2Level2">
    <w:name w:val="List Dash 2 (Level 2)"/>
    <w:basedOn w:val="Text2"/>
    <w:rsid w:val="00671023"/>
    <w:pPr>
      <w:numPr>
        <w:ilvl w:val="1"/>
        <w:numId w:val="4"/>
      </w:numPr>
    </w:pPr>
  </w:style>
  <w:style w:type="paragraph" w:customStyle="1" w:styleId="ListDash2Level3">
    <w:name w:val="List Dash 2 (Level 3)"/>
    <w:basedOn w:val="Text2"/>
    <w:semiHidden/>
    <w:unhideWhenUsed/>
    <w:rsid w:val="00671023"/>
    <w:pPr>
      <w:numPr>
        <w:ilvl w:val="2"/>
        <w:numId w:val="4"/>
      </w:numPr>
    </w:pPr>
  </w:style>
  <w:style w:type="paragraph" w:customStyle="1" w:styleId="ListDash2Level4">
    <w:name w:val="List Dash 2 (Level 4)"/>
    <w:basedOn w:val="Text2"/>
    <w:semiHidden/>
    <w:unhideWhenUsed/>
    <w:rsid w:val="00671023"/>
    <w:pPr>
      <w:numPr>
        <w:ilvl w:val="3"/>
        <w:numId w:val="4"/>
      </w:numPr>
    </w:pPr>
  </w:style>
  <w:style w:type="paragraph" w:customStyle="1" w:styleId="ListDash3">
    <w:name w:val="List Dash 3"/>
    <w:basedOn w:val="Text3"/>
    <w:rsid w:val="00671023"/>
    <w:pPr>
      <w:numPr>
        <w:numId w:val="3"/>
      </w:numPr>
    </w:pPr>
  </w:style>
  <w:style w:type="paragraph" w:customStyle="1" w:styleId="ListDash3Level2">
    <w:name w:val="List Dash 3 (Level 2)"/>
    <w:basedOn w:val="Text3"/>
    <w:rsid w:val="00671023"/>
    <w:pPr>
      <w:numPr>
        <w:ilvl w:val="1"/>
        <w:numId w:val="3"/>
      </w:numPr>
    </w:pPr>
  </w:style>
  <w:style w:type="paragraph" w:customStyle="1" w:styleId="ListDash3Level3">
    <w:name w:val="List Dash 3 (Level 3)"/>
    <w:basedOn w:val="Text3"/>
    <w:semiHidden/>
    <w:unhideWhenUsed/>
    <w:rsid w:val="00671023"/>
    <w:pPr>
      <w:numPr>
        <w:ilvl w:val="2"/>
        <w:numId w:val="3"/>
      </w:numPr>
    </w:pPr>
  </w:style>
  <w:style w:type="paragraph" w:customStyle="1" w:styleId="ListDash3Level4">
    <w:name w:val="List Dash 3 (Level 4)"/>
    <w:basedOn w:val="Text3"/>
    <w:semiHidden/>
    <w:unhideWhenUsed/>
    <w:rsid w:val="00671023"/>
    <w:pPr>
      <w:numPr>
        <w:ilvl w:val="3"/>
        <w:numId w:val="3"/>
      </w:numPr>
    </w:pPr>
  </w:style>
  <w:style w:type="paragraph" w:customStyle="1" w:styleId="ListDash4">
    <w:name w:val="List Dash 4"/>
    <w:basedOn w:val="Text4"/>
    <w:rsid w:val="00671023"/>
    <w:pPr>
      <w:numPr>
        <w:numId w:val="2"/>
      </w:numPr>
    </w:pPr>
  </w:style>
  <w:style w:type="paragraph" w:customStyle="1" w:styleId="ListDash4Level2">
    <w:name w:val="List Dash 4 (Level 2)"/>
    <w:basedOn w:val="Text4"/>
    <w:rsid w:val="00671023"/>
    <w:pPr>
      <w:numPr>
        <w:ilvl w:val="1"/>
        <w:numId w:val="2"/>
      </w:numPr>
    </w:pPr>
  </w:style>
  <w:style w:type="paragraph" w:customStyle="1" w:styleId="ListDash4Level3">
    <w:name w:val="List Dash 4 (Level 3)"/>
    <w:basedOn w:val="Text4"/>
    <w:semiHidden/>
    <w:unhideWhenUsed/>
    <w:rsid w:val="00671023"/>
    <w:pPr>
      <w:numPr>
        <w:ilvl w:val="2"/>
        <w:numId w:val="2"/>
      </w:numPr>
    </w:pPr>
  </w:style>
  <w:style w:type="paragraph" w:customStyle="1" w:styleId="ListDash4Level4">
    <w:name w:val="List Dash 4 (Level 4)"/>
    <w:basedOn w:val="Text4"/>
    <w:semiHidden/>
    <w:unhideWhenUsed/>
    <w:rsid w:val="00671023"/>
    <w:pPr>
      <w:numPr>
        <w:ilvl w:val="3"/>
        <w:numId w:val="2"/>
      </w:numPr>
    </w:pPr>
  </w:style>
  <w:style w:type="paragraph" w:styleId="ListNumber">
    <w:name w:val="List Number"/>
    <w:basedOn w:val="Normal"/>
    <w:rsid w:val="00671023"/>
    <w:pPr>
      <w:numPr>
        <w:numId w:val="11"/>
      </w:numPr>
    </w:pPr>
  </w:style>
  <w:style w:type="paragraph" w:customStyle="1" w:styleId="ListNumberLevel2">
    <w:name w:val="List Number (Level 2)"/>
    <w:basedOn w:val="Normal"/>
    <w:rsid w:val="00671023"/>
    <w:pPr>
      <w:numPr>
        <w:ilvl w:val="1"/>
        <w:numId w:val="11"/>
      </w:numPr>
    </w:pPr>
  </w:style>
  <w:style w:type="paragraph" w:customStyle="1" w:styleId="ListNumberLevel3">
    <w:name w:val="List Number (Level 3)"/>
    <w:basedOn w:val="Normal"/>
    <w:semiHidden/>
    <w:unhideWhenUsed/>
    <w:rsid w:val="00671023"/>
    <w:pPr>
      <w:numPr>
        <w:ilvl w:val="2"/>
        <w:numId w:val="11"/>
      </w:numPr>
    </w:pPr>
  </w:style>
  <w:style w:type="paragraph" w:customStyle="1" w:styleId="ListNumberLevel4">
    <w:name w:val="List Number (Level 4)"/>
    <w:basedOn w:val="Normal"/>
    <w:semiHidden/>
    <w:unhideWhenUsed/>
    <w:rsid w:val="00671023"/>
    <w:pPr>
      <w:numPr>
        <w:ilvl w:val="3"/>
        <w:numId w:val="11"/>
      </w:numPr>
    </w:pPr>
  </w:style>
  <w:style w:type="paragraph" w:customStyle="1" w:styleId="ListNumber1">
    <w:name w:val="List Number 1"/>
    <w:basedOn w:val="Text1"/>
    <w:rsid w:val="00671023"/>
    <w:pPr>
      <w:numPr>
        <w:numId w:val="10"/>
      </w:numPr>
    </w:pPr>
  </w:style>
  <w:style w:type="paragraph" w:customStyle="1" w:styleId="ListNumber1Level2">
    <w:name w:val="List Number 1 (Level 2)"/>
    <w:basedOn w:val="Text1"/>
    <w:rsid w:val="00671023"/>
    <w:pPr>
      <w:numPr>
        <w:ilvl w:val="1"/>
        <w:numId w:val="10"/>
      </w:numPr>
    </w:pPr>
  </w:style>
  <w:style w:type="paragraph" w:customStyle="1" w:styleId="ListNumber1Level3">
    <w:name w:val="List Number 1 (Level 3)"/>
    <w:basedOn w:val="Text1"/>
    <w:unhideWhenUsed/>
    <w:rsid w:val="00671023"/>
    <w:pPr>
      <w:numPr>
        <w:ilvl w:val="2"/>
        <w:numId w:val="10"/>
      </w:numPr>
    </w:pPr>
  </w:style>
  <w:style w:type="paragraph" w:customStyle="1" w:styleId="ListNumber1Level4">
    <w:name w:val="List Number 1 (Level 4)"/>
    <w:basedOn w:val="Text1"/>
    <w:unhideWhenUsed/>
    <w:rsid w:val="00671023"/>
    <w:pPr>
      <w:numPr>
        <w:ilvl w:val="3"/>
        <w:numId w:val="10"/>
      </w:numPr>
    </w:pPr>
  </w:style>
  <w:style w:type="paragraph" w:styleId="ListNumber2">
    <w:name w:val="List Number 2"/>
    <w:basedOn w:val="Text2"/>
    <w:rsid w:val="00671023"/>
    <w:pPr>
      <w:numPr>
        <w:numId w:val="9"/>
      </w:numPr>
    </w:pPr>
  </w:style>
  <w:style w:type="paragraph" w:customStyle="1" w:styleId="ListNumber2Level2">
    <w:name w:val="List Number 2 (Level 2)"/>
    <w:basedOn w:val="Text2"/>
    <w:rsid w:val="00671023"/>
    <w:pPr>
      <w:numPr>
        <w:ilvl w:val="1"/>
        <w:numId w:val="9"/>
      </w:numPr>
    </w:pPr>
  </w:style>
  <w:style w:type="paragraph" w:customStyle="1" w:styleId="ListNumber2Level3">
    <w:name w:val="List Number 2 (Level 3)"/>
    <w:basedOn w:val="Text2"/>
    <w:semiHidden/>
    <w:unhideWhenUsed/>
    <w:rsid w:val="00671023"/>
    <w:pPr>
      <w:numPr>
        <w:ilvl w:val="2"/>
        <w:numId w:val="9"/>
      </w:numPr>
    </w:pPr>
  </w:style>
  <w:style w:type="paragraph" w:customStyle="1" w:styleId="ListNumber2Level4">
    <w:name w:val="List Number 2 (Level 4)"/>
    <w:basedOn w:val="Text2"/>
    <w:semiHidden/>
    <w:unhideWhenUsed/>
    <w:rsid w:val="00671023"/>
    <w:pPr>
      <w:numPr>
        <w:ilvl w:val="3"/>
        <w:numId w:val="9"/>
      </w:numPr>
    </w:pPr>
  </w:style>
  <w:style w:type="paragraph" w:styleId="ListNumber3">
    <w:name w:val="List Number 3"/>
    <w:basedOn w:val="Text3"/>
    <w:rsid w:val="00671023"/>
    <w:pPr>
      <w:numPr>
        <w:numId w:val="8"/>
      </w:numPr>
    </w:pPr>
  </w:style>
  <w:style w:type="paragraph" w:customStyle="1" w:styleId="ListNumber3Level2">
    <w:name w:val="List Number 3 (Level 2)"/>
    <w:basedOn w:val="Text3"/>
    <w:rsid w:val="00671023"/>
    <w:pPr>
      <w:numPr>
        <w:ilvl w:val="1"/>
        <w:numId w:val="8"/>
      </w:numPr>
    </w:pPr>
  </w:style>
  <w:style w:type="paragraph" w:customStyle="1" w:styleId="ListNumber3Level3">
    <w:name w:val="List Number 3 (Level 3)"/>
    <w:basedOn w:val="Text3"/>
    <w:semiHidden/>
    <w:unhideWhenUsed/>
    <w:rsid w:val="00671023"/>
    <w:pPr>
      <w:numPr>
        <w:ilvl w:val="2"/>
        <w:numId w:val="8"/>
      </w:numPr>
    </w:pPr>
  </w:style>
  <w:style w:type="paragraph" w:customStyle="1" w:styleId="ListNumber3Level4">
    <w:name w:val="List Number 3 (Level 4)"/>
    <w:basedOn w:val="Text3"/>
    <w:semiHidden/>
    <w:unhideWhenUsed/>
    <w:rsid w:val="00671023"/>
    <w:pPr>
      <w:numPr>
        <w:ilvl w:val="3"/>
        <w:numId w:val="8"/>
      </w:numPr>
    </w:pPr>
  </w:style>
  <w:style w:type="paragraph" w:styleId="ListNumber4">
    <w:name w:val="List Number 4"/>
    <w:basedOn w:val="Text4"/>
    <w:rsid w:val="00671023"/>
    <w:pPr>
      <w:numPr>
        <w:numId w:val="7"/>
      </w:numPr>
    </w:pPr>
  </w:style>
  <w:style w:type="paragraph" w:customStyle="1" w:styleId="ListNumber4Level2">
    <w:name w:val="List Number 4 (Level 2)"/>
    <w:basedOn w:val="Text4"/>
    <w:rsid w:val="00671023"/>
    <w:pPr>
      <w:numPr>
        <w:ilvl w:val="1"/>
        <w:numId w:val="7"/>
      </w:numPr>
    </w:pPr>
  </w:style>
  <w:style w:type="paragraph" w:customStyle="1" w:styleId="ListNumber4Level3">
    <w:name w:val="List Number 4 (Level 3)"/>
    <w:basedOn w:val="Text4"/>
    <w:semiHidden/>
    <w:unhideWhenUsed/>
    <w:rsid w:val="00671023"/>
    <w:pPr>
      <w:numPr>
        <w:ilvl w:val="2"/>
        <w:numId w:val="7"/>
      </w:numPr>
    </w:pPr>
  </w:style>
  <w:style w:type="paragraph" w:customStyle="1" w:styleId="ListNumber4Level4">
    <w:name w:val="List Number 4 (Level 4)"/>
    <w:basedOn w:val="Text4"/>
    <w:semiHidden/>
    <w:unhideWhenUsed/>
    <w:rsid w:val="00671023"/>
    <w:pPr>
      <w:numPr>
        <w:ilvl w:val="3"/>
        <w:numId w:val="7"/>
      </w:numPr>
    </w:pPr>
  </w:style>
  <w:style w:type="paragraph" w:customStyle="1" w:styleId="Marking">
    <w:name w:val="Marking"/>
    <w:basedOn w:val="Normal"/>
    <w:rsid w:val="00671023"/>
    <w:pPr>
      <w:spacing w:line="276" w:lineRule="auto"/>
      <w:ind w:left="5102" w:right="-567"/>
      <w:contextualSpacing/>
      <w:jc w:val="left"/>
    </w:pPr>
    <w:rPr>
      <w:sz w:val="28"/>
    </w:rPr>
  </w:style>
  <w:style w:type="paragraph" w:customStyle="1" w:styleId="LegalNumPar">
    <w:name w:val="LegalNumPar"/>
    <w:basedOn w:val="Normal"/>
    <w:qFormat/>
    <w:rsid w:val="00671023"/>
    <w:pPr>
      <w:numPr>
        <w:numId w:val="17"/>
      </w:numPr>
      <w:tabs>
        <w:tab w:val="clear" w:pos="476"/>
        <w:tab w:val="num" w:pos="360"/>
      </w:tabs>
      <w:spacing w:line="360" w:lineRule="auto"/>
      <w:ind w:left="0" w:firstLine="0"/>
      <w:jc w:val="left"/>
    </w:pPr>
  </w:style>
  <w:style w:type="paragraph" w:customStyle="1" w:styleId="LegalNumPar2">
    <w:name w:val="LegalNumPar2"/>
    <w:basedOn w:val="Normal"/>
    <w:rsid w:val="00671023"/>
    <w:pPr>
      <w:numPr>
        <w:ilvl w:val="1"/>
        <w:numId w:val="17"/>
      </w:numPr>
      <w:tabs>
        <w:tab w:val="clear" w:pos="952"/>
        <w:tab w:val="num" w:pos="360"/>
      </w:tabs>
      <w:spacing w:line="360" w:lineRule="auto"/>
      <w:ind w:left="0" w:firstLine="0"/>
      <w:jc w:val="left"/>
    </w:pPr>
  </w:style>
  <w:style w:type="paragraph" w:customStyle="1" w:styleId="LegalNumPar3">
    <w:name w:val="LegalNumPar3"/>
    <w:basedOn w:val="Normal"/>
    <w:rsid w:val="00671023"/>
    <w:pPr>
      <w:numPr>
        <w:ilvl w:val="2"/>
        <w:numId w:val="17"/>
      </w:numPr>
      <w:tabs>
        <w:tab w:val="clear" w:pos="1429"/>
        <w:tab w:val="num" w:pos="360"/>
      </w:tabs>
      <w:spacing w:line="360" w:lineRule="auto"/>
      <w:ind w:left="0" w:firstLine="0"/>
      <w:jc w:val="left"/>
    </w:pPr>
  </w:style>
  <w:style w:type="paragraph" w:styleId="Header">
    <w:name w:val="header"/>
    <w:basedOn w:val="Normal"/>
    <w:link w:val="HeaderChar"/>
    <w:rsid w:val="00671023"/>
    <w:pPr>
      <w:tabs>
        <w:tab w:val="center" w:pos="4150"/>
        <w:tab w:val="right" w:pos="8306"/>
      </w:tabs>
      <w:spacing w:after="0"/>
    </w:pPr>
  </w:style>
  <w:style w:type="character" w:customStyle="1" w:styleId="HeaderChar">
    <w:name w:val="Header Char"/>
    <w:basedOn w:val="DefaultParagraphFont"/>
    <w:link w:val="Header"/>
    <w:rsid w:val="00671023"/>
    <w:rPr>
      <w:rFonts w:ascii="Times New Roman" w:eastAsia="Times New Roman" w:hAnsi="Times New Roman" w:cs="Times New Roman"/>
      <w:kern w:val="0"/>
      <w:sz w:val="24"/>
      <w:szCs w:val="20"/>
      <w:lang w:eastAsia="en-GB"/>
    </w:rPr>
  </w:style>
  <w:style w:type="table" w:customStyle="1" w:styleId="TableHistory">
    <w:name w:val="Table History"/>
    <w:basedOn w:val="TableNormal"/>
    <w:uiPriority w:val="99"/>
    <w:rsid w:val="00671023"/>
    <w:pPr>
      <w:spacing w:before="60" w:after="60" w:line="264" w:lineRule="auto"/>
    </w:pPr>
    <w:rPr>
      <w:rFonts w:ascii="Times New Roman" w:eastAsia="Times New Roman" w:hAnsi="Times New Roman" w:cs="Times New Roman"/>
      <w:kern w:val="0"/>
      <w:szCs w:val="20"/>
      <w:lang w:eastAsia="en-GB"/>
    </w:rPr>
    <w:tblPr>
      <w:tblInd w:w="142" w:type="dxa"/>
    </w:tblPr>
  </w:style>
  <w:style w:type="table" w:customStyle="1" w:styleId="TableLetterhead">
    <w:name w:val="Table Letterhead"/>
    <w:basedOn w:val="TableNormal"/>
    <w:uiPriority w:val="99"/>
    <w:rsid w:val="00671023"/>
    <w:pPr>
      <w:spacing w:after="0" w:line="240" w:lineRule="auto"/>
    </w:pPr>
    <w:rPr>
      <w:rFonts w:ascii="Times New Roman" w:eastAsia="Times New Roman" w:hAnsi="Times New Roman" w:cs="Times New Roman"/>
      <w:kern w:val="0"/>
      <w:sz w:val="24"/>
      <w:szCs w:val="20"/>
      <w:lang w:eastAsia="en-GB"/>
    </w:rPr>
    <w:tblPr/>
  </w:style>
  <w:style w:type="paragraph" w:customStyle="1" w:styleId="Default">
    <w:name w:val="Default"/>
    <w:rsid w:val="00671023"/>
    <w:pPr>
      <w:autoSpaceDE w:val="0"/>
      <w:autoSpaceDN w:val="0"/>
      <w:adjustRightInd w:val="0"/>
      <w:spacing w:after="0" w:line="240" w:lineRule="auto"/>
    </w:pPr>
    <w:rPr>
      <w:rFonts w:ascii="Garamond" w:hAnsi="Garamond" w:cs="Garamond"/>
      <w:color w:val="000000"/>
      <w:kern w:val="0"/>
      <w:sz w:val="24"/>
      <w:szCs w:val="24"/>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FootnotesymbolCarZchn"/>
    <w:uiPriority w:val="99"/>
    <w:unhideWhenUsed/>
    <w:qFormat/>
    <w:rsid w:val="0067102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671023"/>
    <w:pPr>
      <w:spacing w:after="160" w:line="240" w:lineRule="exact"/>
    </w:pPr>
    <w:rPr>
      <w:rFonts w:asciiTheme="minorHAnsi" w:eastAsiaTheme="minorHAnsi" w:hAnsiTheme="minorHAnsi" w:cstheme="minorBidi"/>
      <w:kern w:val="2"/>
      <w:sz w:val="22"/>
      <w:szCs w:val="22"/>
      <w:vertAlign w:val="superscript"/>
      <w:lang w:eastAsia="en-US"/>
    </w:rPr>
  </w:style>
  <w:style w:type="paragraph" w:styleId="BalloonText">
    <w:name w:val="Balloon Text"/>
    <w:basedOn w:val="Normal"/>
    <w:link w:val="BalloonTextChar"/>
    <w:semiHidden/>
    <w:rsid w:val="0067102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71023"/>
    <w:rPr>
      <w:rFonts w:ascii="Segoe UI" w:eastAsia="Times New Roman" w:hAnsi="Segoe UI" w:cs="Segoe UI"/>
      <w:kern w:val="0"/>
      <w:sz w:val="18"/>
      <w:szCs w:val="18"/>
      <w:lang w:eastAsia="en-GB"/>
    </w:rPr>
  </w:style>
  <w:style w:type="character" w:styleId="Hyperlink">
    <w:name w:val="Hyperlink"/>
    <w:basedOn w:val="DefaultParagraphFont"/>
    <w:uiPriority w:val="99"/>
    <w:unhideWhenUsed/>
    <w:rsid w:val="00671023"/>
    <w:rPr>
      <w:color w:val="0000FF" w:themeColor="hyperlink"/>
      <w:u w:val="single"/>
    </w:rPr>
  </w:style>
  <w:style w:type="table" w:styleId="TableGrid">
    <w:name w:val="Table Grid"/>
    <w:basedOn w:val="TableNormal"/>
    <w:uiPriority w:val="59"/>
    <w:rsid w:val="00671023"/>
    <w:pPr>
      <w:spacing w:after="0" w:line="240" w:lineRule="auto"/>
    </w:pPr>
    <w:rPr>
      <w:rFonts w:ascii="Times New Roman" w:eastAsia="Times New Roman" w:hAnsi="Times New Roman" w:cs="Times New Roman"/>
      <w:kern w:val="0"/>
      <w:sz w:val="20"/>
      <w:szCs w:val="20"/>
      <w:lang w:eastAsia="en-GB"/>
    </w:rPr>
    <w:tblPr/>
  </w:style>
  <w:style w:type="character" w:styleId="CommentReference">
    <w:name w:val="annotation reference"/>
    <w:basedOn w:val="DefaultParagraphFont"/>
    <w:uiPriority w:val="99"/>
    <w:semiHidden/>
    <w:rsid w:val="00671023"/>
    <w:rPr>
      <w:sz w:val="16"/>
      <w:szCs w:val="16"/>
    </w:rPr>
  </w:style>
  <w:style w:type="paragraph" w:styleId="CommentText">
    <w:name w:val="annotation text"/>
    <w:basedOn w:val="Normal"/>
    <w:link w:val="CommentTextChar"/>
    <w:uiPriority w:val="99"/>
    <w:rsid w:val="00671023"/>
    <w:rPr>
      <w:sz w:val="20"/>
    </w:rPr>
  </w:style>
  <w:style w:type="character" w:customStyle="1" w:styleId="CommentTextChar">
    <w:name w:val="Comment Text Char"/>
    <w:basedOn w:val="DefaultParagraphFont"/>
    <w:link w:val="CommentText"/>
    <w:uiPriority w:val="99"/>
    <w:rsid w:val="00671023"/>
    <w:rPr>
      <w:rFonts w:ascii="Times New Roman" w:eastAsia="Times New Roman" w:hAnsi="Times New Roman" w:cs="Times New Roman"/>
      <w:kern w:val="0"/>
      <w:sz w:val="20"/>
      <w:szCs w:val="20"/>
      <w:lang w:eastAsia="en-GB"/>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671023"/>
  </w:style>
  <w:style w:type="paragraph" w:customStyle="1" w:styleId="Question">
    <w:name w:val="Question"/>
    <w:basedOn w:val="Normal"/>
    <w:qFormat/>
    <w:rsid w:val="00671023"/>
    <w:pPr>
      <w:jc w:val="left"/>
    </w:pPr>
    <w:rPr>
      <w:b/>
      <w:snapToGrid w:val="0"/>
      <w:sz w:val="20"/>
      <w:szCs w:val="24"/>
    </w:rPr>
  </w:style>
  <w:style w:type="paragraph" w:customStyle="1" w:styleId="bodytext">
    <w:name w:val="bodytext"/>
    <w:basedOn w:val="Normal"/>
    <w:rsid w:val="00671023"/>
    <w:pPr>
      <w:spacing w:before="100" w:beforeAutospacing="1" w:after="100" w:afterAutospacing="1"/>
      <w:jc w:val="left"/>
    </w:pPr>
    <w:rPr>
      <w:szCs w:val="24"/>
    </w:rPr>
  </w:style>
  <w:style w:type="paragraph" w:styleId="CommentSubject">
    <w:name w:val="annotation subject"/>
    <w:basedOn w:val="CommentText"/>
    <w:next w:val="CommentText"/>
    <w:link w:val="CommentSubjectChar"/>
    <w:semiHidden/>
    <w:unhideWhenUsed/>
    <w:rsid w:val="00671023"/>
    <w:rPr>
      <w:b/>
      <w:bCs/>
    </w:rPr>
  </w:style>
  <w:style w:type="character" w:customStyle="1" w:styleId="CommentSubjectChar">
    <w:name w:val="Comment Subject Char"/>
    <w:basedOn w:val="CommentTextChar"/>
    <w:link w:val="CommentSubject"/>
    <w:semiHidden/>
    <w:rsid w:val="00671023"/>
    <w:rPr>
      <w:rFonts w:ascii="Times New Roman" w:eastAsia="Times New Roman" w:hAnsi="Times New Roman" w:cs="Times New Roman"/>
      <w:b/>
      <w:bCs/>
      <w:kern w:val="0"/>
      <w:sz w:val="20"/>
      <w:szCs w:val="20"/>
      <w:lang w:eastAsia="en-GB"/>
    </w:rPr>
  </w:style>
  <w:style w:type="character" w:styleId="EndnoteReference">
    <w:name w:val="endnote reference"/>
    <w:basedOn w:val="DefaultParagraphFont"/>
    <w:semiHidden/>
    <w:rsid w:val="00671023"/>
    <w:rPr>
      <w:vertAlign w:val="superscript"/>
    </w:rPr>
  </w:style>
  <w:style w:type="paragraph" w:styleId="PlainText">
    <w:name w:val="Plain Text"/>
    <w:basedOn w:val="Normal"/>
    <w:link w:val="PlainTextChar"/>
    <w:uiPriority w:val="99"/>
    <w:unhideWhenUsed/>
    <w:rsid w:val="00671023"/>
    <w:pPr>
      <w:spacing w:after="0"/>
      <w:jc w:val="left"/>
    </w:pPr>
    <w:rPr>
      <w:rFonts w:ascii="Calibri" w:eastAsiaTheme="minorHAnsi" w:hAnsi="Calibri" w:cs="Calibri"/>
      <w:szCs w:val="24"/>
      <w:lang w:eastAsia="en-US"/>
    </w:rPr>
  </w:style>
  <w:style w:type="character" w:customStyle="1" w:styleId="PlainTextChar">
    <w:name w:val="Plain Text Char"/>
    <w:basedOn w:val="DefaultParagraphFont"/>
    <w:link w:val="PlainText"/>
    <w:uiPriority w:val="99"/>
    <w:rsid w:val="00671023"/>
    <w:rPr>
      <w:rFonts w:ascii="Calibri" w:hAnsi="Calibri" w:cs="Calibri"/>
      <w:kern w:val="0"/>
      <w:sz w:val="24"/>
      <w:szCs w:val="24"/>
    </w:rPr>
  </w:style>
  <w:style w:type="character" w:customStyle="1" w:styleId="UnresolvedMention1">
    <w:name w:val="Unresolved Mention1"/>
    <w:basedOn w:val="DefaultParagraphFont"/>
    <w:uiPriority w:val="99"/>
    <w:semiHidden/>
    <w:unhideWhenUsed/>
    <w:rsid w:val="00671023"/>
    <w:rPr>
      <w:color w:val="605E5C"/>
      <w:shd w:val="clear" w:color="auto" w:fill="E1DFDD"/>
    </w:rPr>
  </w:style>
  <w:style w:type="paragraph" w:styleId="Revision">
    <w:name w:val="Revision"/>
    <w:hidden/>
    <w:semiHidden/>
    <w:rsid w:val="00671023"/>
    <w:pPr>
      <w:spacing w:after="0" w:line="240" w:lineRule="auto"/>
    </w:pPr>
    <w:rPr>
      <w:rFonts w:ascii="Times New Roman" w:eastAsia="Times New Roman" w:hAnsi="Times New Roman" w:cs="Times New Roman"/>
      <w:kern w:val="0"/>
      <w:sz w:val="24"/>
      <w:szCs w:val="20"/>
      <w:lang w:eastAsia="en-GB"/>
    </w:rPr>
  </w:style>
  <w:style w:type="paragraph" w:customStyle="1" w:styleId="MeetingIntro">
    <w:name w:val="MeetingIntro"/>
    <w:basedOn w:val="Normal"/>
    <w:rsid w:val="00671023"/>
    <w:pPr>
      <w:spacing w:after="0"/>
      <w:jc w:val="left"/>
    </w:pPr>
    <w:rPr>
      <w:b/>
      <w:sz w:val="16"/>
      <w:szCs w:val="24"/>
      <w:lang w:eastAsia="en-US"/>
    </w:rPr>
  </w:style>
  <w:style w:type="paragraph" w:customStyle="1" w:styleId="Normal1">
    <w:name w:val="Normal1"/>
    <w:basedOn w:val="Normal"/>
    <w:rsid w:val="00671023"/>
    <w:pPr>
      <w:spacing w:before="100" w:beforeAutospacing="1" w:after="100" w:afterAutospacing="1"/>
      <w:jc w:val="left"/>
    </w:pPr>
    <w:rPr>
      <w:szCs w:val="24"/>
    </w:rPr>
  </w:style>
  <w:style w:type="numbering" w:customStyle="1" w:styleId="ImportedStyle2">
    <w:name w:val="Imported Style 2"/>
    <w:rsid w:val="00671023"/>
    <w:pPr>
      <w:numPr>
        <w:numId w:val="19"/>
      </w:numPr>
    </w:pPr>
  </w:style>
  <w:style w:type="paragraph" w:customStyle="1" w:styleId="doc-ti">
    <w:name w:val="doc-ti"/>
    <w:basedOn w:val="Normal"/>
    <w:uiPriority w:val="99"/>
    <w:rsid w:val="00671023"/>
    <w:pPr>
      <w:spacing w:before="100" w:beforeAutospacing="1" w:after="100" w:afterAutospacing="1"/>
      <w:jc w:val="left"/>
    </w:pPr>
    <w:rPr>
      <w:rFonts w:eastAsiaTheme="minorHAnsi"/>
      <w:szCs w:val="24"/>
    </w:rPr>
  </w:style>
  <w:style w:type="character" w:styleId="FollowedHyperlink">
    <w:name w:val="FollowedHyperlink"/>
    <w:basedOn w:val="DefaultParagraphFont"/>
    <w:semiHidden/>
    <w:unhideWhenUsed/>
    <w:rsid w:val="00671023"/>
    <w:rPr>
      <w:color w:val="800080" w:themeColor="followedHyperlink"/>
      <w:u w:val="single"/>
    </w:rPr>
  </w:style>
  <w:style w:type="numbering" w:customStyle="1" w:styleId="ImportedStyle3">
    <w:name w:val="Imported Style 3"/>
    <w:rsid w:val="00671023"/>
    <w:pPr>
      <w:numPr>
        <w:numId w:val="20"/>
      </w:numPr>
    </w:pPr>
  </w:style>
  <w:style w:type="paragraph" w:customStyle="1" w:styleId="Body">
    <w:name w:val="Body"/>
    <w:rsid w:val="00671023"/>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kern w:val="0"/>
      <w:sz w:val="24"/>
      <w:szCs w:val="24"/>
      <w:u w:color="000000"/>
      <w:bdr w:val="nil"/>
      <w:lang w:eastAsia="en-GB"/>
    </w:rPr>
  </w:style>
  <w:style w:type="character" w:customStyle="1" w:styleId="Onopgelostemelding1">
    <w:name w:val="Onopgeloste melding1"/>
    <w:basedOn w:val="DefaultParagraphFont"/>
    <w:uiPriority w:val="99"/>
    <w:semiHidden/>
    <w:unhideWhenUsed/>
    <w:rsid w:val="00671023"/>
    <w:rPr>
      <w:color w:val="605E5C"/>
      <w:shd w:val="clear" w:color="auto" w:fill="E1DFDD"/>
    </w:rPr>
  </w:style>
  <w:style w:type="paragraph" w:customStyle="1" w:styleId="Pagedecouverture">
    <w:name w:val="Page de couverture"/>
    <w:basedOn w:val="Normal"/>
    <w:next w:val="Normal"/>
    <w:rsid w:val="00671023"/>
    <w:pPr>
      <w:spacing w:after="0"/>
    </w:pPr>
    <w:rPr>
      <w:rFonts w:eastAsiaTheme="minorHAnsi"/>
      <w:szCs w:val="22"/>
      <w:lang w:eastAsia="en-US"/>
    </w:rPr>
  </w:style>
  <w:style w:type="paragraph" w:customStyle="1" w:styleId="FooterCoverPage">
    <w:name w:val="Footer Cover Page"/>
    <w:basedOn w:val="Normal"/>
    <w:link w:val="FooterCoverPageChar"/>
    <w:rsid w:val="0067102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71023"/>
    <w:rPr>
      <w:rFonts w:ascii="Times New Roman" w:eastAsia="Times New Roman" w:hAnsi="Times New Roman" w:cs="Times New Roman"/>
      <w:kern w:val="0"/>
      <w:sz w:val="24"/>
      <w:szCs w:val="20"/>
      <w:lang w:eastAsia="en-GB"/>
    </w:rPr>
  </w:style>
  <w:style w:type="paragraph" w:customStyle="1" w:styleId="HeaderCoverPage">
    <w:name w:val="Header Cover Page"/>
    <w:basedOn w:val="Normal"/>
    <w:link w:val="HeaderCoverPageChar"/>
    <w:rsid w:val="00671023"/>
    <w:pPr>
      <w:tabs>
        <w:tab w:val="center" w:pos="4535"/>
        <w:tab w:val="right" w:pos="9071"/>
      </w:tabs>
      <w:spacing w:after="120"/>
    </w:pPr>
  </w:style>
  <w:style w:type="character" w:customStyle="1" w:styleId="HeaderCoverPageChar">
    <w:name w:val="Header Cover Page Char"/>
    <w:basedOn w:val="DefaultParagraphFont"/>
    <w:link w:val="HeaderCoverPage"/>
    <w:rsid w:val="00671023"/>
    <w:rPr>
      <w:rFonts w:ascii="Times New Roman" w:eastAsia="Times New Roman" w:hAnsi="Times New Roman" w:cs="Times New Roman"/>
      <w:kern w:val="0"/>
      <w:sz w:val="24"/>
      <w:szCs w:val="20"/>
      <w:lang w:eastAsia="en-GB"/>
    </w:rPr>
  </w:style>
  <w:style w:type="character" w:customStyle="1" w:styleId="Marker">
    <w:name w:val="Marker"/>
    <w:basedOn w:val="DefaultParagraphFont"/>
    <w:rsid w:val="00671023"/>
    <w:rPr>
      <w:color w:val="0000FF"/>
      <w:shd w:val="clear" w:color="auto" w:fill="auto"/>
    </w:rPr>
  </w:style>
  <w:style w:type="paragraph" w:customStyle="1" w:styleId="FooterSensitivity">
    <w:name w:val="Footer Sensitivity"/>
    <w:basedOn w:val="Normal"/>
    <w:link w:val="FooterSensitivityChar"/>
    <w:rsid w:val="006710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71023"/>
    <w:rPr>
      <w:rFonts w:ascii="Times New Roman" w:eastAsia="Times New Roman" w:hAnsi="Times New Roman" w:cs="Times New Roman"/>
      <w:b/>
      <w:kern w:val="0"/>
      <w:sz w:val="32"/>
      <w:szCs w:val="20"/>
      <w:lang w:eastAsia="en-GB"/>
    </w:rPr>
  </w:style>
  <w:style w:type="paragraph" w:customStyle="1" w:styleId="HeaderSensitivity">
    <w:name w:val="Header Sensitivity"/>
    <w:basedOn w:val="Normal"/>
    <w:link w:val="HeaderSensitivityChar"/>
    <w:rsid w:val="0067102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671023"/>
    <w:rPr>
      <w:rFonts w:ascii="Times New Roman" w:eastAsia="Times New Roman" w:hAnsi="Times New Roman" w:cs="Times New Roman"/>
      <w:b/>
      <w:kern w:val="0"/>
      <w:sz w:val="32"/>
      <w:szCs w:val="20"/>
      <w:lang w:eastAsia="en-GB"/>
    </w:rPr>
  </w:style>
  <w:style w:type="paragraph" w:customStyle="1" w:styleId="HeaderSensitivityRight">
    <w:name w:val="Header Sensitivity Right"/>
    <w:basedOn w:val="Normal"/>
    <w:link w:val="HeaderSensitivityRightChar"/>
    <w:rsid w:val="00671023"/>
    <w:pPr>
      <w:spacing w:after="120"/>
      <w:jc w:val="right"/>
    </w:pPr>
    <w:rPr>
      <w:sz w:val="28"/>
    </w:rPr>
  </w:style>
  <w:style w:type="character" w:customStyle="1" w:styleId="HeaderSensitivityRightChar">
    <w:name w:val="Header Sensitivity Right Char"/>
    <w:basedOn w:val="DefaultParagraphFont"/>
    <w:link w:val="HeaderSensitivityRight"/>
    <w:rsid w:val="00671023"/>
    <w:rPr>
      <w:rFonts w:ascii="Times New Roman" w:eastAsia="Times New Roman" w:hAnsi="Times New Roman" w:cs="Times New Roman"/>
      <w:kern w:val="0"/>
      <w:sz w:val="28"/>
      <w:szCs w:val="20"/>
      <w:lang w:eastAsia="en-GB"/>
    </w:rPr>
  </w:style>
  <w:style w:type="paragraph" w:customStyle="1" w:styleId="whitespace-normal">
    <w:name w:val="whitespace-normal"/>
    <w:basedOn w:val="Normal"/>
    <w:rsid w:val="00671023"/>
    <w:pPr>
      <w:spacing w:before="100" w:beforeAutospacing="1" w:after="100" w:afterAutospacing="1"/>
      <w:jc w:val="left"/>
    </w:pPr>
    <w:rPr>
      <w:szCs w:val="24"/>
    </w:rPr>
  </w:style>
  <w:style w:type="character" w:customStyle="1" w:styleId="UnresolvedMention">
    <w:name w:val="Unresolved Mention"/>
    <w:basedOn w:val="DefaultParagraphFont"/>
    <w:uiPriority w:val="99"/>
    <w:semiHidden/>
    <w:unhideWhenUsed/>
    <w:rsid w:val="00671023"/>
    <w:rPr>
      <w:color w:val="605E5C"/>
      <w:shd w:val="clear" w:color="auto" w:fill="E1DFDD"/>
    </w:rPr>
  </w:style>
  <w:style w:type="paragraph" w:styleId="NormalWeb">
    <w:name w:val="Normal (Web)"/>
    <w:basedOn w:val="Normal"/>
    <w:semiHidden/>
    <w:unhideWhenUsed/>
    <w:rsid w:val="00671023"/>
    <w:rPr>
      <w:szCs w:val="24"/>
    </w:rPr>
  </w:style>
  <w:style w:type="character" w:customStyle="1" w:styleId="Mention">
    <w:name w:val="Mention"/>
    <w:basedOn w:val="DefaultParagraphFont"/>
    <w:uiPriority w:val="99"/>
    <w:unhideWhenUsed/>
    <w:rsid w:val="00671023"/>
    <w:rPr>
      <w:color w:val="2B579A"/>
      <w:shd w:val="clear" w:color="auto" w:fill="E1DFDD"/>
    </w:rPr>
  </w:style>
  <w:style w:type="paragraph" w:styleId="NoSpacing">
    <w:name w:val="No Spacing"/>
    <w:uiPriority w:val="1"/>
    <w:qFormat/>
    <w:rsid w:val="00671023"/>
    <w:pPr>
      <w:spacing w:after="0" w:line="240" w:lineRule="auto"/>
    </w:pPr>
    <w:rPr>
      <w:rFonts w:ascii="Times New Roman" w:eastAsia="Times New Roman" w:hAnsi="Times New Roman" w:cs="Times New Roman"/>
      <w:kern w:val="0"/>
      <w:sz w:val="24"/>
      <w:szCs w:val="20"/>
      <w:lang w:eastAsia="en-GB"/>
    </w:rPr>
  </w:style>
  <w:style w:type="paragraph" w:customStyle="1" w:styleId="Languesfaisantfoi">
    <w:name w:val="Langues faisant foi"/>
    <w:basedOn w:val="Normal"/>
    <w:next w:val="Normal"/>
    <w:rsid w:val="00776344"/>
    <w:pPr>
      <w:spacing w:before="360"/>
      <w:jc w:val="center"/>
    </w:pPr>
    <w:rPr>
      <w:rFonts w:eastAsiaTheme="minorHAnsi"/>
      <w:szCs w:val="22"/>
      <w:lang w:eastAsia="en-US"/>
      <w14:ligatures w14:val="none"/>
    </w:rPr>
  </w:style>
  <w:style w:type="paragraph" w:customStyle="1" w:styleId="LanguesfaisantfoiPagedecouverture">
    <w:name w:val="Langues faisant foi (Page de couverture)"/>
    <w:basedOn w:val="Normal"/>
    <w:next w:val="Normal"/>
    <w:rsid w:val="00776344"/>
    <w:pPr>
      <w:spacing w:before="360"/>
      <w:jc w:val="center"/>
    </w:pPr>
    <w:rPr>
      <w:rFonts w:eastAsiaTheme="minorHAnsi"/>
      <w:szCs w:val="22"/>
      <w:lang w:eastAsia="en-US"/>
      <w14:ligatures w14:val="none"/>
    </w:rPr>
  </w:style>
  <w:style w:type="paragraph" w:customStyle="1" w:styleId="IntrtEEE">
    <w:name w:val="Intérêt EEE"/>
    <w:basedOn w:val="Languesfaisantfoi"/>
    <w:next w:val="Normal"/>
    <w:rsid w:val="00776344"/>
    <w:pPr>
      <w:spacing w:after="0"/>
    </w:pPr>
  </w:style>
  <w:style w:type="paragraph" w:customStyle="1" w:styleId="IntrtEEEPagedecouverture">
    <w:name w:val="Intérêt EEE (Page de couverture)"/>
    <w:basedOn w:val="IntrtEEE"/>
    <w:next w:val="Normal"/>
    <w:rsid w:val="0077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4600">
      <w:bodyDiv w:val="1"/>
      <w:marLeft w:val="0"/>
      <w:marRight w:val="0"/>
      <w:marTop w:val="0"/>
      <w:marBottom w:val="0"/>
      <w:divBdr>
        <w:top w:val="none" w:sz="0" w:space="0" w:color="auto"/>
        <w:left w:val="none" w:sz="0" w:space="0" w:color="auto"/>
        <w:bottom w:val="none" w:sz="0" w:space="0" w:color="auto"/>
        <w:right w:val="none" w:sz="0" w:space="0" w:color="auto"/>
      </w:divBdr>
    </w:div>
    <w:div w:id="138617078">
      <w:bodyDiv w:val="1"/>
      <w:marLeft w:val="0"/>
      <w:marRight w:val="0"/>
      <w:marTop w:val="0"/>
      <w:marBottom w:val="0"/>
      <w:divBdr>
        <w:top w:val="none" w:sz="0" w:space="0" w:color="auto"/>
        <w:left w:val="none" w:sz="0" w:space="0" w:color="auto"/>
        <w:bottom w:val="none" w:sz="0" w:space="0" w:color="auto"/>
        <w:right w:val="none" w:sz="0" w:space="0" w:color="auto"/>
      </w:divBdr>
    </w:div>
    <w:div w:id="157500577">
      <w:bodyDiv w:val="1"/>
      <w:marLeft w:val="0"/>
      <w:marRight w:val="0"/>
      <w:marTop w:val="0"/>
      <w:marBottom w:val="0"/>
      <w:divBdr>
        <w:top w:val="none" w:sz="0" w:space="0" w:color="auto"/>
        <w:left w:val="none" w:sz="0" w:space="0" w:color="auto"/>
        <w:bottom w:val="none" w:sz="0" w:space="0" w:color="auto"/>
        <w:right w:val="none" w:sz="0" w:space="0" w:color="auto"/>
      </w:divBdr>
    </w:div>
    <w:div w:id="270434211">
      <w:bodyDiv w:val="1"/>
      <w:marLeft w:val="0"/>
      <w:marRight w:val="0"/>
      <w:marTop w:val="0"/>
      <w:marBottom w:val="0"/>
      <w:divBdr>
        <w:top w:val="none" w:sz="0" w:space="0" w:color="auto"/>
        <w:left w:val="none" w:sz="0" w:space="0" w:color="auto"/>
        <w:bottom w:val="none" w:sz="0" w:space="0" w:color="auto"/>
        <w:right w:val="none" w:sz="0" w:space="0" w:color="auto"/>
      </w:divBdr>
    </w:div>
    <w:div w:id="356200829">
      <w:bodyDiv w:val="1"/>
      <w:marLeft w:val="0"/>
      <w:marRight w:val="0"/>
      <w:marTop w:val="0"/>
      <w:marBottom w:val="0"/>
      <w:divBdr>
        <w:top w:val="none" w:sz="0" w:space="0" w:color="auto"/>
        <w:left w:val="none" w:sz="0" w:space="0" w:color="auto"/>
        <w:bottom w:val="none" w:sz="0" w:space="0" w:color="auto"/>
        <w:right w:val="none" w:sz="0" w:space="0" w:color="auto"/>
      </w:divBdr>
    </w:div>
    <w:div w:id="444007414">
      <w:bodyDiv w:val="1"/>
      <w:marLeft w:val="0"/>
      <w:marRight w:val="0"/>
      <w:marTop w:val="0"/>
      <w:marBottom w:val="0"/>
      <w:divBdr>
        <w:top w:val="none" w:sz="0" w:space="0" w:color="auto"/>
        <w:left w:val="none" w:sz="0" w:space="0" w:color="auto"/>
        <w:bottom w:val="none" w:sz="0" w:space="0" w:color="auto"/>
        <w:right w:val="none" w:sz="0" w:space="0" w:color="auto"/>
      </w:divBdr>
    </w:div>
    <w:div w:id="462576578">
      <w:bodyDiv w:val="1"/>
      <w:marLeft w:val="0"/>
      <w:marRight w:val="0"/>
      <w:marTop w:val="0"/>
      <w:marBottom w:val="0"/>
      <w:divBdr>
        <w:top w:val="none" w:sz="0" w:space="0" w:color="auto"/>
        <w:left w:val="none" w:sz="0" w:space="0" w:color="auto"/>
        <w:bottom w:val="none" w:sz="0" w:space="0" w:color="auto"/>
        <w:right w:val="none" w:sz="0" w:space="0" w:color="auto"/>
      </w:divBdr>
    </w:div>
    <w:div w:id="552153895">
      <w:bodyDiv w:val="1"/>
      <w:marLeft w:val="0"/>
      <w:marRight w:val="0"/>
      <w:marTop w:val="0"/>
      <w:marBottom w:val="0"/>
      <w:divBdr>
        <w:top w:val="none" w:sz="0" w:space="0" w:color="auto"/>
        <w:left w:val="none" w:sz="0" w:space="0" w:color="auto"/>
        <w:bottom w:val="none" w:sz="0" w:space="0" w:color="auto"/>
        <w:right w:val="none" w:sz="0" w:space="0" w:color="auto"/>
      </w:divBdr>
    </w:div>
    <w:div w:id="566840761">
      <w:bodyDiv w:val="1"/>
      <w:marLeft w:val="0"/>
      <w:marRight w:val="0"/>
      <w:marTop w:val="0"/>
      <w:marBottom w:val="0"/>
      <w:divBdr>
        <w:top w:val="none" w:sz="0" w:space="0" w:color="auto"/>
        <w:left w:val="none" w:sz="0" w:space="0" w:color="auto"/>
        <w:bottom w:val="none" w:sz="0" w:space="0" w:color="auto"/>
        <w:right w:val="none" w:sz="0" w:space="0" w:color="auto"/>
      </w:divBdr>
      <w:divsChild>
        <w:div w:id="62652836">
          <w:marLeft w:val="0"/>
          <w:marRight w:val="0"/>
          <w:marTop w:val="0"/>
          <w:marBottom w:val="0"/>
          <w:divBdr>
            <w:top w:val="none" w:sz="0" w:space="0" w:color="auto"/>
            <w:left w:val="none" w:sz="0" w:space="0" w:color="auto"/>
            <w:bottom w:val="none" w:sz="0" w:space="0" w:color="auto"/>
            <w:right w:val="none" w:sz="0" w:space="0" w:color="auto"/>
          </w:divBdr>
          <w:divsChild>
            <w:div w:id="461072753">
              <w:marLeft w:val="0"/>
              <w:marRight w:val="0"/>
              <w:marTop w:val="0"/>
              <w:marBottom w:val="0"/>
              <w:divBdr>
                <w:top w:val="none" w:sz="0" w:space="0" w:color="auto"/>
                <w:left w:val="none" w:sz="0" w:space="0" w:color="auto"/>
                <w:bottom w:val="none" w:sz="0" w:space="0" w:color="auto"/>
                <w:right w:val="none" w:sz="0" w:space="0" w:color="auto"/>
              </w:divBdr>
            </w:div>
            <w:div w:id="664482363">
              <w:marLeft w:val="0"/>
              <w:marRight w:val="0"/>
              <w:marTop w:val="0"/>
              <w:marBottom w:val="0"/>
              <w:divBdr>
                <w:top w:val="none" w:sz="0" w:space="0" w:color="auto"/>
                <w:left w:val="none" w:sz="0" w:space="0" w:color="auto"/>
                <w:bottom w:val="none" w:sz="0" w:space="0" w:color="auto"/>
                <w:right w:val="none" w:sz="0" w:space="0" w:color="auto"/>
              </w:divBdr>
            </w:div>
            <w:div w:id="829104865">
              <w:marLeft w:val="0"/>
              <w:marRight w:val="0"/>
              <w:marTop w:val="0"/>
              <w:marBottom w:val="0"/>
              <w:divBdr>
                <w:top w:val="none" w:sz="0" w:space="0" w:color="auto"/>
                <w:left w:val="none" w:sz="0" w:space="0" w:color="auto"/>
                <w:bottom w:val="none" w:sz="0" w:space="0" w:color="auto"/>
                <w:right w:val="none" w:sz="0" w:space="0" w:color="auto"/>
              </w:divBdr>
            </w:div>
            <w:div w:id="888882628">
              <w:marLeft w:val="0"/>
              <w:marRight w:val="0"/>
              <w:marTop w:val="0"/>
              <w:marBottom w:val="0"/>
              <w:divBdr>
                <w:top w:val="none" w:sz="0" w:space="0" w:color="auto"/>
                <w:left w:val="none" w:sz="0" w:space="0" w:color="auto"/>
                <w:bottom w:val="none" w:sz="0" w:space="0" w:color="auto"/>
                <w:right w:val="none" w:sz="0" w:space="0" w:color="auto"/>
              </w:divBdr>
            </w:div>
            <w:div w:id="897059423">
              <w:marLeft w:val="0"/>
              <w:marRight w:val="0"/>
              <w:marTop w:val="0"/>
              <w:marBottom w:val="0"/>
              <w:divBdr>
                <w:top w:val="none" w:sz="0" w:space="0" w:color="auto"/>
                <w:left w:val="none" w:sz="0" w:space="0" w:color="auto"/>
                <w:bottom w:val="none" w:sz="0" w:space="0" w:color="auto"/>
                <w:right w:val="none" w:sz="0" w:space="0" w:color="auto"/>
              </w:divBdr>
            </w:div>
            <w:div w:id="993485440">
              <w:marLeft w:val="0"/>
              <w:marRight w:val="0"/>
              <w:marTop w:val="0"/>
              <w:marBottom w:val="0"/>
              <w:divBdr>
                <w:top w:val="none" w:sz="0" w:space="0" w:color="auto"/>
                <w:left w:val="none" w:sz="0" w:space="0" w:color="auto"/>
                <w:bottom w:val="none" w:sz="0" w:space="0" w:color="auto"/>
                <w:right w:val="none" w:sz="0" w:space="0" w:color="auto"/>
              </w:divBdr>
            </w:div>
            <w:div w:id="1089354858">
              <w:marLeft w:val="0"/>
              <w:marRight w:val="0"/>
              <w:marTop w:val="0"/>
              <w:marBottom w:val="0"/>
              <w:divBdr>
                <w:top w:val="none" w:sz="0" w:space="0" w:color="auto"/>
                <w:left w:val="none" w:sz="0" w:space="0" w:color="auto"/>
                <w:bottom w:val="none" w:sz="0" w:space="0" w:color="auto"/>
                <w:right w:val="none" w:sz="0" w:space="0" w:color="auto"/>
              </w:divBdr>
            </w:div>
            <w:div w:id="1162620331">
              <w:marLeft w:val="0"/>
              <w:marRight w:val="0"/>
              <w:marTop w:val="0"/>
              <w:marBottom w:val="0"/>
              <w:divBdr>
                <w:top w:val="none" w:sz="0" w:space="0" w:color="auto"/>
                <w:left w:val="none" w:sz="0" w:space="0" w:color="auto"/>
                <w:bottom w:val="none" w:sz="0" w:space="0" w:color="auto"/>
                <w:right w:val="none" w:sz="0" w:space="0" w:color="auto"/>
              </w:divBdr>
            </w:div>
            <w:div w:id="1326519082">
              <w:marLeft w:val="0"/>
              <w:marRight w:val="0"/>
              <w:marTop w:val="0"/>
              <w:marBottom w:val="0"/>
              <w:divBdr>
                <w:top w:val="none" w:sz="0" w:space="0" w:color="auto"/>
                <w:left w:val="none" w:sz="0" w:space="0" w:color="auto"/>
                <w:bottom w:val="none" w:sz="0" w:space="0" w:color="auto"/>
                <w:right w:val="none" w:sz="0" w:space="0" w:color="auto"/>
              </w:divBdr>
            </w:div>
            <w:div w:id="1365446722">
              <w:marLeft w:val="0"/>
              <w:marRight w:val="0"/>
              <w:marTop w:val="0"/>
              <w:marBottom w:val="0"/>
              <w:divBdr>
                <w:top w:val="none" w:sz="0" w:space="0" w:color="auto"/>
                <w:left w:val="none" w:sz="0" w:space="0" w:color="auto"/>
                <w:bottom w:val="none" w:sz="0" w:space="0" w:color="auto"/>
                <w:right w:val="none" w:sz="0" w:space="0" w:color="auto"/>
              </w:divBdr>
            </w:div>
            <w:div w:id="1517496851">
              <w:marLeft w:val="0"/>
              <w:marRight w:val="0"/>
              <w:marTop w:val="0"/>
              <w:marBottom w:val="0"/>
              <w:divBdr>
                <w:top w:val="none" w:sz="0" w:space="0" w:color="auto"/>
                <w:left w:val="none" w:sz="0" w:space="0" w:color="auto"/>
                <w:bottom w:val="none" w:sz="0" w:space="0" w:color="auto"/>
                <w:right w:val="none" w:sz="0" w:space="0" w:color="auto"/>
              </w:divBdr>
            </w:div>
            <w:div w:id="1523742978">
              <w:marLeft w:val="0"/>
              <w:marRight w:val="0"/>
              <w:marTop w:val="0"/>
              <w:marBottom w:val="0"/>
              <w:divBdr>
                <w:top w:val="none" w:sz="0" w:space="0" w:color="auto"/>
                <w:left w:val="none" w:sz="0" w:space="0" w:color="auto"/>
                <w:bottom w:val="none" w:sz="0" w:space="0" w:color="auto"/>
                <w:right w:val="none" w:sz="0" w:space="0" w:color="auto"/>
              </w:divBdr>
            </w:div>
            <w:div w:id="1538277011">
              <w:marLeft w:val="0"/>
              <w:marRight w:val="0"/>
              <w:marTop w:val="0"/>
              <w:marBottom w:val="0"/>
              <w:divBdr>
                <w:top w:val="none" w:sz="0" w:space="0" w:color="auto"/>
                <w:left w:val="none" w:sz="0" w:space="0" w:color="auto"/>
                <w:bottom w:val="none" w:sz="0" w:space="0" w:color="auto"/>
                <w:right w:val="none" w:sz="0" w:space="0" w:color="auto"/>
              </w:divBdr>
            </w:div>
            <w:div w:id="1747527478">
              <w:marLeft w:val="0"/>
              <w:marRight w:val="0"/>
              <w:marTop w:val="0"/>
              <w:marBottom w:val="0"/>
              <w:divBdr>
                <w:top w:val="none" w:sz="0" w:space="0" w:color="auto"/>
                <w:left w:val="none" w:sz="0" w:space="0" w:color="auto"/>
                <w:bottom w:val="none" w:sz="0" w:space="0" w:color="auto"/>
                <w:right w:val="none" w:sz="0" w:space="0" w:color="auto"/>
              </w:divBdr>
            </w:div>
            <w:div w:id="1804619728">
              <w:marLeft w:val="0"/>
              <w:marRight w:val="0"/>
              <w:marTop w:val="0"/>
              <w:marBottom w:val="0"/>
              <w:divBdr>
                <w:top w:val="none" w:sz="0" w:space="0" w:color="auto"/>
                <w:left w:val="none" w:sz="0" w:space="0" w:color="auto"/>
                <w:bottom w:val="none" w:sz="0" w:space="0" w:color="auto"/>
                <w:right w:val="none" w:sz="0" w:space="0" w:color="auto"/>
              </w:divBdr>
            </w:div>
            <w:div w:id="1836262394">
              <w:marLeft w:val="0"/>
              <w:marRight w:val="0"/>
              <w:marTop w:val="0"/>
              <w:marBottom w:val="0"/>
              <w:divBdr>
                <w:top w:val="none" w:sz="0" w:space="0" w:color="auto"/>
                <w:left w:val="none" w:sz="0" w:space="0" w:color="auto"/>
                <w:bottom w:val="none" w:sz="0" w:space="0" w:color="auto"/>
                <w:right w:val="none" w:sz="0" w:space="0" w:color="auto"/>
              </w:divBdr>
            </w:div>
            <w:div w:id="1862234231">
              <w:marLeft w:val="0"/>
              <w:marRight w:val="0"/>
              <w:marTop w:val="0"/>
              <w:marBottom w:val="0"/>
              <w:divBdr>
                <w:top w:val="none" w:sz="0" w:space="0" w:color="auto"/>
                <w:left w:val="none" w:sz="0" w:space="0" w:color="auto"/>
                <w:bottom w:val="none" w:sz="0" w:space="0" w:color="auto"/>
                <w:right w:val="none" w:sz="0" w:space="0" w:color="auto"/>
              </w:divBdr>
            </w:div>
            <w:div w:id="1876428569">
              <w:marLeft w:val="0"/>
              <w:marRight w:val="0"/>
              <w:marTop w:val="0"/>
              <w:marBottom w:val="0"/>
              <w:divBdr>
                <w:top w:val="none" w:sz="0" w:space="0" w:color="auto"/>
                <w:left w:val="none" w:sz="0" w:space="0" w:color="auto"/>
                <w:bottom w:val="none" w:sz="0" w:space="0" w:color="auto"/>
                <w:right w:val="none" w:sz="0" w:space="0" w:color="auto"/>
              </w:divBdr>
            </w:div>
            <w:div w:id="1920939143">
              <w:marLeft w:val="0"/>
              <w:marRight w:val="0"/>
              <w:marTop w:val="0"/>
              <w:marBottom w:val="0"/>
              <w:divBdr>
                <w:top w:val="none" w:sz="0" w:space="0" w:color="auto"/>
                <w:left w:val="none" w:sz="0" w:space="0" w:color="auto"/>
                <w:bottom w:val="none" w:sz="0" w:space="0" w:color="auto"/>
                <w:right w:val="none" w:sz="0" w:space="0" w:color="auto"/>
              </w:divBdr>
            </w:div>
            <w:div w:id="2100245868">
              <w:marLeft w:val="0"/>
              <w:marRight w:val="0"/>
              <w:marTop w:val="0"/>
              <w:marBottom w:val="0"/>
              <w:divBdr>
                <w:top w:val="none" w:sz="0" w:space="0" w:color="auto"/>
                <w:left w:val="none" w:sz="0" w:space="0" w:color="auto"/>
                <w:bottom w:val="none" w:sz="0" w:space="0" w:color="auto"/>
                <w:right w:val="none" w:sz="0" w:space="0" w:color="auto"/>
              </w:divBdr>
            </w:div>
          </w:divsChild>
        </w:div>
        <w:div w:id="353121074">
          <w:marLeft w:val="0"/>
          <w:marRight w:val="0"/>
          <w:marTop w:val="0"/>
          <w:marBottom w:val="0"/>
          <w:divBdr>
            <w:top w:val="none" w:sz="0" w:space="0" w:color="auto"/>
            <w:left w:val="none" w:sz="0" w:space="0" w:color="auto"/>
            <w:bottom w:val="none" w:sz="0" w:space="0" w:color="auto"/>
            <w:right w:val="none" w:sz="0" w:space="0" w:color="auto"/>
          </w:divBdr>
          <w:divsChild>
            <w:div w:id="1254436256">
              <w:marLeft w:val="0"/>
              <w:marRight w:val="0"/>
              <w:marTop w:val="0"/>
              <w:marBottom w:val="0"/>
              <w:divBdr>
                <w:top w:val="none" w:sz="0" w:space="0" w:color="auto"/>
                <w:left w:val="none" w:sz="0" w:space="0" w:color="auto"/>
                <w:bottom w:val="none" w:sz="0" w:space="0" w:color="auto"/>
                <w:right w:val="none" w:sz="0" w:space="0" w:color="auto"/>
              </w:divBdr>
            </w:div>
            <w:div w:id="1751536633">
              <w:marLeft w:val="0"/>
              <w:marRight w:val="0"/>
              <w:marTop w:val="0"/>
              <w:marBottom w:val="0"/>
              <w:divBdr>
                <w:top w:val="none" w:sz="0" w:space="0" w:color="auto"/>
                <w:left w:val="none" w:sz="0" w:space="0" w:color="auto"/>
                <w:bottom w:val="none" w:sz="0" w:space="0" w:color="auto"/>
                <w:right w:val="none" w:sz="0" w:space="0" w:color="auto"/>
              </w:divBdr>
            </w:div>
          </w:divsChild>
        </w:div>
        <w:div w:id="629821307">
          <w:marLeft w:val="0"/>
          <w:marRight w:val="0"/>
          <w:marTop w:val="0"/>
          <w:marBottom w:val="0"/>
          <w:divBdr>
            <w:top w:val="none" w:sz="0" w:space="0" w:color="auto"/>
            <w:left w:val="none" w:sz="0" w:space="0" w:color="auto"/>
            <w:bottom w:val="none" w:sz="0" w:space="0" w:color="auto"/>
            <w:right w:val="none" w:sz="0" w:space="0" w:color="auto"/>
          </w:divBdr>
          <w:divsChild>
            <w:div w:id="76683060">
              <w:marLeft w:val="0"/>
              <w:marRight w:val="0"/>
              <w:marTop w:val="0"/>
              <w:marBottom w:val="0"/>
              <w:divBdr>
                <w:top w:val="none" w:sz="0" w:space="0" w:color="auto"/>
                <w:left w:val="none" w:sz="0" w:space="0" w:color="auto"/>
                <w:bottom w:val="none" w:sz="0" w:space="0" w:color="auto"/>
                <w:right w:val="none" w:sz="0" w:space="0" w:color="auto"/>
              </w:divBdr>
            </w:div>
            <w:div w:id="157501402">
              <w:marLeft w:val="0"/>
              <w:marRight w:val="0"/>
              <w:marTop w:val="0"/>
              <w:marBottom w:val="0"/>
              <w:divBdr>
                <w:top w:val="none" w:sz="0" w:space="0" w:color="auto"/>
                <w:left w:val="none" w:sz="0" w:space="0" w:color="auto"/>
                <w:bottom w:val="none" w:sz="0" w:space="0" w:color="auto"/>
                <w:right w:val="none" w:sz="0" w:space="0" w:color="auto"/>
              </w:divBdr>
            </w:div>
            <w:div w:id="470056876">
              <w:marLeft w:val="0"/>
              <w:marRight w:val="0"/>
              <w:marTop w:val="0"/>
              <w:marBottom w:val="0"/>
              <w:divBdr>
                <w:top w:val="none" w:sz="0" w:space="0" w:color="auto"/>
                <w:left w:val="none" w:sz="0" w:space="0" w:color="auto"/>
                <w:bottom w:val="none" w:sz="0" w:space="0" w:color="auto"/>
                <w:right w:val="none" w:sz="0" w:space="0" w:color="auto"/>
              </w:divBdr>
            </w:div>
            <w:div w:id="812481553">
              <w:marLeft w:val="0"/>
              <w:marRight w:val="0"/>
              <w:marTop w:val="0"/>
              <w:marBottom w:val="0"/>
              <w:divBdr>
                <w:top w:val="none" w:sz="0" w:space="0" w:color="auto"/>
                <w:left w:val="none" w:sz="0" w:space="0" w:color="auto"/>
                <w:bottom w:val="none" w:sz="0" w:space="0" w:color="auto"/>
                <w:right w:val="none" w:sz="0" w:space="0" w:color="auto"/>
              </w:divBdr>
            </w:div>
            <w:div w:id="1028334535">
              <w:marLeft w:val="0"/>
              <w:marRight w:val="0"/>
              <w:marTop w:val="0"/>
              <w:marBottom w:val="0"/>
              <w:divBdr>
                <w:top w:val="none" w:sz="0" w:space="0" w:color="auto"/>
                <w:left w:val="none" w:sz="0" w:space="0" w:color="auto"/>
                <w:bottom w:val="none" w:sz="0" w:space="0" w:color="auto"/>
                <w:right w:val="none" w:sz="0" w:space="0" w:color="auto"/>
              </w:divBdr>
            </w:div>
          </w:divsChild>
        </w:div>
        <w:div w:id="1863744889">
          <w:marLeft w:val="0"/>
          <w:marRight w:val="0"/>
          <w:marTop w:val="0"/>
          <w:marBottom w:val="0"/>
          <w:divBdr>
            <w:top w:val="none" w:sz="0" w:space="0" w:color="auto"/>
            <w:left w:val="none" w:sz="0" w:space="0" w:color="auto"/>
            <w:bottom w:val="none" w:sz="0" w:space="0" w:color="auto"/>
            <w:right w:val="none" w:sz="0" w:space="0" w:color="auto"/>
          </w:divBdr>
          <w:divsChild>
            <w:div w:id="3166595">
              <w:marLeft w:val="0"/>
              <w:marRight w:val="0"/>
              <w:marTop w:val="0"/>
              <w:marBottom w:val="0"/>
              <w:divBdr>
                <w:top w:val="none" w:sz="0" w:space="0" w:color="auto"/>
                <w:left w:val="none" w:sz="0" w:space="0" w:color="auto"/>
                <w:bottom w:val="none" w:sz="0" w:space="0" w:color="auto"/>
                <w:right w:val="none" w:sz="0" w:space="0" w:color="auto"/>
              </w:divBdr>
            </w:div>
            <w:div w:id="471605632">
              <w:marLeft w:val="0"/>
              <w:marRight w:val="0"/>
              <w:marTop w:val="0"/>
              <w:marBottom w:val="0"/>
              <w:divBdr>
                <w:top w:val="none" w:sz="0" w:space="0" w:color="auto"/>
                <w:left w:val="none" w:sz="0" w:space="0" w:color="auto"/>
                <w:bottom w:val="none" w:sz="0" w:space="0" w:color="auto"/>
                <w:right w:val="none" w:sz="0" w:space="0" w:color="auto"/>
              </w:divBdr>
            </w:div>
            <w:div w:id="484854061">
              <w:marLeft w:val="0"/>
              <w:marRight w:val="0"/>
              <w:marTop w:val="0"/>
              <w:marBottom w:val="0"/>
              <w:divBdr>
                <w:top w:val="none" w:sz="0" w:space="0" w:color="auto"/>
                <w:left w:val="none" w:sz="0" w:space="0" w:color="auto"/>
                <w:bottom w:val="none" w:sz="0" w:space="0" w:color="auto"/>
                <w:right w:val="none" w:sz="0" w:space="0" w:color="auto"/>
              </w:divBdr>
            </w:div>
            <w:div w:id="501356910">
              <w:marLeft w:val="0"/>
              <w:marRight w:val="0"/>
              <w:marTop w:val="0"/>
              <w:marBottom w:val="0"/>
              <w:divBdr>
                <w:top w:val="none" w:sz="0" w:space="0" w:color="auto"/>
                <w:left w:val="none" w:sz="0" w:space="0" w:color="auto"/>
                <w:bottom w:val="none" w:sz="0" w:space="0" w:color="auto"/>
                <w:right w:val="none" w:sz="0" w:space="0" w:color="auto"/>
              </w:divBdr>
            </w:div>
            <w:div w:id="592590246">
              <w:marLeft w:val="0"/>
              <w:marRight w:val="0"/>
              <w:marTop w:val="0"/>
              <w:marBottom w:val="0"/>
              <w:divBdr>
                <w:top w:val="none" w:sz="0" w:space="0" w:color="auto"/>
                <w:left w:val="none" w:sz="0" w:space="0" w:color="auto"/>
                <w:bottom w:val="none" w:sz="0" w:space="0" w:color="auto"/>
                <w:right w:val="none" w:sz="0" w:space="0" w:color="auto"/>
              </w:divBdr>
            </w:div>
            <w:div w:id="619338358">
              <w:marLeft w:val="0"/>
              <w:marRight w:val="0"/>
              <w:marTop w:val="0"/>
              <w:marBottom w:val="0"/>
              <w:divBdr>
                <w:top w:val="none" w:sz="0" w:space="0" w:color="auto"/>
                <w:left w:val="none" w:sz="0" w:space="0" w:color="auto"/>
                <w:bottom w:val="none" w:sz="0" w:space="0" w:color="auto"/>
                <w:right w:val="none" w:sz="0" w:space="0" w:color="auto"/>
              </w:divBdr>
            </w:div>
            <w:div w:id="767581086">
              <w:marLeft w:val="0"/>
              <w:marRight w:val="0"/>
              <w:marTop w:val="0"/>
              <w:marBottom w:val="0"/>
              <w:divBdr>
                <w:top w:val="none" w:sz="0" w:space="0" w:color="auto"/>
                <w:left w:val="none" w:sz="0" w:space="0" w:color="auto"/>
                <w:bottom w:val="none" w:sz="0" w:space="0" w:color="auto"/>
                <w:right w:val="none" w:sz="0" w:space="0" w:color="auto"/>
              </w:divBdr>
            </w:div>
            <w:div w:id="878279094">
              <w:marLeft w:val="0"/>
              <w:marRight w:val="0"/>
              <w:marTop w:val="0"/>
              <w:marBottom w:val="0"/>
              <w:divBdr>
                <w:top w:val="none" w:sz="0" w:space="0" w:color="auto"/>
                <w:left w:val="none" w:sz="0" w:space="0" w:color="auto"/>
                <w:bottom w:val="none" w:sz="0" w:space="0" w:color="auto"/>
                <w:right w:val="none" w:sz="0" w:space="0" w:color="auto"/>
              </w:divBdr>
            </w:div>
            <w:div w:id="965936468">
              <w:marLeft w:val="0"/>
              <w:marRight w:val="0"/>
              <w:marTop w:val="0"/>
              <w:marBottom w:val="0"/>
              <w:divBdr>
                <w:top w:val="none" w:sz="0" w:space="0" w:color="auto"/>
                <w:left w:val="none" w:sz="0" w:space="0" w:color="auto"/>
                <w:bottom w:val="none" w:sz="0" w:space="0" w:color="auto"/>
                <w:right w:val="none" w:sz="0" w:space="0" w:color="auto"/>
              </w:divBdr>
            </w:div>
            <w:div w:id="1125394199">
              <w:marLeft w:val="0"/>
              <w:marRight w:val="0"/>
              <w:marTop w:val="0"/>
              <w:marBottom w:val="0"/>
              <w:divBdr>
                <w:top w:val="none" w:sz="0" w:space="0" w:color="auto"/>
                <w:left w:val="none" w:sz="0" w:space="0" w:color="auto"/>
                <w:bottom w:val="none" w:sz="0" w:space="0" w:color="auto"/>
                <w:right w:val="none" w:sz="0" w:space="0" w:color="auto"/>
              </w:divBdr>
            </w:div>
            <w:div w:id="1138572692">
              <w:marLeft w:val="0"/>
              <w:marRight w:val="0"/>
              <w:marTop w:val="0"/>
              <w:marBottom w:val="0"/>
              <w:divBdr>
                <w:top w:val="none" w:sz="0" w:space="0" w:color="auto"/>
                <w:left w:val="none" w:sz="0" w:space="0" w:color="auto"/>
                <w:bottom w:val="none" w:sz="0" w:space="0" w:color="auto"/>
                <w:right w:val="none" w:sz="0" w:space="0" w:color="auto"/>
              </w:divBdr>
            </w:div>
            <w:div w:id="1175921591">
              <w:marLeft w:val="0"/>
              <w:marRight w:val="0"/>
              <w:marTop w:val="0"/>
              <w:marBottom w:val="0"/>
              <w:divBdr>
                <w:top w:val="none" w:sz="0" w:space="0" w:color="auto"/>
                <w:left w:val="none" w:sz="0" w:space="0" w:color="auto"/>
                <w:bottom w:val="none" w:sz="0" w:space="0" w:color="auto"/>
                <w:right w:val="none" w:sz="0" w:space="0" w:color="auto"/>
              </w:divBdr>
            </w:div>
            <w:div w:id="1192182118">
              <w:marLeft w:val="0"/>
              <w:marRight w:val="0"/>
              <w:marTop w:val="0"/>
              <w:marBottom w:val="0"/>
              <w:divBdr>
                <w:top w:val="none" w:sz="0" w:space="0" w:color="auto"/>
                <w:left w:val="none" w:sz="0" w:space="0" w:color="auto"/>
                <w:bottom w:val="none" w:sz="0" w:space="0" w:color="auto"/>
                <w:right w:val="none" w:sz="0" w:space="0" w:color="auto"/>
              </w:divBdr>
            </w:div>
            <w:div w:id="1220242516">
              <w:marLeft w:val="0"/>
              <w:marRight w:val="0"/>
              <w:marTop w:val="0"/>
              <w:marBottom w:val="0"/>
              <w:divBdr>
                <w:top w:val="none" w:sz="0" w:space="0" w:color="auto"/>
                <w:left w:val="none" w:sz="0" w:space="0" w:color="auto"/>
                <w:bottom w:val="none" w:sz="0" w:space="0" w:color="auto"/>
                <w:right w:val="none" w:sz="0" w:space="0" w:color="auto"/>
              </w:divBdr>
            </w:div>
            <w:div w:id="1366980922">
              <w:marLeft w:val="0"/>
              <w:marRight w:val="0"/>
              <w:marTop w:val="0"/>
              <w:marBottom w:val="0"/>
              <w:divBdr>
                <w:top w:val="none" w:sz="0" w:space="0" w:color="auto"/>
                <w:left w:val="none" w:sz="0" w:space="0" w:color="auto"/>
                <w:bottom w:val="none" w:sz="0" w:space="0" w:color="auto"/>
                <w:right w:val="none" w:sz="0" w:space="0" w:color="auto"/>
              </w:divBdr>
            </w:div>
            <w:div w:id="1447581249">
              <w:marLeft w:val="0"/>
              <w:marRight w:val="0"/>
              <w:marTop w:val="0"/>
              <w:marBottom w:val="0"/>
              <w:divBdr>
                <w:top w:val="none" w:sz="0" w:space="0" w:color="auto"/>
                <w:left w:val="none" w:sz="0" w:space="0" w:color="auto"/>
                <w:bottom w:val="none" w:sz="0" w:space="0" w:color="auto"/>
                <w:right w:val="none" w:sz="0" w:space="0" w:color="auto"/>
              </w:divBdr>
            </w:div>
            <w:div w:id="1721829097">
              <w:marLeft w:val="0"/>
              <w:marRight w:val="0"/>
              <w:marTop w:val="0"/>
              <w:marBottom w:val="0"/>
              <w:divBdr>
                <w:top w:val="none" w:sz="0" w:space="0" w:color="auto"/>
                <w:left w:val="none" w:sz="0" w:space="0" w:color="auto"/>
                <w:bottom w:val="none" w:sz="0" w:space="0" w:color="auto"/>
                <w:right w:val="none" w:sz="0" w:space="0" w:color="auto"/>
              </w:divBdr>
            </w:div>
            <w:div w:id="1792017043">
              <w:marLeft w:val="0"/>
              <w:marRight w:val="0"/>
              <w:marTop w:val="0"/>
              <w:marBottom w:val="0"/>
              <w:divBdr>
                <w:top w:val="none" w:sz="0" w:space="0" w:color="auto"/>
                <w:left w:val="none" w:sz="0" w:space="0" w:color="auto"/>
                <w:bottom w:val="none" w:sz="0" w:space="0" w:color="auto"/>
                <w:right w:val="none" w:sz="0" w:space="0" w:color="auto"/>
              </w:divBdr>
            </w:div>
            <w:div w:id="1822387357">
              <w:marLeft w:val="0"/>
              <w:marRight w:val="0"/>
              <w:marTop w:val="0"/>
              <w:marBottom w:val="0"/>
              <w:divBdr>
                <w:top w:val="none" w:sz="0" w:space="0" w:color="auto"/>
                <w:left w:val="none" w:sz="0" w:space="0" w:color="auto"/>
                <w:bottom w:val="none" w:sz="0" w:space="0" w:color="auto"/>
                <w:right w:val="none" w:sz="0" w:space="0" w:color="auto"/>
              </w:divBdr>
            </w:div>
            <w:div w:id="1940595966">
              <w:marLeft w:val="0"/>
              <w:marRight w:val="0"/>
              <w:marTop w:val="0"/>
              <w:marBottom w:val="0"/>
              <w:divBdr>
                <w:top w:val="none" w:sz="0" w:space="0" w:color="auto"/>
                <w:left w:val="none" w:sz="0" w:space="0" w:color="auto"/>
                <w:bottom w:val="none" w:sz="0" w:space="0" w:color="auto"/>
                <w:right w:val="none" w:sz="0" w:space="0" w:color="auto"/>
              </w:divBdr>
            </w:div>
          </w:divsChild>
        </w:div>
        <w:div w:id="1971858453">
          <w:marLeft w:val="0"/>
          <w:marRight w:val="0"/>
          <w:marTop w:val="0"/>
          <w:marBottom w:val="0"/>
          <w:divBdr>
            <w:top w:val="none" w:sz="0" w:space="0" w:color="auto"/>
            <w:left w:val="none" w:sz="0" w:space="0" w:color="auto"/>
            <w:bottom w:val="none" w:sz="0" w:space="0" w:color="auto"/>
            <w:right w:val="none" w:sz="0" w:space="0" w:color="auto"/>
          </w:divBdr>
          <w:divsChild>
            <w:div w:id="316228987">
              <w:marLeft w:val="0"/>
              <w:marRight w:val="0"/>
              <w:marTop w:val="0"/>
              <w:marBottom w:val="0"/>
              <w:divBdr>
                <w:top w:val="none" w:sz="0" w:space="0" w:color="auto"/>
                <w:left w:val="none" w:sz="0" w:space="0" w:color="auto"/>
                <w:bottom w:val="none" w:sz="0" w:space="0" w:color="auto"/>
                <w:right w:val="none" w:sz="0" w:space="0" w:color="auto"/>
              </w:divBdr>
            </w:div>
            <w:div w:id="316807767">
              <w:marLeft w:val="0"/>
              <w:marRight w:val="0"/>
              <w:marTop w:val="0"/>
              <w:marBottom w:val="0"/>
              <w:divBdr>
                <w:top w:val="none" w:sz="0" w:space="0" w:color="auto"/>
                <w:left w:val="none" w:sz="0" w:space="0" w:color="auto"/>
                <w:bottom w:val="none" w:sz="0" w:space="0" w:color="auto"/>
                <w:right w:val="none" w:sz="0" w:space="0" w:color="auto"/>
              </w:divBdr>
            </w:div>
            <w:div w:id="355158990">
              <w:marLeft w:val="0"/>
              <w:marRight w:val="0"/>
              <w:marTop w:val="0"/>
              <w:marBottom w:val="0"/>
              <w:divBdr>
                <w:top w:val="none" w:sz="0" w:space="0" w:color="auto"/>
                <w:left w:val="none" w:sz="0" w:space="0" w:color="auto"/>
                <w:bottom w:val="none" w:sz="0" w:space="0" w:color="auto"/>
                <w:right w:val="none" w:sz="0" w:space="0" w:color="auto"/>
              </w:divBdr>
            </w:div>
            <w:div w:id="436756933">
              <w:marLeft w:val="0"/>
              <w:marRight w:val="0"/>
              <w:marTop w:val="0"/>
              <w:marBottom w:val="0"/>
              <w:divBdr>
                <w:top w:val="none" w:sz="0" w:space="0" w:color="auto"/>
                <w:left w:val="none" w:sz="0" w:space="0" w:color="auto"/>
                <w:bottom w:val="none" w:sz="0" w:space="0" w:color="auto"/>
                <w:right w:val="none" w:sz="0" w:space="0" w:color="auto"/>
              </w:divBdr>
            </w:div>
            <w:div w:id="543952213">
              <w:marLeft w:val="0"/>
              <w:marRight w:val="0"/>
              <w:marTop w:val="0"/>
              <w:marBottom w:val="0"/>
              <w:divBdr>
                <w:top w:val="none" w:sz="0" w:space="0" w:color="auto"/>
                <w:left w:val="none" w:sz="0" w:space="0" w:color="auto"/>
                <w:bottom w:val="none" w:sz="0" w:space="0" w:color="auto"/>
                <w:right w:val="none" w:sz="0" w:space="0" w:color="auto"/>
              </w:divBdr>
            </w:div>
            <w:div w:id="689069521">
              <w:marLeft w:val="0"/>
              <w:marRight w:val="0"/>
              <w:marTop w:val="0"/>
              <w:marBottom w:val="0"/>
              <w:divBdr>
                <w:top w:val="none" w:sz="0" w:space="0" w:color="auto"/>
                <w:left w:val="none" w:sz="0" w:space="0" w:color="auto"/>
                <w:bottom w:val="none" w:sz="0" w:space="0" w:color="auto"/>
                <w:right w:val="none" w:sz="0" w:space="0" w:color="auto"/>
              </w:divBdr>
            </w:div>
            <w:div w:id="747726846">
              <w:marLeft w:val="0"/>
              <w:marRight w:val="0"/>
              <w:marTop w:val="0"/>
              <w:marBottom w:val="0"/>
              <w:divBdr>
                <w:top w:val="none" w:sz="0" w:space="0" w:color="auto"/>
                <w:left w:val="none" w:sz="0" w:space="0" w:color="auto"/>
                <w:bottom w:val="none" w:sz="0" w:space="0" w:color="auto"/>
                <w:right w:val="none" w:sz="0" w:space="0" w:color="auto"/>
              </w:divBdr>
            </w:div>
            <w:div w:id="747927017">
              <w:marLeft w:val="0"/>
              <w:marRight w:val="0"/>
              <w:marTop w:val="0"/>
              <w:marBottom w:val="0"/>
              <w:divBdr>
                <w:top w:val="none" w:sz="0" w:space="0" w:color="auto"/>
                <w:left w:val="none" w:sz="0" w:space="0" w:color="auto"/>
                <w:bottom w:val="none" w:sz="0" w:space="0" w:color="auto"/>
                <w:right w:val="none" w:sz="0" w:space="0" w:color="auto"/>
              </w:divBdr>
            </w:div>
            <w:div w:id="749232768">
              <w:marLeft w:val="0"/>
              <w:marRight w:val="0"/>
              <w:marTop w:val="0"/>
              <w:marBottom w:val="0"/>
              <w:divBdr>
                <w:top w:val="none" w:sz="0" w:space="0" w:color="auto"/>
                <w:left w:val="none" w:sz="0" w:space="0" w:color="auto"/>
                <w:bottom w:val="none" w:sz="0" w:space="0" w:color="auto"/>
                <w:right w:val="none" w:sz="0" w:space="0" w:color="auto"/>
              </w:divBdr>
            </w:div>
            <w:div w:id="752046135">
              <w:marLeft w:val="0"/>
              <w:marRight w:val="0"/>
              <w:marTop w:val="0"/>
              <w:marBottom w:val="0"/>
              <w:divBdr>
                <w:top w:val="none" w:sz="0" w:space="0" w:color="auto"/>
                <w:left w:val="none" w:sz="0" w:space="0" w:color="auto"/>
                <w:bottom w:val="none" w:sz="0" w:space="0" w:color="auto"/>
                <w:right w:val="none" w:sz="0" w:space="0" w:color="auto"/>
              </w:divBdr>
            </w:div>
            <w:div w:id="880896050">
              <w:marLeft w:val="0"/>
              <w:marRight w:val="0"/>
              <w:marTop w:val="0"/>
              <w:marBottom w:val="0"/>
              <w:divBdr>
                <w:top w:val="none" w:sz="0" w:space="0" w:color="auto"/>
                <w:left w:val="none" w:sz="0" w:space="0" w:color="auto"/>
                <w:bottom w:val="none" w:sz="0" w:space="0" w:color="auto"/>
                <w:right w:val="none" w:sz="0" w:space="0" w:color="auto"/>
              </w:divBdr>
            </w:div>
            <w:div w:id="1055859413">
              <w:marLeft w:val="0"/>
              <w:marRight w:val="0"/>
              <w:marTop w:val="0"/>
              <w:marBottom w:val="0"/>
              <w:divBdr>
                <w:top w:val="none" w:sz="0" w:space="0" w:color="auto"/>
                <w:left w:val="none" w:sz="0" w:space="0" w:color="auto"/>
                <w:bottom w:val="none" w:sz="0" w:space="0" w:color="auto"/>
                <w:right w:val="none" w:sz="0" w:space="0" w:color="auto"/>
              </w:divBdr>
            </w:div>
            <w:div w:id="1252810265">
              <w:marLeft w:val="0"/>
              <w:marRight w:val="0"/>
              <w:marTop w:val="0"/>
              <w:marBottom w:val="0"/>
              <w:divBdr>
                <w:top w:val="none" w:sz="0" w:space="0" w:color="auto"/>
                <w:left w:val="none" w:sz="0" w:space="0" w:color="auto"/>
                <w:bottom w:val="none" w:sz="0" w:space="0" w:color="auto"/>
                <w:right w:val="none" w:sz="0" w:space="0" w:color="auto"/>
              </w:divBdr>
            </w:div>
            <w:div w:id="1320647522">
              <w:marLeft w:val="0"/>
              <w:marRight w:val="0"/>
              <w:marTop w:val="0"/>
              <w:marBottom w:val="0"/>
              <w:divBdr>
                <w:top w:val="none" w:sz="0" w:space="0" w:color="auto"/>
                <w:left w:val="none" w:sz="0" w:space="0" w:color="auto"/>
                <w:bottom w:val="none" w:sz="0" w:space="0" w:color="auto"/>
                <w:right w:val="none" w:sz="0" w:space="0" w:color="auto"/>
              </w:divBdr>
            </w:div>
            <w:div w:id="1425997853">
              <w:marLeft w:val="0"/>
              <w:marRight w:val="0"/>
              <w:marTop w:val="0"/>
              <w:marBottom w:val="0"/>
              <w:divBdr>
                <w:top w:val="none" w:sz="0" w:space="0" w:color="auto"/>
                <w:left w:val="none" w:sz="0" w:space="0" w:color="auto"/>
                <w:bottom w:val="none" w:sz="0" w:space="0" w:color="auto"/>
                <w:right w:val="none" w:sz="0" w:space="0" w:color="auto"/>
              </w:divBdr>
            </w:div>
            <w:div w:id="1502433834">
              <w:marLeft w:val="0"/>
              <w:marRight w:val="0"/>
              <w:marTop w:val="0"/>
              <w:marBottom w:val="0"/>
              <w:divBdr>
                <w:top w:val="none" w:sz="0" w:space="0" w:color="auto"/>
                <w:left w:val="none" w:sz="0" w:space="0" w:color="auto"/>
                <w:bottom w:val="none" w:sz="0" w:space="0" w:color="auto"/>
                <w:right w:val="none" w:sz="0" w:space="0" w:color="auto"/>
              </w:divBdr>
            </w:div>
            <w:div w:id="1657032413">
              <w:marLeft w:val="0"/>
              <w:marRight w:val="0"/>
              <w:marTop w:val="0"/>
              <w:marBottom w:val="0"/>
              <w:divBdr>
                <w:top w:val="none" w:sz="0" w:space="0" w:color="auto"/>
                <w:left w:val="none" w:sz="0" w:space="0" w:color="auto"/>
                <w:bottom w:val="none" w:sz="0" w:space="0" w:color="auto"/>
                <w:right w:val="none" w:sz="0" w:space="0" w:color="auto"/>
              </w:divBdr>
            </w:div>
            <w:div w:id="1823616852">
              <w:marLeft w:val="0"/>
              <w:marRight w:val="0"/>
              <w:marTop w:val="0"/>
              <w:marBottom w:val="0"/>
              <w:divBdr>
                <w:top w:val="none" w:sz="0" w:space="0" w:color="auto"/>
                <w:left w:val="none" w:sz="0" w:space="0" w:color="auto"/>
                <w:bottom w:val="none" w:sz="0" w:space="0" w:color="auto"/>
                <w:right w:val="none" w:sz="0" w:space="0" w:color="auto"/>
              </w:divBdr>
            </w:div>
            <w:div w:id="1930188450">
              <w:marLeft w:val="0"/>
              <w:marRight w:val="0"/>
              <w:marTop w:val="0"/>
              <w:marBottom w:val="0"/>
              <w:divBdr>
                <w:top w:val="none" w:sz="0" w:space="0" w:color="auto"/>
                <w:left w:val="none" w:sz="0" w:space="0" w:color="auto"/>
                <w:bottom w:val="none" w:sz="0" w:space="0" w:color="auto"/>
                <w:right w:val="none" w:sz="0" w:space="0" w:color="auto"/>
              </w:divBdr>
            </w:div>
            <w:div w:id="21030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85472">
      <w:bodyDiv w:val="1"/>
      <w:marLeft w:val="0"/>
      <w:marRight w:val="0"/>
      <w:marTop w:val="0"/>
      <w:marBottom w:val="0"/>
      <w:divBdr>
        <w:top w:val="none" w:sz="0" w:space="0" w:color="auto"/>
        <w:left w:val="none" w:sz="0" w:space="0" w:color="auto"/>
        <w:bottom w:val="none" w:sz="0" w:space="0" w:color="auto"/>
        <w:right w:val="none" w:sz="0" w:space="0" w:color="auto"/>
      </w:divBdr>
      <w:divsChild>
        <w:div w:id="225267946">
          <w:marLeft w:val="0"/>
          <w:marRight w:val="0"/>
          <w:marTop w:val="0"/>
          <w:marBottom w:val="0"/>
          <w:divBdr>
            <w:top w:val="none" w:sz="0" w:space="0" w:color="auto"/>
            <w:left w:val="none" w:sz="0" w:space="0" w:color="auto"/>
            <w:bottom w:val="none" w:sz="0" w:space="0" w:color="auto"/>
            <w:right w:val="none" w:sz="0" w:space="0" w:color="auto"/>
          </w:divBdr>
          <w:divsChild>
            <w:div w:id="93672115">
              <w:marLeft w:val="0"/>
              <w:marRight w:val="0"/>
              <w:marTop w:val="0"/>
              <w:marBottom w:val="0"/>
              <w:divBdr>
                <w:top w:val="none" w:sz="0" w:space="0" w:color="auto"/>
                <w:left w:val="none" w:sz="0" w:space="0" w:color="auto"/>
                <w:bottom w:val="none" w:sz="0" w:space="0" w:color="auto"/>
                <w:right w:val="none" w:sz="0" w:space="0" w:color="auto"/>
              </w:divBdr>
            </w:div>
            <w:div w:id="334845539">
              <w:marLeft w:val="0"/>
              <w:marRight w:val="0"/>
              <w:marTop w:val="0"/>
              <w:marBottom w:val="0"/>
              <w:divBdr>
                <w:top w:val="none" w:sz="0" w:space="0" w:color="auto"/>
                <w:left w:val="none" w:sz="0" w:space="0" w:color="auto"/>
                <w:bottom w:val="none" w:sz="0" w:space="0" w:color="auto"/>
                <w:right w:val="none" w:sz="0" w:space="0" w:color="auto"/>
              </w:divBdr>
            </w:div>
            <w:div w:id="437720810">
              <w:marLeft w:val="0"/>
              <w:marRight w:val="0"/>
              <w:marTop w:val="0"/>
              <w:marBottom w:val="0"/>
              <w:divBdr>
                <w:top w:val="none" w:sz="0" w:space="0" w:color="auto"/>
                <w:left w:val="none" w:sz="0" w:space="0" w:color="auto"/>
                <w:bottom w:val="none" w:sz="0" w:space="0" w:color="auto"/>
                <w:right w:val="none" w:sz="0" w:space="0" w:color="auto"/>
              </w:divBdr>
            </w:div>
            <w:div w:id="484011794">
              <w:marLeft w:val="0"/>
              <w:marRight w:val="0"/>
              <w:marTop w:val="0"/>
              <w:marBottom w:val="0"/>
              <w:divBdr>
                <w:top w:val="none" w:sz="0" w:space="0" w:color="auto"/>
                <w:left w:val="none" w:sz="0" w:space="0" w:color="auto"/>
                <w:bottom w:val="none" w:sz="0" w:space="0" w:color="auto"/>
                <w:right w:val="none" w:sz="0" w:space="0" w:color="auto"/>
              </w:divBdr>
            </w:div>
            <w:div w:id="620306049">
              <w:marLeft w:val="0"/>
              <w:marRight w:val="0"/>
              <w:marTop w:val="0"/>
              <w:marBottom w:val="0"/>
              <w:divBdr>
                <w:top w:val="none" w:sz="0" w:space="0" w:color="auto"/>
                <w:left w:val="none" w:sz="0" w:space="0" w:color="auto"/>
                <w:bottom w:val="none" w:sz="0" w:space="0" w:color="auto"/>
                <w:right w:val="none" w:sz="0" w:space="0" w:color="auto"/>
              </w:divBdr>
            </w:div>
            <w:div w:id="707489302">
              <w:marLeft w:val="0"/>
              <w:marRight w:val="0"/>
              <w:marTop w:val="0"/>
              <w:marBottom w:val="0"/>
              <w:divBdr>
                <w:top w:val="none" w:sz="0" w:space="0" w:color="auto"/>
                <w:left w:val="none" w:sz="0" w:space="0" w:color="auto"/>
                <w:bottom w:val="none" w:sz="0" w:space="0" w:color="auto"/>
                <w:right w:val="none" w:sz="0" w:space="0" w:color="auto"/>
              </w:divBdr>
            </w:div>
            <w:div w:id="753088190">
              <w:marLeft w:val="0"/>
              <w:marRight w:val="0"/>
              <w:marTop w:val="0"/>
              <w:marBottom w:val="0"/>
              <w:divBdr>
                <w:top w:val="none" w:sz="0" w:space="0" w:color="auto"/>
                <w:left w:val="none" w:sz="0" w:space="0" w:color="auto"/>
                <w:bottom w:val="none" w:sz="0" w:space="0" w:color="auto"/>
                <w:right w:val="none" w:sz="0" w:space="0" w:color="auto"/>
              </w:divBdr>
            </w:div>
            <w:div w:id="840125778">
              <w:marLeft w:val="0"/>
              <w:marRight w:val="0"/>
              <w:marTop w:val="0"/>
              <w:marBottom w:val="0"/>
              <w:divBdr>
                <w:top w:val="none" w:sz="0" w:space="0" w:color="auto"/>
                <w:left w:val="none" w:sz="0" w:space="0" w:color="auto"/>
                <w:bottom w:val="none" w:sz="0" w:space="0" w:color="auto"/>
                <w:right w:val="none" w:sz="0" w:space="0" w:color="auto"/>
              </w:divBdr>
            </w:div>
            <w:div w:id="879245311">
              <w:marLeft w:val="0"/>
              <w:marRight w:val="0"/>
              <w:marTop w:val="0"/>
              <w:marBottom w:val="0"/>
              <w:divBdr>
                <w:top w:val="none" w:sz="0" w:space="0" w:color="auto"/>
                <w:left w:val="none" w:sz="0" w:space="0" w:color="auto"/>
                <w:bottom w:val="none" w:sz="0" w:space="0" w:color="auto"/>
                <w:right w:val="none" w:sz="0" w:space="0" w:color="auto"/>
              </w:divBdr>
            </w:div>
            <w:div w:id="1010644358">
              <w:marLeft w:val="0"/>
              <w:marRight w:val="0"/>
              <w:marTop w:val="0"/>
              <w:marBottom w:val="0"/>
              <w:divBdr>
                <w:top w:val="none" w:sz="0" w:space="0" w:color="auto"/>
                <w:left w:val="none" w:sz="0" w:space="0" w:color="auto"/>
                <w:bottom w:val="none" w:sz="0" w:space="0" w:color="auto"/>
                <w:right w:val="none" w:sz="0" w:space="0" w:color="auto"/>
              </w:divBdr>
            </w:div>
            <w:div w:id="1217474189">
              <w:marLeft w:val="0"/>
              <w:marRight w:val="0"/>
              <w:marTop w:val="0"/>
              <w:marBottom w:val="0"/>
              <w:divBdr>
                <w:top w:val="none" w:sz="0" w:space="0" w:color="auto"/>
                <w:left w:val="none" w:sz="0" w:space="0" w:color="auto"/>
                <w:bottom w:val="none" w:sz="0" w:space="0" w:color="auto"/>
                <w:right w:val="none" w:sz="0" w:space="0" w:color="auto"/>
              </w:divBdr>
            </w:div>
            <w:div w:id="1222407812">
              <w:marLeft w:val="0"/>
              <w:marRight w:val="0"/>
              <w:marTop w:val="0"/>
              <w:marBottom w:val="0"/>
              <w:divBdr>
                <w:top w:val="none" w:sz="0" w:space="0" w:color="auto"/>
                <w:left w:val="none" w:sz="0" w:space="0" w:color="auto"/>
                <w:bottom w:val="none" w:sz="0" w:space="0" w:color="auto"/>
                <w:right w:val="none" w:sz="0" w:space="0" w:color="auto"/>
              </w:divBdr>
            </w:div>
            <w:div w:id="1386759616">
              <w:marLeft w:val="0"/>
              <w:marRight w:val="0"/>
              <w:marTop w:val="0"/>
              <w:marBottom w:val="0"/>
              <w:divBdr>
                <w:top w:val="none" w:sz="0" w:space="0" w:color="auto"/>
                <w:left w:val="none" w:sz="0" w:space="0" w:color="auto"/>
                <w:bottom w:val="none" w:sz="0" w:space="0" w:color="auto"/>
                <w:right w:val="none" w:sz="0" w:space="0" w:color="auto"/>
              </w:divBdr>
            </w:div>
            <w:div w:id="1474758984">
              <w:marLeft w:val="0"/>
              <w:marRight w:val="0"/>
              <w:marTop w:val="0"/>
              <w:marBottom w:val="0"/>
              <w:divBdr>
                <w:top w:val="none" w:sz="0" w:space="0" w:color="auto"/>
                <w:left w:val="none" w:sz="0" w:space="0" w:color="auto"/>
                <w:bottom w:val="none" w:sz="0" w:space="0" w:color="auto"/>
                <w:right w:val="none" w:sz="0" w:space="0" w:color="auto"/>
              </w:divBdr>
            </w:div>
            <w:div w:id="1560706495">
              <w:marLeft w:val="0"/>
              <w:marRight w:val="0"/>
              <w:marTop w:val="0"/>
              <w:marBottom w:val="0"/>
              <w:divBdr>
                <w:top w:val="none" w:sz="0" w:space="0" w:color="auto"/>
                <w:left w:val="none" w:sz="0" w:space="0" w:color="auto"/>
                <w:bottom w:val="none" w:sz="0" w:space="0" w:color="auto"/>
                <w:right w:val="none" w:sz="0" w:space="0" w:color="auto"/>
              </w:divBdr>
            </w:div>
            <w:div w:id="1583953980">
              <w:marLeft w:val="0"/>
              <w:marRight w:val="0"/>
              <w:marTop w:val="0"/>
              <w:marBottom w:val="0"/>
              <w:divBdr>
                <w:top w:val="none" w:sz="0" w:space="0" w:color="auto"/>
                <w:left w:val="none" w:sz="0" w:space="0" w:color="auto"/>
                <w:bottom w:val="none" w:sz="0" w:space="0" w:color="auto"/>
                <w:right w:val="none" w:sz="0" w:space="0" w:color="auto"/>
              </w:divBdr>
            </w:div>
            <w:div w:id="1706712825">
              <w:marLeft w:val="0"/>
              <w:marRight w:val="0"/>
              <w:marTop w:val="0"/>
              <w:marBottom w:val="0"/>
              <w:divBdr>
                <w:top w:val="none" w:sz="0" w:space="0" w:color="auto"/>
                <w:left w:val="none" w:sz="0" w:space="0" w:color="auto"/>
                <w:bottom w:val="none" w:sz="0" w:space="0" w:color="auto"/>
                <w:right w:val="none" w:sz="0" w:space="0" w:color="auto"/>
              </w:divBdr>
            </w:div>
            <w:div w:id="1759056124">
              <w:marLeft w:val="0"/>
              <w:marRight w:val="0"/>
              <w:marTop w:val="0"/>
              <w:marBottom w:val="0"/>
              <w:divBdr>
                <w:top w:val="none" w:sz="0" w:space="0" w:color="auto"/>
                <w:left w:val="none" w:sz="0" w:space="0" w:color="auto"/>
                <w:bottom w:val="none" w:sz="0" w:space="0" w:color="auto"/>
                <w:right w:val="none" w:sz="0" w:space="0" w:color="auto"/>
              </w:divBdr>
            </w:div>
            <w:div w:id="2006014042">
              <w:marLeft w:val="0"/>
              <w:marRight w:val="0"/>
              <w:marTop w:val="0"/>
              <w:marBottom w:val="0"/>
              <w:divBdr>
                <w:top w:val="none" w:sz="0" w:space="0" w:color="auto"/>
                <w:left w:val="none" w:sz="0" w:space="0" w:color="auto"/>
                <w:bottom w:val="none" w:sz="0" w:space="0" w:color="auto"/>
                <w:right w:val="none" w:sz="0" w:space="0" w:color="auto"/>
              </w:divBdr>
            </w:div>
            <w:div w:id="2045667640">
              <w:marLeft w:val="0"/>
              <w:marRight w:val="0"/>
              <w:marTop w:val="0"/>
              <w:marBottom w:val="0"/>
              <w:divBdr>
                <w:top w:val="none" w:sz="0" w:space="0" w:color="auto"/>
                <w:left w:val="none" w:sz="0" w:space="0" w:color="auto"/>
                <w:bottom w:val="none" w:sz="0" w:space="0" w:color="auto"/>
                <w:right w:val="none" w:sz="0" w:space="0" w:color="auto"/>
              </w:divBdr>
            </w:div>
          </w:divsChild>
        </w:div>
        <w:div w:id="574127146">
          <w:marLeft w:val="0"/>
          <w:marRight w:val="0"/>
          <w:marTop w:val="0"/>
          <w:marBottom w:val="0"/>
          <w:divBdr>
            <w:top w:val="none" w:sz="0" w:space="0" w:color="auto"/>
            <w:left w:val="none" w:sz="0" w:space="0" w:color="auto"/>
            <w:bottom w:val="none" w:sz="0" w:space="0" w:color="auto"/>
            <w:right w:val="none" w:sz="0" w:space="0" w:color="auto"/>
          </w:divBdr>
          <w:divsChild>
            <w:div w:id="57870861">
              <w:marLeft w:val="0"/>
              <w:marRight w:val="0"/>
              <w:marTop w:val="0"/>
              <w:marBottom w:val="0"/>
              <w:divBdr>
                <w:top w:val="none" w:sz="0" w:space="0" w:color="auto"/>
                <w:left w:val="none" w:sz="0" w:space="0" w:color="auto"/>
                <w:bottom w:val="none" w:sz="0" w:space="0" w:color="auto"/>
                <w:right w:val="none" w:sz="0" w:space="0" w:color="auto"/>
              </w:divBdr>
            </w:div>
            <w:div w:id="91172760">
              <w:marLeft w:val="0"/>
              <w:marRight w:val="0"/>
              <w:marTop w:val="0"/>
              <w:marBottom w:val="0"/>
              <w:divBdr>
                <w:top w:val="none" w:sz="0" w:space="0" w:color="auto"/>
                <w:left w:val="none" w:sz="0" w:space="0" w:color="auto"/>
                <w:bottom w:val="none" w:sz="0" w:space="0" w:color="auto"/>
                <w:right w:val="none" w:sz="0" w:space="0" w:color="auto"/>
              </w:divBdr>
            </w:div>
            <w:div w:id="466749928">
              <w:marLeft w:val="0"/>
              <w:marRight w:val="0"/>
              <w:marTop w:val="0"/>
              <w:marBottom w:val="0"/>
              <w:divBdr>
                <w:top w:val="none" w:sz="0" w:space="0" w:color="auto"/>
                <w:left w:val="none" w:sz="0" w:space="0" w:color="auto"/>
                <w:bottom w:val="none" w:sz="0" w:space="0" w:color="auto"/>
                <w:right w:val="none" w:sz="0" w:space="0" w:color="auto"/>
              </w:divBdr>
            </w:div>
            <w:div w:id="586498012">
              <w:marLeft w:val="0"/>
              <w:marRight w:val="0"/>
              <w:marTop w:val="0"/>
              <w:marBottom w:val="0"/>
              <w:divBdr>
                <w:top w:val="none" w:sz="0" w:space="0" w:color="auto"/>
                <w:left w:val="none" w:sz="0" w:space="0" w:color="auto"/>
                <w:bottom w:val="none" w:sz="0" w:space="0" w:color="auto"/>
                <w:right w:val="none" w:sz="0" w:space="0" w:color="auto"/>
              </w:divBdr>
            </w:div>
            <w:div w:id="809178610">
              <w:marLeft w:val="0"/>
              <w:marRight w:val="0"/>
              <w:marTop w:val="0"/>
              <w:marBottom w:val="0"/>
              <w:divBdr>
                <w:top w:val="none" w:sz="0" w:space="0" w:color="auto"/>
                <w:left w:val="none" w:sz="0" w:space="0" w:color="auto"/>
                <w:bottom w:val="none" w:sz="0" w:space="0" w:color="auto"/>
                <w:right w:val="none" w:sz="0" w:space="0" w:color="auto"/>
              </w:divBdr>
            </w:div>
            <w:div w:id="1352031992">
              <w:marLeft w:val="0"/>
              <w:marRight w:val="0"/>
              <w:marTop w:val="0"/>
              <w:marBottom w:val="0"/>
              <w:divBdr>
                <w:top w:val="none" w:sz="0" w:space="0" w:color="auto"/>
                <w:left w:val="none" w:sz="0" w:space="0" w:color="auto"/>
                <w:bottom w:val="none" w:sz="0" w:space="0" w:color="auto"/>
                <w:right w:val="none" w:sz="0" w:space="0" w:color="auto"/>
              </w:divBdr>
            </w:div>
            <w:div w:id="1400053999">
              <w:marLeft w:val="0"/>
              <w:marRight w:val="0"/>
              <w:marTop w:val="0"/>
              <w:marBottom w:val="0"/>
              <w:divBdr>
                <w:top w:val="none" w:sz="0" w:space="0" w:color="auto"/>
                <w:left w:val="none" w:sz="0" w:space="0" w:color="auto"/>
                <w:bottom w:val="none" w:sz="0" w:space="0" w:color="auto"/>
                <w:right w:val="none" w:sz="0" w:space="0" w:color="auto"/>
              </w:divBdr>
            </w:div>
            <w:div w:id="1445421162">
              <w:marLeft w:val="0"/>
              <w:marRight w:val="0"/>
              <w:marTop w:val="0"/>
              <w:marBottom w:val="0"/>
              <w:divBdr>
                <w:top w:val="none" w:sz="0" w:space="0" w:color="auto"/>
                <w:left w:val="none" w:sz="0" w:space="0" w:color="auto"/>
                <w:bottom w:val="none" w:sz="0" w:space="0" w:color="auto"/>
                <w:right w:val="none" w:sz="0" w:space="0" w:color="auto"/>
              </w:divBdr>
            </w:div>
            <w:div w:id="1501045537">
              <w:marLeft w:val="0"/>
              <w:marRight w:val="0"/>
              <w:marTop w:val="0"/>
              <w:marBottom w:val="0"/>
              <w:divBdr>
                <w:top w:val="none" w:sz="0" w:space="0" w:color="auto"/>
                <w:left w:val="none" w:sz="0" w:space="0" w:color="auto"/>
                <w:bottom w:val="none" w:sz="0" w:space="0" w:color="auto"/>
                <w:right w:val="none" w:sz="0" w:space="0" w:color="auto"/>
              </w:divBdr>
            </w:div>
            <w:div w:id="1591429024">
              <w:marLeft w:val="0"/>
              <w:marRight w:val="0"/>
              <w:marTop w:val="0"/>
              <w:marBottom w:val="0"/>
              <w:divBdr>
                <w:top w:val="none" w:sz="0" w:space="0" w:color="auto"/>
                <w:left w:val="none" w:sz="0" w:space="0" w:color="auto"/>
                <w:bottom w:val="none" w:sz="0" w:space="0" w:color="auto"/>
                <w:right w:val="none" w:sz="0" w:space="0" w:color="auto"/>
              </w:divBdr>
            </w:div>
            <w:div w:id="1691956055">
              <w:marLeft w:val="0"/>
              <w:marRight w:val="0"/>
              <w:marTop w:val="0"/>
              <w:marBottom w:val="0"/>
              <w:divBdr>
                <w:top w:val="none" w:sz="0" w:space="0" w:color="auto"/>
                <w:left w:val="none" w:sz="0" w:space="0" w:color="auto"/>
                <w:bottom w:val="none" w:sz="0" w:space="0" w:color="auto"/>
                <w:right w:val="none" w:sz="0" w:space="0" w:color="auto"/>
              </w:divBdr>
            </w:div>
            <w:div w:id="1917008362">
              <w:marLeft w:val="0"/>
              <w:marRight w:val="0"/>
              <w:marTop w:val="0"/>
              <w:marBottom w:val="0"/>
              <w:divBdr>
                <w:top w:val="none" w:sz="0" w:space="0" w:color="auto"/>
                <w:left w:val="none" w:sz="0" w:space="0" w:color="auto"/>
                <w:bottom w:val="none" w:sz="0" w:space="0" w:color="auto"/>
                <w:right w:val="none" w:sz="0" w:space="0" w:color="auto"/>
              </w:divBdr>
            </w:div>
            <w:div w:id="1961261515">
              <w:marLeft w:val="0"/>
              <w:marRight w:val="0"/>
              <w:marTop w:val="0"/>
              <w:marBottom w:val="0"/>
              <w:divBdr>
                <w:top w:val="none" w:sz="0" w:space="0" w:color="auto"/>
                <w:left w:val="none" w:sz="0" w:space="0" w:color="auto"/>
                <w:bottom w:val="none" w:sz="0" w:space="0" w:color="auto"/>
                <w:right w:val="none" w:sz="0" w:space="0" w:color="auto"/>
              </w:divBdr>
            </w:div>
            <w:div w:id="2030908448">
              <w:marLeft w:val="0"/>
              <w:marRight w:val="0"/>
              <w:marTop w:val="0"/>
              <w:marBottom w:val="0"/>
              <w:divBdr>
                <w:top w:val="none" w:sz="0" w:space="0" w:color="auto"/>
                <w:left w:val="none" w:sz="0" w:space="0" w:color="auto"/>
                <w:bottom w:val="none" w:sz="0" w:space="0" w:color="auto"/>
                <w:right w:val="none" w:sz="0" w:space="0" w:color="auto"/>
              </w:divBdr>
            </w:div>
          </w:divsChild>
        </w:div>
        <w:div w:id="1007828330">
          <w:marLeft w:val="0"/>
          <w:marRight w:val="0"/>
          <w:marTop w:val="0"/>
          <w:marBottom w:val="0"/>
          <w:divBdr>
            <w:top w:val="none" w:sz="0" w:space="0" w:color="auto"/>
            <w:left w:val="none" w:sz="0" w:space="0" w:color="auto"/>
            <w:bottom w:val="none" w:sz="0" w:space="0" w:color="auto"/>
            <w:right w:val="none" w:sz="0" w:space="0" w:color="auto"/>
          </w:divBdr>
          <w:divsChild>
            <w:div w:id="424805081">
              <w:marLeft w:val="0"/>
              <w:marRight w:val="0"/>
              <w:marTop w:val="0"/>
              <w:marBottom w:val="0"/>
              <w:divBdr>
                <w:top w:val="none" w:sz="0" w:space="0" w:color="auto"/>
                <w:left w:val="none" w:sz="0" w:space="0" w:color="auto"/>
                <w:bottom w:val="none" w:sz="0" w:space="0" w:color="auto"/>
                <w:right w:val="none" w:sz="0" w:space="0" w:color="auto"/>
              </w:divBdr>
            </w:div>
            <w:div w:id="639505145">
              <w:marLeft w:val="0"/>
              <w:marRight w:val="0"/>
              <w:marTop w:val="0"/>
              <w:marBottom w:val="0"/>
              <w:divBdr>
                <w:top w:val="none" w:sz="0" w:space="0" w:color="auto"/>
                <w:left w:val="none" w:sz="0" w:space="0" w:color="auto"/>
                <w:bottom w:val="none" w:sz="0" w:space="0" w:color="auto"/>
                <w:right w:val="none" w:sz="0" w:space="0" w:color="auto"/>
              </w:divBdr>
            </w:div>
            <w:div w:id="1006521121">
              <w:marLeft w:val="0"/>
              <w:marRight w:val="0"/>
              <w:marTop w:val="0"/>
              <w:marBottom w:val="0"/>
              <w:divBdr>
                <w:top w:val="none" w:sz="0" w:space="0" w:color="auto"/>
                <w:left w:val="none" w:sz="0" w:space="0" w:color="auto"/>
                <w:bottom w:val="none" w:sz="0" w:space="0" w:color="auto"/>
                <w:right w:val="none" w:sz="0" w:space="0" w:color="auto"/>
              </w:divBdr>
            </w:div>
            <w:div w:id="1033766863">
              <w:marLeft w:val="0"/>
              <w:marRight w:val="0"/>
              <w:marTop w:val="0"/>
              <w:marBottom w:val="0"/>
              <w:divBdr>
                <w:top w:val="none" w:sz="0" w:space="0" w:color="auto"/>
                <w:left w:val="none" w:sz="0" w:space="0" w:color="auto"/>
                <w:bottom w:val="none" w:sz="0" w:space="0" w:color="auto"/>
                <w:right w:val="none" w:sz="0" w:space="0" w:color="auto"/>
              </w:divBdr>
            </w:div>
            <w:div w:id="1075009904">
              <w:marLeft w:val="0"/>
              <w:marRight w:val="0"/>
              <w:marTop w:val="0"/>
              <w:marBottom w:val="0"/>
              <w:divBdr>
                <w:top w:val="none" w:sz="0" w:space="0" w:color="auto"/>
                <w:left w:val="none" w:sz="0" w:space="0" w:color="auto"/>
                <w:bottom w:val="none" w:sz="0" w:space="0" w:color="auto"/>
                <w:right w:val="none" w:sz="0" w:space="0" w:color="auto"/>
              </w:divBdr>
            </w:div>
            <w:div w:id="1259603179">
              <w:marLeft w:val="0"/>
              <w:marRight w:val="0"/>
              <w:marTop w:val="0"/>
              <w:marBottom w:val="0"/>
              <w:divBdr>
                <w:top w:val="none" w:sz="0" w:space="0" w:color="auto"/>
                <w:left w:val="none" w:sz="0" w:space="0" w:color="auto"/>
                <w:bottom w:val="none" w:sz="0" w:space="0" w:color="auto"/>
                <w:right w:val="none" w:sz="0" w:space="0" w:color="auto"/>
              </w:divBdr>
            </w:div>
            <w:div w:id="1271744615">
              <w:marLeft w:val="0"/>
              <w:marRight w:val="0"/>
              <w:marTop w:val="0"/>
              <w:marBottom w:val="0"/>
              <w:divBdr>
                <w:top w:val="none" w:sz="0" w:space="0" w:color="auto"/>
                <w:left w:val="none" w:sz="0" w:space="0" w:color="auto"/>
                <w:bottom w:val="none" w:sz="0" w:space="0" w:color="auto"/>
                <w:right w:val="none" w:sz="0" w:space="0" w:color="auto"/>
              </w:divBdr>
            </w:div>
            <w:div w:id="1692682902">
              <w:marLeft w:val="0"/>
              <w:marRight w:val="0"/>
              <w:marTop w:val="0"/>
              <w:marBottom w:val="0"/>
              <w:divBdr>
                <w:top w:val="none" w:sz="0" w:space="0" w:color="auto"/>
                <w:left w:val="none" w:sz="0" w:space="0" w:color="auto"/>
                <w:bottom w:val="none" w:sz="0" w:space="0" w:color="auto"/>
                <w:right w:val="none" w:sz="0" w:space="0" w:color="auto"/>
              </w:divBdr>
            </w:div>
            <w:div w:id="1711806704">
              <w:marLeft w:val="0"/>
              <w:marRight w:val="0"/>
              <w:marTop w:val="0"/>
              <w:marBottom w:val="0"/>
              <w:divBdr>
                <w:top w:val="none" w:sz="0" w:space="0" w:color="auto"/>
                <w:left w:val="none" w:sz="0" w:space="0" w:color="auto"/>
                <w:bottom w:val="none" w:sz="0" w:space="0" w:color="auto"/>
                <w:right w:val="none" w:sz="0" w:space="0" w:color="auto"/>
              </w:divBdr>
            </w:div>
            <w:div w:id="1736515136">
              <w:marLeft w:val="0"/>
              <w:marRight w:val="0"/>
              <w:marTop w:val="0"/>
              <w:marBottom w:val="0"/>
              <w:divBdr>
                <w:top w:val="none" w:sz="0" w:space="0" w:color="auto"/>
                <w:left w:val="none" w:sz="0" w:space="0" w:color="auto"/>
                <w:bottom w:val="none" w:sz="0" w:space="0" w:color="auto"/>
                <w:right w:val="none" w:sz="0" w:space="0" w:color="auto"/>
              </w:divBdr>
            </w:div>
            <w:div w:id="20343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80058">
      <w:bodyDiv w:val="1"/>
      <w:marLeft w:val="0"/>
      <w:marRight w:val="0"/>
      <w:marTop w:val="0"/>
      <w:marBottom w:val="0"/>
      <w:divBdr>
        <w:top w:val="none" w:sz="0" w:space="0" w:color="auto"/>
        <w:left w:val="none" w:sz="0" w:space="0" w:color="auto"/>
        <w:bottom w:val="none" w:sz="0" w:space="0" w:color="auto"/>
        <w:right w:val="none" w:sz="0" w:space="0" w:color="auto"/>
      </w:divBdr>
      <w:divsChild>
        <w:div w:id="528645100">
          <w:marLeft w:val="0"/>
          <w:marRight w:val="0"/>
          <w:marTop w:val="0"/>
          <w:marBottom w:val="0"/>
          <w:divBdr>
            <w:top w:val="none" w:sz="0" w:space="0" w:color="auto"/>
            <w:left w:val="none" w:sz="0" w:space="0" w:color="auto"/>
            <w:bottom w:val="none" w:sz="0" w:space="0" w:color="auto"/>
            <w:right w:val="none" w:sz="0" w:space="0" w:color="auto"/>
          </w:divBdr>
          <w:divsChild>
            <w:div w:id="66467411">
              <w:marLeft w:val="0"/>
              <w:marRight w:val="0"/>
              <w:marTop w:val="0"/>
              <w:marBottom w:val="0"/>
              <w:divBdr>
                <w:top w:val="none" w:sz="0" w:space="0" w:color="auto"/>
                <w:left w:val="none" w:sz="0" w:space="0" w:color="auto"/>
                <w:bottom w:val="none" w:sz="0" w:space="0" w:color="auto"/>
                <w:right w:val="none" w:sz="0" w:space="0" w:color="auto"/>
              </w:divBdr>
            </w:div>
            <w:div w:id="507334092">
              <w:marLeft w:val="0"/>
              <w:marRight w:val="0"/>
              <w:marTop w:val="0"/>
              <w:marBottom w:val="0"/>
              <w:divBdr>
                <w:top w:val="none" w:sz="0" w:space="0" w:color="auto"/>
                <w:left w:val="none" w:sz="0" w:space="0" w:color="auto"/>
                <w:bottom w:val="none" w:sz="0" w:space="0" w:color="auto"/>
                <w:right w:val="none" w:sz="0" w:space="0" w:color="auto"/>
              </w:divBdr>
            </w:div>
            <w:div w:id="512762237">
              <w:marLeft w:val="0"/>
              <w:marRight w:val="0"/>
              <w:marTop w:val="0"/>
              <w:marBottom w:val="0"/>
              <w:divBdr>
                <w:top w:val="none" w:sz="0" w:space="0" w:color="auto"/>
                <w:left w:val="none" w:sz="0" w:space="0" w:color="auto"/>
                <w:bottom w:val="none" w:sz="0" w:space="0" w:color="auto"/>
                <w:right w:val="none" w:sz="0" w:space="0" w:color="auto"/>
              </w:divBdr>
            </w:div>
            <w:div w:id="534735465">
              <w:marLeft w:val="0"/>
              <w:marRight w:val="0"/>
              <w:marTop w:val="0"/>
              <w:marBottom w:val="0"/>
              <w:divBdr>
                <w:top w:val="none" w:sz="0" w:space="0" w:color="auto"/>
                <w:left w:val="none" w:sz="0" w:space="0" w:color="auto"/>
                <w:bottom w:val="none" w:sz="0" w:space="0" w:color="auto"/>
                <w:right w:val="none" w:sz="0" w:space="0" w:color="auto"/>
              </w:divBdr>
            </w:div>
            <w:div w:id="621230161">
              <w:marLeft w:val="0"/>
              <w:marRight w:val="0"/>
              <w:marTop w:val="0"/>
              <w:marBottom w:val="0"/>
              <w:divBdr>
                <w:top w:val="none" w:sz="0" w:space="0" w:color="auto"/>
                <w:left w:val="none" w:sz="0" w:space="0" w:color="auto"/>
                <w:bottom w:val="none" w:sz="0" w:space="0" w:color="auto"/>
                <w:right w:val="none" w:sz="0" w:space="0" w:color="auto"/>
              </w:divBdr>
            </w:div>
            <w:div w:id="739332029">
              <w:marLeft w:val="0"/>
              <w:marRight w:val="0"/>
              <w:marTop w:val="0"/>
              <w:marBottom w:val="0"/>
              <w:divBdr>
                <w:top w:val="none" w:sz="0" w:space="0" w:color="auto"/>
                <w:left w:val="none" w:sz="0" w:space="0" w:color="auto"/>
                <w:bottom w:val="none" w:sz="0" w:space="0" w:color="auto"/>
                <w:right w:val="none" w:sz="0" w:space="0" w:color="auto"/>
              </w:divBdr>
            </w:div>
            <w:div w:id="802886657">
              <w:marLeft w:val="0"/>
              <w:marRight w:val="0"/>
              <w:marTop w:val="0"/>
              <w:marBottom w:val="0"/>
              <w:divBdr>
                <w:top w:val="none" w:sz="0" w:space="0" w:color="auto"/>
                <w:left w:val="none" w:sz="0" w:space="0" w:color="auto"/>
                <w:bottom w:val="none" w:sz="0" w:space="0" w:color="auto"/>
                <w:right w:val="none" w:sz="0" w:space="0" w:color="auto"/>
              </w:divBdr>
            </w:div>
            <w:div w:id="827672310">
              <w:marLeft w:val="0"/>
              <w:marRight w:val="0"/>
              <w:marTop w:val="0"/>
              <w:marBottom w:val="0"/>
              <w:divBdr>
                <w:top w:val="none" w:sz="0" w:space="0" w:color="auto"/>
                <w:left w:val="none" w:sz="0" w:space="0" w:color="auto"/>
                <w:bottom w:val="none" w:sz="0" w:space="0" w:color="auto"/>
                <w:right w:val="none" w:sz="0" w:space="0" w:color="auto"/>
              </w:divBdr>
            </w:div>
            <w:div w:id="963654101">
              <w:marLeft w:val="0"/>
              <w:marRight w:val="0"/>
              <w:marTop w:val="0"/>
              <w:marBottom w:val="0"/>
              <w:divBdr>
                <w:top w:val="none" w:sz="0" w:space="0" w:color="auto"/>
                <w:left w:val="none" w:sz="0" w:space="0" w:color="auto"/>
                <w:bottom w:val="none" w:sz="0" w:space="0" w:color="auto"/>
                <w:right w:val="none" w:sz="0" w:space="0" w:color="auto"/>
              </w:divBdr>
            </w:div>
            <w:div w:id="1074281449">
              <w:marLeft w:val="0"/>
              <w:marRight w:val="0"/>
              <w:marTop w:val="0"/>
              <w:marBottom w:val="0"/>
              <w:divBdr>
                <w:top w:val="none" w:sz="0" w:space="0" w:color="auto"/>
                <w:left w:val="none" w:sz="0" w:space="0" w:color="auto"/>
                <w:bottom w:val="none" w:sz="0" w:space="0" w:color="auto"/>
                <w:right w:val="none" w:sz="0" w:space="0" w:color="auto"/>
              </w:divBdr>
            </w:div>
            <w:div w:id="1109622250">
              <w:marLeft w:val="0"/>
              <w:marRight w:val="0"/>
              <w:marTop w:val="0"/>
              <w:marBottom w:val="0"/>
              <w:divBdr>
                <w:top w:val="none" w:sz="0" w:space="0" w:color="auto"/>
                <w:left w:val="none" w:sz="0" w:space="0" w:color="auto"/>
                <w:bottom w:val="none" w:sz="0" w:space="0" w:color="auto"/>
                <w:right w:val="none" w:sz="0" w:space="0" w:color="auto"/>
              </w:divBdr>
            </w:div>
            <w:div w:id="1113088409">
              <w:marLeft w:val="0"/>
              <w:marRight w:val="0"/>
              <w:marTop w:val="0"/>
              <w:marBottom w:val="0"/>
              <w:divBdr>
                <w:top w:val="none" w:sz="0" w:space="0" w:color="auto"/>
                <w:left w:val="none" w:sz="0" w:space="0" w:color="auto"/>
                <w:bottom w:val="none" w:sz="0" w:space="0" w:color="auto"/>
                <w:right w:val="none" w:sz="0" w:space="0" w:color="auto"/>
              </w:divBdr>
            </w:div>
            <w:div w:id="1425808225">
              <w:marLeft w:val="0"/>
              <w:marRight w:val="0"/>
              <w:marTop w:val="0"/>
              <w:marBottom w:val="0"/>
              <w:divBdr>
                <w:top w:val="none" w:sz="0" w:space="0" w:color="auto"/>
                <w:left w:val="none" w:sz="0" w:space="0" w:color="auto"/>
                <w:bottom w:val="none" w:sz="0" w:space="0" w:color="auto"/>
                <w:right w:val="none" w:sz="0" w:space="0" w:color="auto"/>
              </w:divBdr>
            </w:div>
            <w:div w:id="1565604232">
              <w:marLeft w:val="0"/>
              <w:marRight w:val="0"/>
              <w:marTop w:val="0"/>
              <w:marBottom w:val="0"/>
              <w:divBdr>
                <w:top w:val="none" w:sz="0" w:space="0" w:color="auto"/>
                <w:left w:val="none" w:sz="0" w:space="0" w:color="auto"/>
                <w:bottom w:val="none" w:sz="0" w:space="0" w:color="auto"/>
                <w:right w:val="none" w:sz="0" w:space="0" w:color="auto"/>
              </w:divBdr>
            </w:div>
            <w:div w:id="1606883128">
              <w:marLeft w:val="0"/>
              <w:marRight w:val="0"/>
              <w:marTop w:val="0"/>
              <w:marBottom w:val="0"/>
              <w:divBdr>
                <w:top w:val="none" w:sz="0" w:space="0" w:color="auto"/>
                <w:left w:val="none" w:sz="0" w:space="0" w:color="auto"/>
                <w:bottom w:val="none" w:sz="0" w:space="0" w:color="auto"/>
                <w:right w:val="none" w:sz="0" w:space="0" w:color="auto"/>
              </w:divBdr>
            </w:div>
            <w:div w:id="1658606683">
              <w:marLeft w:val="0"/>
              <w:marRight w:val="0"/>
              <w:marTop w:val="0"/>
              <w:marBottom w:val="0"/>
              <w:divBdr>
                <w:top w:val="none" w:sz="0" w:space="0" w:color="auto"/>
                <w:left w:val="none" w:sz="0" w:space="0" w:color="auto"/>
                <w:bottom w:val="none" w:sz="0" w:space="0" w:color="auto"/>
                <w:right w:val="none" w:sz="0" w:space="0" w:color="auto"/>
              </w:divBdr>
            </w:div>
            <w:div w:id="1794521367">
              <w:marLeft w:val="0"/>
              <w:marRight w:val="0"/>
              <w:marTop w:val="0"/>
              <w:marBottom w:val="0"/>
              <w:divBdr>
                <w:top w:val="none" w:sz="0" w:space="0" w:color="auto"/>
                <w:left w:val="none" w:sz="0" w:space="0" w:color="auto"/>
                <w:bottom w:val="none" w:sz="0" w:space="0" w:color="auto"/>
                <w:right w:val="none" w:sz="0" w:space="0" w:color="auto"/>
              </w:divBdr>
            </w:div>
            <w:div w:id="1809469587">
              <w:marLeft w:val="0"/>
              <w:marRight w:val="0"/>
              <w:marTop w:val="0"/>
              <w:marBottom w:val="0"/>
              <w:divBdr>
                <w:top w:val="none" w:sz="0" w:space="0" w:color="auto"/>
                <w:left w:val="none" w:sz="0" w:space="0" w:color="auto"/>
                <w:bottom w:val="none" w:sz="0" w:space="0" w:color="auto"/>
                <w:right w:val="none" w:sz="0" w:space="0" w:color="auto"/>
              </w:divBdr>
            </w:div>
            <w:div w:id="1942494526">
              <w:marLeft w:val="0"/>
              <w:marRight w:val="0"/>
              <w:marTop w:val="0"/>
              <w:marBottom w:val="0"/>
              <w:divBdr>
                <w:top w:val="none" w:sz="0" w:space="0" w:color="auto"/>
                <w:left w:val="none" w:sz="0" w:space="0" w:color="auto"/>
                <w:bottom w:val="none" w:sz="0" w:space="0" w:color="auto"/>
                <w:right w:val="none" w:sz="0" w:space="0" w:color="auto"/>
              </w:divBdr>
            </w:div>
            <w:div w:id="1956252889">
              <w:marLeft w:val="0"/>
              <w:marRight w:val="0"/>
              <w:marTop w:val="0"/>
              <w:marBottom w:val="0"/>
              <w:divBdr>
                <w:top w:val="none" w:sz="0" w:space="0" w:color="auto"/>
                <w:left w:val="none" w:sz="0" w:space="0" w:color="auto"/>
                <w:bottom w:val="none" w:sz="0" w:space="0" w:color="auto"/>
                <w:right w:val="none" w:sz="0" w:space="0" w:color="auto"/>
              </w:divBdr>
            </w:div>
          </w:divsChild>
        </w:div>
        <w:div w:id="1556156395">
          <w:marLeft w:val="0"/>
          <w:marRight w:val="0"/>
          <w:marTop w:val="0"/>
          <w:marBottom w:val="0"/>
          <w:divBdr>
            <w:top w:val="none" w:sz="0" w:space="0" w:color="auto"/>
            <w:left w:val="none" w:sz="0" w:space="0" w:color="auto"/>
            <w:bottom w:val="none" w:sz="0" w:space="0" w:color="auto"/>
            <w:right w:val="none" w:sz="0" w:space="0" w:color="auto"/>
          </w:divBdr>
          <w:divsChild>
            <w:div w:id="41252288">
              <w:marLeft w:val="0"/>
              <w:marRight w:val="0"/>
              <w:marTop w:val="0"/>
              <w:marBottom w:val="0"/>
              <w:divBdr>
                <w:top w:val="none" w:sz="0" w:space="0" w:color="auto"/>
                <w:left w:val="none" w:sz="0" w:space="0" w:color="auto"/>
                <w:bottom w:val="none" w:sz="0" w:space="0" w:color="auto"/>
                <w:right w:val="none" w:sz="0" w:space="0" w:color="auto"/>
              </w:divBdr>
            </w:div>
            <w:div w:id="255871177">
              <w:marLeft w:val="0"/>
              <w:marRight w:val="0"/>
              <w:marTop w:val="0"/>
              <w:marBottom w:val="0"/>
              <w:divBdr>
                <w:top w:val="none" w:sz="0" w:space="0" w:color="auto"/>
                <w:left w:val="none" w:sz="0" w:space="0" w:color="auto"/>
                <w:bottom w:val="none" w:sz="0" w:space="0" w:color="auto"/>
                <w:right w:val="none" w:sz="0" w:space="0" w:color="auto"/>
              </w:divBdr>
            </w:div>
            <w:div w:id="552422899">
              <w:marLeft w:val="0"/>
              <w:marRight w:val="0"/>
              <w:marTop w:val="0"/>
              <w:marBottom w:val="0"/>
              <w:divBdr>
                <w:top w:val="none" w:sz="0" w:space="0" w:color="auto"/>
                <w:left w:val="none" w:sz="0" w:space="0" w:color="auto"/>
                <w:bottom w:val="none" w:sz="0" w:space="0" w:color="auto"/>
                <w:right w:val="none" w:sz="0" w:space="0" w:color="auto"/>
              </w:divBdr>
            </w:div>
            <w:div w:id="767165052">
              <w:marLeft w:val="0"/>
              <w:marRight w:val="0"/>
              <w:marTop w:val="0"/>
              <w:marBottom w:val="0"/>
              <w:divBdr>
                <w:top w:val="none" w:sz="0" w:space="0" w:color="auto"/>
                <w:left w:val="none" w:sz="0" w:space="0" w:color="auto"/>
                <w:bottom w:val="none" w:sz="0" w:space="0" w:color="auto"/>
                <w:right w:val="none" w:sz="0" w:space="0" w:color="auto"/>
              </w:divBdr>
            </w:div>
            <w:div w:id="1347560366">
              <w:marLeft w:val="0"/>
              <w:marRight w:val="0"/>
              <w:marTop w:val="0"/>
              <w:marBottom w:val="0"/>
              <w:divBdr>
                <w:top w:val="none" w:sz="0" w:space="0" w:color="auto"/>
                <w:left w:val="none" w:sz="0" w:space="0" w:color="auto"/>
                <w:bottom w:val="none" w:sz="0" w:space="0" w:color="auto"/>
                <w:right w:val="none" w:sz="0" w:space="0" w:color="auto"/>
              </w:divBdr>
            </w:div>
            <w:div w:id="1371295705">
              <w:marLeft w:val="0"/>
              <w:marRight w:val="0"/>
              <w:marTop w:val="0"/>
              <w:marBottom w:val="0"/>
              <w:divBdr>
                <w:top w:val="none" w:sz="0" w:space="0" w:color="auto"/>
                <w:left w:val="none" w:sz="0" w:space="0" w:color="auto"/>
                <w:bottom w:val="none" w:sz="0" w:space="0" w:color="auto"/>
                <w:right w:val="none" w:sz="0" w:space="0" w:color="auto"/>
              </w:divBdr>
            </w:div>
            <w:div w:id="1566719748">
              <w:marLeft w:val="0"/>
              <w:marRight w:val="0"/>
              <w:marTop w:val="0"/>
              <w:marBottom w:val="0"/>
              <w:divBdr>
                <w:top w:val="none" w:sz="0" w:space="0" w:color="auto"/>
                <w:left w:val="none" w:sz="0" w:space="0" w:color="auto"/>
                <w:bottom w:val="none" w:sz="0" w:space="0" w:color="auto"/>
                <w:right w:val="none" w:sz="0" w:space="0" w:color="auto"/>
              </w:divBdr>
            </w:div>
            <w:div w:id="1593539922">
              <w:marLeft w:val="0"/>
              <w:marRight w:val="0"/>
              <w:marTop w:val="0"/>
              <w:marBottom w:val="0"/>
              <w:divBdr>
                <w:top w:val="none" w:sz="0" w:space="0" w:color="auto"/>
                <w:left w:val="none" w:sz="0" w:space="0" w:color="auto"/>
                <w:bottom w:val="none" w:sz="0" w:space="0" w:color="auto"/>
                <w:right w:val="none" w:sz="0" w:space="0" w:color="auto"/>
              </w:divBdr>
            </w:div>
            <w:div w:id="1656566220">
              <w:marLeft w:val="0"/>
              <w:marRight w:val="0"/>
              <w:marTop w:val="0"/>
              <w:marBottom w:val="0"/>
              <w:divBdr>
                <w:top w:val="none" w:sz="0" w:space="0" w:color="auto"/>
                <w:left w:val="none" w:sz="0" w:space="0" w:color="auto"/>
                <w:bottom w:val="none" w:sz="0" w:space="0" w:color="auto"/>
                <w:right w:val="none" w:sz="0" w:space="0" w:color="auto"/>
              </w:divBdr>
            </w:div>
            <w:div w:id="1678846700">
              <w:marLeft w:val="0"/>
              <w:marRight w:val="0"/>
              <w:marTop w:val="0"/>
              <w:marBottom w:val="0"/>
              <w:divBdr>
                <w:top w:val="none" w:sz="0" w:space="0" w:color="auto"/>
                <w:left w:val="none" w:sz="0" w:space="0" w:color="auto"/>
                <w:bottom w:val="none" w:sz="0" w:space="0" w:color="auto"/>
                <w:right w:val="none" w:sz="0" w:space="0" w:color="auto"/>
              </w:divBdr>
            </w:div>
            <w:div w:id="1807626060">
              <w:marLeft w:val="0"/>
              <w:marRight w:val="0"/>
              <w:marTop w:val="0"/>
              <w:marBottom w:val="0"/>
              <w:divBdr>
                <w:top w:val="none" w:sz="0" w:space="0" w:color="auto"/>
                <w:left w:val="none" w:sz="0" w:space="0" w:color="auto"/>
                <w:bottom w:val="none" w:sz="0" w:space="0" w:color="auto"/>
                <w:right w:val="none" w:sz="0" w:space="0" w:color="auto"/>
              </w:divBdr>
            </w:div>
            <w:div w:id="2057846573">
              <w:marLeft w:val="0"/>
              <w:marRight w:val="0"/>
              <w:marTop w:val="0"/>
              <w:marBottom w:val="0"/>
              <w:divBdr>
                <w:top w:val="none" w:sz="0" w:space="0" w:color="auto"/>
                <w:left w:val="none" w:sz="0" w:space="0" w:color="auto"/>
                <w:bottom w:val="none" w:sz="0" w:space="0" w:color="auto"/>
                <w:right w:val="none" w:sz="0" w:space="0" w:color="auto"/>
              </w:divBdr>
            </w:div>
            <w:div w:id="2068644359">
              <w:marLeft w:val="0"/>
              <w:marRight w:val="0"/>
              <w:marTop w:val="0"/>
              <w:marBottom w:val="0"/>
              <w:divBdr>
                <w:top w:val="none" w:sz="0" w:space="0" w:color="auto"/>
                <w:left w:val="none" w:sz="0" w:space="0" w:color="auto"/>
                <w:bottom w:val="none" w:sz="0" w:space="0" w:color="auto"/>
                <w:right w:val="none" w:sz="0" w:space="0" w:color="auto"/>
              </w:divBdr>
            </w:div>
            <w:div w:id="2137748874">
              <w:marLeft w:val="0"/>
              <w:marRight w:val="0"/>
              <w:marTop w:val="0"/>
              <w:marBottom w:val="0"/>
              <w:divBdr>
                <w:top w:val="none" w:sz="0" w:space="0" w:color="auto"/>
                <w:left w:val="none" w:sz="0" w:space="0" w:color="auto"/>
                <w:bottom w:val="none" w:sz="0" w:space="0" w:color="auto"/>
                <w:right w:val="none" w:sz="0" w:space="0" w:color="auto"/>
              </w:divBdr>
            </w:div>
          </w:divsChild>
        </w:div>
        <w:div w:id="1897743269">
          <w:marLeft w:val="0"/>
          <w:marRight w:val="0"/>
          <w:marTop w:val="0"/>
          <w:marBottom w:val="0"/>
          <w:divBdr>
            <w:top w:val="none" w:sz="0" w:space="0" w:color="auto"/>
            <w:left w:val="none" w:sz="0" w:space="0" w:color="auto"/>
            <w:bottom w:val="none" w:sz="0" w:space="0" w:color="auto"/>
            <w:right w:val="none" w:sz="0" w:space="0" w:color="auto"/>
          </w:divBdr>
          <w:divsChild>
            <w:div w:id="104008589">
              <w:marLeft w:val="0"/>
              <w:marRight w:val="0"/>
              <w:marTop w:val="0"/>
              <w:marBottom w:val="0"/>
              <w:divBdr>
                <w:top w:val="none" w:sz="0" w:space="0" w:color="auto"/>
                <w:left w:val="none" w:sz="0" w:space="0" w:color="auto"/>
                <w:bottom w:val="none" w:sz="0" w:space="0" w:color="auto"/>
                <w:right w:val="none" w:sz="0" w:space="0" w:color="auto"/>
              </w:divBdr>
            </w:div>
            <w:div w:id="155801934">
              <w:marLeft w:val="0"/>
              <w:marRight w:val="0"/>
              <w:marTop w:val="0"/>
              <w:marBottom w:val="0"/>
              <w:divBdr>
                <w:top w:val="none" w:sz="0" w:space="0" w:color="auto"/>
                <w:left w:val="none" w:sz="0" w:space="0" w:color="auto"/>
                <w:bottom w:val="none" w:sz="0" w:space="0" w:color="auto"/>
                <w:right w:val="none" w:sz="0" w:space="0" w:color="auto"/>
              </w:divBdr>
            </w:div>
            <w:div w:id="365526711">
              <w:marLeft w:val="0"/>
              <w:marRight w:val="0"/>
              <w:marTop w:val="0"/>
              <w:marBottom w:val="0"/>
              <w:divBdr>
                <w:top w:val="none" w:sz="0" w:space="0" w:color="auto"/>
                <w:left w:val="none" w:sz="0" w:space="0" w:color="auto"/>
                <w:bottom w:val="none" w:sz="0" w:space="0" w:color="auto"/>
                <w:right w:val="none" w:sz="0" w:space="0" w:color="auto"/>
              </w:divBdr>
            </w:div>
            <w:div w:id="370108977">
              <w:marLeft w:val="0"/>
              <w:marRight w:val="0"/>
              <w:marTop w:val="0"/>
              <w:marBottom w:val="0"/>
              <w:divBdr>
                <w:top w:val="none" w:sz="0" w:space="0" w:color="auto"/>
                <w:left w:val="none" w:sz="0" w:space="0" w:color="auto"/>
                <w:bottom w:val="none" w:sz="0" w:space="0" w:color="auto"/>
                <w:right w:val="none" w:sz="0" w:space="0" w:color="auto"/>
              </w:divBdr>
            </w:div>
            <w:div w:id="505479278">
              <w:marLeft w:val="0"/>
              <w:marRight w:val="0"/>
              <w:marTop w:val="0"/>
              <w:marBottom w:val="0"/>
              <w:divBdr>
                <w:top w:val="none" w:sz="0" w:space="0" w:color="auto"/>
                <w:left w:val="none" w:sz="0" w:space="0" w:color="auto"/>
                <w:bottom w:val="none" w:sz="0" w:space="0" w:color="auto"/>
                <w:right w:val="none" w:sz="0" w:space="0" w:color="auto"/>
              </w:divBdr>
            </w:div>
            <w:div w:id="526796547">
              <w:marLeft w:val="0"/>
              <w:marRight w:val="0"/>
              <w:marTop w:val="0"/>
              <w:marBottom w:val="0"/>
              <w:divBdr>
                <w:top w:val="none" w:sz="0" w:space="0" w:color="auto"/>
                <w:left w:val="none" w:sz="0" w:space="0" w:color="auto"/>
                <w:bottom w:val="none" w:sz="0" w:space="0" w:color="auto"/>
                <w:right w:val="none" w:sz="0" w:space="0" w:color="auto"/>
              </w:divBdr>
            </w:div>
            <w:div w:id="1241256566">
              <w:marLeft w:val="0"/>
              <w:marRight w:val="0"/>
              <w:marTop w:val="0"/>
              <w:marBottom w:val="0"/>
              <w:divBdr>
                <w:top w:val="none" w:sz="0" w:space="0" w:color="auto"/>
                <w:left w:val="none" w:sz="0" w:space="0" w:color="auto"/>
                <w:bottom w:val="none" w:sz="0" w:space="0" w:color="auto"/>
                <w:right w:val="none" w:sz="0" w:space="0" w:color="auto"/>
              </w:divBdr>
            </w:div>
            <w:div w:id="1434282091">
              <w:marLeft w:val="0"/>
              <w:marRight w:val="0"/>
              <w:marTop w:val="0"/>
              <w:marBottom w:val="0"/>
              <w:divBdr>
                <w:top w:val="none" w:sz="0" w:space="0" w:color="auto"/>
                <w:left w:val="none" w:sz="0" w:space="0" w:color="auto"/>
                <w:bottom w:val="none" w:sz="0" w:space="0" w:color="auto"/>
                <w:right w:val="none" w:sz="0" w:space="0" w:color="auto"/>
              </w:divBdr>
            </w:div>
            <w:div w:id="1482113493">
              <w:marLeft w:val="0"/>
              <w:marRight w:val="0"/>
              <w:marTop w:val="0"/>
              <w:marBottom w:val="0"/>
              <w:divBdr>
                <w:top w:val="none" w:sz="0" w:space="0" w:color="auto"/>
                <w:left w:val="none" w:sz="0" w:space="0" w:color="auto"/>
                <w:bottom w:val="none" w:sz="0" w:space="0" w:color="auto"/>
                <w:right w:val="none" w:sz="0" w:space="0" w:color="auto"/>
              </w:divBdr>
            </w:div>
            <w:div w:id="1645508280">
              <w:marLeft w:val="0"/>
              <w:marRight w:val="0"/>
              <w:marTop w:val="0"/>
              <w:marBottom w:val="0"/>
              <w:divBdr>
                <w:top w:val="none" w:sz="0" w:space="0" w:color="auto"/>
                <w:left w:val="none" w:sz="0" w:space="0" w:color="auto"/>
                <w:bottom w:val="none" w:sz="0" w:space="0" w:color="auto"/>
                <w:right w:val="none" w:sz="0" w:space="0" w:color="auto"/>
              </w:divBdr>
            </w:div>
            <w:div w:id="19805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6634">
      <w:bodyDiv w:val="1"/>
      <w:marLeft w:val="0"/>
      <w:marRight w:val="0"/>
      <w:marTop w:val="0"/>
      <w:marBottom w:val="0"/>
      <w:divBdr>
        <w:top w:val="none" w:sz="0" w:space="0" w:color="auto"/>
        <w:left w:val="none" w:sz="0" w:space="0" w:color="auto"/>
        <w:bottom w:val="none" w:sz="0" w:space="0" w:color="auto"/>
        <w:right w:val="none" w:sz="0" w:space="0" w:color="auto"/>
      </w:divBdr>
      <w:divsChild>
        <w:div w:id="385642592">
          <w:marLeft w:val="0"/>
          <w:marRight w:val="0"/>
          <w:marTop w:val="0"/>
          <w:marBottom w:val="0"/>
          <w:divBdr>
            <w:top w:val="none" w:sz="0" w:space="0" w:color="auto"/>
            <w:left w:val="none" w:sz="0" w:space="0" w:color="auto"/>
            <w:bottom w:val="none" w:sz="0" w:space="0" w:color="auto"/>
            <w:right w:val="none" w:sz="0" w:space="0" w:color="auto"/>
          </w:divBdr>
          <w:divsChild>
            <w:div w:id="1656836262">
              <w:marLeft w:val="0"/>
              <w:marRight w:val="0"/>
              <w:marTop w:val="0"/>
              <w:marBottom w:val="0"/>
              <w:divBdr>
                <w:top w:val="none" w:sz="0" w:space="0" w:color="auto"/>
                <w:left w:val="none" w:sz="0" w:space="0" w:color="auto"/>
                <w:bottom w:val="none" w:sz="0" w:space="0" w:color="auto"/>
                <w:right w:val="none" w:sz="0" w:space="0" w:color="auto"/>
              </w:divBdr>
            </w:div>
          </w:divsChild>
        </w:div>
        <w:div w:id="1529100248">
          <w:marLeft w:val="0"/>
          <w:marRight w:val="0"/>
          <w:marTop w:val="0"/>
          <w:marBottom w:val="0"/>
          <w:divBdr>
            <w:top w:val="none" w:sz="0" w:space="0" w:color="auto"/>
            <w:left w:val="none" w:sz="0" w:space="0" w:color="auto"/>
            <w:bottom w:val="none" w:sz="0" w:space="0" w:color="auto"/>
            <w:right w:val="none" w:sz="0" w:space="0" w:color="auto"/>
          </w:divBdr>
          <w:divsChild>
            <w:div w:id="1991783186">
              <w:marLeft w:val="0"/>
              <w:marRight w:val="0"/>
              <w:marTop w:val="0"/>
              <w:marBottom w:val="0"/>
              <w:divBdr>
                <w:top w:val="none" w:sz="0" w:space="0" w:color="auto"/>
                <w:left w:val="none" w:sz="0" w:space="0" w:color="auto"/>
                <w:bottom w:val="none" w:sz="0" w:space="0" w:color="auto"/>
                <w:right w:val="none" w:sz="0" w:space="0" w:color="auto"/>
              </w:divBdr>
              <w:divsChild>
                <w:div w:id="150130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91534">
      <w:bodyDiv w:val="1"/>
      <w:marLeft w:val="0"/>
      <w:marRight w:val="0"/>
      <w:marTop w:val="0"/>
      <w:marBottom w:val="0"/>
      <w:divBdr>
        <w:top w:val="none" w:sz="0" w:space="0" w:color="auto"/>
        <w:left w:val="none" w:sz="0" w:space="0" w:color="auto"/>
        <w:bottom w:val="none" w:sz="0" w:space="0" w:color="auto"/>
        <w:right w:val="none" w:sz="0" w:space="0" w:color="auto"/>
      </w:divBdr>
    </w:div>
    <w:div w:id="1013612526">
      <w:bodyDiv w:val="1"/>
      <w:marLeft w:val="0"/>
      <w:marRight w:val="0"/>
      <w:marTop w:val="0"/>
      <w:marBottom w:val="0"/>
      <w:divBdr>
        <w:top w:val="none" w:sz="0" w:space="0" w:color="auto"/>
        <w:left w:val="none" w:sz="0" w:space="0" w:color="auto"/>
        <w:bottom w:val="none" w:sz="0" w:space="0" w:color="auto"/>
        <w:right w:val="none" w:sz="0" w:space="0" w:color="auto"/>
      </w:divBdr>
      <w:divsChild>
        <w:div w:id="359748906">
          <w:marLeft w:val="0"/>
          <w:marRight w:val="0"/>
          <w:marTop w:val="0"/>
          <w:marBottom w:val="0"/>
          <w:divBdr>
            <w:top w:val="none" w:sz="0" w:space="0" w:color="auto"/>
            <w:left w:val="none" w:sz="0" w:space="0" w:color="auto"/>
            <w:bottom w:val="none" w:sz="0" w:space="0" w:color="auto"/>
            <w:right w:val="none" w:sz="0" w:space="0" w:color="auto"/>
          </w:divBdr>
        </w:div>
        <w:div w:id="1129279507">
          <w:marLeft w:val="0"/>
          <w:marRight w:val="0"/>
          <w:marTop w:val="0"/>
          <w:marBottom w:val="0"/>
          <w:divBdr>
            <w:top w:val="none" w:sz="0" w:space="0" w:color="auto"/>
            <w:left w:val="none" w:sz="0" w:space="0" w:color="auto"/>
            <w:bottom w:val="none" w:sz="0" w:space="0" w:color="auto"/>
            <w:right w:val="none" w:sz="0" w:space="0" w:color="auto"/>
          </w:divBdr>
        </w:div>
      </w:divsChild>
    </w:div>
    <w:div w:id="1125779946">
      <w:bodyDiv w:val="1"/>
      <w:marLeft w:val="0"/>
      <w:marRight w:val="0"/>
      <w:marTop w:val="0"/>
      <w:marBottom w:val="0"/>
      <w:divBdr>
        <w:top w:val="none" w:sz="0" w:space="0" w:color="auto"/>
        <w:left w:val="none" w:sz="0" w:space="0" w:color="auto"/>
        <w:bottom w:val="none" w:sz="0" w:space="0" w:color="auto"/>
        <w:right w:val="none" w:sz="0" w:space="0" w:color="auto"/>
      </w:divBdr>
      <w:divsChild>
        <w:div w:id="665519516">
          <w:marLeft w:val="0"/>
          <w:marRight w:val="0"/>
          <w:marTop w:val="0"/>
          <w:marBottom w:val="0"/>
          <w:divBdr>
            <w:top w:val="none" w:sz="0" w:space="0" w:color="auto"/>
            <w:left w:val="none" w:sz="0" w:space="0" w:color="auto"/>
            <w:bottom w:val="none" w:sz="0" w:space="0" w:color="auto"/>
            <w:right w:val="none" w:sz="0" w:space="0" w:color="auto"/>
          </w:divBdr>
          <w:divsChild>
            <w:div w:id="16586087">
              <w:marLeft w:val="0"/>
              <w:marRight w:val="0"/>
              <w:marTop w:val="0"/>
              <w:marBottom w:val="0"/>
              <w:divBdr>
                <w:top w:val="none" w:sz="0" w:space="0" w:color="auto"/>
                <w:left w:val="none" w:sz="0" w:space="0" w:color="auto"/>
                <w:bottom w:val="none" w:sz="0" w:space="0" w:color="auto"/>
                <w:right w:val="none" w:sz="0" w:space="0" w:color="auto"/>
              </w:divBdr>
            </w:div>
            <w:div w:id="184440306">
              <w:marLeft w:val="0"/>
              <w:marRight w:val="0"/>
              <w:marTop w:val="0"/>
              <w:marBottom w:val="0"/>
              <w:divBdr>
                <w:top w:val="none" w:sz="0" w:space="0" w:color="auto"/>
                <w:left w:val="none" w:sz="0" w:space="0" w:color="auto"/>
                <w:bottom w:val="none" w:sz="0" w:space="0" w:color="auto"/>
                <w:right w:val="none" w:sz="0" w:space="0" w:color="auto"/>
              </w:divBdr>
            </w:div>
            <w:div w:id="351615299">
              <w:marLeft w:val="0"/>
              <w:marRight w:val="0"/>
              <w:marTop w:val="0"/>
              <w:marBottom w:val="0"/>
              <w:divBdr>
                <w:top w:val="none" w:sz="0" w:space="0" w:color="auto"/>
                <w:left w:val="none" w:sz="0" w:space="0" w:color="auto"/>
                <w:bottom w:val="none" w:sz="0" w:space="0" w:color="auto"/>
                <w:right w:val="none" w:sz="0" w:space="0" w:color="auto"/>
              </w:divBdr>
            </w:div>
            <w:div w:id="651183536">
              <w:marLeft w:val="0"/>
              <w:marRight w:val="0"/>
              <w:marTop w:val="0"/>
              <w:marBottom w:val="0"/>
              <w:divBdr>
                <w:top w:val="none" w:sz="0" w:space="0" w:color="auto"/>
                <w:left w:val="none" w:sz="0" w:space="0" w:color="auto"/>
                <w:bottom w:val="none" w:sz="0" w:space="0" w:color="auto"/>
                <w:right w:val="none" w:sz="0" w:space="0" w:color="auto"/>
              </w:divBdr>
            </w:div>
            <w:div w:id="718407102">
              <w:marLeft w:val="0"/>
              <w:marRight w:val="0"/>
              <w:marTop w:val="0"/>
              <w:marBottom w:val="0"/>
              <w:divBdr>
                <w:top w:val="none" w:sz="0" w:space="0" w:color="auto"/>
                <w:left w:val="none" w:sz="0" w:space="0" w:color="auto"/>
                <w:bottom w:val="none" w:sz="0" w:space="0" w:color="auto"/>
                <w:right w:val="none" w:sz="0" w:space="0" w:color="auto"/>
              </w:divBdr>
            </w:div>
            <w:div w:id="905412128">
              <w:marLeft w:val="0"/>
              <w:marRight w:val="0"/>
              <w:marTop w:val="0"/>
              <w:marBottom w:val="0"/>
              <w:divBdr>
                <w:top w:val="none" w:sz="0" w:space="0" w:color="auto"/>
                <w:left w:val="none" w:sz="0" w:space="0" w:color="auto"/>
                <w:bottom w:val="none" w:sz="0" w:space="0" w:color="auto"/>
                <w:right w:val="none" w:sz="0" w:space="0" w:color="auto"/>
              </w:divBdr>
            </w:div>
            <w:div w:id="1020204711">
              <w:marLeft w:val="0"/>
              <w:marRight w:val="0"/>
              <w:marTop w:val="0"/>
              <w:marBottom w:val="0"/>
              <w:divBdr>
                <w:top w:val="none" w:sz="0" w:space="0" w:color="auto"/>
                <w:left w:val="none" w:sz="0" w:space="0" w:color="auto"/>
                <w:bottom w:val="none" w:sz="0" w:space="0" w:color="auto"/>
                <w:right w:val="none" w:sz="0" w:space="0" w:color="auto"/>
              </w:divBdr>
            </w:div>
            <w:div w:id="1447625853">
              <w:marLeft w:val="0"/>
              <w:marRight w:val="0"/>
              <w:marTop w:val="0"/>
              <w:marBottom w:val="0"/>
              <w:divBdr>
                <w:top w:val="none" w:sz="0" w:space="0" w:color="auto"/>
                <w:left w:val="none" w:sz="0" w:space="0" w:color="auto"/>
                <w:bottom w:val="none" w:sz="0" w:space="0" w:color="auto"/>
                <w:right w:val="none" w:sz="0" w:space="0" w:color="auto"/>
              </w:divBdr>
            </w:div>
            <w:div w:id="1537305830">
              <w:marLeft w:val="0"/>
              <w:marRight w:val="0"/>
              <w:marTop w:val="0"/>
              <w:marBottom w:val="0"/>
              <w:divBdr>
                <w:top w:val="none" w:sz="0" w:space="0" w:color="auto"/>
                <w:left w:val="none" w:sz="0" w:space="0" w:color="auto"/>
                <w:bottom w:val="none" w:sz="0" w:space="0" w:color="auto"/>
                <w:right w:val="none" w:sz="0" w:space="0" w:color="auto"/>
              </w:divBdr>
            </w:div>
            <w:div w:id="1679968631">
              <w:marLeft w:val="0"/>
              <w:marRight w:val="0"/>
              <w:marTop w:val="0"/>
              <w:marBottom w:val="0"/>
              <w:divBdr>
                <w:top w:val="none" w:sz="0" w:space="0" w:color="auto"/>
                <w:left w:val="none" w:sz="0" w:space="0" w:color="auto"/>
                <w:bottom w:val="none" w:sz="0" w:space="0" w:color="auto"/>
                <w:right w:val="none" w:sz="0" w:space="0" w:color="auto"/>
              </w:divBdr>
            </w:div>
            <w:div w:id="1690832397">
              <w:marLeft w:val="0"/>
              <w:marRight w:val="0"/>
              <w:marTop w:val="0"/>
              <w:marBottom w:val="0"/>
              <w:divBdr>
                <w:top w:val="none" w:sz="0" w:space="0" w:color="auto"/>
                <w:left w:val="none" w:sz="0" w:space="0" w:color="auto"/>
                <w:bottom w:val="none" w:sz="0" w:space="0" w:color="auto"/>
                <w:right w:val="none" w:sz="0" w:space="0" w:color="auto"/>
              </w:divBdr>
            </w:div>
            <w:div w:id="1713798358">
              <w:marLeft w:val="0"/>
              <w:marRight w:val="0"/>
              <w:marTop w:val="0"/>
              <w:marBottom w:val="0"/>
              <w:divBdr>
                <w:top w:val="none" w:sz="0" w:space="0" w:color="auto"/>
                <w:left w:val="none" w:sz="0" w:space="0" w:color="auto"/>
                <w:bottom w:val="none" w:sz="0" w:space="0" w:color="auto"/>
                <w:right w:val="none" w:sz="0" w:space="0" w:color="auto"/>
              </w:divBdr>
            </w:div>
            <w:div w:id="1832283511">
              <w:marLeft w:val="0"/>
              <w:marRight w:val="0"/>
              <w:marTop w:val="0"/>
              <w:marBottom w:val="0"/>
              <w:divBdr>
                <w:top w:val="none" w:sz="0" w:space="0" w:color="auto"/>
                <w:left w:val="none" w:sz="0" w:space="0" w:color="auto"/>
                <w:bottom w:val="none" w:sz="0" w:space="0" w:color="auto"/>
                <w:right w:val="none" w:sz="0" w:space="0" w:color="auto"/>
              </w:divBdr>
            </w:div>
            <w:div w:id="1993481509">
              <w:marLeft w:val="0"/>
              <w:marRight w:val="0"/>
              <w:marTop w:val="0"/>
              <w:marBottom w:val="0"/>
              <w:divBdr>
                <w:top w:val="none" w:sz="0" w:space="0" w:color="auto"/>
                <w:left w:val="none" w:sz="0" w:space="0" w:color="auto"/>
                <w:bottom w:val="none" w:sz="0" w:space="0" w:color="auto"/>
                <w:right w:val="none" w:sz="0" w:space="0" w:color="auto"/>
              </w:divBdr>
            </w:div>
          </w:divsChild>
        </w:div>
        <w:div w:id="1158308476">
          <w:marLeft w:val="0"/>
          <w:marRight w:val="0"/>
          <w:marTop w:val="0"/>
          <w:marBottom w:val="0"/>
          <w:divBdr>
            <w:top w:val="none" w:sz="0" w:space="0" w:color="auto"/>
            <w:left w:val="none" w:sz="0" w:space="0" w:color="auto"/>
            <w:bottom w:val="none" w:sz="0" w:space="0" w:color="auto"/>
            <w:right w:val="none" w:sz="0" w:space="0" w:color="auto"/>
          </w:divBdr>
          <w:divsChild>
            <w:div w:id="357968149">
              <w:marLeft w:val="0"/>
              <w:marRight w:val="0"/>
              <w:marTop w:val="0"/>
              <w:marBottom w:val="0"/>
              <w:divBdr>
                <w:top w:val="none" w:sz="0" w:space="0" w:color="auto"/>
                <w:left w:val="none" w:sz="0" w:space="0" w:color="auto"/>
                <w:bottom w:val="none" w:sz="0" w:space="0" w:color="auto"/>
                <w:right w:val="none" w:sz="0" w:space="0" w:color="auto"/>
              </w:divBdr>
            </w:div>
            <w:div w:id="573710270">
              <w:marLeft w:val="0"/>
              <w:marRight w:val="0"/>
              <w:marTop w:val="0"/>
              <w:marBottom w:val="0"/>
              <w:divBdr>
                <w:top w:val="none" w:sz="0" w:space="0" w:color="auto"/>
                <w:left w:val="none" w:sz="0" w:space="0" w:color="auto"/>
                <w:bottom w:val="none" w:sz="0" w:space="0" w:color="auto"/>
                <w:right w:val="none" w:sz="0" w:space="0" w:color="auto"/>
              </w:divBdr>
            </w:div>
            <w:div w:id="668023184">
              <w:marLeft w:val="0"/>
              <w:marRight w:val="0"/>
              <w:marTop w:val="0"/>
              <w:marBottom w:val="0"/>
              <w:divBdr>
                <w:top w:val="none" w:sz="0" w:space="0" w:color="auto"/>
                <w:left w:val="none" w:sz="0" w:space="0" w:color="auto"/>
                <w:bottom w:val="none" w:sz="0" w:space="0" w:color="auto"/>
                <w:right w:val="none" w:sz="0" w:space="0" w:color="auto"/>
              </w:divBdr>
            </w:div>
            <w:div w:id="757409809">
              <w:marLeft w:val="0"/>
              <w:marRight w:val="0"/>
              <w:marTop w:val="0"/>
              <w:marBottom w:val="0"/>
              <w:divBdr>
                <w:top w:val="none" w:sz="0" w:space="0" w:color="auto"/>
                <w:left w:val="none" w:sz="0" w:space="0" w:color="auto"/>
                <w:bottom w:val="none" w:sz="0" w:space="0" w:color="auto"/>
                <w:right w:val="none" w:sz="0" w:space="0" w:color="auto"/>
              </w:divBdr>
            </w:div>
            <w:div w:id="943195158">
              <w:marLeft w:val="0"/>
              <w:marRight w:val="0"/>
              <w:marTop w:val="0"/>
              <w:marBottom w:val="0"/>
              <w:divBdr>
                <w:top w:val="none" w:sz="0" w:space="0" w:color="auto"/>
                <w:left w:val="none" w:sz="0" w:space="0" w:color="auto"/>
                <w:bottom w:val="none" w:sz="0" w:space="0" w:color="auto"/>
                <w:right w:val="none" w:sz="0" w:space="0" w:color="auto"/>
              </w:divBdr>
            </w:div>
            <w:div w:id="1023941203">
              <w:marLeft w:val="0"/>
              <w:marRight w:val="0"/>
              <w:marTop w:val="0"/>
              <w:marBottom w:val="0"/>
              <w:divBdr>
                <w:top w:val="none" w:sz="0" w:space="0" w:color="auto"/>
                <w:left w:val="none" w:sz="0" w:space="0" w:color="auto"/>
                <w:bottom w:val="none" w:sz="0" w:space="0" w:color="auto"/>
                <w:right w:val="none" w:sz="0" w:space="0" w:color="auto"/>
              </w:divBdr>
            </w:div>
            <w:div w:id="1082994382">
              <w:marLeft w:val="0"/>
              <w:marRight w:val="0"/>
              <w:marTop w:val="0"/>
              <w:marBottom w:val="0"/>
              <w:divBdr>
                <w:top w:val="none" w:sz="0" w:space="0" w:color="auto"/>
                <w:left w:val="none" w:sz="0" w:space="0" w:color="auto"/>
                <w:bottom w:val="none" w:sz="0" w:space="0" w:color="auto"/>
                <w:right w:val="none" w:sz="0" w:space="0" w:color="auto"/>
              </w:divBdr>
            </w:div>
            <w:div w:id="1367220880">
              <w:marLeft w:val="0"/>
              <w:marRight w:val="0"/>
              <w:marTop w:val="0"/>
              <w:marBottom w:val="0"/>
              <w:divBdr>
                <w:top w:val="none" w:sz="0" w:space="0" w:color="auto"/>
                <w:left w:val="none" w:sz="0" w:space="0" w:color="auto"/>
                <w:bottom w:val="none" w:sz="0" w:space="0" w:color="auto"/>
                <w:right w:val="none" w:sz="0" w:space="0" w:color="auto"/>
              </w:divBdr>
            </w:div>
            <w:div w:id="2013484158">
              <w:marLeft w:val="0"/>
              <w:marRight w:val="0"/>
              <w:marTop w:val="0"/>
              <w:marBottom w:val="0"/>
              <w:divBdr>
                <w:top w:val="none" w:sz="0" w:space="0" w:color="auto"/>
                <w:left w:val="none" w:sz="0" w:space="0" w:color="auto"/>
                <w:bottom w:val="none" w:sz="0" w:space="0" w:color="auto"/>
                <w:right w:val="none" w:sz="0" w:space="0" w:color="auto"/>
              </w:divBdr>
            </w:div>
            <w:div w:id="2042970137">
              <w:marLeft w:val="0"/>
              <w:marRight w:val="0"/>
              <w:marTop w:val="0"/>
              <w:marBottom w:val="0"/>
              <w:divBdr>
                <w:top w:val="none" w:sz="0" w:space="0" w:color="auto"/>
                <w:left w:val="none" w:sz="0" w:space="0" w:color="auto"/>
                <w:bottom w:val="none" w:sz="0" w:space="0" w:color="auto"/>
                <w:right w:val="none" w:sz="0" w:space="0" w:color="auto"/>
              </w:divBdr>
            </w:div>
            <w:div w:id="2045865905">
              <w:marLeft w:val="0"/>
              <w:marRight w:val="0"/>
              <w:marTop w:val="0"/>
              <w:marBottom w:val="0"/>
              <w:divBdr>
                <w:top w:val="none" w:sz="0" w:space="0" w:color="auto"/>
                <w:left w:val="none" w:sz="0" w:space="0" w:color="auto"/>
                <w:bottom w:val="none" w:sz="0" w:space="0" w:color="auto"/>
                <w:right w:val="none" w:sz="0" w:space="0" w:color="auto"/>
              </w:divBdr>
            </w:div>
          </w:divsChild>
        </w:div>
        <w:div w:id="1961372019">
          <w:marLeft w:val="0"/>
          <w:marRight w:val="0"/>
          <w:marTop w:val="0"/>
          <w:marBottom w:val="0"/>
          <w:divBdr>
            <w:top w:val="none" w:sz="0" w:space="0" w:color="auto"/>
            <w:left w:val="none" w:sz="0" w:space="0" w:color="auto"/>
            <w:bottom w:val="none" w:sz="0" w:space="0" w:color="auto"/>
            <w:right w:val="none" w:sz="0" w:space="0" w:color="auto"/>
          </w:divBdr>
          <w:divsChild>
            <w:div w:id="217283590">
              <w:marLeft w:val="0"/>
              <w:marRight w:val="0"/>
              <w:marTop w:val="0"/>
              <w:marBottom w:val="0"/>
              <w:divBdr>
                <w:top w:val="none" w:sz="0" w:space="0" w:color="auto"/>
                <w:left w:val="none" w:sz="0" w:space="0" w:color="auto"/>
                <w:bottom w:val="none" w:sz="0" w:space="0" w:color="auto"/>
                <w:right w:val="none" w:sz="0" w:space="0" w:color="auto"/>
              </w:divBdr>
            </w:div>
            <w:div w:id="295335545">
              <w:marLeft w:val="0"/>
              <w:marRight w:val="0"/>
              <w:marTop w:val="0"/>
              <w:marBottom w:val="0"/>
              <w:divBdr>
                <w:top w:val="none" w:sz="0" w:space="0" w:color="auto"/>
                <w:left w:val="none" w:sz="0" w:space="0" w:color="auto"/>
                <w:bottom w:val="none" w:sz="0" w:space="0" w:color="auto"/>
                <w:right w:val="none" w:sz="0" w:space="0" w:color="auto"/>
              </w:divBdr>
            </w:div>
            <w:div w:id="309746343">
              <w:marLeft w:val="0"/>
              <w:marRight w:val="0"/>
              <w:marTop w:val="0"/>
              <w:marBottom w:val="0"/>
              <w:divBdr>
                <w:top w:val="none" w:sz="0" w:space="0" w:color="auto"/>
                <w:left w:val="none" w:sz="0" w:space="0" w:color="auto"/>
                <w:bottom w:val="none" w:sz="0" w:space="0" w:color="auto"/>
                <w:right w:val="none" w:sz="0" w:space="0" w:color="auto"/>
              </w:divBdr>
            </w:div>
            <w:div w:id="415708503">
              <w:marLeft w:val="0"/>
              <w:marRight w:val="0"/>
              <w:marTop w:val="0"/>
              <w:marBottom w:val="0"/>
              <w:divBdr>
                <w:top w:val="none" w:sz="0" w:space="0" w:color="auto"/>
                <w:left w:val="none" w:sz="0" w:space="0" w:color="auto"/>
                <w:bottom w:val="none" w:sz="0" w:space="0" w:color="auto"/>
                <w:right w:val="none" w:sz="0" w:space="0" w:color="auto"/>
              </w:divBdr>
            </w:div>
            <w:div w:id="577404802">
              <w:marLeft w:val="0"/>
              <w:marRight w:val="0"/>
              <w:marTop w:val="0"/>
              <w:marBottom w:val="0"/>
              <w:divBdr>
                <w:top w:val="none" w:sz="0" w:space="0" w:color="auto"/>
                <w:left w:val="none" w:sz="0" w:space="0" w:color="auto"/>
                <w:bottom w:val="none" w:sz="0" w:space="0" w:color="auto"/>
                <w:right w:val="none" w:sz="0" w:space="0" w:color="auto"/>
              </w:divBdr>
            </w:div>
            <w:div w:id="695930742">
              <w:marLeft w:val="0"/>
              <w:marRight w:val="0"/>
              <w:marTop w:val="0"/>
              <w:marBottom w:val="0"/>
              <w:divBdr>
                <w:top w:val="none" w:sz="0" w:space="0" w:color="auto"/>
                <w:left w:val="none" w:sz="0" w:space="0" w:color="auto"/>
                <w:bottom w:val="none" w:sz="0" w:space="0" w:color="auto"/>
                <w:right w:val="none" w:sz="0" w:space="0" w:color="auto"/>
              </w:divBdr>
            </w:div>
            <w:div w:id="792134011">
              <w:marLeft w:val="0"/>
              <w:marRight w:val="0"/>
              <w:marTop w:val="0"/>
              <w:marBottom w:val="0"/>
              <w:divBdr>
                <w:top w:val="none" w:sz="0" w:space="0" w:color="auto"/>
                <w:left w:val="none" w:sz="0" w:space="0" w:color="auto"/>
                <w:bottom w:val="none" w:sz="0" w:space="0" w:color="auto"/>
                <w:right w:val="none" w:sz="0" w:space="0" w:color="auto"/>
              </w:divBdr>
            </w:div>
            <w:div w:id="1173254298">
              <w:marLeft w:val="0"/>
              <w:marRight w:val="0"/>
              <w:marTop w:val="0"/>
              <w:marBottom w:val="0"/>
              <w:divBdr>
                <w:top w:val="none" w:sz="0" w:space="0" w:color="auto"/>
                <w:left w:val="none" w:sz="0" w:space="0" w:color="auto"/>
                <w:bottom w:val="none" w:sz="0" w:space="0" w:color="auto"/>
                <w:right w:val="none" w:sz="0" w:space="0" w:color="auto"/>
              </w:divBdr>
            </w:div>
            <w:div w:id="1186745679">
              <w:marLeft w:val="0"/>
              <w:marRight w:val="0"/>
              <w:marTop w:val="0"/>
              <w:marBottom w:val="0"/>
              <w:divBdr>
                <w:top w:val="none" w:sz="0" w:space="0" w:color="auto"/>
                <w:left w:val="none" w:sz="0" w:space="0" w:color="auto"/>
                <w:bottom w:val="none" w:sz="0" w:space="0" w:color="auto"/>
                <w:right w:val="none" w:sz="0" w:space="0" w:color="auto"/>
              </w:divBdr>
            </w:div>
            <w:div w:id="1246458525">
              <w:marLeft w:val="0"/>
              <w:marRight w:val="0"/>
              <w:marTop w:val="0"/>
              <w:marBottom w:val="0"/>
              <w:divBdr>
                <w:top w:val="none" w:sz="0" w:space="0" w:color="auto"/>
                <w:left w:val="none" w:sz="0" w:space="0" w:color="auto"/>
                <w:bottom w:val="none" w:sz="0" w:space="0" w:color="auto"/>
                <w:right w:val="none" w:sz="0" w:space="0" w:color="auto"/>
              </w:divBdr>
            </w:div>
            <w:div w:id="1294756149">
              <w:marLeft w:val="0"/>
              <w:marRight w:val="0"/>
              <w:marTop w:val="0"/>
              <w:marBottom w:val="0"/>
              <w:divBdr>
                <w:top w:val="none" w:sz="0" w:space="0" w:color="auto"/>
                <w:left w:val="none" w:sz="0" w:space="0" w:color="auto"/>
                <w:bottom w:val="none" w:sz="0" w:space="0" w:color="auto"/>
                <w:right w:val="none" w:sz="0" w:space="0" w:color="auto"/>
              </w:divBdr>
            </w:div>
            <w:div w:id="1423648511">
              <w:marLeft w:val="0"/>
              <w:marRight w:val="0"/>
              <w:marTop w:val="0"/>
              <w:marBottom w:val="0"/>
              <w:divBdr>
                <w:top w:val="none" w:sz="0" w:space="0" w:color="auto"/>
                <w:left w:val="none" w:sz="0" w:space="0" w:color="auto"/>
                <w:bottom w:val="none" w:sz="0" w:space="0" w:color="auto"/>
                <w:right w:val="none" w:sz="0" w:space="0" w:color="auto"/>
              </w:divBdr>
            </w:div>
            <w:div w:id="1454204681">
              <w:marLeft w:val="0"/>
              <w:marRight w:val="0"/>
              <w:marTop w:val="0"/>
              <w:marBottom w:val="0"/>
              <w:divBdr>
                <w:top w:val="none" w:sz="0" w:space="0" w:color="auto"/>
                <w:left w:val="none" w:sz="0" w:space="0" w:color="auto"/>
                <w:bottom w:val="none" w:sz="0" w:space="0" w:color="auto"/>
                <w:right w:val="none" w:sz="0" w:space="0" w:color="auto"/>
              </w:divBdr>
            </w:div>
            <w:div w:id="1609775839">
              <w:marLeft w:val="0"/>
              <w:marRight w:val="0"/>
              <w:marTop w:val="0"/>
              <w:marBottom w:val="0"/>
              <w:divBdr>
                <w:top w:val="none" w:sz="0" w:space="0" w:color="auto"/>
                <w:left w:val="none" w:sz="0" w:space="0" w:color="auto"/>
                <w:bottom w:val="none" w:sz="0" w:space="0" w:color="auto"/>
                <w:right w:val="none" w:sz="0" w:space="0" w:color="auto"/>
              </w:divBdr>
            </w:div>
            <w:div w:id="1610166348">
              <w:marLeft w:val="0"/>
              <w:marRight w:val="0"/>
              <w:marTop w:val="0"/>
              <w:marBottom w:val="0"/>
              <w:divBdr>
                <w:top w:val="none" w:sz="0" w:space="0" w:color="auto"/>
                <w:left w:val="none" w:sz="0" w:space="0" w:color="auto"/>
                <w:bottom w:val="none" w:sz="0" w:space="0" w:color="auto"/>
                <w:right w:val="none" w:sz="0" w:space="0" w:color="auto"/>
              </w:divBdr>
            </w:div>
            <w:div w:id="1664090587">
              <w:marLeft w:val="0"/>
              <w:marRight w:val="0"/>
              <w:marTop w:val="0"/>
              <w:marBottom w:val="0"/>
              <w:divBdr>
                <w:top w:val="none" w:sz="0" w:space="0" w:color="auto"/>
                <w:left w:val="none" w:sz="0" w:space="0" w:color="auto"/>
                <w:bottom w:val="none" w:sz="0" w:space="0" w:color="auto"/>
                <w:right w:val="none" w:sz="0" w:space="0" w:color="auto"/>
              </w:divBdr>
            </w:div>
            <w:div w:id="1691292436">
              <w:marLeft w:val="0"/>
              <w:marRight w:val="0"/>
              <w:marTop w:val="0"/>
              <w:marBottom w:val="0"/>
              <w:divBdr>
                <w:top w:val="none" w:sz="0" w:space="0" w:color="auto"/>
                <w:left w:val="none" w:sz="0" w:space="0" w:color="auto"/>
                <w:bottom w:val="none" w:sz="0" w:space="0" w:color="auto"/>
                <w:right w:val="none" w:sz="0" w:space="0" w:color="auto"/>
              </w:divBdr>
            </w:div>
            <w:div w:id="1707637881">
              <w:marLeft w:val="0"/>
              <w:marRight w:val="0"/>
              <w:marTop w:val="0"/>
              <w:marBottom w:val="0"/>
              <w:divBdr>
                <w:top w:val="none" w:sz="0" w:space="0" w:color="auto"/>
                <w:left w:val="none" w:sz="0" w:space="0" w:color="auto"/>
                <w:bottom w:val="none" w:sz="0" w:space="0" w:color="auto"/>
                <w:right w:val="none" w:sz="0" w:space="0" w:color="auto"/>
              </w:divBdr>
            </w:div>
            <w:div w:id="1782458111">
              <w:marLeft w:val="0"/>
              <w:marRight w:val="0"/>
              <w:marTop w:val="0"/>
              <w:marBottom w:val="0"/>
              <w:divBdr>
                <w:top w:val="none" w:sz="0" w:space="0" w:color="auto"/>
                <w:left w:val="none" w:sz="0" w:space="0" w:color="auto"/>
                <w:bottom w:val="none" w:sz="0" w:space="0" w:color="auto"/>
                <w:right w:val="none" w:sz="0" w:space="0" w:color="auto"/>
              </w:divBdr>
            </w:div>
            <w:div w:id="181247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96796">
      <w:bodyDiv w:val="1"/>
      <w:marLeft w:val="0"/>
      <w:marRight w:val="0"/>
      <w:marTop w:val="0"/>
      <w:marBottom w:val="0"/>
      <w:divBdr>
        <w:top w:val="none" w:sz="0" w:space="0" w:color="auto"/>
        <w:left w:val="none" w:sz="0" w:space="0" w:color="auto"/>
        <w:bottom w:val="none" w:sz="0" w:space="0" w:color="auto"/>
        <w:right w:val="none" w:sz="0" w:space="0" w:color="auto"/>
      </w:divBdr>
      <w:divsChild>
        <w:div w:id="963734914">
          <w:marLeft w:val="0"/>
          <w:marRight w:val="0"/>
          <w:marTop w:val="0"/>
          <w:marBottom w:val="0"/>
          <w:divBdr>
            <w:top w:val="none" w:sz="0" w:space="0" w:color="auto"/>
            <w:left w:val="none" w:sz="0" w:space="0" w:color="auto"/>
            <w:bottom w:val="none" w:sz="0" w:space="0" w:color="auto"/>
            <w:right w:val="none" w:sz="0" w:space="0" w:color="auto"/>
          </w:divBdr>
          <w:divsChild>
            <w:div w:id="156581280">
              <w:marLeft w:val="0"/>
              <w:marRight w:val="0"/>
              <w:marTop w:val="0"/>
              <w:marBottom w:val="0"/>
              <w:divBdr>
                <w:top w:val="none" w:sz="0" w:space="0" w:color="auto"/>
                <w:left w:val="none" w:sz="0" w:space="0" w:color="auto"/>
                <w:bottom w:val="none" w:sz="0" w:space="0" w:color="auto"/>
                <w:right w:val="none" w:sz="0" w:space="0" w:color="auto"/>
              </w:divBdr>
            </w:div>
            <w:div w:id="217714881">
              <w:marLeft w:val="0"/>
              <w:marRight w:val="0"/>
              <w:marTop w:val="0"/>
              <w:marBottom w:val="0"/>
              <w:divBdr>
                <w:top w:val="none" w:sz="0" w:space="0" w:color="auto"/>
                <w:left w:val="none" w:sz="0" w:space="0" w:color="auto"/>
                <w:bottom w:val="none" w:sz="0" w:space="0" w:color="auto"/>
                <w:right w:val="none" w:sz="0" w:space="0" w:color="auto"/>
              </w:divBdr>
            </w:div>
            <w:div w:id="541676470">
              <w:marLeft w:val="0"/>
              <w:marRight w:val="0"/>
              <w:marTop w:val="0"/>
              <w:marBottom w:val="0"/>
              <w:divBdr>
                <w:top w:val="none" w:sz="0" w:space="0" w:color="auto"/>
                <w:left w:val="none" w:sz="0" w:space="0" w:color="auto"/>
                <w:bottom w:val="none" w:sz="0" w:space="0" w:color="auto"/>
                <w:right w:val="none" w:sz="0" w:space="0" w:color="auto"/>
              </w:divBdr>
            </w:div>
            <w:div w:id="543519401">
              <w:marLeft w:val="0"/>
              <w:marRight w:val="0"/>
              <w:marTop w:val="0"/>
              <w:marBottom w:val="0"/>
              <w:divBdr>
                <w:top w:val="none" w:sz="0" w:space="0" w:color="auto"/>
                <w:left w:val="none" w:sz="0" w:space="0" w:color="auto"/>
                <w:bottom w:val="none" w:sz="0" w:space="0" w:color="auto"/>
                <w:right w:val="none" w:sz="0" w:space="0" w:color="auto"/>
              </w:divBdr>
            </w:div>
            <w:div w:id="710809087">
              <w:marLeft w:val="0"/>
              <w:marRight w:val="0"/>
              <w:marTop w:val="0"/>
              <w:marBottom w:val="0"/>
              <w:divBdr>
                <w:top w:val="none" w:sz="0" w:space="0" w:color="auto"/>
                <w:left w:val="none" w:sz="0" w:space="0" w:color="auto"/>
                <w:bottom w:val="none" w:sz="0" w:space="0" w:color="auto"/>
                <w:right w:val="none" w:sz="0" w:space="0" w:color="auto"/>
              </w:divBdr>
            </w:div>
            <w:div w:id="1145901205">
              <w:marLeft w:val="0"/>
              <w:marRight w:val="0"/>
              <w:marTop w:val="0"/>
              <w:marBottom w:val="0"/>
              <w:divBdr>
                <w:top w:val="none" w:sz="0" w:space="0" w:color="auto"/>
                <w:left w:val="none" w:sz="0" w:space="0" w:color="auto"/>
                <w:bottom w:val="none" w:sz="0" w:space="0" w:color="auto"/>
                <w:right w:val="none" w:sz="0" w:space="0" w:color="auto"/>
              </w:divBdr>
            </w:div>
            <w:div w:id="1341588290">
              <w:marLeft w:val="0"/>
              <w:marRight w:val="0"/>
              <w:marTop w:val="0"/>
              <w:marBottom w:val="0"/>
              <w:divBdr>
                <w:top w:val="none" w:sz="0" w:space="0" w:color="auto"/>
                <w:left w:val="none" w:sz="0" w:space="0" w:color="auto"/>
                <w:bottom w:val="none" w:sz="0" w:space="0" w:color="auto"/>
                <w:right w:val="none" w:sz="0" w:space="0" w:color="auto"/>
              </w:divBdr>
            </w:div>
            <w:div w:id="1423524354">
              <w:marLeft w:val="0"/>
              <w:marRight w:val="0"/>
              <w:marTop w:val="0"/>
              <w:marBottom w:val="0"/>
              <w:divBdr>
                <w:top w:val="none" w:sz="0" w:space="0" w:color="auto"/>
                <w:left w:val="none" w:sz="0" w:space="0" w:color="auto"/>
                <w:bottom w:val="none" w:sz="0" w:space="0" w:color="auto"/>
                <w:right w:val="none" w:sz="0" w:space="0" w:color="auto"/>
              </w:divBdr>
            </w:div>
            <w:div w:id="1717895590">
              <w:marLeft w:val="0"/>
              <w:marRight w:val="0"/>
              <w:marTop w:val="0"/>
              <w:marBottom w:val="0"/>
              <w:divBdr>
                <w:top w:val="none" w:sz="0" w:space="0" w:color="auto"/>
                <w:left w:val="none" w:sz="0" w:space="0" w:color="auto"/>
                <w:bottom w:val="none" w:sz="0" w:space="0" w:color="auto"/>
                <w:right w:val="none" w:sz="0" w:space="0" w:color="auto"/>
              </w:divBdr>
            </w:div>
            <w:div w:id="1791363413">
              <w:marLeft w:val="0"/>
              <w:marRight w:val="0"/>
              <w:marTop w:val="0"/>
              <w:marBottom w:val="0"/>
              <w:divBdr>
                <w:top w:val="none" w:sz="0" w:space="0" w:color="auto"/>
                <w:left w:val="none" w:sz="0" w:space="0" w:color="auto"/>
                <w:bottom w:val="none" w:sz="0" w:space="0" w:color="auto"/>
                <w:right w:val="none" w:sz="0" w:space="0" w:color="auto"/>
              </w:divBdr>
            </w:div>
            <w:div w:id="2093890663">
              <w:marLeft w:val="0"/>
              <w:marRight w:val="0"/>
              <w:marTop w:val="0"/>
              <w:marBottom w:val="0"/>
              <w:divBdr>
                <w:top w:val="none" w:sz="0" w:space="0" w:color="auto"/>
                <w:left w:val="none" w:sz="0" w:space="0" w:color="auto"/>
                <w:bottom w:val="none" w:sz="0" w:space="0" w:color="auto"/>
                <w:right w:val="none" w:sz="0" w:space="0" w:color="auto"/>
              </w:divBdr>
            </w:div>
          </w:divsChild>
        </w:div>
        <w:div w:id="1183856726">
          <w:marLeft w:val="0"/>
          <w:marRight w:val="0"/>
          <w:marTop w:val="0"/>
          <w:marBottom w:val="0"/>
          <w:divBdr>
            <w:top w:val="none" w:sz="0" w:space="0" w:color="auto"/>
            <w:left w:val="none" w:sz="0" w:space="0" w:color="auto"/>
            <w:bottom w:val="none" w:sz="0" w:space="0" w:color="auto"/>
            <w:right w:val="none" w:sz="0" w:space="0" w:color="auto"/>
          </w:divBdr>
          <w:divsChild>
            <w:div w:id="667779">
              <w:marLeft w:val="0"/>
              <w:marRight w:val="0"/>
              <w:marTop w:val="0"/>
              <w:marBottom w:val="0"/>
              <w:divBdr>
                <w:top w:val="none" w:sz="0" w:space="0" w:color="auto"/>
                <w:left w:val="none" w:sz="0" w:space="0" w:color="auto"/>
                <w:bottom w:val="none" w:sz="0" w:space="0" w:color="auto"/>
                <w:right w:val="none" w:sz="0" w:space="0" w:color="auto"/>
              </w:divBdr>
            </w:div>
            <w:div w:id="139076623">
              <w:marLeft w:val="0"/>
              <w:marRight w:val="0"/>
              <w:marTop w:val="0"/>
              <w:marBottom w:val="0"/>
              <w:divBdr>
                <w:top w:val="none" w:sz="0" w:space="0" w:color="auto"/>
                <w:left w:val="none" w:sz="0" w:space="0" w:color="auto"/>
                <w:bottom w:val="none" w:sz="0" w:space="0" w:color="auto"/>
                <w:right w:val="none" w:sz="0" w:space="0" w:color="auto"/>
              </w:divBdr>
            </w:div>
            <w:div w:id="168908394">
              <w:marLeft w:val="0"/>
              <w:marRight w:val="0"/>
              <w:marTop w:val="0"/>
              <w:marBottom w:val="0"/>
              <w:divBdr>
                <w:top w:val="none" w:sz="0" w:space="0" w:color="auto"/>
                <w:left w:val="none" w:sz="0" w:space="0" w:color="auto"/>
                <w:bottom w:val="none" w:sz="0" w:space="0" w:color="auto"/>
                <w:right w:val="none" w:sz="0" w:space="0" w:color="auto"/>
              </w:divBdr>
            </w:div>
            <w:div w:id="490685428">
              <w:marLeft w:val="0"/>
              <w:marRight w:val="0"/>
              <w:marTop w:val="0"/>
              <w:marBottom w:val="0"/>
              <w:divBdr>
                <w:top w:val="none" w:sz="0" w:space="0" w:color="auto"/>
                <w:left w:val="none" w:sz="0" w:space="0" w:color="auto"/>
                <w:bottom w:val="none" w:sz="0" w:space="0" w:color="auto"/>
                <w:right w:val="none" w:sz="0" w:space="0" w:color="auto"/>
              </w:divBdr>
            </w:div>
            <w:div w:id="492066143">
              <w:marLeft w:val="0"/>
              <w:marRight w:val="0"/>
              <w:marTop w:val="0"/>
              <w:marBottom w:val="0"/>
              <w:divBdr>
                <w:top w:val="none" w:sz="0" w:space="0" w:color="auto"/>
                <w:left w:val="none" w:sz="0" w:space="0" w:color="auto"/>
                <w:bottom w:val="none" w:sz="0" w:space="0" w:color="auto"/>
                <w:right w:val="none" w:sz="0" w:space="0" w:color="auto"/>
              </w:divBdr>
            </w:div>
            <w:div w:id="809790279">
              <w:marLeft w:val="0"/>
              <w:marRight w:val="0"/>
              <w:marTop w:val="0"/>
              <w:marBottom w:val="0"/>
              <w:divBdr>
                <w:top w:val="none" w:sz="0" w:space="0" w:color="auto"/>
                <w:left w:val="none" w:sz="0" w:space="0" w:color="auto"/>
                <w:bottom w:val="none" w:sz="0" w:space="0" w:color="auto"/>
                <w:right w:val="none" w:sz="0" w:space="0" w:color="auto"/>
              </w:divBdr>
            </w:div>
            <w:div w:id="817501409">
              <w:marLeft w:val="0"/>
              <w:marRight w:val="0"/>
              <w:marTop w:val="0"/>
              <w:marBottom w:val="0"/>
              <w:divBdr>
                <w:top w:val="none" w:sz="0" w:space="0" w:color="auto"/>
                <w:left w:val="none" w:sz="0" w:space="0" w:color="auto"/>
                <w:bottom w:val="none" w:sz="0" w:space="0" w:color="auto"/>
                <w:right w:val="none" w:sz="0" w:space="0" w:color="auto"/>
              </w:divBdr>
            </w:div>
            <w:div w:id="859123168">
              <w:marLeft w:val="0"/>
              <w:marRight w:val="0"/>
              <w:marTop w:val="0"/>
              <w:marBottom w:val="0"/>
              <w:divBdr>
                <w:top w:val="none" w:sz="0" w:space="0" w:color="auto"/>
                <w:left w:val="none" w:sz="0" w:space="0" w:color="auto"/>
                <w:bottom w:val="none" w:sz="0" w:space="0" w:color="auto"/>
                <w:right w:val="none" w:sz="0" w:space="0" w:color="auto"/>
              </w:divBdr>
            </w:div>
            <w:div w:id="879245163">
              <w:marLeft w:val="0"/>
              <w:marRight w:val="0"/>
              <w:marTop w:val="0"/>
              <w:marBottom w:val="0"/>
              <w:divBdr>
                <w:top w:val="none" w:sz="0" w:space="0" w:color="auto"/>
                <w:left w:val="none" w:sz="0" w:space="0" w:color="auto"/>
                <w:bottom w:val="none" w:sz="0" w:space="0" w:color="auto"/>
                <w:right w:val="none" w:sz="0" w:space="0" w:color="auto"/>
              </w:divBdr>
            </w:div>
            <w:div w:id="888765823">
              <w:marLeft w:val="0"/>
              <w:marRight w:val="0"/>
              <w:marTop w:val="0"/>
              <w:marBottom w:val="0"/>
              <w:divBdr>
                <w:top w:val="none" w:sz="0" w:space="0" w:color="auto"/>
                <w:left w:val="none" w:sz="0" w:space="0" w:color="auto"/>
                <w:bottom w:val="none" w:sz="0" w:space="0" w:color="auto"/>
                <w:right w:val="none" w:sz="0" w:space="0" w:color="auto"/>
              </w:divBdr>
            </w:div>
            <w:div w:id="1631864940">
              <w:marLeft w:val="0"/>
              <w:marRight w:val="0"/>
              <w:marTop w:val="0"/>
              <w:marBottom w:val="0"/>
              <w:divBdr>
                <w:top w:val="none" w:sz="0" w:space="0" w:color="auto"/>
                <w:left w:val="none" w:sz="0" w:space="0" w:color="auto"/>
                <w:bottom w:val="none" w:sz="0" w:space="0" w:color="auto"/>
                <w:right w:val="none" w:sz="0" w:space="0" w:color="auto"/>
              </w:divBdr>
            </w:div>
            <w:div w:id="1796484028">
              <w:marLeft w:val="0"/>
              <w:marRight w:val="0"/>
              <w:marTop w:val="0"/>
              <w:marBottom w:val="0"/>
              <w:divBdr>
                <w:top w:val="none" w:sz="0" w:space="0" w:color="auto"/>
                <w:left w:val="none" w:sz="0" w:space="0" w:color="auto"/>
                <w:bottom w:val="none" w:sz="0" w:space="0" w:color="auto"/>
                <w:right w:val="none" w:sz="0" w:space="0" w:color="auto"/>
              </w:divBdr>
            </w:div>
            <w:div w:id="1913856662">
              <w:marLeft w:val="0"/>
              <w:marRight w:val="0"/>
              <w:marTop w:val="0"/>
              <w:marBottom w:val="0"/>
              <w:divBdr>
                <w:top w:val="none" w:sz="0" w:space="0" w:color="auto"/>
                <w:left w:val="none" w:sz="0" w:space="0" w:color="auto"/>
                <w:bottom w:val="none" w:sz="0" w:space="0" w:color="auto"/>
                <w:right w:val="none" w:sz="0" w:space="0" w:color="auto"/>
              </w:divBdr>
            </w:div>
            <w:div w:id="1927377048">
              <w:marLeft w:val="0"/>
              <w:marRight w:val="0"/>
              <w:marTop w:val="0"/>
              <w:marBottom w:val="0"/>
              <w:divBdr>
                <w:top w:val="none" w:sz="0" w:space="0" w:color="auto"/>
                <w:left w:val="none" w:sz="0" w:space="0" w:color="auto"/>
                <w:bottom w:val="none" w:sz="0" w:space="0" w:color="auto"/>
                <w:right w:val="none" w:sz="0" w:space="0" w:color="auto"/>
              </w:divBdr>
            </w:div>
          </w:divsChild>
        </w:div>
        <w:div w:id="1928030296">
          <w:marLeft w:val="0"/>
          <w:marRight w:val="0"/>
          <w:marTop w:val="0"/>
          <w:marBottom w:val="0"/>
          <w:divBdr>
            <w:top w:val="none" w:sz="0" w:space="0" w:color="auto"/>
            <w:left w:val="none" w:sz="0" w:space="0" w:color="auto"/>
            <w:bottom w:val="none" w:sz="0" w:space="0" w:color="auto"/>
            <w:right w:val="none" w:sz="0" w:space="0" w:color="auto"/>
          </w:divBdr>
          <w:divsChild>
            <w:div w:id="59639768">
              <w:marLeft w:val="0"/>
              <w:marRight w:val="0"/>
              <w:marTop w:val="0"/>
              <w:marBottom w:val="0"/>
              <w:divBdr>
                <w:top w:val="none" w:sz="0" w:space="0" w:color="auto"/>
                <w:left w:val="none" w:sz="0" w:space="0" w:color="auto"/>
                <w:bottom w:val="none" w:sz="0" w:space="0" w:color="auto"/>
                <w:right w:val="none" w:sz="0" w:space="0" w:color="auto"/>
              </w:divBdr>
            </w:div>
            <w:div w:id="169292890">
              <w:marLeft w:val="0"/>
              <w:marRight w:val="0"/>
              <w:marTop w:val="0"/>
              <w:marBottom w:val="0"/>
              <w:divBdr>
                <w:top w:val="none" w:sz="0" w:space="0" w:color="auto"/>
                <w:left w:val="none" w:sz="0" w:space="0" w:color="auto"/>
                <w:bottom w:val="none" w:sz="0" w:space="0" w:color="auto"/>
                <w:right w:val="none" w:sz="0" w:space="0" w:color="auto"/>
              </w:divBdr>
            </w:div>
            <w:div w:id="260728356">
              <w:marLeft w:val="0"/>
              <w:marRight w:val="0"/>
              <w:marTop w:val="0"/>
              <w:marBottom w:val="0"/>
              <w:divBdr>
                <w:top w:val="none" w:sz="0" w:space="0" w:color="auto"/>
                <w:left w:val="none" w:sz="0" w:space="0" w:color="auto"/>
                <w:bottom w:val="none" w:sz="0" w:space="0" w:color="auto"/>
                <w:right w:val="none" w:sz="0" w:space="0" w:color="auto"/>
              </w:divBdr>
            </w:div>
            <w:div w:id="493647149">
              <w:marLeft w:val="0"/>
              <w:marRight w:val="0"/>
              <w:marTop w:val="0"/>
              <w:marBottom w:val="0"/>
              <w:divBdr>
                <w:top w:val="none" w:sz="0" w:space="0" w:color="auto"/>
                <w:left w:val="none" w:sz="0" w:space="0" w:color="auto"/>
                <w:bottom w:val="none" w:sz="0" w:space="0" w:color="auto"/>
                <w:right w:val="none" w:sz="0" w:space="0" w:color="auto"/>
              </w:divBdr>
            </w:div>
            <w:div w:id="514464231">
              <w:marLeft w:val="0"/>
              <w:marRight w:val="0"/>
              <w:marTop w:val="0"/>
              <w:marBottom w:val="0"/>
              <w:divBdr>
                <w:top w:val="none" w:sz="0" w:space="0" w:color="auto"/>
                <w:left w:val="none" w:sz="0" w:space="0" w:color="auto"/>
                <w:bottom w:val="none" w:sz="0" w:space="0" w:color="auto"/>
                <w:right w:val="none" w:sz="0" w:space="0" w:color="auto"/>
              </w:divBdr>
            </w:div>
            <w:div w:id="609164947">
              <w:marLeft w:val="0"/>
              <w:marRight w:val="0"/>
              <w:marTop w:val="0"/>
              <w:marBottom w:val="0"/>
              <w:divBdr>
                <w:top w:val="none" w:sz="0" w:space="0" w:color="auto"/>
                <w:left w:val="none" w:sz="0" w:space="0" w:color="auto"/>
                <w:bottom w:val="none" w:sz="0" w:space="0" w:color="auto"/>
                <w:right w:val="none" w:sz="0" w:space="0" w:color="auto"/>
              </w:divBdr>
            </w:div>
            <w:div w:id="696276680">
              <w:marLeft w:val="0"/>
              <w:marRight w:val="0"/>
              <w:marTop w:val="0"/>
              <w:marBottom w:val="0"/>
              <w:divBdr>
                <w:top w:val="none" w:sz="0" w:space="0" w:color="auto"/>
                <w:left w:val="none" w:sz="0" w:space="0" w:color="auto"/>
                <w:bottom w:val="none" w:sz="0" w:space="0" w:color="auto"/>
                <w:right w:val="none" w:sz="0" w:space="0" w:color="auto"/>
              </w:divBdr>
            </w:div>
            <w:div w:id="696471893">
              <w:marLeft w:val="0"/>
              <w:marRight w:val="0"/>
              <w:marTop w:val="0"/>
              <w:marBottom w:val="0"/>
              <w:divBdr>
                <w:top w:val="none" w:sz="0" w:space="0" w:color="auto"/>
                <w:left w:val="none" w:sz="0" w:space="0" w:color="auto"/>
                <w:bottom w:val="none" w:sz="0" w:space="0" w:color="auto"/>
                <w:right w:val="none" w:sz="0" w:space="0" w:color="auto"/>
              </w:divBdr>
            </w:div>
            <w:div w:id="889536024">
              <w:marLeft w:val="0"/>
              <w:marRight w:val="0"/>
              <w:marTop w:val="0"/>
              <w:marBottom w:val="0"/>
              <w:divBdr>
                <w:top w:val="none" w:sz="0" w:space="0" w:color="auto"/>
                <w:left w:val="none" w:sz="0" w:space="0" w:color="auto"/>
                <w:bottom w:val="none" w:sz="0" w:space="0" w:color="auto"/>
                <w:right w:val="none" w:sz="0" w:space="0" w:color="auto"/>
              </w:divBdr>
            </w:div>
            <w:div w:id="967861171">
              <w:marLeft w:val="0"/>
              <w:marRight w:val="0"/>
              <w:marTop w:val="0"/>
              <w:marBottom w:val="0"/>
              <w:divBdr>
                <w:top w:val="none" w:sz="0" w:space="0" w:color="auto"/>
                <w:left w:val="none" w:sz="0" w:space="0" w:color="auto"/>
                <w:bottom w:val="none" w:sz="0" w:space="0" w:color="auto"/>
                <w:right w:val="none" w:sz="0" w:space="0" w:color="auto"/>
              </w:divBdr>
            </w:div>
            <w:div w:id="1030493968">
              <w:marLeft w:val="0"/>
              <w:marRight w:val="0"/>
              <w:marTop w:val="0"/>
              <w:marBottom w:val="0"/>
              <w:divBdr>
                <w:top w:val="none" w:sz="0" w:space="0" w:color="auto"/>
                <w:left w:val="none" w:sz="0" w:space="0" w:color="auto"/>
                <w:bottom w:val="none" w:sz="0" w:space="0" w:color="auto"/>
                <w:right w:val="none" w:sz="0" w:space="0" w:color="auto"/>
              </w:divBdr>
            </w:div>
            <w:div w:id="1162769544">
              <w:marLeft w:val="0"/>
              <w:marRight w:val="0"/>
              <w:marTop w:val="0"/>
              <w:marBottom w:val="0"/>
              <w:divBdr>
                <w:top w:val="none" w:sz="0" w:space="0" w:color="auto"/>
                <w:left w:val="none" w:sz="0" w:space="0" w:color="auto"/>
                <w:bottom w:val="none" w:sz="0" w:space="0" w:color="auto"/>
                <w:right w:val="none" w:sz="0" w:space="0" w:color="auto"/>
              </w:divBdr>
            </w:div>
            <w:div w:id="1304849560">
              <w:marLeft w:val="0"/>
              <w:marRight w:val="0"/>
              <w:marTop w:val="0"/>
              <w:marBottom w:val="0"/>
              <w:divBdr>
                <w:top w:val="none" w:sz="0" w:space="0" w:color="auto"/>
                <w:left w:val="none" w:sz="0" w:space="0" w:color="auto"/>
                <w:bottom w:val="none" w:sz="0" w:space="0" w:color="auto"/>
                <w:right w:val="none" w:sz="0" w:space="0" w:color="auto"/>
              </w:divBdr>
            </w:div>
            <w:div w:id="1398934186">
              <w:marLeft w:val="0"/>
              <w:marRight w:val="0"/>
              <w:marTop w:val="0"/>
              <w:marBottom w:val="0"/>
              <w:divBdr>
                <w:top w:val="none" w:sz="0" w:space="0" w:color="auto"/>
                <w:left w:val="none" w:sz="0" w:space="0" w:color="auto"/>
                <w:bottom w:val="none" w:sz="0" w:space="0" w:color="auto"/>
                <w:right w:val="none" w:sz="0" w:space="0" w:color="auto"/>
              </w:divBdr>
            </w:div>
            <w:div w:id="1447773103">
              <w:marLeft w:val="0"/>
              <w:marRight w:val="0"/>
              <w:marTop w:val="0"/>
              <w:marBottom w:val="0"/>
              <w:divBdr>
                <w:top w:val="none" w:sz="0" w:space="0" w:color="auto"/>
                <w:left w:val="none" w:sz="0" w:space="0" w:color="auto"/>
                <w:bottom w:val="none" w:sz="0" w:space="0" w:color="auto"/>
                <w:right w:val="none" w:sz="0" w:space="0" w:color="auto"/>
              </w:divBdr>
            </w:div>
            <w:div w:id="1616214656">
              <w:marLeft w:val="0"/>
              <w:marRight w:val="0"/>
              <w:marTop w:val="0"/>
              <w:marBottom w:val="0"/>
              <w:divBdr>
                <w:top w:val="none" w:sz="0" w:space="0" w:color="auto"/>
                <w:left w:val="none" w:sz="0" w:space="0" w:color="auto"/>
                <w:bottom w:val="none" w:sz="0" w:space="0" w:color="auto"/>
                <w:right w:val="none" w:sz="0" w:space="0" w:color="auto"/>
              </w:divBdr>
            </w:div>
            <w:div w:id="1739743646">
              <w:marLeft w:val="0"/>
              <w:marRight w:val="0"/>
              <w:marTop w:val="0"/>
              <w:marBottom w:val="0"/>
              <w:divBdr>
                <w:top w:val="none" w:sz="0" w:space="0" w:color="auto"/>
                <w:left w:val="none" w:sz="0" w:space="0" w:color="auto"/>
                <w:bottom w:val="none" w:sz="0" w:space="0" w:color="auto"/>
                <w:right w:val="none" w:sz="0" w:space="0" w:color="auto"/>
              </w:divBdr>
            </w:div>
            <w:div w:id="1834833672">
              <w:marLeft w:val="0"/>
              <w:marRight w:val="0"/>
              <w:marTop w:val="0"/>
              <w:marBottom w:val="0"/>
              <w:divBdr>
                <w:top w:val="none" w:sz="0" w:space="0" w:color="auto"/>
                <w:left w:val="none" w:sz="0" w:space="0" w:color="auto"/>
                <w:bottom w:val="none" w:sz="0" w:space="0" w:color="auto"/>
                <w:right w:val="none" w:sz="0" w:space="0" w:color="auto"/>
              </w:divBdr>
            </w:div>
            <w:div w:id="1979458245">
              <w:marLeft w:val="0"/>
              <w:marRight w:val="0"/>
              <w:marTop w:val="0"/>
              <w:marBottom w:val="0"/>
              <w:divBdr>
                <w:top w:val="none" w:sz="0" w:space="0" w:color="auto"/>
                <w:left w:val="none" w:sz="0" w:space="0" w:color="auto"/>
                <w:bottom w:val="none" w:sz="0" w:space="0" w:color="auto"/>
                <w:right w:val="none" w:sz="0" w:space="0" w:color="auto"/>
              </w:divBdr>
            </w:div>
            <w:div w:id="2040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4971">
      <w:bodyDiv w:val="1"/>
      <w:marLeft w:val="0"/>
      <w:marRight w:val="0"/>
      <w:marTop w:val="0"/>
      <w:marBottom w:val="0"/>
      <w:divBdr>
        <w:top w:val="none" w:sz="0" w:space="0" w:color="auto"/>
        <w:left w:val="none" w:sz="0" w:space="0" w:color="auto"/>
        <w:bottom w:val="none" w:sz="0" w:space="0" w:color="auto"/>
        <w:right w:val="none" w:sz="0" w:space="0" w:color="auto"/>
      </w:divBdr>
    </w:div>
    <w:div w:id="1477837817">
      <w:bodyDiv w:val="1"/>
      <w:marLeft w:val="0"/>
      <w:marRight w:val="0"/>
      <w:marTop w:val="0"/>
      <w:marBottom w:val="0"/>
      <w:divBdr>
        <w:top w:val="none" w:sz="0" w:space="0" w:color="auto"/>
        <w:left w:val="none" w:sz="0" w:space="0" w:color="auto"/>
        <w:bottom w:val="none" w:sz="0" w:space="0" w:color="auto"/>
        <w:right w:val="none" w:sz="0" w:space="0" w:color="auto"/>
      </w:divBdr>
    </w:div>
    <w:div w:id="1491562582">
      <w:bodyDiv w:val="1"/>
      <w:marLeft w:val="0"/>
      <w:marRight w:val="0"/>
      <w:marTop w:val="0"/>
      <w:marBottom w:val="0"/>
      <w:divBdr>
        <w:top w:val="none" w:sz="0" w:space="0" w:color="auto"/>
        <w:left w:val="none" w:sz="0" w:space="0" w:color="auto"/>
        <w:bottom w:val="none" w:sz="0" w:space="0" w:color="auto"/>
        <w:right w:val="none" w:sz="0" w:space="0" w:color="auto"/>
      </w:divBdr>
    </w:div>
    <w:div w:id="1508862706">
      <w:bodyDiv w:val="1"/>
      <w:marLeft w:val="0"/>
      <w:marRight w:val="0"/>
      <w:marTop w:val="0"/>
      <w:marBottom w:val="0"/>
      <w:divBdr>
        <w:top w:val="none" w:sz="0" w:space="0" w:color="auto"/>
        <w:left w:val="none" w:sz="0" w:space="0" w:color="auto"/>
        <w:bottom w:val="none" w:sz="0" w:space="0" w:color="auto"/>
        <w:right w:val="none" w:sz="0" w:space="0" w:color="auto"/>
      </w:divBdr>
    </w:div>
    <w:div w:id="1525828488">
      <w:bodyDiv w:val="1"/>
      <w:marLeft w:val="0"/>
      <w:marRight w:val="0"/>
      <w:marTop w:val="0"/>
      <w:marBottom w:val="0"/>
      <w:divBdr>
        <w:top w:val="none" w:sz="0" w:space="0" w:color="auto"/>
        <w:left w:val="none" w:sz="0" w:space="0" w:color="auto"/>
        <w:bottom w:val="none" w:sz="0" w:space="0" w:color="auto"/>
        <w:right w:val="none" w:sz="0" w:space="0" w:color="auto"/>
      </w:divBdr>
    </w:div>
    <w:div w:id="1623851600">
      <w:bodyDiv w:val="1"/>
      <w:marLeft w:val="0"/>
      <w:marRight w:val="0"/>
      <w:marTop w:val="0"/>
      <w:marBottom w:val="0"/>
      <w:divBdr>
        <w:top w:val="none" w:sz="0" w:space="0" w:color="auto"/>
        <w:left w:val="none" w:sz="0" w:space="0" w:color="auto"/>
        <w:bottom w:val="none" w:sz="0" w:space="0" w:color="auto"/>
        <w:right w:val="none" w:sz="0" w:space="0" w:color="auto"/>
      </w:divBdr>
      <w:divsChild>
        <w:div w:id="741677757">
          <w:marLeft w:val="0"/>
          <w:marRight w:val="0"/>
          <w:marTop w:val="0"/>
          <w:marBottom w:val="0"/>
          <w:divBdr>
            <w:top w:val="none" w:sz="0" w:space="0" w:color="auto"/>
            <w:left w:val="none" w:sz="0" w:space="0" w:color="auto"/>
            <w:bottom w:val="none" w:sz="0" w:space="0" w:color="auto"/>
            <w:right w:val="none" w:sz="0" w:space="0" w:color="auto"/>
          </w:divBdr>
        </w:div>
        <w:div w:id="1955668298">
          <w:marLeft w:val="0"/>
          <w:marRight w:val="0"/>
          <w:marTop w:val="0"/>
          <w:marBottom w:val="0"/>
          <w:divBdr>
            <w:top w:val="none" w:sz="0" w:space="0" w:color="auto"/>
            <w:left w:val="none" w:sz="0" w:space="0" w:color="auto"/>
            <w:bottom w:val="none" w:sz="0" w:space="0" w:color="auto"/>
            <w:right w:val="none" w:sz="0" w:space="0" w:color="auto"/>
          </w:divBdr>
        </w:div>
      </w:divsChild>
    </w:div>
    <w:div w:id="1640066550">
      <w:bodyDiv w:val="1"/>
      <w:marLeft w:val="0"/>
      <w:marRight w:val="0"/>
      <w:marTop w:val="0"/>
      <w:marBottom w:val="0"/>
      <w:divBdr>
        <w:top w:val="none" w:sz="0" w:space="0" w:color="auto"/>
        <w:left w:val="none" w:sz="0" w:space="0" w:color="auto"/>
        <w:bottom w:val="none" w:sz="0" w:space="0" w:color="auto"/>
        <w:right w:val="none" w:sz="0" w:space="0" w:color="auto"/>
      </w:divBdr>
    </w:div>
    <w:div w:id="1690528310">
      <w:bodyDiv w:val="1"/>
      <w:marLeft w:val="0"/>
      <w:marRight w:val="0"/>
      <w:marTop w:val="0"/>
      <w:marBottom w:val="0"/>
      <w:divBdr>
        <w:top w:val="none" w:sz="0" w:space="0" w:color="auto"/>
        <w:left w:val="none" w:sz="0" w:space="0" w:color="auto"/>
        <w:bottom w:val="none" w:sz="0" w:space="0" w:color="auto"/>
        <w:right w:val="none" w:sz="0" w:space="0" w:color="auto"/>
      </w:divBdr>
    </w:div>
    <w:div w:id="1694308825">
      <w:bodyDiv w:val="1"/>
      <w:marLeft w:val="0"/>
      <w:marRight w:val="0"/>
      <w:marTop w:val="0"/>
      <w:marBottom w:val="0"/>
      <w:divBdr>
        <w:top w:val="none" w:sz="0" w:space="0" w:color="auto"/>
        <w:left w:val="none" w:sz="0" w:space="0" w:color="auto"/>
        <w:bottom w:val="none" w:sz="0" w:space="0" w:color="auto"/>
        <w:right w:val="none" w:sz="0" w:space="0" w:color="auto"/>
      </w:divBdr>
    </w:div>
    <w:div w:id="1843886114">
      <w:bodyDiv w:val="1"/>
      <w:marLeft w:val="0"/>
      <w:marRight w:val="0"/>
      <w:marTop w:val="0"/>
      <w:marBottom w:val="0"/>
      <w:divBdr>
        <w:top w:val="none" w:sz="0" w:space="0" w:color="auto"/>
        <w:left w:val="none" w:sz="0" w:space="0" w:color="auto"/>
        <w:bottom w:val="none" w:sz="0" w:space="0" w:color="auto"/>
        <w:right w:val="none" w:sz="0" w:space="0" w:color="auto"/>
      </w:divBdr>
    </w:div>
    <w:div w:id="1896891418">
      <w:bodyDiv w:val="1"/>
      <w:marLeft w:val="0"/>
      <w:marRight w:val="0"/>
      <w:marTop w:val="0"/>
      <w:marBottom w:val="0"/>
      <w:divBdr>
        <w:top w:val="none" w:sz="0" w:space="0" w:color="auto"/>
        <w:left w:val="none" w:sz="0" w:space="0" w:color="auto"/>
        <w:bottom w:val="none" w:sz="0" w:space="0" w:color="auto"/>
        <w:right w:val="none" w:sz="0" w:space="0" w:color="auto"/>
      </w:divBdr>
    </w:div>
    <w:div w:id="1900902253">
      <w:bodyDiv w:val="1"/>
      <w:marLeft w:val="0"/>
      <w:marRight w:val="0"/>
      <w:marTop w:val="0"/>
      <w:marBottom w:val="0"/>
      <w:divBdr>
        <w:top w:val="none" w:sz="0" w:space="0" w:color="auto"/>
        <w:left w:val="none" w:sz="0" w:space="0" w:color="auto"/>
        <w:bottom w:val="none" w:sz="0" w:space="0" w:color="auto"/>
        <w:right w:val="none" w:sz="0" w:space="0" w:color="auto"/>
      </w:divBdr>
      <w:divsChild>
        <w:div w:id="1082029004">
          <w:marLeft w:val="0"/>
          <w:marRight w:val="0"/>
          <w:marTop w:val="0"/>
          <w:marBottom w:val="0"/>
          <w:divBdr>
            <w:top w:val="none" w:sz="0" w:space="0" w:color="auto"/>
            <w:left w:val="none" w:sz="0" w:space="0" w:color="auto"/>
            <w:bottom w:val="none" w:sz="0" w:space="0" w:color="auto"/>
            <w:right w:val="none" w:sz="0" w:space="0" w:color="auto"/>
          </w:divBdr>
          <w:divsChild>
            <w:div w:id="782923222">
              <w:marLeft w:val="0"/>
              <w:marRight w:val="0"/>
              <w:marTop w:val="0"/>
              <w:marBottom w:val="0"/>
              <w:divBdr>
                <w:top w:val="none" w:sz="0" w:space="0" w:color="auto"/>
                <w:left w:val="none" w:sz="0" w:space="0" w:color="auto"/>
                <w:bottom w:val="none" w:sz="0" w:space="0" w:color="auto"/>
                <w:right w:val="none" w:sz="0" w:space="0" w:color="auto"/>
              </w:divBdr>
            </w:div>
          </w:divsChild>
        </w:div>
        <w:div w:id="1291741616">
          <w:marLeft w:val="0"/>
          <w:marRight w:val="0"/>
          <w:marTop w:val="0"/>
          <w:marBottom w:val="0"/>
          <w:divBdr>
            <w:top w:val="none" w:sz="0" w:space="0" w:color="auto"/>
            <w:left w:val="none" w:sz="0" w:space="0" w:color="auto"/>
            <w:bottom w:val="none" w:sz="0" w:space="0" w:color="auto"/>
            <w:right w:val="none" w:sz="0" w:space="0" w:color="auto"/>
          </w:divBdr>
          <w:divsChild>
            <w:div w:id="798958766">
              <w:marLeft w:val="0"/>
              <w:marRight w:val="0"/>
              <w:marTop w:val="0"/>
              <w:marBottom w:val="0"/>
              <w:divBdr>
                <w:top w:val="none" w:sz="0" w:space="0" w:color="auto"/>
                <w:left w:val="none" w:sz="0" w:space="0" w:color="auto"/>
                <w:bottom w:val="none" w:sz="0" w:space="0" w:color="auto"/>
                <w:right w:val="none" w:sz="0" w:space="0" w:color="auto"/>
              </w:divBdr>
              <w:divsChild>
                <w:div w:id="113058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06534">
      <w:bodyDiv w:val="1"/>
      <w:marLeft w:val="0"/>
      <w:marRight w:val="0"/>
      <w:marTop w:val="0"/>
      <w:marBottom w:val="0"/>
      <w:divBdr>
        <w:top w:val="none" w:sz="0" w:space="0" w:color="auto"/>
        <w:left w:val="none" w:sz="0" w:space="0" w:color="auto"/>
        <w:bottom w:val="none" w:sz="0" w:space="0" w:color="auto"/>
        <w:right w:val="none" w:sz="0" w:space="0" w:color="auto"/>
      </w:divBdr>
    </w:div>
    <w:div w:id="1953826382">
      <w:bodyDiv w:val="1"/>
      <w:marLeft w:val="0"/>
      <w:marRight w:val="0"/>
      <w:marTop w:val="0"/>
      <w:marBottom w:val="0"/>
      <w:divBdr>
        <w:top w:val="none" w:sz="0" w:space="0" w:color="auto"/>
        <w:left w:val="none" w:sz="0" w:space="0" w:color="auto"/>
        <w:bottom w:val="none" w:sz="0" w:space="0" w:color="auto"/>
        <w:right w:val="none" w:sz="0" w:space="0" w:color="auto"/>
      </w:divBdr>
      <w:divsChild>
        <w:div w:id="680206325">
          <w:marLeft w:val="0"/>
          <w:marRight w:val="0"/>
          <w:marTop w:val="0"/>
          <w:marBottom w:val="0"/>
          <w:divBdr>
            <w:top w:val="none" w:sz="0" w:space="0" w:color="auto"/>
            <w:left w:val="none" w:sz="0" w:space="0" w:color="auto"/>
            <w:bottom w:val="none" w:sz="0" w:space="0" w:color="auto"/>
            <w:right w:val="none" w:sz="0" w:space="0" w:color="auto"/>
          </w:divBdr>
          <w:divsChild>
            <w:div w:id="17394320">
              <w:marLeft w:val="0"/>
              <w:marRight w:val="0"/>
              <w:marTop w:val="0"/>
              <w:marBottom w:val="0"/>
              <w:divBdr>
                <w:top w:val="none" w:sz="0" w:space="0" w:color="auto"/>
                <w:left w:val="none" w:sz="0" w:space="0" w:color="auto"/>
                <w:bottom w:val="none" w:sz="0" w:space="0" w:color="auto"/>
                <w:right w:val="none" w:sz="0" w:space="0" w:color="auto"/>
              </w:divBdr>
            </w:div>
            <w:div w:id="101803079">
              <w:marLeft w:val="0"/>
              <w:marRight w:val="0"/>
              <w:marTop w:val="0"/>
              <w:marBottom w:val="0"/>
              <w:divBdr>
                <w:top w:val="none" w:sz="0" w:space="0" w:color="auto"/>
                <w:left w:val="none" w:sz="0" w:space="0" w:color="auto"/>
                <w:bottom w:val="none" w:sz="0" w:space="0" w:color="auto"/>
                <w:right w:val="none" w:sz="0" w:space="0" w:color="auto"/>
              </w:divBdr>
            </w:div>
            <w:div w:id="115367681">
              <w:marLeft w:val="0"/>
              <w:marRight w:val="0"/>
              <w:marTop w:val="0"/>
              <w:marBottom w:val="0"/>
              <w:divBdr>
                <w:top w:val="none" w:sz="0" w:space="0" w:color="auto"/>
                <w:left w:val="none" w:sz="0" w:space="0" w:color="auto"/>
                <w:bottom w:val="none" w:sz="0" w:space="0" w:color="auto"/>
                <w:right w:val="none" w:sz="0" w:space="0" w:color="auto"/>
              </w:divBdr>
            </w:div>
            <w:div w:id="333807078">
              <w:marLeft w:val="0"/>
              <w:marRight w:val="0"/>
              <w:marTop w:val="0"/>
              <w:marBottom w:val="0"/>
              <w:divBdr>
                <w:top w:val="none" w:sz="0" w:space="0" w:color="auto"/>
                <w:left w:val="none" w:sz="0" w:space="0" w:color="auto"/>
                <w:bottom w:val="none" w:sz="0" w:space="0" w:color="auto"/>
                <w:right w:val="none" w:sz="0" w:space="0" w:color="auto"/>
              </w:divBdr>
            </w:div>
            <w:div w:id="456023116">
              <w:marLeft w:val="0"/>
              <w:marRight w:val="0"/>
              <w:marTop w:val="0"/>
              <w:marBottom w:val="0"/>
              <w:divBdr>
                <w:top w:val="none" w:sz="0" w:space="0" w:color="auto"/>
                <w:left w:val="none" w:sz="0" w:space="0" w:color="auto"/>
                <w:bottom w:val="none" w:sz="0" w:space="0" w:color="auto"/>
                <w:right w:val="none" w:sz="0" w:space="0" w:color="auto"/>
              </w:divBdr>
            </w:div>
            <w:div w:id="518009719">
              <w:marLeft w:val="0"/>
              <w:marRight w:val="0"/>
              <w:marTop w:val="0"/>
              <w:marBottom w:val="0"/>
              <w:divBdr>
                <w:top w:val="none" w:sz="0" w:space="0" w:color="auto"/>
                <w:left w:val="none" w:sz="0" w:space="0" w:color="auto"/>
                <w:bottom w:val="none" w:sz="0" w:space="0" w:color="auto"/>
                <w:right w:val="none" w:sz="0" w:space="0" w:color="auto"/>
              </w:divBdr>
            </w:div>
            <w:div w:id="556934816">
              <w:marLeft w:val="0"/>
              <w:marRight w:val="0"/>
              <w:marTop w:val="0"/>
              <w:marBottom w:val="0"/>
              <w:divBdr>
                <w:top w:val="none" w:sz="0" w:space="0" w:color="auto"/>
                <w:left w:val="none" w:sz="0" w:space="0" w:color="auto"/>
                <w:bottom w:val="none" w:sz="0" w:space="0" w:color="auto"/>
                <w:right w:val="none" w:sz="0" w:space="0" w:color="auto"/>
              </w:divBdr>
            </w:div>
            <w:div w:id="656962481">
              <w:marLeft w:val="0"/>
              <w:marRight w:val="0"/>
              <w:marTop w:val="0"/>
              <w:marBottom w:val="0"/>
              <w:divBdr>
                <w:top w:val="none" w:sz="0" w:space="0" w:color="auto"/>
                <w:left w:val="none" w:sz="0" w:space="0" w:color="auto"/>
                <w:bottom w:val="none" w:sz="0" w:space="0" w:color="auto"/>
                <w:right w:val="none" w:sz="0" w:space="0" w:color="auto"/>
              </w:divBdr>
            </w:div>
            <w:div w:id="792091207">
              <w:marLeft w:val="0"/>
              <w:marRight w:val="0"/>
              <w:marTop w:val="0"/>
              <w:marBottom w:val="0"/>
              <w:divBdr>
                <w:top w:val="none" w:sz="0" w:space="0" w:color="auto"/>
                <w:left w:val="none" w:sz="0" w:space="0" w:color="auto"/>
                <w:bottom w:val="none" w:sz="0" w:space="0" w:color="auto"/>
                <w:right w:val="none" w:sz="0" w:space="0" w:color="auto"/>
              </w:divBdr>
            </w:div>
            <w:div w:id="933249898">
              <w:marLeft w:val="0"/>
              <w:marRight w:val="0"/>
              <w:marTop w:val="0"/>
              <w:marBottom w:val="0"/>
              <w:divBdr>
                <w:top w:val="none" w:sz="0" w:space="0" w:color="auto"/>
                <w:left w:val="none" w:sz="0" w:space="0" w:color="auto"/>
                <w:bottom w:val="none" w:sz="0" w:space="0" w:color="auto"/>
                <w:right w:val="none" w:sz="0" w:space="0" w:color="auto"/>
              </w:divBdr>
            </w:div>
            <w:div w:id="1134835424">
              <w:marLeft w:val="0"/>
              <w:marRight w:val="0"/>
              <w:marTop w:val="0"/>
              <w:marBottom w:val="0"/>
              <w:divBdr>
                <w:top w:val="none" w:sz="0" w:space="0" w:color="auto"/>
                <w:left w:val="none" w:sz="0" w:space="0" w:color="auto"/>
                <w:bottom w:val="none" w:sz="0" w:space="0" w:color="auto"/>
                <w:right w:val="none" w:sz="0" w:space="0" w:color="auto"/>
              </w:divBdr>
            </w:div>
            <w:div w:id="1179588786">
              <w:marLeft w:val="0"/>
              <w:marRight w:val="0"/>
              <w:marTop w:val="0"/>
              <w:marBottom w:val="0"/>
              <w:divBdr>
                <w:top w:val="none" w:sz="0" w:space="0" w:color="auto"/>
                <w:left w:val="none" w:sz="0" w:space="0" w:color="auto"/>
                <w:bottom w:val="none" w:sz="0" w:space="0" w:color="auto"/>
                <w:right w:val="none" w:sz="0" w:space="0" w:color="auto"/>
              </w:divBdr>
            </w:div>
            <w:div w:id="1555577680">
              <w:marLeft w:val="0"/>
              <w:marRight w:val="0"/>
              <w:marTop w:val="0"/>
              <w:marBottom w:val="0"/>
              <w:divBdr>
                <w:top w:val="none" w:sz="0" w:space="0" w:color="auto"/>
                <w:left w:val="none" w:sz="0" w:space="0" w:color="auto"/>
                <w:bottom w:val="none" w:sz="0" w:space="0" w:color="auto"/>
                <w:right w:val="none" w:sz="0" w:space="0" w:color="auto"/>
              </w:divBdr>
            </w:div>
            <w:div w:id="1778062498">
              <w:marLeft w:val="0"/>
              <w:marRight w:val="0"/>
              <w:marTop w:val="0"/>
              <w:marBottom w:val="0"/>
              <w:divBdr>
                <w:top w:val="none" w:sz="0" w:space="0" w:color="auto"/>
                <w:left w:val="none" w:sz="0" w:space="0" w:color="auto"/>
                <w:bottom w:val="none" w:sz="0" w:space="0" w:color="auto"/>
                <w:right w:val="none" w:sz="0" w:space="0" w:color="auto"/>
              </w:divBdr>
            </w:div>
            <w:div w:id="1809936760">
              <w:marLeft w:val="0"/>
              <w:marRight w:val="0"/>
              <w:marTop w:val="0"/>
              <w:marBottom w:val="0"/>
              <w:divBdr>
                <w:top w:val="none" w:sz="0" w:space="0" w:color="auto"/>
                <w:left w:val="none" w:sz="0" w:space="0" w:color="auto"/>
                <w:bottom w:val="none" w:sz="0" w:space="0" w:color="auto"/>
                <w:right w:val="none" w:sz="0" w:space="0" w:color="auto"/>
              </w:divBdr>
            </w:div>
            <w:div w:id="1825775390">
              <w:marLeft w:val="0"/>
              <w:marRight w:val="0"/>
              <w:marTop w:val="0"/>
              <w:marBottom w:val="0"/>
              <w:divBdr>
                <w:top w:val="none" w:sz="0" w:space="0" w:color="auto"/>
                <w:left w:val="none" w:sz="0" w:space="0" w:color="auto"/>
                <w:bottom w:val="none" w:sz="0" w:space="0" w:color="auto"/>
                <w:right w:val="none" w:sz="0" w:space="0" w:color="auto"/>
              </w:divBdr>
            </w:div>
            <w:div w:id="1937328079">
              <w:marLeft w:val="0"/>
              <w:marRight w:val="0"/>
              <w:marTop w:val="0"/>
              <w:marBottom w:val="0"/>
              <w:divBdr>
                <w:top w:val="none" w:sz="0" w:space="0" w:color="auto"/>
                <w:left w:val="none" w:sz="0" w:space="0" w:color="auto"/>
                <w:bottom w:val="none" w:sz="0" w:space="0" w:color="auto"/>
                <w:right w:val="none" w:sz="0" w:space="0" w:color="auto"/>
              </w:divBdr>
            </w:div>
            <w:div w:id="2061980297">
              <w:marLeft w:val="0"/>
              <w:marRight w:val="0"/>
              <w:marTop w:val="0"/>
              <w:marBottom w:val="0"/>
              <w:divBdr>
                <w:top w:val="none" w:sz="0" w:space="0" w:color="auto"/>
                <w:left w:val="none" w:sz="0" w:space="0" w:color="auto"/>
                <w:bottom w:val="none" w:sz="0" w:space="0" w:color="auto"/>
                <w:right w:val="none" w:sz="0" w:space="0" w:color="auto"/>
              </w:divBdr>
            </w:div>
            <w:div w:id="2069261243">
              <w:marLeft w:val="0"/>
              <w:marRight w:val="0"/>
              <w:marTop w:val="0"/>
              <w:marBottom w:val="0"/>
              <w:divBdr>
                <w:top w:val="none" w:sz="0" w:space="0" w:color="auto"/>
                <w:left w:val="none" w:sz="0" w:space="0" w:color="auto"/>
                <w:bottom w:val="none" w:sz="0" w:space="0" w:color="auto"/>
                <w:right w:val="none" w:sz="0" w:space="0" w:color="auto"/>
              </w:divBdr>
            </w:div>
            <w:div w:id="2125072474">
              <w:marLeft w:val="0"/>
              <w:marRight w:val="0"/>
              <w:marTop w:val="0"/>
              <w:marBottom w:val="0"/>
              <w:divBdr>
                <w:top w:val="none" w:sz="0" w:space="0" w:color="auto"/>
                <w:left w:val="none" w:sz="0" w:space="0" w:color="auto"/>
                <w:bottom w:val="none" w:sz="0" w:space="0" w:color="auto"/>
                <w:right w:val="none" w:sz="0" w:space="0" w:color="auto"/>
              </w:divBdr>
            </w:div>
          </w:divsChild>
        </w:div>
        <w:div w:id="710344898">
          <w:marLeft w:val="0"/>
          <w:marRight w:val="0"/>
          <w:marTop w:val="0"/>
          <w:marBottom w:val="0"/>
          <w:divBdr>
            <w:top w:val="none" w:sz="0" w:space="0" w:color="auto"/>
            <w:left w:val="none" w:sz="0" w:space="0" w:color="auto"/>
            <w:bottom w:val="none" w:sz="0" w:space="0" w:color="auto"/>
            <w:right w:val="none" w:sz="0" w:space="0" w:color="auto"/>
          </w:divBdr>
          <w:divsChild>
            <w:div w:id="18434882">
              <w:marLeft w:val="0"/>
              <w:marRight w:val="0"/>
              <w:marTop w:val="0"/>
              <w:marBottom w:val="0"/>
              <w:divBdr>
                <w:top w:val="none" w:sz="0" w:space="0" w:color="auto"/>
                <w:left w:val="none" w:sz="0" w:space="0" w:color="auto"/>
                <w:bottom w:val="none" w:sz="0" w:space="0" w:color="auto"/>
                <w:right w:val="none" w:sz="0" w:space="0" w:color="auto"/>
              </w:divBdr>
            </w:div>
            <w:div w:id="1114591917">
              <w:marLeft w:val="0"/>
              <w:marRight w:val="0"/>
              <w:marTop w:val="0"/>
              <w:marBottom w:val="0"/>
              <w:divBdr>
                <w:top w:val="none" w:sz="0" w:space="0" w:color="auto"/>
                <w:left w:val="none" w:sz="0" w:space="0" w:color="auto"/>
                <w:bottom w:val="none" w:sz="0" w:space="0" w:color="auto"/>
                <w:right w:val="none" w:sz="0" w:space="0" w:color="auto"/>
              </w:divBdr>
            </w:div>
            <w:div w:id="1216426113">
              <w:marLeft w:val="0"/>
              <w:marRight w:val="0"/>
              <w:marTop w:val="0"/>
              <w:marBottom w:val="0"/>
              <w:divBdr>
                <w:top w:val="none" w:sz="0" w:space="0" w:color="auto"/>
                <w:left w:val="none" w:sz="0" w:space="0" w:color="auto"/>
                <w:bottom w:val="none" w:sz="0" w:space="0" w:color="auto"/>
                <w:right w:val="none" w:sz="0" w:space="0" w:color="auto"/>
              </w:divBdr>
            </w:div>
            <w:div w:id="1500852886">
              <w:marLeft w:val="0"/>
              <w:marRight w:val="0"/>
              <w:marTop w:val="0"/>
              <w:marBottom w:val="0"/>
              <w:divBdr>
                <w:top w:val="none" w:sz="0" w:space="0" w:color="auto"/>
                <w:left w:val="none" w:sz="0" w:space="0" w:color="auto"/>
                <w:bottom w:val="none" w:sz="0" w:space="0" w:color="auto"/>
                <w:right w:val="none" w:sz="0" w:space="0" w:color="auto"/>
              </w:divBdr>
            </w:div>
            <w:div w:id="1539126247">
              <w:marLeft w:val="0"/>
              <w:marRight w:val="0"/>
              <w:marTop w:val="0"/>
              <w:marBottom w:val="0"/>
              <w:divBdr>
                <w:top w:val="none" w:sz="0" w:space="0" w:color="auto"/>
                <w:left w:val="none" w:sz="0" w:space="0" w:color="auto"/>
                <w:bottom w:val="none" w:sz="0" w:space="0" w:color="auto"/>
                <w:right w:val="none" w:sz="0" w:space="0" w:color="auto"/>
              </w:divBdr>
            </w:div>
          </w:divsChild>
        </w:div>
        <w:div w:id="939065742">
          <w:marLeft w:val="0"/>
          <w:marRight w:val="0"/>
          <w:marTop w:val="0"/>
          <w:marBottom w:val="0"/>
          <w:divBdr>
            <w:top w:val="none" w:sz="0" w:space="0" w:color="auto"/>
            <w:left w:val="none" w:sz="0" w:space="0" w:color="auto"/>
            <w:bottom w:val="none" w:sz="0" w:space="0" w:color="auto"/>
            <w:right w:val="none" w:sz="0" w:space="0" w:color="auto"/>
          </w:divBdr>
          <w:divsChild>
            <w:div w:id="35854662">
              <w:marLeft w:val="0"/>
              <w:marRight w:val="0"/>
              <w:marTop w:val="0"/>
              <w:marBottom w:val="0"/>
              <w:divBdr>
                <w:top w:val="none" w:sz="0" w:space="0" w:color="auto"/>
                <w:left w:val="none" w:sz="0" w:space="0" w:color="auto"/>
                <w:bottom w:val="none" w:sz="0" w:space="0" w:color="auto"/>
                <w:right w:val="none" w:sz="0" w:space="0" w:color="auto"/>
              </w:divBdr>
            </w:div>
            <w:div w:id="395516216">
              <w:marLeft w:val="0"/>
              <w:marRight w:val="0"/>
              <w:marTop w:val="0"/>
              <w:marBottom w:val="0"/>
              <w:divBdr>
                <w:top w:val="none" w:sz="0" w:space="0" w:color="auto"/>
                <w:left w:val="none" w:sz="0" w:space="0" w:color="auto"/>
                <w:bottom w:val="none" w:sz="0" w:space="0" w:color="auto"/>
                <w:right w:val="none" w:sz="0" w:space="0" w:color="auto"/>
              </w:divBdr>
            </w:div>
            <w:div w:id="561448490">
              <w:marLeft w:val="0"/>
              <w:marRight w:val="0"/>
              <w:marTop w:val="0"/>
              <w:marBottom w:val="0"/>
              <w:divBdr>
                <w:top w:val="none" w:sz="0" w:space="0" w:color="auto"/>
                <w:left w:val="none" w:sz="0" w:space="0" w:color="auto"/>
                <w:bottom w:val="none" w:sz="0" w:space="0" w:color="auto"/>
                <w:right w:val="none" w:sz="0" w:space="0" w:color="auto"/>
              </w:divBdr>
            </w:div>
            <w:div w:id="575016003">
              <w:marLeft w:val="0"/>
              <w:marRight w:val="0"/>
              <w:marTop w:val="0"/>
              <w:marBottom w:val="0"/>
              <w:divBdr>
                <w:top w:val="none" w:sz="0" w:space="0" w:color="auto"/>
                <w:left w:val="none" w:sz="0" w:space="0" w:color="auto"/>
                <w:bottom w:val="none" w:sz="0" w:space="0" w:color="auto"/>
                <w:right w:val="none" w:sz="0" w:space="0" w:color="auto"/>
              </w:divBdr>
            </w:div>
            <w:div w:id="584148035">
              <w:marLeft w:val="0"/>
              <w:marRight w:val="0"/>
              <w:marTop w:val="0"/>
              <w:marBottom w:val="0"/>
              <w:divBdr>
                <w:top w:val="none" w:sz="0" w:space="0" w:color="auto"/>
                <w:left w:val="none" w:sz="0" w:space="0" w:color="auto"/>
                <w:bottom w:val="none" w:sz="0" w:space="0" w:color="auto"/>
                <w:right w:val="none" w:sz="0" w:space="0" w:color="auto"/>
              </w:divBdr>
            </w:div>
            <w:div w:id="665089365">
              <w:marLeft w:val="0"/>
              <w:marRight w:val="0"/>
              <w:marTop w:val="0"/>
              <w:marBottom w:val="0"/>
              <w:divBdr>
                <w:top w:val="none" w:sz="0" w:space="0" w:color="auto"/>
                <w:left w:val="none" w:sz="0" w:space="0" w:color="auto"/>
                <w:bottom w:val="none" w:sz="0" w:space="0" w:color="auto"/>
                <w:right w:val="none" w:sz="0" w:space="0" w:color="auto"/>
              </w:divBdr>
            </w:div>
            <w:div w:id="774446577">
              <w:marLeft w:val="0"/>
              <w:marRight w:val="0"/>
              <w:marTop w:val="0"/>
              <w:marBottom w:val="0"/>
              <w:divBdr>
                <w:top w:val="none" w:sz="0" w:space="0" w:color="auto"/>
                <w:left w:val="none" w:sz="0" w:space="0" w:color="auto"/>
                <w:bottom w:val="none" w:sz="0" w:space="0" w:color="auto"/>
                <w:right w:val="none" w:sz="0" w:space="0" w:color="auto"/>
              </w:divBdr>
            </w:div>
            <w:div w:id="825978863">
              <w:marLeft w:val="0"/>
              <w:marRight w:val="0"/>
              <w:marTop w:val="0"/>
              <w:marBottom w:val="0"/>
              <w:divBdr>
                <w:top w:val="none" w:sz="0" w:space="0" w:color="auto"/>
                <w:left w:val="none" w:sz="0" w:space="0" w:color="auto"/>
                <w:bottom w:val="none" w:sz="0" w:space="0" w:color="auto"/>
                <w:right w:val="none" w:sz="0" w:space="0" w:color="auto"/>
              </w:divBdr>
            </w:div>
            <w:div w:id="1064108144">
              <w:marLeft w:val="0"/>
              <w:marRight w:val="0"/>
              <w:marTop w:val="0"/>
              <w:marBottom w:val="0"/>
              <w:divBdr>
                <w:top w:val="none" w:sz="0" w:space="0" w:color="auto"/>
                <w:left w:val="none" w:sz="0" w:space="0" w:color="auto"/>
                <w:bottom w:val="none" w:sz="0" w:space="0" w:color="auto"/>
                <w:right w:val="none" w:sz="0" w:space="0" w:color="auto"/>
              </w:divBdr>
            </w:div>
            <w:div w:id="1118109802">
              <w:marLeft w:val="0"/>
              <w:marRight w:val="0"/>
              <w:marTop w:val="0"/>
              <w:marBottom w:val="0"/>
              <w:divBdr>
                <w:top w:val="none" w:sz="0" w:space="0" w:color="auto"/>
                <w:left w:val="none" w:sz="0" w:space="0" w:color="auto"/>
                <w:bottom w:val="none" w:sz="0" w:space="0" w:color="auto"/>
                <w:right w:val="none" w:sz="0" w:space="0" w:color="auto"/>
              </w:divBdr>
            </w:div>
            <w:div w:id="1130976603">
              <w:marLeft w:val="0"/>
              <w:marRight w:val="0"/>
              <w:marTop w:val="0"/>
              <w:marBottom w:val="0"/>
              <w:divBdr>
                <w:top w:val="none" w:sz="0" w:space="0" w:color="auto"/>
                <w:left w:val="none" w:sz="0" w:space="0" w:color="auto"/>
                <w:bottom w:val="none" w:sz="0" w:space="0" w:color="auto"/>
                <w:right w:val="none" w:sz="0" w:space="0" w:color="auto"/>
              </w:divBdr>
            </w:div>
            <w:div w:id="1157839137">
              <w:marLeft w:val="0"/>
              <w:marRight w:val="0"/>
              <w:marTop w:val="0"/>
              <w:marBottom w:val="0"/>
              <w:divBdr>
                <w:top w:val="none" w:sz="0" w:space="0" w:color="auto"/>
                <w:left w:val="none" w:sz="0" w:space="0" w:color="auto"/>
                <w:bottom w:val="none" w:sz="0" w:space="0" w:color="auto"/>
                <w:right w:val="none" w:sz="0" w:space="0" w:color="auto"/>
              </w:divBdr>
            </w:div>
            <w:div w:id="1194925210">
              <w:marLeft w:val="0"/>
              <w:marRight w:val="0"/>
              <w:marTop w:val="0"/>
              <w:marBottom w:val="0"/>
              <w:divBdr>
                <w:top w:val="none" w:sz="0" w:space="0" w:color="auto"/>
                <w:left w:val="none" w:sz="0" w:space="0" w:color="auto"/>
                <w:bottom w:val="none" w:sz="0" w:space="0" w:color="auto"/>
                <w:right w:val="none" w:sz="0" w:space="0" w:color="auto"/>
              </w:divBdr>
            </w:div>
            <w:div w:id="1658991566">
              <w:marLeft w:val="0"/>
              <w:marRight w:val="0"/>
              <w:marTop w:val="0"/>
              <w:marBottom w:val="0"/>
              <w:divBdr>
                <w:top w:val="none" w:sz="0" w:space="0" w:color="auto"/>
                <w:left w:val="none" w:sz="0" w:space="0" w:color="auto"/>
                <w:bottom w:val="none" w:sz="0" w:space="0" w:color="auto"/>
                <w:right w:val="none" w:sz="0" w:space="0" w:color="auto"/>
              </w:divBdr>
            </w:div>
            <w:div w:id="1664745691">
              <w:marLeft w:val="0"/>
              <w:marRight w:val="0"/>
              <w:marTop w:val="0"/>
              <w:marBottom w:val="0"/>
              <w:divBdr>
                <w:top w:val="none" w:sz="0" w:space="0" w:color="auto"/>
                <w:left w:val="none" w:sz="0" w:space="0" w:color="auto"/>
                <w:bottom w:val="none" w:sz="0" w:space="0" w:color="auto"/>
                <w:right w:val="none" w:sz="0" w:space="0" w:color="auto"/>
              </w:divBdr>
            </w:div>
            <w:div w:id="1665350208">
              <w:marLeft w:val="0"/>
              <w:marRight w:val="0"/>
              <w:marTop w:val="0"/>
              <w:marBottom w:val="0"/>
              <w:divBdr>
                <w:top w:val="none" w:sz="0" w:space="0" w:color="auto"/>
                <w:left w:val="none" w:sz="0" w:space="0" w:color="auto"/>
                <w:bottom w:val="none" w:sz="0" w:space="0" w:color="auto"/>
                <w:right w:val="none" w:sz="0" w:space="0" w:color="auto"/>
              </w:divBdr>
            </w:div>
            <w:div w:id="1770612698">
              <w:marLeft w:val="0"/>
              <w:marRight w:val="0"/>
              <w:marTop w:val="0"/>
              <w:marBottom w:val="0"/>
              <w:divBdr>
                <w:top w:val="none" w:sz="0" w:space="0" w:color="auto"/>
                <w:left w:val="none" w:sz="0" w:space="0" w:color="auto"/>
                <w:bottom w:val="none" w:sz="0" w:space="0" w:color="auto"/>
                <w:right w:val="none" w:sz="0" w:space="0" w:color="auto"/>
              </w:divBdr>
            </w:div>
            <w:div w:id="1842694273">
              <w:marLeft w:val="0"/>
              <w:marRight w:val="0"/>
              <w:marTop w:val="0"/>
              <w:marBottom w:val="0"/>
              <w:divBdr>
                <w:top w:val="none" w:sz="0" w:space="0" w:color="auto"/>
                <w:left w:val="none" w:sz="0" w:space="0" w:color="auto"/>
                <w:bottom w:val="none" w:sz="0" w:space="0" w:color="auto"/>
                <w:right w:val="none" w:sz="0" w:space="0" w:color="auto"/>
              </w:divBdr>
            </w:div>
            <w:div w:id="1978298342">
              <w:marLeft w:val="0"/>
              <w:marRight w:val="0"/>
              <w:marTop w:val="0"/>
              <w:marBottom w:val="0"/>
              <w:divBdr>
                <w:top w:val="none" w:sz="0" w:space="0" w:color="auto"/>
                <w:left w:val="none" w:sz="0" w:space="0" w:color="auto"/>
                <w:bottom w:val="none" w:sz="0" w:space="0" w:color="auto"/>
                <w:right w:val="none" w:sz="0" w:space="0" w:color="auto"/>
              </w:divBdr>
            </w:div>
            <w:div w:id="2050757634">
              <w:marLeft w:val="0"/>
              <w:marRight w:val="0"/>
              <w:marTop w:val="0"/>
              <w:marBottom w:val="0"/>
              <w:divBdr>
                <w:top w:val="none" w:sz="0" w:space="0" w:color="auto"/>
                <w:left w:val="none" w:sz="0" w:space="0" w:color="auto"/>
                <w:bottom w:val="none" w:sz="0" w:space="0" w:color="auto"/>
                <w:right w:val="none" w:sz="0" w:space="0" w:color="auto"/>
              </w:divBdr>
            </w:div>
          </w:divsChild>
        </w:div>
        <w:div w:id="1080518953">
          <w:marLeft w:val="0"/>
          <w:marRight w:val="0"/>
          <w:marTop w:val="0"/>
          <w:marBottom w:val="0"/>
          <w:divBdr>
            <w:top w:val="none" w:sz="0" w:space="0" w:color="auto"/>
            <w:left w:val="none" w:sz="0" w:space="0" w:color="auto"/>
            <w:bottom w:val="none" w:sz="0" w:space="0" w:color="auto"/>
            <w:right w:val="none" w:sz="0" w:space="0" w:color="auto"/>
          </w:divBdr>
          <w:divsChild>
            <w:div w:id="47919309">
              <w:marLeft w:val="0"/>
              <w:marRight w:val="0"/>
              <w:marTop w:val="0"/>
              <w:marBottom w:val="0"/>
              <w:divBdr>
                <w:top w:val="none" w:sz="0" w:space="0" w:color="auto"/>
                <w:left w:val="none" w:sz="0" w:space="0" w:color="auto"/>
                <w:bottom w:val="none" w:sz="0" w:space="0" w:color="auto"/>
                <w:right w:val="none" w:sz="0" w:space="0" w:color="auto"/>
              </w:divBdr>
            </w:div>
            <w:div w:id="57672922">
              <w:marLeft w:val="0"/>
              <w:marRight w:val="0"/>
              <w:marTop w:val="0"/>
              <w:marBottom w:val="0"/>
              <w:divBdr>
                <w:top w:val="none" w:sz="0" w:space="0" w:color="auto"/>
                <w:left w:val="none" w:sz="0" w:space="0" w:color="auto"/>
                <w:bottom w:val="none" w:sz="0" w:space="0" w:color="auto"/>
                <w:right w:val="none" w:sz="0" w:space="0" w:color="auto"/>
              </w:divBdr>
            </w:div>
            <w:div w:id="101457747">
              <w:marLeft w:val="0"/>
              <w:marRight w:val="0"/>
              <w:marTop w:val="0"/>
              <w:marBottom w:val="0"/>
              <w:divBdr>
                <w:top w:val="none" w:sz="0" w:space="0" w:color="auto"/>
                <w:left w:val="none" w:sz="0" w:space="0" w:color="auto"/>
                <w:bottom w:val="none" w:sz="0" w:space="0" w:color="auto"/>
                <w:right w:val="none" w:sz="0" w:space="0" w:color="auto"/>
              </w:divBdr>
            </w:div>
            <w:div w:id="197742202">
              <w:marLeft w:val="0"/>
              <w:marRight w:val="0"/>
              <w:marTop w:val="0"/>
              <w:marBottom w:val="0"/>
              <w:divBdr>
                <w:top w:val="none" w:sz="0" w:space="0" w:color="auto"/>
                <w:left w:val="none" w:sz="0" w:space="0" w:color="auto"/>
                <w:bottom w:val="none" w:sz="0" w:space="0" w:color="auto"/>
                <w:right w:val="none" w:sz="0" w:space="0" w:color="auto"/>
              </w:divBdr>
            </w:div>
            <w:div w:id="434330861">
              <w:marLeft w:val="0"/>
              <w:marRight w:val="0"/>
              <w:marTop w:val="0"/>
              <w:marBottom w:val="0"/>
              <w:divBdr>
                <w:top w:val="none" w:sz="0" w:space="0" w:color="auto"/>
                <w:left w:val="none" w:sz="0" w:space="0" w:color="auto"/>
                <w:bottom w:val="none" w:sz="0" w:space="0" w:color="auto"/>
                <w:right w:val="none" w:sz="0" w:space="0" w:color="auto"/>
              </w:divBdr>
            </w:div>
            <w:div w:id="666324645">
              <w:marLeft w:val="0"/>
              <w:marRight w:val="0"/>
              <w:marTop w:val="0"/>
              <w:marBottom w:val="0"/>
              <w:divBdr>
                <w:top w:val="none" w:sz="0" w:space="0" w:color="auto"/>
                <w:left w:val="none" w:sz="0" w:space="0" w:color="auto"/>
                <w:bottom w:val="none" w:sz="0" w:space="0" w:color="auto"/>
                <w:right w:val="none" w:sz="0" w:space="0" w:color="auto"/>
              </w:divBdr>
            </w:div>
            <w:div w:id="763645181">
              <w:marLeft w:val="0"/>
              <w:marRight w:val="0"/>
              <w:marTop w:val="0"/>
              <w:marBottom w:val="0"/>
              <w:divBdr>
                <w:top w:val="none" w:sz="0" w:space="0" w:color="auto"/>
                <w:left w:val="none" w:sz="0" w:space="0" w:color="auto"/>
                <w:bottom w:val="none" w:sz="0" w:space="0" w:color="auto"/>
                <w:right w:val="none" w:sz="0" w:space="0" w:color="auto"/>
              </w:divBdr>
            </w:div>
            <w:div w:id="822425270">
              <w:marLeft w:val="0"/>
              <w:marRight w:val="0"/>
              <w:marTop w:val="0"/>
              <w:marBottom w:val="0"/>
              <w:divBdr>
                <w:top w:val="none" w:sz="0" w:space="0" w:color="auto"/>
                <w:left w:val="none" w:sz="0" w:space="0" w:color="auto"/>
                <w:bottom w:val="none" w:sz="0" w:space="0" w:color="auto"/>
                <w:right w:val="none" w:sz="0" w:space="0" w:color="auto"/>
              </w:divBdr>
            </w:div>
            <w:div w:id="944776808">
              <w:marLeft w:val="0"/>
              <w:marRight w:val="0"/>
              <w:marTop w:val="0"/>
              <w:marBottom w:val="0"/>
              <w:divBdr>
                <w:top w:val="none" w:sz="0" w:space="0" w:color="auto"/>
                <w:left w:val="none" w:sz="0" w:space="0" w:color="auto"/>
                <w:bottom w:val="none" w:sz="0" w:space="0" w:color="auto"/>
                <w:right w:val="none" w:sz="0" w:space="0" w:color="auto"/>
              </w:divBdr>
            </w:div>
            <w:div w:id="980424137">
              <w:marLeft w:val="0"/>
              <w:marRight w:val="0"/>
              <w:marTop w:val="0"/>
              <w:marBottom w:val="0"/>
              <w:divBdr>
                <w:top w:val="none" w:sz="0" w:space="0" w:color="auto"/>
                <w:left w:val="none" w:sz="0" w:space="0" w:color="auto"/>
                <w:bottom w:val="none" w:sz="0" w:space="0" w:color="auto"/>
                <w:right w:val="none" w:sz="0" w:space="0" w:color="auto"/>
              </w:divBdr>
            </w:div>
            <w:div w:id="1020930538">
              <w:marLeft w:val="0"/>
              <w:marRight w:val="0"/>
              <w:marTop w:val="0"/>
              <w:marBottom w:val="0"/>
              <w:divBdr>
                <w:top w:val="none" w:sz="0" w:space="0" w:color="auto"/>
                <w:left w:val="none" w:sz="0" w:space="0" w:color="auto"/>
                <w:bottom w:val="none" w:sz="0" w:space="0" w:color="auto"/>
                <w:right w:val="none" w:sz="0" w:space="0" w:color="auto"/>
              </w:divBdr>
            </w:div>
            <w:div w:id="1026444119">
              <w:marLeft w:val="0"/>
              <w:marRight w:val="0"/>
              <w:marTop w:val="0"/>
              <w:marBottom w:val="0"/>
              <w:divBdr>
                <w:top w:val="none" w:sz="0" w:space="0" w:color="auto"/>
                <w:left w:val="none" w:sz="0" w:space="0" w:color="auto"/>
                <w:bottom w:val="none" w:sz="0" w:space="0" w:color="auto"/>
                <w:right w:val="none" w:sz="0" w:space="0" w:color="auto"/>
              </w:divBdr>
            </w:div>
            <w:div w:id="1070275632">
              <w:marLeft w:val="0"/>
              <w:marRight w:val="0"/>
              <w:marTop w:val="0"/>
              <w:marBottom w:val="0"/>
              <w:divBdr>
                <w:top w:val="none" w:sz="0" w:space="0" w:color="auto"/>
                <w:left w:val="none" w:sz="0" w:space="0" w:color="auto"/>
                <w:bottom w:val="none" w:sz="0" w:space="0" w:color="auto"/>
                <w:right w:val="none" w:sz="0" w:space="0" w:color="auto"/>
              </w:divBdr>
            </w:div>
            <w:div w:id="1095633507">
              <w:marLeft w:val="0"/>
              <w:marRight w:val="0"/>
              <w:marTop w:val="0"/>
              <w:marBottom w:val="0"/>
              <w:divBdr>
                <w:top w:val="none" w:sz="0" w:space="0" w:color="auto"/>
                <w:left w:val="none" w:sz="0" w:space="0" w:color="auto"/>
                <w:bottom w:val="none" w:sz="0" w:space="0" w:color="auto"/>
                <w:right w:val="none" w:sz="0" w:space="0" w:color="auto"/>
              </w:divBdr>
            </w:div>
            <w:div w:id="1388064508">
              <w:marLeft w:val="0"/>
              <w:marRight w:val="0"/>
              <w:marTop w:val="0"/>
              <w:marBottom w:val="0"/>
              <w:divBdr>
                <w:top w:val="none" w:sz="0" w:space="0" w:color="auto"/>
                <w:left w:val="none" w:sz="0" w:space="0" w:color="auto"/>
                <w:bottom w:val="none" w:sz="0" w:space="0" w:color="auto"/>
                <w:right w:val="none" w:sz="0" w:space="0" w:color="auto"/>
              </w:divBdr>
            </w:div>
            <w:div w:id="1592353427">
              <w:marLeft w:val="0"/>
              <w:marRight w:val="0"/>
              <w:marTop w:val="0"/>
              <w:marBottom w:val="0"/>
              <w:divBdr>
                <w:top w:val="none" w:sz="0" w:space="0" w:color="auto"/>
                <w:left w:val="none" w:sz="0" w:space="0" w:color="auto"/>
                <w:bottom w:val="none" w:sz="0" w:space="0" w:color="auto"/>
                <w:right w:val="none" w:sz="0" w:space="0" w:color="auto"/>
              </w:divBdr>
            </w:div>
            <w:div w:id="1730378175">
              <w:marLeft w:val="0"/>
              <w:marRight w:val="0"/>
              <w:marTop w:val="0"/>
              <w:marBottom w:val="0"/>
              <w:divBdr>
                <w:top w:val="none" w:sz="0" w:space="0" w:color="auto"/>
                <w:left w:val="none" w:sz="0" w:space="0" w:color="auto"/>
                <w:bottom w:val="none" w:sz="0" w:space="0" w:color="auto"/>
                <w:right w:val="none" w:sz="0" w:space="0" w:color="auto"/>
              </w:divBdr>
            </w:div>
            <w:div w:id="1831864314">
              <w:marLeft w:val="0"/>
              <w:marRight w:val="0"/>
              <w:marTop w:val="0"/>
              <w:marBottom w:val="0"/>
              <w:divBdr>
                <w:top w:val="none" w:sz="0" w:space="0" w:color="auto"/>
                <w:left w:val="none" w:sz="0" w:space="0" w:color="auto"/>
                <w:bottom w:val="none" w:sz="0" w:space="0" w:color="auto"/>
                <w:right w:val="none" w:sz="0" w:space="0" w:color="auto"/>
              </w:divBdr>
            </w:div>
            <w:div w:id="2055349410">
              <w:marLeft w:val="0"/>
              <w:marRight w:val="0"/>
              <w:marTop w:val="0"/>
              <w:marBottom w:val="0"/>
              <w:divBdr>
                <w:top w:val="none" w:sz="0" w:space="0" w:color="auto"/>
                <w:left w:val="none" w:sz="0" w:space="0" w:color="auto"/>
                <w:bottom w:val="none" w:sz="0" w:space="0" w:color="auto"/>
                <w:right w:val="none" w:sz="0" w:space="0" w:color="auto"/>
              </w:divBdr>
            </w:div>
            <w:div w:id="2121484086">
              <w:marLeft w:val="0"/>
              <w:marRight w:val="0"/>
              <w:marTop w:val="0"/>
              <w:marBottom w:val="0"/>
              <w:divBdr>
                <w:top w:val="none" w:sz="0" w:space="0" w:color="auto"/>
                <w:left w:val="none" w:sz="0" w:space="0" w:color="auto"/>
                <w:bottom w:val="none" w:sz="0" w:space="0" w:color="auto"/>
                <w:right w:val="none" w:sz="0" w:space="0" w:color="auto"/>
              </w:divBdr>
            </w:div>
          </w:divsChild>
        </w:div>
        <w:div w:id="1166090118">
          <w:marLeft w:val="0"/>
          <w:marRight w:val="0"/>
          <w:marTop w:val="0"/>
          <w:marBottom w:val="0"/>
          <w:divBdr>
            <w:top w:val="none" w:sz="0" w:space="0" w:color="auto"/>
            <w:left w:val="none" w:sz="0" w:space="0" w:color="auto"/>
            <w:bottom w:val="none" w:sz="0" w:space="0" w:color="auto"/>
            <w:right w:val="none" w:sz="0" w:space="0" w:color="auto"/>
          </w:divBdr>
          <w:divsChild>
            <w:div w:id="599918050">
              <w:marLeft w:val="0"/>
              <w:marRight w:val="0"/>
              <w:marTop w:val="0"/>
              <w:marBottom w:val="0"/>
              <w:divBdr>
                <w:top w:val="none" w:sz="0" w:space="0" w:color="auto"/>
                <w:left w:val="none" w:sz="0" w:space="0" w:color="auto"/>
                <w:bottom w:val="none" w:sz="0" w:space="0" w:color="auto"/>
                <w:right w:val="none" w:sz="0" w:space="0" w:color="auto"/>
              </w:divBdr>
            </w:div>
            <w:div w:id="120628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hyperlink" Target="https://ec.europa.eu/eurostat/databrowser/view/ROAD_PA_MOV/default/table?lang=en%20"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2.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c.europa.eu/eurostat/databrowser/view/demo_pjan/default/table?lang=en"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ec.europa.eu/eurostat/databrowser/view/road_eqs_carage/default/table?lang=en&amp;category=road.road_eqs"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hyperlink" Target="https://ec.europa.eu/eurostat/databrowser/view/demo_pjan/default/table?lang=en" TargetMode="External"/><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road-safety.transport.ec.europa.eu/document/download/93e39cd2-9e71-4ee0-8a8e-4de4fddaf068_en?filename=NWA-Handbook8.pdf" TargetMode="External"/><Relationship Id="rId18" Type="http://schemas.openxmlformats.org/officeDocument/2006/relationships/hyperlink" Target="https://eur-lex.europa.eu/eli/reg/2019/2144/oj/eng" TargetMode="External"/><Relationship Id="rId26" Type="http://schemas.openxmlformats.org/officeDocument/2006/relationships/hyperlink" Target="https://evoroads-project.eu/" TargetMode="External"/><Relationship Id="rId39" Type="http://schemas.openxmlformats.org/officeDocument/2006/relationships/hyperlink" Target="https://ec.europa.eu/eurostat/databrowser/view/demo_pjanbroad/default/table?lang=en" TargetMode="External"/><Relationship Id="rId21" Type="http://schemas.openxmlformats.org/officeDocument/2006/relationships/hyperlink" Target="https://doi.org/10.1016/j.aap.2009.12.012" TargetMode="External"/><Relationship Id="rId34" Type="http://schemas.openxmlformats.org/officeDocument/2006/relationships/hyperlink" Target="https://protact-us.eu/" TargetMode="External"/><Relationship Id="rId42" Type="http://schemas.openxmlformats.org/officeDocument/2006/relationships/hyperlink" Target="https://etsc.eu/reducing-older-peoples-deaths-on-european-roads-pin-flash-45/" TargetMode="External"/><Relationship Id="rId47" Type="http://schemas.openxmlformats.org/officeDocument/2006/relationships/hyperlink" Target="https://data.europa.eu/doi/10.2832/2974277" TargetMode="External"/><Relationship Id="rId50" Type="http://schemas.openxmlformats.org/officeDocument/2006/relationships/hyperlink" Target="https://www.cedr.eu/download/Publications/2008/e_Road_Safety_Investments_Report.pdf" TargetMode="External"/><Relationship Id="rId55" Type="http://schemas.openxmlformats.org/officeDocument/2006/relationships/hyperlink" Target="https://data.europa.eu/doi/10.2873/8572224" TargetMode="External"/><Relationship Id="rId63" Type="http://schemas.openxmlformats.org/officeDocument/2006/relationships/hyperlink" Target="https://eur-lex.europa.eu/legal-content/RO/TXT/?uri=celex:52025DC0095" TargetMode="External"/><Relationship Id="rId7" Type="http://schemas.openxmlformats.org/officeDocument/2006/relationships/hyperlink" Target="https://transport.ec.europa.eu/transport-themes/urban-transport/expert-group-urban-mobility_en" TargetMode="External"/><Relationship Id="rId2" Type="http://schemas.openxmlformats.org/officeDocument/2006/relationships/hyperlink" Target="https://eur-lex.europa.eu/legal-content/RO/TXT/?uri=celex:52018DC0293" TargetMode="External"/><Relationship Id="rId16" Type="http://schemas.openxmlformats.org/officeDocument/2006/relationships/hyperlink" Target="https://eur-lex.europa.eu/legal-content/RO/TXT/PDF/?uri=OJ:C_202402377" TargetMode="External"/><Relationship Id="rId20" Type="http://schemas.openxmlformats.org/officeDocument/2006/relationships/hyperlink" Target="https://www.who.int/publications/m/item/speed-management--a-road-safety-manual-for-decision-makers-and-practitioners.-2nd-edition" TargetMode="External"/><Relationship Id="rId29" Type="http://schemas.openxmlformats.org/officeDocument/2006/relationships/hyperlink" Target="https://www.safe-up.eu/" TargetMode="External"/><Relationship Id="rId41" Type="http://schemas.openxmlformats.org/officeDocument/2006/relationships/hyperlink" Target="https://road-safety.transport.ec.europa.eu/european-road-safety-observatory/data-and-analysis/thematic-reports_en" TargetMode="External"/><Relationship Id="rId54" Type="http://schemas.openxmlformats.org/officeDocument/2006/relationships/hyperlink" Target="https://transport.ec.europa.eu/transport-themes/urban-transport/expert-group-urban-mobility_en" TargetMode="External"/><Relationship Id="rId62" Type="http://schemas.openxmlformats.org/officeDocument/2006/relationships/hyperlink" Target="https://eur-lex.europa.eu/eli/dir/2024/3237/oj/eng" TargetMode="External"/><Relationship Id="rId1" Type="http://schemas.openxmlformats.org/officeDocument/2006/relationships/hyperlink" Target="https://eur-lex.europa.eu/legal-content/RO/TXT/?uri=celex:52025DC0095" TargetMode="External"/><Relationship Id="rId6" Type="http://schemas.openxmlformats.org/officeDocument/2006/relationships/hyperlink" Target="https://road-safety.transport.ec.europa.eu/european-road-safety-observatory/methodology-and-research/care-database_en" TargetMode="External"/><Relationship Id="rId11" Type="http://schemas.openxmlformats.org/officeDocument/2006/relationships/hyperlink" Target="https://eur-lex.europa.eu/legal-content/RO/TXT/?uri=CELEX%3A32019L1936" TargetMode="External"/><Relationship Id="rId24" Type="http://schemas.openxmlformats.org/officeDocument/2006/relationships/hyperlink" Target="https://etsc.eu/projects/eu-road-safety-exchange/" TargetMode="External"/><Relationship Id="rId32" Type="http://schemas.openxmlformats.org/officeDocument/2006/relationships/hyperlink" Target="https://reallocatemobility.eu/" TargetMode="External"/><Relationship Id="rId37" Type="http://schemas.openxmlformats.org/officeDocument/2006/relationships/hyperlink" Target="https://eur-lex.europa.eu/homepage.html?locale=ro" TargetMode="External"/><Relationship Id="rId40" Type="http://schemas.openxmlformats.org/officeDocument/2006/relationships/hyperlink" Target="https://ec.europa.eu/eurostat/statistics-explained/index.php?title=Population_structure_and_ageing" TargetMode="External"/><Relationship Id="rId45" Type="http://schemas.openxmlformats.org/officeDocument/2006/relationships/hyperlink" Target="https://www.sciencedirect.com/science/article/pii/S2214140525001537" TargetMode="External"/><Relationship Id="rId53" Type="http://schemas.openxmlformats.org/officeDocument/2006/relationships/hyperlink" Target="https://eur-lex.europa.eu/legal-content/RO/AUTO/?uri=CELEX:32023L2661" TargetMode="External"/><Relationship Id="rId58" Type="http://schemas.openxmlformats.org/officeDocument/2006/relationships/hyperlink" Target="https://road-safety-charter.ec.europa.eu/content/excellence-road-safety-awards" TargetMode="External"/><Relationship Id="rId5" Type="http://schemas.openxmlformats.org/officeDocument/2006/relationships/hyperlink" Target="https://road-safety.transport.ec.europa.eu/european-road-safety-observatory/data-and-analysis/thematic-reports_en" TargetMode="External"/><Relationship Id="rId15" Type="http://schemas.openxmlformats.org/officeDocument/2006/relationships/hyperlink" Target="https://webgate.ec.europa.eu/tentec-maps/web/public/screen/home" TargetMode="External"/><Relationship Id="rId23" Type="http://schemas.openxmlformats.org/officeDocument/2006/relationships/hyperlink" Target="https://road-safety-charter.ec.europa.eu/" TargetMode="External"/><Relationship Id="rId28" Type="http://schemas.openxmlformats.org/officeDocument/2006/relationships/hyperlink" Target="https://soteriaproject.eu/" TargetMode="External"/><Relationship Id="rId36" Type="http://schemas.openxmlformats.org/officeDocument/2006/relationships/hyperlink" Target="https://road-safety.transport.ec.europa.eu/index_en" TargetMode="External"/><Relationship Id="rId49" Type="http://schemas.openxmlformats.org/officeDocument/2006/relationships/hyperlink" Target="https://swov.nl/nl/publicatie/verkeersveiligheidseffecten-van-2e-tranchemaatregelen" TargetMode="External"/><Relationship Id="rId57" Type="http://schemas.openxmlformats.org/officeDocument/2006/relationships/hyperlink" Target="https://road-safety-charter.ec.europa.eu/" TargetMode="External"/><Relationship Id="rId61" Type="http://schemas.openxmlformats.org/officeDocument/2006/relationships/hyperlink" Target="https://eur-lex.europa.eu/legal-content/RO/AUTO/?uri=CELEX:32025L2206" TargetMode="External"/><Relationship Id="rId10" Type="http://schemas.openxmlformats.org/officeDocument/2006/relationships/hyperlink" Target="https://road-safety.transport.ec.europa.eu/what-we-do/high-level-group-road-safety_en" TargetMode="External"/><Relationship Id="rId19" Type="http://schemas.openxmlformats.org/officeDocument/2006/relationships/hyperlink" Target="https://eur-lex.europa.eu/eli/dir/2025/2205/oj/eng" TargetMode="External"/><Relationship Id="rId31" Type="http://schemas.openxmlformats.org/officeDocument/2006/relationships/hyperlink" Target="https://phoebe-project.eu/" TargetMode="External"/><Relationship Id="rId44" Type="http://schemas.openxmlformats.org/officeDocument/2006/relationships/hyperlink" Target="https://ec.europa.eu/eurostat/web/degree-of-urbanisation/publications" TargetMode="External"/><Relationship Id="rId52" Type="http://schemas.openxmlformats.org/officeDocument/2006/relationships/hyperlink" Target="https://road-safety.transport.ec.europa.eu/eu-road-safety-policy/priorities/infrastructure/road-infrastructure-guidelines_en" TargetMode="External"/><Relationship Id="rId60" Type="http://schemas.openxmlformats.org/officeDocument/2006/relationships/hyperlink" Target="https://eur-lex.europa.eu/legal-content/RO/AUTO/?uri=CELEX:32025L2205" TargetMode="External"/><Relationship Id="rId4" Type="http://schemas.openxmlformats.org/officeDocument/2006/relationships/hyperlink" Target="https://trendlineproject.eu/" TargetMode="External"/><Relationship Id="rId9" Type="http://schemas.openxmlformats.org/officeDocument/2006/relationships/hyperlink" Target="https://road-safety.transport.ec.europa.eu/eu-road-safety-policy/priorities/safe-road-use/alcohol_en" TargetMode="External"/><Relationship Id="rId14" Type="http://schemas.openxmlformats.org/officeDocument/2006/relationships/hyperlink" Target="https://webgate.ec.europa.eu/tentec-maps/web/public/screen/home" TargetMode="External"/><Relationship Id="rId22" Type="http://schemas.openxmlformats.org/officeDocument/2006/relationships/hyperlink" Target="https://trendlineproject.eu/media/pages/trendline-results/c0a640421f-1764252485/kpi-post-crash-care-report.pdf" TargetMode="External"/><Relationship Id="rId27" Type="http://schemas.openxmlformats.org/officeDocument/2006/relationships/hyperlink" Target="https://idriving-project.eu/" TargetMode="External"/><Relationship Id="rId30" Type="http://schemas.openxmlformats.org/officeDocument/2006/relationships/hyperlink" Target="https://mediatorproject.eu/" TargetMode="External"/><Relationship Id="rId35" Type="http://schemas.openxmlformats.org/officeDocument/2006/relationships/hyperlink" Target="https://improva-roadsafety.eu/" TargetMode="External"/><Relationship Id="rId43" Type="http://schemas.openxmlformats.org/officeDocument/2006/relationships/hyperlink" Target="https://ec.europa.eu/eurostat/databrowser/view/cens_21urb01$defaultview/default/table?lang=en" TargetMode="External"/><Relationship Id="rId48" Type="http://schemas.openxmlformats.org/officeDocument/2006/relationships/hyperlink" Target="https://op.europa.eu/ro/" TargetMode="External"/><Relationship Id="rId56" Type="http://schemas.openxmlformats.org/officeDocument/2006/relationships/hyperlink" Target="https://urban-mobility-observatory.transport.ec.europa.eu/sustainable-urban-mobility-plans/expert-corner-sump-reference-materials_en" TargetMode="External"/><Relationship Id="rId8" Type="http://schemas.openxmlformats.org/officeDocument/2006/relationships/hyperlink" Target="https://road-safety.transport.ec.europa.eu/european-road-safety-observatory/data-and-analysis/thematic-reports_en" TargetMode="External"/><Relationship Id="rId51" Type="http://schemas.openxmlformats.org/officeDocument/2006/relationships/hyperlink" Target="https://www.acea.auto/publication/report-vehicles-on-european-roads-2025/" TargetMode="External"/><Relationship Id="rId3" Type="http://schemas.openxmlformats.org/officeDocument/2006/relationships/hyperlink" Target="https://baseline.vias.be/en/about-the-project" TargetMode="External"/><Relationship Id="rId12" Type="http://schemas.openxmlformats.org/officeDocument/2006/relationships/hyperlink" Target="http://data.europa.eu/eli/dir/2019/1936/oj" TargetMode="External"/><Relationship Id="rId17" Type="http://schemas.openxmlformats.org/officeDocument/2006/relationships/hyperlink" Target="http://data.europa.eu/eli/dir/2023/2661/oj" TargetMode="External"/><Relationship Id="rId25" Type="http://schemas.openxmlformats.org/officeDocument/2006/relationships/hyperlink" Target="https://www.eca.europa.eu/ECAPublications/SR-2024-04/SR-2024-04_RO.pdf" TargetMode="External"/><Relationship Id="rId33" Type="http://schemas.openxmlformats.org/officeDocument/2006/relationships/hyperlink" Target="https://panacea-project.eu/" TargetMode="External"/><Relationship Id="rId38" Type="http://schemas.openxmlformats.org/officeDocument/2006/relationships/hyperlink" Target="https://ec.europa.eu/eurostat/databrowser/view/proj_23np/default/table?lang=en&amp;category=proj.proj_23n" TargetMode="External"/><Relationship Id="rId46" Type="http://schemas.openxmlformats.org/officeDocument/2006/relationships/hyperlink" Target="https://eur-lex.europa.eu/eli/reg/2024/2847/oj" TargetMode="External"/><Relationship Id="rId59" Type="http://schemas.openxmlformats.org/officeDocument/2006/relationships/hyperlink" Target="https://road-safety.transport.ec.europa.eu/european-road-safety-observatory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costeal\Downloads\MOVE-2026-00037-03-00-RO-SRC-0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osteal\Downloads\MOVE-2026-00037-03-00-RO-SRC-0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costeal\Downloads\MOVE-2026-00037-03-00-RO-SRC-0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costeal\Downloads\MOVE-2026-00037-03-00-RO-SRC-0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costeal\Downloads\MOVE-2026-00037-03-00-RO-SRC-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sz="1200"/>
              <a:t>Tendințe: decese și milioane de autoturisme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'figs 1 and 2'!$C$1</c:f>
              <c:strCache>
                <c:ptCount val="1"/>
                <c:pt idx="0">
                  <c:v>Decese</c:v>
                </c:pt>
              </c:strCache>
            </c:strRef>
          </c:tx>
          <c:spPr>
            <a:ln w="28575" cap="rnd">
              <a:solidFill>
                <a:schemeClr val="accent1"/>
              </a:solidFill>
              <a:round/>
            </a:ln>
            <a:effectLst/>
          </c:spPr>
          <c:marker>
            <c:symbol val="none"/>
          </c:marker>
          <c:cat>
            <c:numRef>
              <c:f>'figs 1 and 2'!$B$2:$B$15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'figs 1 and 2'!$C$2:$C$15</c:f>
              <c:numCache>
                <c:formatCode>General</c:formatCode>
                <c:ptCount val="14"/>
                <c:pt idx="0">
                  <c:v>29600</c:v>
                </c:pt>
                <c:pt idx="1">
                  <c:v>28700</c:v>
                </c:pt>
                <c:pt idx="2">
                  <c:v>26500</c:v>
                </c:pt>
                <c:pt idx="3">
                  <c:v>24200</c:v>
                </c:pt>
                <c:pt idx="4">
                  <c:v>24100</c:v>
                </c:pt>
                <c:pt idx="5">
                  <c:v>24400</c:v>
                </c:pt>
                <c:pt idx="6">
                  <c:v>23800</c:v>
                </c:pt>
                <c:pt idx="7">
                  <c:v>23400</c:v>
                </c:pt>
                <c:pt idx="8">
                  <c:v>23300</c:v>
                </c:pt>
                <c:pt idx="9">
                  <c:v>22800</c:v>
                </c:pt>
                <c:pt idx="10">
                  <c:v>18800</c:v>
                </c:pt>
                <c:pt idx="11">
                  <c:v>19900</c:v>
                </c:pt>
                <c:pt idx="12">
                  <c:v>20700</c:v>
                </c:pt>
                <c:pt idx="13">
                  <c:v>20400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4C1-40CB-BFAD-364AE9652398}"/>
            </c:ext>
          </c:extLst>
        </c:ser>
        <c:dLbls>
          <c:showLegendKey val="0"/>
          <c:showVal val="0"/>
          <c:showCatName val="0"/>
          <c:showSerName val="0"/>
          <c:showPercent val="0"/>
          <c:showBubbleSize val="0"/>
        </c:dLbls>
        <c:marker val="1"/>
        <c:smooth val="0"/>
        <c:axId val="51428351"/>
        <c:axId val="51427391"/>
      </c:lineChart>
      <c:lineChart>
        <c:grouping val="standard"/>
        <c:varyColors val="0"/>
        <c:ser>
          <c:idx val="1"/>
          <c:order val="1"/>
          <c:tx>
            <c:strRef>
              <c:f>'figs 1 and 2'!$D$21</c:f>
              <c:strCache>
                <c:ptCount val="1"/>
                <c:pt idx="0">
                  <c:v>Milioane de autoturisme</c:v>
                </c:pt>
              </c:strCache>
            </c:strRef>
          </c:tx>
          <c:spPr>
            <a:ln w="28575" cap="rnd">
              <a:solidFill>
                <a:schemeClr val="accent2"/>
              </a:solidFill>
              <a:round/>
            </a:ln>
            <a:effectLst/>
          </c:spPr>
          <c:marker>
            <c:symbol val="none"/>
          </c:marker>
          <c:cat>
            <c:numRef>
              <c:f>'figs 1 and 2'!$B$22:$B$35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'figs 1 and 2'!$D$22:$D$35</c:f>
              <c:numCache>
                <c:formatCode>General</c:formatCode>
                <c:ptCount val="14"/>
                <c:pt idx="0">
                  <c:v>211</c:v>
                </c:pt>
                <c:pt idx="1">
                  <c:v>211</c:v>
                </c:pt>
                <c:pt idx="2">
                  <c:v>211</c:v>
                </c:pt>
                <c:pt idx="3">
                  <c:v>211</c:v>
                </c:pt>
                <c:pt idx="4">
                  <c:v>211</c:v>
                </c:pt>
                <c:pt idx="5">
                  <c:v>226</c:v>
                </c:pt>
                <c:pt idx="6">
                  <c:v>226</c:v>
                </c:pt>
                <c:pt idx="7">
                  <c:v>226</c:v>
                </c:pt>
                <c:pt idx="8">
                  <c:v>243</c:v>
                </c:pt>
                <c:pt idx="9">
                  <c:v>247</c:v>
                </c:pt>
                <c:pt idx="10">
                  <c:v>248</c:v>
                </c:pt>
                <c:pt idx="11">
                  <c:v>250</c:v>
                </c:pt>
                <c:pt idx="12">
                  <c:v>253</c:v>
                </c:pt>
                <c:pt idx="13">
                  <c:v>256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4C1-40CB-BFAD-364AE9652398}"/>
            </c:ext>
          </c:extLst>
        </c:ser>
        <c:dLbls>
          <c:showLegendKey val="0"/>
          <c:showVal val="0"/>
          <c:showCatName val="0"/>
          <c:showSerName val="0"/>
          <c:showPercent val="0"/>
          <c:showBubbleSize val="0"/>
        </c:dLbls>
        <c:marker val="1"/>
        <c:smooth val="0"/>
        <c:axId val="259191439"/>
        <c:axId val="259192879"/>
      </c:lineChart>
      <c:catAx>
        <c:axId val="51428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7391"/>
        <c:crosses val="autoZero"/>
        <c:auto val="1"/>
        <c:lblAlgn val="ctr"/>
        <c:lblOffset val="100"/>
        <c:noMultiLvlLbl val="0"/>
      </c:catAx>
      <c:valAx>
        <c:axId val="5142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8351"/>
        <c:crosses val="autoZero"/>
        <c:crossBetween val="between"/>
      </c:valAx>
      <c:valAx>
        <c:axId val="25919287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9191439"/>
        <c:crosses val="max"/>
        <c:crossBetween val="between"/>
      </c:valAx>
      <c:catAx>
        <c:axId val="259191439"/>
        <c:scaling>
          <c:orientation val="minMax"/>
        </c:scaling>
        <c:delete val="1"/>
        <c:axPos val="b"/>
        <c:numFmt formatCode="General" sourceLinked="1"/>
        <c:majorTickMark val="out"/>
        <c:minorTickMark val="none"/>
        <c:tickLblPos val="nextTo"/>
        <c:crossAx val="259192879"/>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sz="1200"/>
              <a:t>Tendințe: decese și miliarde de autoturisme km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'figs 1 and 2'!$C$1</c:f>
              <c:strCache>
                <c:ptCount val="1"/>
                <c:pt idx="0">
                  <c:v>Decese</c:v>
                </c:pt>
              </c:strCache>
            </c:strRef>
          </c:tx>
          <c:spPr>
            <a:ln w="28575" cap="rnd">
              <a:solidFill>
                <a:schemeClr val="accent1"/>
              </a:solidFill>
              <a:round/>
            </a:ln>
            <a:effectLst/>
          </c:spPr>
          <c:marker>
            <c:symbol val="none"/>
          </c:marker>
          <c:cat>
            <c:numRef>
              <c:f>'figs 1 and 2'!$B$2:$B$15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'figs 1 and 2'!$C$2:$C$15</c:f>
              <c:numCache>
                <c:formatCode>General</c:formatCode>
                <c:ptCount val="14"/>
                <c:pt idx="0">
                  <c:v>29600</c:v>
                </c:pt>
                <c:pt idx="1">
                  <c:v>28700</c:v>
                </c:pt>
                <c:pt idx="2">
                  <c:v>26500</c:v>
                </c:pt>
                <c:pt idx="3">
                  <c:v>24200</c:v>
                </c:pt>
                <c:pt idx="4">
                  <c:v>24100</c:v>
                </c:pt>
                <c:pt idx="5">
                  <c:v>24400</c:v>
                </c:pt>
                <c:pt idx="6">
                  <c:v>23800</c:v>
                </c:pt>
                <c:pt idx="7">
                  <c:v>23400</c:v>
                </c:pt>
                <c:pt idx="8">
                  <c:v>23300</c:v>
                </c:pt>
                <c:pt idx="9">
                  <c:v>22800</c:v>
                </c:pt>
                <c:pt idx="10">
                  <c:v>18800</c:v>
                </c:pt>
                <c:pt idx="11">
                  <c:v>19900</c:v>
                </c:pt>
                <c:pt idx="12">
                  <c:v>20700</c:v>
                </c:pt>
                <c:pt idx="13">
                  <c:v>20400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6DC-49E6-AD71-65760625469E}"/>
            </c:ext>
          </c:extLst>
        </c:ser>
        <c:dLbls>
          <c:showLegendKey val="0"/>
          <c:showVal val="0"/>
          <c:showCatName val="0"/>
          <c:showSerName val="0"/>
          <c:showPercent val="0"/>
          <c:showBubbleSize val="0"/>
        </c:dLbls>
        <c:marker val="1"/>
        <c:smooth val="0"/>
        <c:axId val="51428351"/>
        <c:axId val="51427391"/>
      </c:lineChart>
      <c:lineChart>
        <c:grouping val="standard"/>
        <c:varyColors val="0"/>
        <c:ser>
          <c:idx val="1"/>
          <c:order val="1"/>
          <c:tx>
            <c:strRef>
              <c:f>'figs 1 and 2'!$D$1</c:f>
              <c:strCache>
                <c:ptCount val="1"/>
                <c:pt idx="0">
                  <c:v>Miliarde pkm (autoturisme)</c:v>
                </c:pt>
              </c:strCache>
            </c:strRef>
          </c:tx>
          <c:spPr>
            <a:ln w="28575" cap="rnd">
              <a:solidFill>
                <a:schemeClr val="accent2"/>
              </a:solidFill>
              <a:round/>
            </a:ln>
            <a:effectLst/>
          </c:spPr>
          <c:marker>
            <c:symbol val="none"/>
          </c:marker>
          <c:cat>
            <c:numRef>
              <c:f>'figs 1 and 2'!$B$2:$B$15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'figs 1 and 2'!$D$2:$D$15</c:f>
              <c:numCache>
                <c:formatCode>General</c:formatCode>
                <c:ptCount val="14"/>
                <c:pt idx="0">
                  <c:v>3976</c:v>
                </c:pt>
                <c:pt idx="1">
                  <c:v>3944</c:v>
                </c:pt>
                <c:pt idx="2">
                  <c:v>3905</c:v>
                </c:pt>
                <c:pt idx="3">
                  <c:v>3965</c:v>
                </c:pt>
                <c:pt idx="4">
                  <c:v>4020</c:v>
                </c:pt>
                <c:pt idx="5">
                  <c:v>4111</c:v>
                </c:pt>
                <c:pt idx="6">
                  <c:v>4196</c:v>
                </c:pt>
                <c:pt idx="7">
                  <c:v>4241</c:v>
                </c:pt>
                <c:pt idx="8">
                  <c:v>4261</c:v>
                </c:pt>
                <c:pt idx="9">
                  <c:v>4299</c:v>
                </c:pt>
                <c:pt idx="10">
                  <c:v>3488</c:v>
                </c:pt>
                <c:pt idx="11">
                  <c:v>3869</c:v>
                </c:pt>
                <c:pt idx="12">
                  <c:v>4100</c:v>
                </c:pt>
                <c:pt idx="13">
                  <c:v>4272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6DC-49E6-AD71-65760625469E}"/>
            </c:ext>
          </c:extLst>
        </c:ser>
        <c:dLbls>
          <c:showLegendKey val="0"/>
          <c:showVal val="0"/>
          <c:showCatName val="0"/>
          <c:showSerName val="0"/>
          <c:showPercent val="0"/>
          <c:showBubbleSize val="0"/>
        </c:dLbls>
        <c:marker val="1"/>
        <c:smooth val="0"/>
        <c:axId val="259191439"/>
        <c:axId val="259192879"/>
      </c:lineChart>
      <c:catAx>
        <c:axId val="51428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7391"/>
        <c:crosses val="autoZero"/>
        <c:auto val="1"/>
        <c:lblAlgn val="ctr"/>
        <c:lblOffset val="100"/>
        <c:noMultiLvlLbl val="0"/>
      </c:catAx>
      <c:valAx>
        <c:axId val="51427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428351"/>
        <c:crosses val="autoZero"/>
        <c:crossBetween val="between"/>
      </c:valAx>
      <c:valAx>
        <c:axId val="25919287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9191439"/>
        <c:crosses val="max"/>
        <c:crossBetween val="between"/>
      </c:valAx>
      <c:catAx>
        <c:axId val="259191439"/>
        <c:scaling>
          <c:orientation val="minMax"/>
        </c:scaling>
        <c:delete val="1"/>
        <c:axPos val="b"/>
        <c:numFmt formatCode="General" sourceLinked="1"/>
        <c:majorTickMark val="out"/>
        <c:minorTickMark val="none"/>
        <c:tickLblPos val="nextTo"/>
        <c:crossAx val="259192879"/>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sz="1200" b="1">
                <a:latin typeface="Times New Roman" panose="02020603050405020304" pitchFamily="18" charset="0"/>
                <a:cs typeface="Times New Roman" panose="02020603050405020304" pitchFamily="18" charset="0"/>
              </a:rPr>
              <a:t>Decese cauzate de accidentele rutiere în funcție de gen</a:t>
            </a:r>
          </a:p>
        </c:rich>
      </c:tx>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tx2">
                  <a:lumMod val="75000"/>
                  <a:lumOff val="25000"/>
                </a:schemeClr>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1ED-44F9-972C-DE064105DB72}"/>
              </c:ext>
            </c:extLst>
          </c:dPt>
          <c:dPt>
            <c:idx val="1"/>
            <c:bubble3D val="0"/>
            <c:spPr>
              <a:solidFill>
                <a:srgbClr val="C00000"/>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1ED-44F9-972C-DE064105DB72}"/>
              </c:ext>
            </c:extLst>
          </c:dPt>
          <c:dLbls>
            <c:dLbl>
              <c:idx val="0"/>
              <c:layout>
                <c:manualLayout>
                  <c:x val="3.8502142895177123E-2"/>
                  <c:y val="-9.95738553514144E-2"/>
                </c:manualLayout>
              </c:layout>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ext>
                <c:ext xmlns:c16="http://schemas.microsoft.com/office/drawing/2014/chart" uri="{C3380CC4-5D6E-409C-BE32-E72D297353CC}">
                  <c16:uniqueId val="{00000001-11ED-44F9-972C-DE064105DB72}"/>
                </c:ext>
              </c:extLst>
            </c:dLbl>
            <c:dLbl>
              <c:idx val="1"/>
              <c:layout>
                <c:manualLayout>
                  <c:x val="-2.4258787982536473E-2"/>
                  <c:y val="3.7282735491396907E-2"/>
                </c:manualLayout>
              </c:layout>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ext>
                <c:ext xmlns:c16="http://schemas.microsoft.com/office/drawing/2014/chart" uri="{C3380CC4-5D6E-409C-BE32-E72D297353CC}">
                  <c16:uniqueId val="{00000003-11ED-44F9-972C-DE064105DB72}"/>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'figs 3'!$B$15:$B$16</c:f>
              <c:strCache>
                <c:ptCount val="2"/>
                <c:pt idx="0">
                  <c:v>Bărbați</c:v>
                </c:pt>
                <c:pt idx="1">
                  <c:v>Femei</c:v>
                </c:pt>
              </c:strCache>
            </c:strRef>
          </c:cat>
          <c:val>
            <c:numRef>
              <c:f>'figs 3'!$C$15:$C$16</c:f>
              <c:numCache>
                <c:formatCode>0%</c:formatCode>
                <c:ptCount val="2"/>
                <c:pt idx="0">
                  <c:v>0.77</c:v>
                </c:pt>
                <c:pt idx="1">
                  <c:v>0.23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11ED-44F9-972C-DE064105DB72}"/>
            </c:ext>
          </c:extLst>
        </c:ser>
        <c:ser>
          <c:idx val="1"/>
          <c:order val="1"/>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11ED-44F9-972C-DE064105DB72}"/>
              </c:ext>
            </c:extLst>
          </c:dPt>
          <c:cat>
            <c:strRef>
              <c:f>'figs 3'!$B$15:$B$16</c:f>
              <c:strCache>
                <c:ptCount val="2"/>
                <c:pt idx="0">
                  <c:v>Bărbați</c:v>
                </c:pt>
                <c:pt idx="1">
                  <c:v>Femei</c:v>
                </c:pt>
              </c:strCache>
            </c:strRef>
          </c:cat>
          <c:val>
            <c:numRef>
              <c:f>[2]Scoreboard!$B$265</c:f>
              <c:numCache>
                <c:formatCode>General</c:formatCode>
                <c:ptCount val="1"/>
                <c:pt idx="0">
                  <c:v>0</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11ED-44F9-972C-DE064105DB7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sz="1000" b="1"/>
              <a:t>Populația în raport cu decesele cauzate de accidentele rutiere, pe grupe de vârstă</a:t>
            </a:r>
          </a:p>
        </c:rich>
      </c:tx>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'figs 3'!$B$4</c:f>
              <c:strCache>
                <c:ptCount val="1"/>
                <c:pt idx="0">
                  <c:v>% din populație</c:v>
                </c:pt>
              </c:strCache>
            </c:strRef>
          </c:tx>
          <c:spPr>
            <a:solidFill>
              <a:schemeClr val="tx2">
                <a:lumMod val="75000"/>
                <a:lumOff val="25000"/>
              </a:schemeClr>
            </a:solidFill>
            <a:ln>
              <a:noFill/>
            </a:ln>
            <a:effectLst/>
          </c:spPr>
          <c:invertIfNegative val="0"/>
          <c:cat>
            <c:strRef>
              <c:f>'figs 3'!$C$3:$D$3</c:f>
              <c:strCache>
                <c:ptCount val="2"/>
                <c:pt idx="0">
                  <c:v>Persoane în vârstă de 65 de ani și peste</c:v>
                </c:pt>
                <c:pt idx="1">
                  <c:v>Adulți tineri 18-24 de ani</c:v>
                </c:pt>
              </c:strCache>
            </c:strRef>
          </c:cat>
          <c:val>
            <c:numRef>
              <c:f>'figs 3'!$C$4:$D$4</c:f>
              <c:numCache>
                <c:formatCode>General</c:formatCode>
                <c:ptCount val="2"/>
                <c:pt idx="0">
                  <c:v>21</c:v>
                </c:pt>
                <c:pt idx="1">
                  <c:v>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5EB-4354-8532-8F78561988A4}"/>
            </c:ext>
          </c:extLst>
        </c:ser>
        <c:ser>
          <c:idx val="1"/>
          <c:order val="1"/>
          <c:tx>
            <c:strRef>
              <c:f>'figs 3'!$B$5</c:f>
              <c:strCache>
                <c:ptCount val="1"/>
                <c:pt idx="0">
                  <c:v>% din decese cauzate de accidente rutiere</c:v>
                </c:pt>
              </c:strCache>
            </c:strRef>
          </c:tx>
          <c:spPr>
            <a:solidFill>
              <a:srgbClr val="C00000"/>
            </a:solidFill>
            <a:ln>
              <a:noFill/>
            </a:ln>
            <a:effectLst/>
          </c:spPr>
          <c:invertIfNegative val="0"/>
          <c:cat>
            <c:strRef>
              <c:f>'figs 3'!$C$3:$D$3</c:f>
              <c:strCache>
                <c:ptCount val="2"/>
                <c:pt idx="0">
                  <c:v>Persoane în vârstă de 65 de ani și peste</c:v>
                </c:pt>
                <c:pt idx="1">
                  <c:v>Adulți tineri 18-24 de ani</c:v>
                </c:pt>
              </c:strCache>
            </c:strRef>
          </c:cat>
          <c:val>
            <c:numRef>
              <c:f>'figs 3'!$C$5:$D$5</c:f>
              <c:numCache>
                <c:formatCode>General</c:formatCode>
                <c:ptCount val="2"/>
                <c:pt idx="0">
                  <c:v>31</c:v>
                </c:pt>
                <c:pt idx="1">
                  <c:v>12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5EB-4354-8532-8F78561988A4}"/>
            </c:ext>
          </c:extLst>
        </c:ser>
        <c:dLbls>
          <c:showLegendKey val="0"/>
          <c:showVal val="0"/>
          <c:showCatName val="0"/>
          <c:showSerName val="0"/>
          <c:showPercent val="0"/>
          <c:showBubbleSize val="0"/>
        </c:dLbls>
        <c:gapWidth val="219"/>
        <c:overlap val="-27"/>
        <c:axId val="262538975"/>
        <c:axId val="262544255"/>
      </c:barChart>
      <c:catAx>
        <c:axId val="262538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2544255"/>
        <c:crosses val="autoZero"/>
        <c:auto val="1"/>
        <c:lblAlgn val="ctr"/>
        <c:lblOffset val="100"/>
        <c:noMultiLvlLbl val="0"/>
      </c:catAx>
      <c:valAx>
        <c:axId val="2625442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a:t>
                </a:r>
              </a:p>
              <a:p>
                <a:pPr>
                  <a:defRPr/>
                </a:pPr>
                <a:r>
                  <a:rPr lang="ro-RO"/>
                  <a:t> </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253897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o-RO" sz="1200" b="1"/>
              <a:t>Decese cauzate de accidentele rutiere per mil. de loc., 2019-2024</a:t>
            </a:r>
          </a:p>
        </c:rich>
      </c:tx>
      <c:overlay val="0"/>
    </c:title>
    <c:autoTitleDeleted val="0"/>
    <c:plotArea>
      <c:layout>
        <c:manualLayout>
          <c:layoutTarget val="inner"/>
          <c:xMode val="edge"/>
          <c:yMode val="edge"/>
          <c:x val="5.205386933913897E-2"/>
          <c:y val="0.12234742824529551"/>
          <c:w val="0.91065351683809026"/>
          <c:h val="0.67083030356222628"/>
        </c:manualLayout>
      </c:layout>
      <c:barChart>
        <c:barDir val="col"/>
        <c:grouping val="clustered"/>
        <c:varyColors val="0"/>
        <c:ser>
          <c:idx val="3"/>
          <c:order val="0"/>
          <c:tx>
            <c:strRef>
              <c:f>'fig 5'!$L$4</c:f>
              <c:strCache>
                <c:ptCount val="1"/>
                <c:pt idx="0">
                  <c:v>UE 2019</c:v>
                </c:pt>
              </c:strCache>
            </c:strRef>
          </c:tx>
          <c:spPr>
            <a:solidFill>
              <a:srgbClr val="FFFFFF"/>
            </a:solidFill>
            <a:ln w="12700">
              <a:solidFill>
                <a:srgbClr val="000000"/>
              </a:solidFill>
              <a:prstDash val="solid"/>
            </a:ln>
          </c:spPr>
          <c:invertIfNegative val="0"/>
          <c:dPt>
            <c:idx val="12"/>
            <c:invertIfNegative val="0"/>
            <c:bubble3D val="0"/>
            <c:spPr>
              <a:solidFill>
                <a:sysClr val="window" lastClr="FFFFFF"/>
              </a:solidFill>
              <a:ln w="12700">
                <a:solidFill>
                  <a:srgbClr val="000000"/>
                </a:solidFill>
                <a:prstDash val="solid"/>
              </a:ln>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35A-492D-BEC4-4CF131BB4464}"/>
              </c:ext>
            </c:extLst>
          </c:dPt>
          <c:cat>
            <c:strRef>
              <c:f>'fig 5'!$N$5:$N$35</c:f>
              <c:strCache>
                <c:ptCount val="31"/>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strCache>
              <c:extLst xmlns:c15="http://schemas.microsoft.com/office/drawing/2012/chart" xmlns:c16="http://schemas.microsoft.com/office/drawing/2014/chart" xmlns:c14="http://schemas.microsoft.com/office/drawing/2007/8/2/chart" xmlns:mc="http://schemas.openxmlformats.org/markup-compatibility/2006"/>
            </c:strRef>
          </c:cat>
          <c:val>
            <c:numRef>
              <c:f>'fig 5'!$P$5:$P$35</c:f>
              <c:numCache>
                <c:formatCode>0</c:formatCode>
                <c:ptCount val="31"/>
                <c:pt idx="0">
                  <c:v>21.602737389402048</c:v>
                </c:pt>
                <c:pt idx="1">
                  <c:v>32.417603569178155</c:v>
                </c:pt>
                <c:pt idx="2">
                  <c:v>34.274409881639613</c:v>
                </c:pt>
                <c:pt idx="3">
                  <c:v>35.836805702613155</c:v>
                </c:pt>
                <c:pt idx="4">
                  <c:v>33.90779267618295</c:v>
                </c:pt>
                <c:pt idx="5">
                  <c:v>38.2390535272446</c:v>
                </c:pt>
                <c:pt idx="6">
                  <c:v>28.546726913854133</c:v>
                </c:pt>
                <c:pt idx="7">
                  <c:v>49.01706370488268</c:v>
                </c:pt>
                <c:pt idx="8">
                  <c:v>36.690302038878642</c:v>
                </c:pt>
                <c:pt idx="9">
                  <c:v>37.390496976163398</c:v>
                </c:pt>
                <c:pt idx="10">
                  <c:v>46.959088587304677</c:v>
                </c:pt>
                <c:pt idx="11">
                  <c:v>56.392032521616876</c:v>
                </c:pt>
                <c:pt idx="12">
                  <c:v>66.566840265351161</c:v>
                </c:pt>
                <c:pt idx="13">
                  <c:v>59.367575485301387</c:v>
                </c:pt>
                <c:pt idx="14">
                  <c:v>58.029258765422824</c:v>
                </c:pt>
                <c:pt idx="15">
                  <c:v>49.537457748676658</c:v>
                </c:pt>
                <c:pt idx="16">
                  <c:v>49.725971034383761</c:v>
                </c:pt>
                <c:pt idx="17">
                  <c:v>39.250615177910966</c:v>
                </c:pt>
                <c:pt idx="18">
                  <c:v>52.568321173257338</c:v>
                </c:pt>
                <c:pt idx="19">
                  <c:v>76.607442187847454</c:v>
                </c:pt>
                <c:pt idx="20">
                  <c:v>61.599818925183435</c:v>
                </c:pt>
                <c:pt idx="21">
                  <c:v>66.948101695334174</c:v>
                </c:pt>
                <c:pt idx="22">
                  <c:v>68.751145852430881</c:v>
                </c:pt>
                <c:pt idx="23">
                  <c:v>72.861157054799932</c:v>
                </c:pt>
                <c:pt idx="24">
                  <c:v>64.151582730505822</c:v>
                </c:pt>
                <c:pt idx="25">
                  <c:v>89.713785880335806</c:v>
                </c:pt>
                <c:pt idx="26">
                  <c:v>96.010921345319048</c:v>
                </c:pt>
                <c:pt idx="28">
                  <c:v>20</c:v>
                </c:pt>
                <c:pt idx="29">
                  <c:v>21.891000843681514</c:v>
                </c:pt>
                <c:pt idx="30">
                  <c:v>17</c:v>
                </c:pt>
              </c:numCache>
              <c:extLst xmlns:c15="http://schemas.microsoft.com/office/drawing/2012/chart" xmlns:c16="http://schemas.microsoft.com/office/drawing/2014/chart" xmlns:c14="http://schemas.microsoft.com/office/drawing/2007/8/2/chart" xmlns:mc="http://schemas.openxmlformats.org/markup-compatibility/2006"/>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735A-492D-BEC4-4CF131BB4464}"/>
            </c:ext>
          </c:extLst>
        </c:ser>
        <c:ser>
          <c:idx val="0"/>
          <c:order val="1"/>
          <c:tx>
            <c:strRef>
              <c:f>'fig 5'!$K$4</c:f>
              <c:strCache>
                <c:ptCount val="1"/>
                <c:pt idx="0">
                  <c:v>UE 2024</c:v>
                </c:pt>
              </c:strCache>
            </c:strRef>
          </c:tx>
          <c:spPr>
            <a:solidFill>
              <a:schemeClr val="accent1">
                <a:lumMod val="60000"/>
                <a:lumOff val="40000"/>
              </a:schemeClr>
            </a:solidFill>
            <a:ln w="12700">
              <a:solidFill>
                <a:srgbClr val="000000"/>
              </a:solidFill>
              <a:prstDash val="solid"/>
            </a:ln>
          </c:spPr>
          <c:invertIfNegative val="0"/>
          <c:dPt>
            <c:idx val="0"/>
            <c:invertIfNegative val="0"/>
            <c:bubble3D val="0"/>
            <c:spPr>
              <a:solidFill>
                <a:schemeClr val="accent1">
                  <a:lumMod val="60000"/>
                  <a:lumOff val="40000"/>
                </a:schemeClr>
              </a:solidFill>
              <a:ln w="12700">
                <a:solidFill>
                  <a:sysClr val="windowText" lastClr="000000"/>
                </a:solidFill>
                <a:prstDash val="solid"/>
              </a:ln>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735A-492D-BEC4-4CF131BB4464}"/>
              </c:ext>
            </c:extLst>
          </c:dPt>
          <c:dPt>
            <c:idx val="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735A-492D-BEC4-4CF131BB4464}"/>
              </c:ext>
            </c:extLst>
          </c:dPt>
          <c:dPt>
            <c:idx val="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735A-492D-BEC4-4CF131BB4464}"/>
              </c:ext>
            </c:extLst>
          </c:dPt>
          <c:dPt>
            <c:idx val="3"/>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735A-492D-BEC4-4CF131BB4464}"/>
              </c:ext>
            </c:extLst>
          </c:dPt>
          <c:dPt>
            <c:idx val="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735A-492D-BEC4-4CF131BB4464}"/>
              </c:ext>
            </c:extLst>
          </c:dPt>
          <c:dPt>
            <c:idx val="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735A-492D-BEC4-4CF131BB4464}"/>
              </c:ext>
            </c:extLst>
          </c:dPt>
          <c:dPt>
            <c:idx val="6"/>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A-735A-492D-BEC4-4CF131BB4464}"/>
              </c:ext>
            </c:extLst>
          </c:dPt>
          <c:dPt>
            <c:idx val="8"/>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735A-492D-BEC4-4CF131BB4464}"/>
              </c:ext>
            </c:extLst>
          </c:dPt>
          <c:dPt>
            <c:idx val="9"/>
            <c:invertIfNegative val="0"/>
            <c:bubble3D val="0"/>
            <c:spPr>
              <a:solidFill>
                <a:schemeClr val="accent1">
                  <a:lumMod val="60000"/>
                  <a:lumOff val="40000"/>
                </a:schemeClr>
              </a:solidFill>
              <a:ln w="12700">
                <a:solidFill>
                  <a:sysClr val="windowText" lastClr="000000"/>
                </a:solidFill>
                <a:prstDash val="solid"/>
              </a:ln>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735A-492D-BEC4-4CF131BB4464}"/>
              </c:ext>
            </c:extLst>
          </c:dPt>
          <c:dPt>
            <c:idx val="10"/>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E-735A-492D-BEC4-4CF131BB4464}"/>
              </c:ext>
            </c:extLst>
          </c:dPt>
          <c:dPt>
            <c:idx val="1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735A-492D-BEC4-4CF131BB4464}"/>
              </c:ext>
            </c:extLst>
          </c:dPt>
          <c:dPt>
            <c:idx val="1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0-735A-492D-BEC4-4CF131BB4464}"/>
              </c:ext>
            </c:extLst>
          </c:dPt>
          <c:dPt>
            <c:idx val="13"/>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735A-492D-BEC4-4CF131BB4464}"/>
              </c:ext>
            </c:extLst>
          </c:dPt>
          <c:dPt>
            <c:idx val="1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2-735A-492D-BEC4-4CF131BB4464}"/>
              </c:ext>
            </c:extLst>
          </c:dPt>
          <c:dPt>
            <c:idx val="16"/>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735A-492D-BEC4-4CF131BB4464}"/>
              </c:ext>
            </c:extLst>
          </c:dPt>
          <c:dPt>
            <c:idx val="17"/>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4-735A-492D-BEC4-4CF131BB4464}"/>
              </c:ext>
            </c:extLst>
          </c:dPt>
          <c:dPt>
            <c:idx val="18"/>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735A-492D-BEC4-4CF131BB4464}"/>
              </c:ext>
            </c:extLst>
          </c:dPt>
          <c:dPt>
            <c:idx val="20"/>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6-735A-492D-BEC4-4CF131BB4464}"/>
              </c:ext>
            </c:extLst>
          </c:dPt>
          <c:dPt>
            <c:idx val="2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735A-492D-BEC4-4CF131BB4464}"/>
              </c:ext>
            </c:extLst>
          </c:dPt>
          <c:dPt>
            <c:idx val="2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8-735A-492D-BEC4-4CF131BB4464}"/>
              </c:ext>
            </c:extLst>
          </c:dPt>
          <c:dPt>
            <c:idx val="2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735A-492D-BEC4-4CF131BB4464}"/>
              </c:ext>
            </c:extLst>
          </c:dPt>
          <c:dPt>
            <c:idx val="2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A-735A-492D-BEC4-4CF131BB4464}"/>
              </c:ext>
            </c:extLst>
          </c:dPt>
          <c:dPt>
            <c:idx val="26"/>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735A-492D-BEC4-4CF131BB4464}"/>
              </c:ext>
            </c:extLst>
          </c:dPt>
          <c:dLbls>
            <c:spPr>
              <a:solidFill>
                <a:schemeClr val="bg1"/>
              </a:solidFill>
              <a:ln>
                <a:solidFill>
                  <a:schemeClr val="accent1">
                    <a:lumMod val="75000"/>
                  </a:schemeClr>
                </a:solidFill>
              </a:ln>
              <a:effectLst/>
            </c:spPr>
            <c:txPr>
              <a:bodyPr/>
              <a:lstStyle/>
              <a:p>
                <a:pPr>
                  <a:defRPr sz="900"/>
                </a:pPr>
                <a:endParaRPr lang="en-US"/>
              </a:p>
            </c:txPr>
            <c:dLblPos val="inBase"/>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ext>
            </c:extLst>
          </c:dLbls>
          <c:cat>
            <c:strRef>
              <c:f>'fig 5'!$N$5:$N$35</c:f>
              <c:strCache>
                <c:ptCount val="31"/>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strCache>
              <c:extLst xmlns:c15="http://schemas.microsoft.com/office/drawing/2012/chart" xmlns:c16="http://schemas.microsoft.com/office/drawing/2014/chart" xmlns:c14="http://schemas.microsoft.com/office/drawing/2007/8/2/chart" xmlns:mc="http://schemas.openxmlformats.org/markup-compatibility/2006"/>
            </c:strRef>
          </c:cat>
          <c:val>
            <c:numRef>
              <c:f>'fig 5'!$O$5:$O$35</c:f>
              <c:numCache>
                <c:formatCode>0</c:formatCode>
                <c:ptCount val="31"/>
                <c:pt idx="0">
                  <c:v>20.186307296061194</c:v>
                </c:pt>
                <c:pt idx="1">
                  <c:v>21.297629041446964</c:v>
                </c:pt>
                <c:pt idx="2">
                  <c:v>24.323761681486548</c:v>
                </c:pt>
                <c:pt idx="3">
                  <c:v>26.783721449296927</c:v>
                </c:pt>
                <c:pt idx="4">
                  <c:v>31.544436804176261</c:v>
                </c:pt>
                <c:pt idx="5">
                  <c:v>31.942319665530007</c:v>
                </c:pt>
                <c:pt idx="6">
                  <c:v>31.99967064666469</c:v>
                </c:pt>
                <c:pt idx="7">
                  <c:v>32.015834655163566</c:v>
                </c:pt>
                <c:pt idx="8">
                  <c:v>33.195518005872131</c:v>
                </c:pt>
                <c:pt idx="9">
                  <c:v>36.720493355565587</c:v>
                </c:pt>
                <c:pt idx="10">
                  <c:v>38.324007097038354</c:v>
                </c:pt>
                <c:pt idx="11">
                  <c:v>39.72262116223488</c:v>
                </c:pt>
                <c:pt idx="12">
                  <c:v>42.967665791951255</c:v>
                </c:pt>
                <c:pt idx="13">
                  <c:v>43.920493195001633</c:v>
                </c:pt>
                <c:pt idx="14">
                  <c:v>45.227054952706538</c:v>
                </c:pt>
                <c:pt idx="15">
                  <c:v>48.29771745355999</c:v>
                </c:pt>
                <c:pt idx="16">
                  <c:v>48.337666863287076</c:v>
                </c:pt>
                <c:pt idx="17">
                  <c:v>50.193243989359033</c:v>
                </c:pt>
                <c:pt idx="18">
                  <c:v>51.364856629581524</c:v>
                </c:pt>
                <c:pt idx="19">
                  <c:v>51.773614953399651</c:v>
                </c:pt>
                <c:pt idx="20">
                  <c:v>51.853869743705204</c:v>
                </c:pt>
                <c:pt idx="21">
                  <c:v>58.084202544313641</c:v>
                </c:pt>
                <c:pt idx="22">
                  <c:v>59.832831343001324</c:v>
                </c:pt>
                <c:pt idx="23">
                  <c:v>61.885562460787469</c:v>
                </c:pt>
                <c:pt idx="24">
                  <c:v>63.959570626418106</c:v>
                </c:pt>
                <c:pt idx="25">
                  <c:v>74.160485462605507</c:v>
                </c:pt>
                <c:pt idx="26">
                  <c:v>77.526662379096052</c:v>
                </c:pt>
                <c:pt idx="28">
                  <c:v>16.03544951418894</c:v>
                </c:pt>
                <c:pt idx="29">
                  <c:v>28</c:v>
                </c:pt>
                <c:pt idx="30">
                  <c:v>33</c:v>
                </c:pt>
              </c:numCache>
              <c:extLst xmlns:c15="http://schemas.microsoft.com/office/drawing/2012/chart" xmlns:c16="http://schemas.microsoft.com/office/drawing/2014/chart" xmlns:c14="http://schemas.microsoft.com/office/drawing/2007/8/2/chart" xmlns:mc="http://schemas.openxmlformats.org/markup-compatibility/2006"/>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C-735A-492D-BEC4-4CF131BB4464}"/>
            </c:ext>
          </c:extLst>
        </c:ser>
        <c:dLbls>
          <c:showLegendKey val="0"/>
          <c:showVal val="0"/>
          <c:showCatName val="0"/>
          <c:showSerName val="0"/>
          <c:showPercent val="0"/>
          <c:showBubbleSize val="0"/>
        </c:dLbls>
        <c:gapWidth val="90"/>
        <c:overlap val="80"/>
        <c:axId val="156110208"/>
        <c:axId val="156132864"/>
      </c:barChart>
      <c:lineChart>
        <c:grouping val="standard"/>
        <c:varyColors val="0"/>
        <c:ser>
          <c:idx val="1"/>
          <c:order val="2"/>
          <c:tx>
            <c:strRef>
              <c:f>'fig 5'!$K$4</c:f>
              <c:strCache>
                <c:ptCount val="1"/>
                <c:pt idx="0">
                  <c:v>UE 2024</c:v>
                </c:pt>
              </c:strCache>
            </c:strRef>
          </c:tx>
          <c:spPr>
            <a:ln w="25400">
              <a:solidFill>
                <a:srgbClr val="FF0000"/>
              </a:solidFill>
              <a:prstDash val="solid"/>
            </a:ln>
          </c:spPr>
          <c:marker>
            <c:symbol val="none"/>
          </c:marker>
          <c:dLbls>
            <c:dLbl>
              <c:idx val="0"/>
              <c:layout>
                <c:manualLayout>
                  <c:x val="-2.3302717908244234E-3"/>
                  <c:y val="1.5986894717926064E-2"/>
                </c:manualLayout>
              </c:layout>
              <c:tx>
                <c:rich>
                  <a:bodyPr/>
                  <a:lstStyle/>
                  <a:p>
                    <a:r>
                      <a:rPr lang="en-US" sz="1000" b="1">
                        <a:solidFill>
                          <a:sysClr val="windowText" lastClr="000000"/>
                        </a:solidFill>
                      </a:rPr>
                      <a:t>EU(2024): 45</a:t>
                    </a:r>
                  </a:p>
                </c:rich>
              </c:tx>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D-735A-492D-BEC4-4CF131BB4464}"/>
                </c:ext>
              </c:extLst>
            </c:dLbl>
            <c:spPr>
              <a:noFill/>
              <a:ln>
                <a:noFill/>
              </a:ln>
              <a:effectLst/>
            </c:spPr>
            <c:txPr>
              <a:bodyPr/>
              <a:lstStyle/>
              <a:p>
                <a:pPr>
                  <a:defRPr sz="1000"/>
                </a:pPr>
                <a:endParaRPr lang="en-US"/>
              </a:p>
            </c:txPr>
            <c:showLegendKey val="0"/>
            <c:showVal val="0"/>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('fig 5'!$N$5:$N$35,'fig 5'!$N$37)</c:f>
              <c:strCache>
                <c:ptCount val="31"/>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strCache>
              <c:extLst xmlns:c15="http://schemas.microsoft.com/office/drawing/2012/chart" xmlns:c16="http://schemas.microsoft.com/office/drawing/2014/chart" xmlns:c14="http://schemas.microsoft.com/office/drawing/2007/8/2/chart" xmlns:mc="http://schemas.openxmlformats.org/markup-compatibility/2006"/>
            </c:strRef>
          </c:cat>
          <c:val>
            <c:numRef>
              <c:f>'fig 5'!$K$5:$K$31</c:f>
              <c:numCache>
                <c:formatCode>0</c:formatCode>
                <c:ptCount val="27"/>
                <c:pt idx="0">
                  <c:v>45</c:v>
                </c:pt>
                <c:pt idx="1">
                  <c:v>45</c:v>
                </c:pt>
                <c:pt idx="2">
                  <c:v>45</c:v>
                </c:pt>
                <c:pt idx="3">
                  <c:v>45</c:v>
                </c:pt>
                <c:pt idx="4">
                  <c:v>45</c:v>
                </c:pt>
                <c:pt idx="5">
                  <c:v>45</c:v>
                </c:pt>
                <c:pt idx="6">
                  <c:v>45</c:v>
                </c:pt>
                <c:pt idx="7">
                  <c:v>45</c:v>
                </c:pt>
                <c:pt idx="8">
                  <c:v>45</c:v>
                </c:pt>
                <c:pt idx="9">
                  <c:v>45</c:v>
                </c:pt>
                <c:pt idx="10">
                  <c:v>45</c:v>
                </c:pt>
                <c:pt idx="11">
                  <c:v>45</c:v>
                </c:pt>
                <c:pt idx="12">
                  <c:v>45</c:v>
                </c:pt>
                <c:pt idx="13">
                  <c:v>45</c:v>
                </c:pt>
                <c:pt idx="14">
                  <c:v>45</c:v>
                </c:pt>
                <c:pt idx="15">
                  <c:v>45</c:v>
                </c:pt>
                <c:pt idx="16">
                  <c:v>45</c:v>
                </c:pt>
                <c:pt idx="17">
                  <c:v>45</c:v>
                </c:pt>
                <c:pt idx="18">
                  <c:v>45</c:v>
                </c:pt>
                <c:pt idx="19">
                  <c:v>45</c:v>
                </c:pt>
                <c:pt idx="20">
                  <c:v>45</c:v>
                </c:pt>
                <c:pt idx="21">
                  <c:v>45</c:v>
                </c:pt>
                <c:pt idx="22">
                  <c:v>45</c:v>
                </c:pt>
                <c:pt idx="23">
                  <c:v>45</c:v>
                </c:pt>
                <c:pt idx="24">
                  <c:v>45</c:v>
                </c:pt>
                <c:pt idx="25">
                  <c:v>45</c:v>
                </c:pt>
                <c:pt idx="26">
                  <c:v>45</c:v>
                </c:pt>
              </c:numCache>
              <c:extLst xmlns:c15="http://schemas.microsoft.com/office/drawing/2012/chart" xmlns:c16="http://schemas.microsoft.com/office/drawing/2014/chart" xmlns:c14="http://schemas.microsoft.com/office/drawing/2007/8/2/chart" xmlns:mc="http://schemas.openxmlformats.org/markup-compatibility/2006"/>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E-735A-492D-BEC4-4CF131BB4464}"/>
            </c:ext>
          </c:extLst>
        </c:ser>
        <c:ser>
          <c:idx val="2"/>
          <c:order val="3"/>
          <c:tx>
            <c:strRef>
              <c:f>'fig 5'!$L$4</c:f>
              <c:strCache>
                <c:ptCount val="1"/>
                <c:pt idx="0">
                  <c:v>UE 2019</c:v>
                </c:pt>
              </c:strCache>
            </c:strRef>
          </c:tx>
          <c:spPr>
            <a:ln w="25400">
              <a:solidFill>
                <a:srgbClr val="FFC000"/>
              </a:solidFill>
              <a:prstDash val="solid"/>
            </a:ln>
          </c:spPr>
          <c:marker>
            <c:symbol val="none"/>
          </c:marker>
          <c:dLbls>
            <c:dLbl>
              <c:idx val="0"/>
              <c:layout>
                <c:manualLayout>
                  <c:x val="1.7881441371356936E-3"/>
                  <c:y val="-2.3456189632372518E-2"/>
                </c:manualLayout>
              </c:layout>
              <c:tx>
                <c:rich>
                  <a:bodyPr/>
                  <a:lstStyle/>
                  <a:p>
                    <a:pPr>
                      <a:defRPr sz="1000" b="1"/>
                    </a:pPr>
                    <a:r>
                      <a:rPr lang="en-US" sz="1000" b="1"/>
                      <a:t>EU(2019): 51</a:t>
                    </a:r>
                  </a:p>
                </c:rich>
              </c:tx>
              <c:spPr>
                <a:solidFill>
                  <a:sysClr val="window" lastClr="FFFFFF"/>
                </a:solidFill>
              </c:spP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F-735A-492D-BEC4-4CF131BB4464}"/>
                </c:ext>
              </c:extLst>
            </c:dLbl>
            <c:spPr>
              <a:noFill/>
              <a:ln>
                <a:noFill/>
              </a:ln>
              <a:effectLst/>
            </c:spPr>
            <c:txPr>
              <a:bodyPr/>
              <a:lstStyle/>
              <a:p>
                <a:pPr>
                  <a:defRPr sz="1000" b="1"/>
                </a:pPr>
                <a:endParaRPr lang="en-US"/>
              </a:p>
            </c:txPr>
            <c:showLegendKey val="0"/>
            <c:showVal val="0"/>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('fig 5'!$N$5:$N$35,'fig 5'!$N$37)</c:f>
              <c:strCache>
                <c:ptCount val="31"/>
                <c:pt idx="0">
                  <c:v>SE</c:v>
                </c:pt>
                <c:pt idx="1">
                  <c:v>MT</c:v>
                </c:pt>
                <c:pt idx="2">
                  <c:v>DK</c:v>
                </c:pt>
                <c:pt idx="3">
                  <c:v>LU</c:v>
                </c:pt>
                <c:pt idx="4">
                  <c:v>NL</c:v>
                </c:pt>
                <c:pt idx="5">
                  <c:v>FI</c:v>
                </c:pt>
                <c:pt idx="6">
                  <c:v>IE</c:v>
                </c:pt>
                <c:pt idx="7">
                  <c:v>SI</c:v>
                </c:pt>
                <c:pt idx="8">
                  <c:v>DE</c:v>
                </c:pt>
                <c:pt idx="9">
                  <c:v>ES</c:v>
                </c:pt>
                <c:pt idx="10">
                  <c:v>AT</c:v>
                </c:pt>
                <c:pt idx="11">
                  <c:v>BE</c:v>
                </c:pt>
                <c:pt idx="12">
                  <c:v>LT</c:v>
                </c:pt>
                <c:pt idx="13">
                  <c:v>CY</c:v>
                </c:pt>
                <c:pt idx="14">
                  <c:v>CZ</c:v>
                </c:pt>
                <c:pt idx="15">
                  <c:v>SK</c:v>
                </c:pt>
                <c:pt idx="16">
                  <c:v>FR</c:v>
                </c:pt>
                <c:pt idx="17">
                  <c:v>EE</c:v>
                </c:pt>
                <c:pt idx="18">
                  <c:v>IT</c:v>
                </c:pt>
                <c:pt idx="19">
                  <c:v>PL</c:v>
                </c:pt>
                <c:pt idx="20">
                  <c:v>HU</c:v>
                </c:pt>
                <c:pt idx="21">
                  <c:v>PT</c:v>
                </c:pt>
                <c:pt idx="22">
                  <c:v>LV</c:v>
                </c:pt>
                <c:pt idx="23">
                  <c:v>HR</c:v>
                </c:pt>
                <c:pt idx="24">
                  <c:v>EL</c:v>
                </c:pt>
                <c:pt idx="25">
                  <c:v>BG</c:v>
                </c:pt>
                <c:pt idx="26">
                  <c:v>RO</c:v>
                </c:pt>
                <c:pt idx="28">
                  <c:v>NO</c:v>
                </c:pt>
                <c:pt idx="29">
                  <c:v>CH</c:v>
                </c:pt>
                <c:pt idx="30">
                  <c:v>IS</c:v>
                </c:pt>
              </c:strCache>
              <c:extLst xmlns:c15="http://schemas.microsoft.com/office/drawing/2012/chart" xmlns:c16="http://schemas.microsoft.com/office/drawing/2014/chart" xmlns:c14="http://schemas.microsoft.com/office/drawing/2007/8/2/chart" xmlns:mc="http://schemas.openxmlformats.org/markup-compatibility/2006"/>
            </c:strRef>
          </c:cat>
          <c:val>
            <c:numRef>
              <c:f>'fig 5'!$L$5:$L$31</c:f>
              <c:numCache>
                <c:formatCode>0</c:formatCode>
                <c:ptCount val="27"/>
                <c:pt idx="0">
                  <c:v>51.147601379896471</c:v>
                </c:pt>
                <c:pt idx="1">
                  <c:v>51.147601379896471</c:v>
                </c:pt>
                <c:pt idx="2">
                  <c:v>51.147601379896471</c:v>
                </c:pt>
                <c:pt idx="3">
                  <c:v>51.147601379896471</c:v>
                </c:pt>
                <c:pt idx="4">
                  <c:v>51.147601379896471</c:v>
                </c:pt>
                <c:pt idx="5">
                  <c:v>51.147601379896471</c:v>
                </c:pt>
                <c:pt idx="6">
                  <c:v>51.147601379896471</c:v>
                </c:pt>
                <c:pt idx="7">
                  <c:v>51.147601379896471</c:v>
                </c:pt>
                <c:pt idx="8">
                  <c:v>51.147601379896471</c:v>
                </c:pt>
                <c:pt idx="9">
                  <c:v>51.147601379896471</c:v>
                </c:pt>
                <c:pt idx="10">
                  <c:v>51.147601379896471</c:v>
                </c:pt>
                <c:pt idx="11">
                  <c:v>51.147601379896471</c:v>
                </c:pt>
                <c:pt idx="12">
                  <c:v>51.147601379896471</c:v>
                </c:pt>
                <c:pt idx="13">
                  <c:v>51.147601379896471</c:v>
                </c:pt>
                <c:pt idx="14">
                  <c:v>51.147601379896471</c:v>
                </c:pt>
                <c:pt idx="15">
                  <c:v>51.147601379896471</c:v>
                </c:pt>
                <c:pt idx="16">
                  <c:v>51.147601379896471</c:v>
                </c:pt>
                <c:pt idx="17">
                  <c:v>51.147601379896471</c:v>
                </c:pt>
                <c:pt idx="18">
                  <c:v>51.147601379896471</c:v>
                </c:pt>
                <c:pt idx="19">
                  <c:v>51.147601379896471</c:v>
                </c:pt>
                <c:pt idx="20">
                  <c:v>51.147601379896471</c:v>
                </c:pt>
                <c:pt idx="21">
                  <c:v>51.147601379896471</c:v>
                </c:pt>
                <c:pt idx="22">
                  <c:v>51.147601379896471</c:v>
                </c:pt>
                <c:pt idx="23">
                  <c:v>51.147601379896471</c:v>
                </c:pt>
                <c:pt idx="24">
                  <c:v>51.147601379896471</c:v>
                </c:pt>
                <c:pt idx="25">
                  <c:v>51.147601379896471</c:v>
                </c:pt>
                <c:pt idx="26">
                  <c:v>51.147601379896471</c:v>
                </c:pt>
              </c:numCache>
              <c:extLst xmlns:c15="http://schemas.microsoft.com/office/drawing/2012/chart" xmlns:c16="http://schemas.microsoft.com/office/drawing/2014/chart" xmlns:c14="http://schemas.microsoft.com/office/drawing/2007/8/2/chart" xmlns:mc="http://schemas.openxmlformats.org/markup-compatibility/2006"/>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0-735A-492D-BEC4-4CF131BB4464}"/>
            </c:ext>
          </c:extLst>
        </c:ser>
        <c:dLbls>
          <c:showLegendKey val="0"/>
          <c:showVal val="0"/>
          <c:showCatName val="0"/>
          <c:showSerName val="0"/>
          <c:showPercent val="0"/>
          <c:showBubbleSize val="0"/>
        </c:dLbls>
        <c:marker val="1"/>
        <c:smooth val="0"/>
        <c:axId val="156110208"/>
        <c:axId val="156132864"/>
      </c:lineChart>
      <c:catAx>
        <c:axId val="1561102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a:pPr>
            <a:endParaRPr lang="en-US"/>
          </a:p>
        </c:txPr>
        <c:crossAx val="156132864"/>
        <c:crosses val="autoZero"/>
        <c:auto val="1"/>
        <c:lblAlgn val="ctr"/>
        <c:lblOffset val="100"/>
        <c:tickLblSkip val="1"/>
        <c:tickMarkSkip val="1"/>
        <c:noMultiLvlLbl val="0"/>
      </c:catAx>
      <c:valAx>
        <c:axId val="156132864"/>
        <c:scaling>
          <c:orientation val="minMax"/>
          <c:max val="120"/>
          <c:min val="0"/>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800"/>
            </a:pPr>
            <a:endParaRPr lang="en-US"/>
          </a:p>
        </c:txPr>
        <c:crossAx val="156110208"/>
        <c:crosses val="autoZero"/>
        <c:crossBetween val="between"/>
      </c:valAx>
      <c:spPr>
        <a:solidFill>
          <a:srgbClr val="FFFFFF"/>
        </a:solidFill>
        <a:ln w="12700">
          <a:solidFill>
            <a:srgbClr val="808080"/>
          </a:solidFill>
          <a:prstDash val="solid"/>
        </a:ln>
      </c:spPr>
    </c:plotArea>
    <c:legend>
      <c:legendPos val="r"/>
      <c:layout>
        <c:manualLayout>
          <c:xMode val="edge"/>
          <c:yMode val="edge"/>
          <c:x val="0.18434296877806888"/>
          <c:y val="0.87467828856626895"/>
          <c:w val="0.63862519530680062"/>
          <c:h val="3.5812672176308569E-2"/>
        </c:manualLayout>
      </c:layout>
      <c:overlay val="0"/>
      <c:spPr>
        <a:solidFill>
          <a:srgbClr val="FFFFFF"/>
        </a:solidFill>
        <a:ln w="3175">
          <a:solidFill>
            <a:srgbClr val="000000"/>
          </a:solidFill>
          <a:prstDash val="solid"/>
        </a:ln>
      </c:spPr>
      <c:txPr>
        <a:bodyPr/>
        <a:lstStyle/>
        <a:p>
          <a:pPr>
            <a:defRPr sz="900"/>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Times New Roman" panose="02020603050405020304" pitchFamily="18" charset="0"/>
          <a:ea typeface="Verdana" panose="020B0604030504040204" pitchFamily="34" charset="0"/>
          <a:cs typeface="Times New Roman" panose="02020603050405020304" pitchFamily="18" charset="0"/>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0.29899</cdr:x>
      <cdr:y>0.00861</cdr:y>
    </cdr:from>
    <cdr:to>
      <cdr:x>0.72901</cdr:x>
      <cdr:y>0.12373</cdr:y>
    </cdr:to>
    <cdr:sp macro="" textlink="">
      <cdr:nvSpPr>
        <cdr:cNvPr id="2" name="TextBox 1"/>
        <cdr:cNvSpPr txBox="1"/>
      </cdr:nvSpPr>
      <cdr:spPr>
        <a:xfrm xmlns:a="http://schemas.openxmlformats.org/drawingml/2006/main">
          <a:off x="1651745" y="34178"/>
          <a:ext cx="2375649" cy="4572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rtl="0"/>
          <a:endParaRPr lang="fr-FR" sz="1100" b="0" i="0" baseline="0">
            <a:effectLst/>
            <a:latin typeface="+mn-lt"/>
            <a:ea typeface="+mn-ea"/>
            <a:cs typeface="+mn-cs"/>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7" ma:contentTypeDescription="Create a new document." ma:contentTypeScope="" ma:versionID="3f6025a07d42a7b82ca44aa5a0e00792">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a95fba7351d9136b54ec531a18d35295"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5c74af-aff0-46b1-b28f-24e3911f6a77}"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62269-9C4D-4E08-B8F6-CFA2B4162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451CE-B3DF-47A8-8DCC-9EFEC2BC613A}">
  <ds:schemaRefs>
    <ds:schemaRef ds:uri="http://schemas.microsoft.com/sharepoint/v3/contenttype/forms"/>
  </ds:schemaRefs>
</ds:datastoreItem>
</file>

<file path=customXml/itemProps3.xml><?xml version="1.0" encoding="utf-8"?>
<ds:datastoreItem xmlns:ds="http://schemas.openxmlformats.org/officeDocument/2006/customXml" ds:itemID="{B8BA9472-77CB-46A1-A474-F2B26BD3838A}">
  <ds:schemaRefs>
    <ds:schemaRef ds:uri="ba7bd860-1739-4001-af8a-147771a6eb05"/>
    <ds:schemaRef ds:uri="http://schemas.microsoft.com/office/2006/metadata/properties"/>
    <ds:schemaRef ds:uri="a5835c61-ca2e-49ee-8dca-a76e9f0344a3"/>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37FD2269-C160-4EE9-85AA-52DB29486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10728</Words>
  <Characters>61155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2026-02-06T09:03:00Z</dcterms:created>
  <dcterms:modified xsi:type="dcterms:W3CDTF">2026-02-12T13:25:00Z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2025-08-20T17:00:15Z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a05d4eb7-dcb6-4ade-a2cb-db362161dc65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0x0101008B18F24F2D4E8140A461B5DCD99F9D2E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CP-014</vt:lpwstr>
  </property>
  <property fmtid="{D5CDD505-2E9C-101B-9397-08002B2CF9AE}" pid="17" name="Last edited using">
    <vt:lpwstr>LW 9.2, Build 20250828</vt:lpwstr>
  </property>
  <property fmtid="{D5CDD505-2E9C-101B-9397-08002B2CF9AE}" pid="18" name="Created using">
    <vt:lpwstr>LW 9.2, Build 20250828</vt:lpwstr>
  </property>
</Properties>
</file>