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FD127" w14:textId="65C77BE0" w:rsidR="003170E8" w:rsidRPr="005B24D0" w:rsidRDefault="000B6ECD" w:rsidP="000B6ECD">
      <w:pPr>
        <w:pStyle w:val="Pagedecouverture"/>
        <w:rPr>
          <w:noProof/>
        </w:rPr>
      </w:pPr>
      <w:bookmarkStart w:id="0" w:name="LW_BM_COVERPAGE"/>
      <w:r>
        <w:rPr>
          <w:noProof/>
        </w:rPr>
        <w:pict w14:anchorId="25A559D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3253925-6FDA-45A4-8120-8FF171864CB7" style="width:455.25pt;height:271.5pt">
            <v:imagedata r:id="rId8" o:title=""/>
          </v:shape>
        </w:pict>
      </w:r>
    </w:p>
    <w:bookmarkEnd w:id="0"/>
    <w:p w14:paraId="68375A79" w14:textId="4AF0C998" w:rsidR="00791799" w:rsidRPr="005B24D0" w:rsidRDefault="00791799" w:rsidP="00791799">
      <w:pPr>
        <w:pStyle w:val="Pagedecouverture"/>
        <w:rPr>
          <w:noProof/>
        </w:rPr>
        <w:sectPr w:rsidR="00791799" w:rsidRPr="005B24D0" w:rsidSect="000B6EC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F70B8F5" w14:textId="72466240" w:rsidR="00D46D1A" w:rsidRPr="005B24D0" w:rsidRDefault="00734CA2" w:rsidP="00734CA2">
      <w:pPr>
        <w:numPr>
          <w:ilvl w:val="0"/>
          <w:numId w:val="7"/>
        </w:numPr>
        <w:ind w:left="0" w:firstLine="0"/>
        <w:rPr>
          <w:rFonts w:ascii="Times New Roman" w:hAnsi="Times New Roman" w:cs="Times New Roman"/>
          <w:b/>
          <w:bCs/>
          <w:noProof/>
          <w:kern w:val="0"/>
          <w14:ligatures w14:val="none"/>
        </w:rPr>
      </w:pPr>
      <w:bookmarkStart w:id="1" w:name="_GoBack"/>
      <w:bookmarkEnd w:id="1"/>
      <w:r w:rsidRPr="005B24D0">
        <w:rPr>
          <w:rFonts w:ascii="Times New Roman" w:hAnsi="Times New Roman"/>
          <w:b/>
          <w:noProof/>
        </w:rPr>
        <w:lastRenderedPageBreak/>
        <w:t>CONTEXT</w:t>
      </w:r>
    </w:p>
    <w:p w14:paraId="10B1DF00" w14:textId="7FA5468F" w:rsidR="00734CA2" w:rsidRPr="005B24D0" w:rsidRDefault="00734CA2" w:rsidP="00734CA2">
      <w:pPr>
        <w:ind w:left="720"/>
        <w:jc w:val="both"/>
        <w:rPr>
          <w:rFonts w:ascii="Times New Roman" w:hAnsi="Times New Roman" w:cs="Times New Roman"/>
          <w:noProof/>
          <w:kern w:val="0"/>
          <w:sz w:val="24"/>
          <w:szCs w:val="24"/>
          <w14:ligatures w14:val="none"/>
        </w:rPr>
      </w:pPr>
      <w:r w:rsidRPr="005B24D0">
        <w:rPr>
          <w:rFonts w:ascii="Times New Roman" w:hAnsi="Times New Roman"/>
          <w:noProof/>
          <w:sz w:val="24"/>
        </w:rPr>
        <w:t>În temeiul articolului 395 din Directiva 2006/112/CE a Consiliului din 28 noiembrie 2006 privind sistemul comun al taxei pe valoarea adăugată</w:t>
      </w:r>
      <w:r w:rsidRPr="005B24D0">
        <w:rPr>
          <w:rFonts w:ascii="Times New Roman" w:hAnsi="Times New Roman" w:cs="Times New Roman"/>
          <w:noProof/>
          <w:kern w:val="0"/>
          <w:sz w:val="24"/>
          <w:szCs w:val="24"/>
          <w:vertAlign w:val="superscript"/>
        </w:rPr>
        <w:footnoteReference w:id="1"/>
      </w:r>
      <w:r w:rsidRPr="005B24D0">
        <w:rPr>
          <w:rFonts w:ascii="Times New Roman" w:hAnsi="Times New Roman"/>
          <w:noProof/>
          <w:sz w:val="24"/>
        </w:rPr>
        <w:t xml:space="preserve"> (denumită în continuare „Directiva TVA”), Consiliul, hotărând în unanimitate la propunerea Comisiei, poate autoriza orice stat membru să introducă măsuri speciale de derogare de la dispozițiile directivei respective, pentru a simplifica procedura de colectare a TVA sau pentru a preveni anumite forme de evaziune fiscală sau de evitare a obligațiilor fiscale. Întrucât această procedură prevede o derogare de la principiile generale în materie de TVA, în conformitate cu jurisprudența Curții de Justiție a Uniunii Europene (CJUE), măsurile naționale de derogare menționate la articolul 395 din Directiva TVA care sunt permise „în scopul simplificării procedurii de colectare a TVA‑ului sau al prevenirii anumitor forme de evaziune fiscală sau de fraudă” trebuie interpretate strict și trebuie să fie totodată necesare și adecvate pentru realizarea obiectivului specific pe care îl urmăresc și să afecteze cât mai puțin posibil obiectivele și principiile Directivei TVA</w:t>
      </w:r>
      <w:r w:rsidRPr="005B24D0">
        <w:rPr>
          <w:rFonts w:ascii="Times New Roman" w:hAnsi="Times New Roman" w:cs="Times New Roman"/>
          <w:noProof/>
          <w:kern w:val="0"/>
          <w:sz w:val="24"/>
          <w:szCs w:val="24"/>
          <w:vertAlign w:val="superscript"/>
        </w:rPr>
        <w:footnoteReference w:id="2"/>
      </w:r>
      <w:r w:rsidRPr="005B24D0">
        <w:rPr>
          <w:rFonts w:ascii="Times New Roman" w:hAnsi="Times New Roman"/>
          <w:noProof/>
          <w:sz w:val="24"/>
        </w:rPr>
        <w:t>.</w:t>
      </w:r>
    </w:p>
    <w:p w14:paraId="7610FEA5" w14:textId="1AB81951" w:rsidR="00EE7C66" w:rsidRPr="005B24D0" w:rsidRDefault="00D97F7D" w:rsidP="008463AC">
      <w:pPr>
        <w:ind w:left="720"/>
        <w:jc w:val="both"/>
        <w:rPr>
          <w:rFonts w:ascii="Times New Roman" w:hAnsi="Times New Roman" w:cs="Times New Roman"/>
          <w:noProof/>
          <w:kern w:val="0"/>
          <w:sz w:val="24"/>
          <w:szCs w:val="24"/>
          <w14:ligatures w14:val="none"/>
        </w:rPr>
      </w:pPr>
      <w:r w:rsidRPr="005B24D0">
        <w:rPr>
          <w:rFonts w:ascii="Times New Roman" w:hAnsi="Times New Roman"/>
          <w:noProof/>
          <w:sz w:val="24"/>
        </w:rPr>
        <w:t xml:space="preserve">Printr-o scrisoare înregistrată de Comisie la 22 august 2025, România a solicitat autorizarea de a aplica, prin derogare de la articolul 193 din Directiva TVA, mecanismul de taxare inversă în legătură cu anumite livrări de </w:t>
      </w:r>
      <w:r w:rsidRPr="005B24D0">
        <w:rPr>
          <w:rStyle w:val="Bodytext1"/>
          <w:rFonts w:ascii="Times New Roman" w:hAnsi="Times New Roman"/>
          <w:noProof/>
          <w:sz w:val="24"/>
        </w:rPr>
        <w:t>legume, fructe, îmbrăcăminte și încălțăminte</w:t>
      </w:r>
      <w:r w:rsidRPr="005B24D0">
        <w:rPr>
          <w:rFonts w:ascii="Times New Roman" w:hAnsi="Times New Roman"/>
          <w:noProof/>
          <w:sz w:val="24"/>
        </w:rPr>
        <w:t xml:space="preserve">. </w:t>
      </w:r>
    </w:p>
    <w:p w14:paraId="6CD7DC9D" w14:textId="77777777" w:rsidR="00463879" w:rsidRPr="005B24D0" w:rsidRDefault="00463879" w:rsidP="00C1255D">
      <w:pPr>
        <w:ind w:left="720"/>
        <w:jc w:val="both"/>
        <w:rPr>
          <w:rFonts w:ascii="Times New Roman" w:hAnsi="Times New Roman" w:cs="Times New Roman"/>
          <w:noProof/>
          <w:kern w:val="0"/>
          <w:sz w:val="24"/>
          <w:szCs w:val="24"/>
          <w14:ligatures w14:val="none"/>
        </w:rPr>
      </w:pPr>
      <w:r w:rsidRPr="005B24D0">
        <w:rPr>
          <w:rFonts w:ascii="Times New Roman" w:hAnsi="Times New Roman"/>
          <w:noProof/>
          <w:sz w:val="24"/>
        </w:rPr>
        <w:t>Printr-o scrisoare înregistrată de Comisie la 18 noiembrie 2025, România și-a modificat cererea inițială, retrăgând cererea de derogare privind mecanismul de taxare inversă pentru livrările de îmbrăcăminte și încălțăminte. În schimb, România a optat pentru o derogare pentru a aplica mecanismul de taxare inversă numai pentru livrările de legume și fructe, invocând riscul crescut de fraudă și perisabilitatea ridicată a acestor bunuri, care afectează în mod deosebit colectarea TVA.</w:t>
      </w:r>
    </w:p>
    <w:p w14:paraId="6DD0F8FE" w14:textId="24B2EB27" w:rsidR="00AA1CA5" w:rsidRPr="005B24D0" w:rsidRDefault="00AA1CA5" w:rsidP="00AA1CA5">
      <w:pPr>
        <w:ind w:left="720"/>
        <w:jc w:val="both"/>
        <w:rPr>
          <w:rFonts w:ascii="Times New Roman" w:hAnsi="Times New Roman" w:cs="Times New Roman"/>
          <w:noProof/>
          <w:sz w:val="24"/>
          <w:szCs w:val="24"/>
        </w:rPr>
      </w:pPr>
      <w:r w:rsidRPr="005B24D0">
        <w:rPr>
          <w:rFonts w:ascii="Times New Roman" w:hAnsi="Times New Roman"/>
          <w:noProof/>
          <w:sz w:val="24"/>
        </w:rPr>
        <w:t>În conformitate cu articolul 395 alineatul (2) din Directiva TVA, Comisia a informat celelalte state membre, printr-o scrisoare din data de 15 decembrie 2025, cu privire la cererea înaintată de România. Printr-o scrisoare din 17 decembrie 2025, Comisia a informat România că dispune de toate informațiile pe care le consideră necesare pentru evaluarea cererii.</w:t>
      </w:r>
    </w:p>
    <w:p w14:paraId="4AE657DA" w14:textId="1BCF3797" w:rsidR="00074E0C" w:rsidRPr="005B24D0" w:rsidRDefault="00074E0C" w:rsidP="00074E0C">
      <w:pPr>
        <w:numPr>
          <w:ilvl w:val="0"/>
          <w:numId w:val="7"/>
        </w:numPr>
        <w:ind w:left="0" w:firstLine="0"/>
        <w:rPr>
          <w:rFonts w:ascii="Times New Roman" w:hAnsi="Times New Roman" w:cs="Times New Roman"/>
          <w:b/>
          <w:bCs/>
          <w:noProof/>
          <w:kern w:val="0"/>
          <w14:ligatures w14:val="none"/>
        </w:rPr>
      </w:pPr>
      <w:r w:rsidRPr="005B24D0">
        <w:rPr>
          <w:rFonts w:ascii="Times New Roman" w:hAnsi="Times New Roman"/>
          <w:b/>
          <w:noProof/>
        </w:rPr>
        <w:t>CEREREA</w:t>
      </w:r>
    </w:p>
    <w:p w14:paraId="6F1B2BD1" w14:textId="63F43094" w:rsidR="000A1DF1" w:rsidRPr="005B24D0" w:rsidRDefault="002C687F" w:rsidP="00F0689D">
      <w:pPr>
        <w:ind w:left="720"/>
        <w:jc w:val="both"/>
        <w:rPr>
          <w:rStyle w:val="Bodytext1"/>
          <w:rFonts w:ascii="Times New Roman" w:hAnsi="Times New Roman" w:cs="Times New Roman"/>
          <w:bCs/>
          <w:noProof/>
          <w:sz w:val="24"/>
          <w:szCs w:val="24"/>
        </w:rPr>
      </w:pPr>
      <w:r w:rsidRPr="005B24D0">
        <w:rPr>
          <w:rFonts w:ascii="Times New Roman" w:hAnsi="Times New Roman"/>
          <w:noProof/>
          <w:sz w:val="24"/>
        </w:rPr>
        <w:t xml:space="preserve">România solicită Consiliului, în temeiul articolului 395 din Directiva TVA, să decidă, la propunerea Comisiei, autorizarea aplicării unei măsuri speciale de derogare de la articolul 193 din Directiva TVA în ceea ce privește aplicarea mecanismului de taxare inversă în legătură cu anumite livrări de </w:t>
      </w:r>
      <w:r w:rsidRPr="005B24D0">
        <w:rPr>
          <w:rStyle w:val="Bodytext1"/>
          <w:rFonts w:ascii="Times New Roman" w:hAnsi="Times New Roman"/>
          <w:noProof/>
          <w:sz w:val="24"/>
        </w:rPr>
        <w:t xml:space="preserve">legume și fructe, pentru o perioadă de doi ani. </w:t>
      </w:r>
    </w:p>
    <w:p w14:paraId="6C0097D3" w14:textId="72818D6B" w:rsidR="00F0689D" w:rsidRPr="005B24D0" w:rsidRDefault="00F0689D" w:rsidP="00F0689D">
      <w:pPr>
        <w:ind w:left="720"/>
        <w:jc w:val="both"/>
        <w:rPr>
          <w:rFonts w:ascii="Times New Roman" w:hAnsi="Times New Roman" w:cs="Times New Roman"/>
          <w:noProof/>
          <w:kern w:val="0"/>
          <w:sz w:val="24"/>
          <w:szCs w:val="24"/>
          <w14:ligatures w14:val="none"/>
        </w:rPr>
      </w:pPr>
      <w:r w:rsidRPr="005B24D0">
        <w:rPr>
          <w:rFonts w:ascii="Times New Roman" w:hAnsi="Times New Roman"/>
          <w:noProof/>
          <w:sz w:val="24"/>
        </w:rPr>
        <w:t>Ca regulă generală, persoana care are obligația de a plăti TVA în temeiul articolului 193 din Directiva TVA este persoana impozabilă care livrează bunurile (sau prestează serviciile). Scopul mecanismului de taxare inversă este de a transfera această obligație persoanei impozabile căreia i se furnizează bunurile sau i se prestează serviciile, pentru ca furnizorul să nu aibă posibilitatea de a dispărea după ce încasează TVA (fraudă cu firme fantomă).</w:t>
      </w:r>
    </w:p>
    <w:p w14:paraId="13FE5027" w14:textId="06CC639E" w:rsidR="00074E0C" w:rsidRPr="005B24D0" w:rsidRDefault="00074E0C" w:rsidP="00074E0C">
      <w:pPr>
        <w:numPr>
          <w:ilvl w:val="0"/>
          <w:numId w:val="7"/>
        </w:numPr>
        <w:ind w:left="0" w:firstLine="0"/>
        <w:rPr>
          <w:rFonts w:ascii="Times New Roman" w:hAnsi="Times New Roman" w:cs="Times New Roman"/>
          <w:b/>
          <w:bCs/>
          <w:noProof/>
          <w:kern w:val="0"/>
          <w14:ligatures w14:val="none"/>
        </w:rPr>
      </w:pPr>
      <w:r w:rsidRPr="005B24D0">
        <w:rPr>
          <w:rFonts w:ascii="Times New Roman" w:hAnsi="Times New Roman"/>
          <w:b/>
          <w:noProof/>
        </w:rPr>
        <w:t>OPINIA COMISIEI</w:t>
      </w:r>
    </w:p>
    <w:p w14:paraId="42E237C8" w14:textId="735BE799" w:rsidR="006C5BE6" w:rsidRPr="005B24D0" w:rsidRDefault="00B91505" w:rsidP="00B91505">
      <w:pPr>
        <w:spacing w:after="240"/>
        <w:ind w:left="720"/>
        <w:jc w:val="both"/>
        <w:rPr>
          <w:rFonts w:ascii="Times New Roman" w:hAnsi="Times New Roman" w:cs="Times New Roman"/>
          <w:noProof/>
          <w:sz w:val="24"/>
          <w:szCs w:val="24"/>
        </w:rPr>
      </w:pPr>
      <w:r w:rsidRPr="005B24D0">
        <w:rPr>
          <w:rFonts w:ascii="Times New Roman" w:hAnsi="Times New Roman"/>
          <w:noProof/>
          <w:sz w:val="24"/>
        </w:rPr>
        <w:t xml:space="preserve">Atunci când Comisia primește cereri în conformitate cu articolul 395 din Directiva TVA, acestea sunt analizate pentru a se verifica dacă sunt îndeplinite condițiile de bază pentru acordarea unei derogări, și anume dacă măsura specifică propusă simplifică procedurile pentru persoanele impozabile și/sau administrația fiscală sau dacă propunerea are scopul de a preveni anumite tipuri de evaziune fiscală sau de evitare a obligațiilor fiscale. În acest context, Comisia a adoptat întotdeauna o abordare prudentă, restrictivă, pentru a se asigura că derogările nu subminează funcționarea sistemului general al TVA, că ele au un domeniu de aplicare și o durată limitate și că sunt necesare și proporționate. Orice derogare de la sistemul de plată fracționată nu poate fi, prin urmare, decât o soluție de ultimă instanță și o măsură de urgență pentru o perioadă limitată de timp și trebuie să ofere garanții cu privire la necesitatea și caracterul excepțional al derogării acordate. </w:t>
      </w:r>
    </w:p>
    <w:p w14:paraId="411EF463" w14:textId="4844174A" w:rsidR="0057571D" w:rsidRPr="005B24D0" w:rsidRDefault="0057571D" w:rsidP="00C1255D">
      <w:pPr>
        <w:spacing w:after="240"/>
        <w:ind w:left="720"/>
        <w:jc w:val="both"/>
        <w:rPr>
          <w:rFonts w:ascii="Times New Roman" w:hAnsi="Times New Roman" w:cs="Times New Roman"/>
          <w:noProof/>
          <w:sz w:val="24"/>
          <w:szCs w:val="24"/>
        </w:rPr>
      </w:pPr>
      <w:r w:rsidRPr="005B24D0">
        <w:rPr>
          <w:rFonts w:ascii="Times New Roman" w:hAnsi="Times New Roman"/>
          <w:noProof/>
          <w:sz w:val="24"/>
        </w:rPr>
        <w:t>Legumele și fructele, având în vedere caracterul lor de bunuri corporale și volumul lor ridicat, pot fi monitorizate și urmărite în mod eficace cu ajutorul sistemelor existente. Aceste bunuri fac, de regulă, obiectul transportului fizic transfrontalier sau intern, ceea ce le face să fie candidați ideali pentru sistemele de transport și facturare electronice. Aceste sisteme pot oferi capacități de urmărire și de analiză a datelor în timp real care permit un control țintit, asigurând astfel respectarea normelor în materie de TVA fără a aplica mecanismul de taxare inversă.</w:t>
      </w:r>
    </w:p>
    <w:p w14:paraId="5B92603E" w14:textId="4622FDBC" w:rsidR="0057571D" w:rsidRPr="005B24D0" w:rsidRDefault="0057571D" w:rsidP="00C1255D">
      <w:pPr>
        <w:ind w:left="720"/>
        <w:jc w:val="both"/>
        <w:rPr>
          <w:rFonts w:ascii="Times New Roman" w:hAnsi="Times New Roman" w:cs="Times New Roman"/>
          <w:noProof/>
          <w:kern w:val="0"/>
          <w:sz w:val="24"/>
          <w:szCs w:val="24"/>
          <w14:ligatures w14:val="none"/>
        </w:rPr>
      </w:pPr>
      <w:r w:rsidRPr="005B24D0">
        <w:rPr>
          <w:rFonts w:ascii="Times New Roman" w:hAnsi="Times New Roman"/>
          <w:noProof/>
          <w:sz w:val="24"/>
        </w:rPr>
        <w:t xml:space="preserve">România a pus deja în aplicare sisteme avansate precum RO e-Factura (un sistem de facturare electronică obligatoriu și generalizat), RO e-Transport (sistemul național de monitorizare a transportului rutier), RO e-Sigiliu (sistemul național de sigilii electronice introdus pentru monitorizarea transporturilor rutiere de mărfuri) și SAF-T (fișierul standard de control fiscal). Aceste sisteme sunt concepute pentru a îmbunătăți trasabilitatea și pentru a furniza date detaliate privind tranzacțiile. </w:t>
      </w:r>
    </w:p>
    <w:p w14:paraId="1983020B" w14:textId="676494ED" w:rsidR="0057571D" w:rsidRPr="005B24D0" w:rsidRDefault="0057571D" w:rsidP="00C1255D">
      <w:pPr>
        <w:spacing w:after="240"/>
        <w:ind w:left="720"/>
        <w:jc w:val="both"/>
        <w:rPr>
          <w:rFonts w:ascii="Times New Roman" w:hAnsi="Times New Roman" w:cs="Times New Roman"/>
          <w:noProof/>
          <w:sz w:val="24"/>
          <w:szCs w:val="24"/>
        </w:rPr>
      </w:pPr>
      <w:r w:rsidRPr="005B24D0">
        <w:rPr>
          <w:rFonts w:ascii="Times New Roman" w:hAnsi="Times New Roman"/>
          <w:noProof/>
          <w:sz w:val="24"/>
        </w:rPr>
        <w:t>Această abordare bazată pe date ar trebui să permită României să identifice tranzacțiile cu risc ridicat și să acționeze mai precis, sporind eficiența prevenirii fraudei în materie de TVA. Pot fi executate în mod mai eficient intervenții țintite, fără a perturba întregul sector comercial prin intermediul mecanismului de taxare inversă.</w:t>
      </w:r>
    </w:p>
    <w:p w14:paraId="51F21977" w14:textId="1EC85362" w:rsidR="0057571D" w:rsidRPr="005B24D0" w:rsidRDefault="0057571D" w:rsidP="0057571D">
      <w:pPr>
        <w:spacing w:before="100" w:beforeAutospacing="1" w:after="100" w:afterAutospacing="1" w:line="240" w:lineRule="auto"/>
        <w:ind w:left="720"/>
        <w:jc w:val="both"/>
        <w:rPr>
          <w:rFonts w:ascii="Times New Roman" w:eastAsia="Times New Roman" w:hAnsi="Times New Roman" w:cs="Times New Roman"/>
          <w:noProof/>
          <w:kern w:val="0"/>
          <w:sz w:val="24"/>
          <w:szCs w:val="24"/>
          <w14:ligatures w14:val="none"/>
        </w:rPr>
      </w:pPr>
      <w:r w:rsidRPr="005B24D0">
        <w:rPr>
          <w:rFonts w:ascii="Times New Roman" w:hAnsi="Times New Roman"/>
          <w:noProof/>
          <w:sz w:val="24"/>
        </w:rPr>
        <w:t xml:space="preserve">Deși perisabilitatea este menționată ca o preocupare care are un impact asupra colectării TVA, sistemele electronice aplicate în România pot fi utilizate pentru a </w:t>
      </w:r>
      <w:r w:rsidR="0090530C" w:rsidRPr="005B24D0">
        <w:rPr>
          <w:rFonts w:ascii="Times New Roman" w:hAnsi="Times New Roman"/>
          <w:noProof/>
          <w:sz w:val="24"/>
        </w:rPr>
        <w:t>gestiona</w:t>
      </w:r>
      <w:r w:rsidRPr="005B24D0">
        <w:rPr>
          <w:rFonts w:ascii="Times New Roman" w:hAnsi="Times New Roman"/>
          <w:noProof/>
          <w:sz w:val="24"/>
        </w:rPr>
        <w:t xml:space="preserve"> și a urmări în mod eficace bunurile perisabile. Aceste sisteme pot răspunde provocărilor specifice legate de ratele ridicate de rotație a personalului și pot asigura verificări ale conformității în timp util care reduc posibilitățile de fraudă în domeniul TVA.</w:t>
      </w:r>
    </w:p>
    <w:p w14:paraId="4FC7D048" w14:textId="42CE562D" w:rsidR="0057571D" w:rsidRPr="005B24D0" w:rsidRDefault="0057571D" w:rsidP="0057571D">
      <w:pPr>
        <w:spacing w:before="100" w:beforeAutospacing="1" w:after="100" w:afterAutospacing="1" w:line="240" w:lineRule="auto"/>
        <w:ind w:left="720"/>
        <w:jc w:val="both"/>
        <w:rPr>
          <w:rFonts w:ascii="Times New Roman" w:eastAsia="Times New Roman" w:hAnsi="Times New Roman" w:cs="Times New Roman"/>
          <w:noProof/>
          <w:kern w:val="0"/>
          <w:sz w:val="24"/>
          <w:szCs w:val="24"/>
          <w14:ligatures w14:val="none"/>
        </w:rPr>
      </w:pPr>
      <w:r w:rsidRPr="005B24D0">
        <w:rPr>
          <w:rFonts w:ascii="Times New Roman" w:hAnsi="Times New Roman"/>
          <w:noProof/>
          <w:sz w:val="24"/>
        </w:rPr>
        <w:t>Prin utilizarea acestor instrumente, România poate efectua analize detaliate ale riscurilor și poate combate în mod eficace frauda în domeniul TVA în cadrul lanțului intern de distribuție a legumelor și fructelor.</w:t>
      </w:r>
    </w:p>
    <w:p w14:paraId="3F8E4322" w14:textId="77777777" w:rsidR="0057571D" w:rsidRPr="005B24D0" w:rsidRDefault="0057571D" w:rsidP="0057571D">
      <w:pPr>
        <w:spacing w:before="100" w:beforeAutospacing="1" w:after="100" w:afterAutospacing="1" w:line="240" w:lineRule="auto"/>
        <w:ind w:left="720"/>
        <w:jc w:val="both"/>
        <w:rPr>
          <w:rFonts w:ascii="Times New Roman" w:eastAsia="Times New Roman" w:hAnsi="Times New Roman" w:cs="Times New Roman"/>
          <w:noProof/>
          <w:kern w:val="0"/>
          <w:sz w:val="24"/>
          <w:szCs w:val="24"/>
          <w14:ligatures w14:val="none"/>
        </w:rPr>
      </w:pPr>
      <w:r w:rsidRPr="005B24D0">
        <w:rPr>
          <w:rFonts w:ascii="Times New Roman" w:hAnsi="Times New Roman"/>
          <w:noProof/>
          <w:sz w:val="24"/>
        </w:rPr>
        <w:t>Adoptarea unor mecanisme de taxare inversă pentru legume și fructe poate submina transparența și funcționarea sistemului convențional de TVA, în care taxa este colectată progresiv de-a lungul lanțului de aprovizionare. Aceasta ar putea crea un precedent care complică viitoarele eforturi de asigurare a respectării legislației în materie de TVA, prin măsuri convenționale, în loc să sporească transparența prin mijloace tehnologice consacrate.</w:t>
      </w:r>
    </w:p>
    <w:p w14:paraId="4FB2352F" w14:textId="0BDBF60E" w:rsidR="0057571D" w:rsidRPr="005B24D0" w:rsidRDefault="0057571D" w:rsidP="0057571D">
      <w:pPr>
        <w:spacing w:before="100" w:beforeAutospacing="1" w:after="100" w:afterAutospacing="1" w:line="240" w:lineRule="auto"/>
        <w:ind w:left="720"/>
        <w:jc w:val="both"/>
        <w:rPr>
          <w:rFonts w:ascii="Times New Roman" w:eastAsia="Times New Roman" w:hAnsi="Times New Roman" w:cs="Times New Roman"/>
          <w:noProof/>
          <w:kern w:val="0"/>
          <w:sz w:val="24"/>
          <w:szCs w:val="24"/>
          <w14:ligatures w14:val="none"/>
        </w:rPr>
      </w:pPr>
      <w:r w:rsidRPr="005B24D0">
        <w:rPr>
          <w:rFonts w:ascii="Times New Roman" w:hAnsi="Times New Roman"/>
          <w:noProof/>
          <w:sz w:val="24"/>
        </w:rPr>
        <w:t xml:space="preserve">Mecanismul de taxare inversă este propus ca soluție temporară până când vor deveni pe deplin operaționale alte sisteme. Cu toate acestea, majoritatea sistemelor enumerate anterior sunt deja operaționale de câțiva ani, iar utilizarea acestor sisteme existente reprezintă o soluție mai sustenabilă pentru România. Această abordare ar permite dezvoltarea și integrarea în continuare a tehnologiilor mature și ar oferi o soluție sustenabilă care nu poate fi oferită prin derogarea temporară solicitată. </w:t>
      </w:r>
    </w:p>
    <w:p w14:paraId="0AA7B348" w14:textId="772AEA30" w:rsidR="00B62A2E" w:rsidRPr="005B24D0" w:rsidRDefault="00B62A2E" w:rsidP="000A1DF1">
      <w:pPr>
        <w:spacing w:after="0" w:line="240" w:lineRule="auto"/>
        <w:ind w:left="720"/>
        <w:jc w:val="both"/>
        <w:rPr>
          <w:rFonts w:ascii="Times New Roman" w:hAnsi="Times New Roman" w:cs="Times New Roman"/>
          <w:noProof/>
          <w:sz w:val="24"/>
          <w:szCs w:val="24"/>
        </w:rPr>
      </w:pPr>
    </w:p>
    <w:p w14:paraId="1E5599D9" w14:textId="2BF82B8D" w:rsidR="00074E0C" w:rsidRPr="005B24D0" w:rsidRDefault="00074E0C" w:rsidP="00074E0C">
      <w:pPr>
        <w:numPr>
          <w:ilvl w:val="0"/>
          <w:numId w:val="7"/>
        </w:numPr>
        <w:ind w:left="0" w:firstLine="0"/>
        <w:rPr>
          <w:rFonts w:ascii="Times New Roman" w:hAnsi="Times New Roman" w:cs="Times New Roman"/>
          <w:b/>
          <w:bCs/>
          <w:noProof/>
          <w:kern w:val="0"/>
          <w14:ligatures w14:val="none"/>
        </w:rPr>
      </w:pPr>
      <w:r w:rsidRPr="005B24D0">
        <w:rPr>
          <w:rFonts w:ascii="Times New Roman" w:hAnsi="Times New Roman"/>
          <w:b/>
          <w:noProof/>
        </w:rPr>
        <w:t>CONCLUZIE</w:t>
      </w:r>
    </w:p>
    <w:p w14:paraId="0D2CC774" w14:textId="4A46208D" w:rsidR="00074E0C" w:rsidRPr="005B24D0" w:rsidRDefault="00CB150C" w:rsidP="00CB150C">
      <w:pPr>
        <w:ind w:left="720"/>
        <w:jc w:val="both"/>
        <w:rPr>
          <w:rFonts w:ascii="Times New Roman" w:hAnsi="Times New Roman" w:cs="Times New Roman"/>
          <w:noProof/>
          <w:kern w:val="0"/>
          <w:sz w:val="24"/>
          <w:szCs w:val="24"/>
          <w14:ligatures w14:val="none"/>
        </w:rPr>
      </w:pPr>
      <w:r w:rsidRPr="005B24D0">
        <w:rPr>
          <w:rFonts w:ascii="Times New Roman" w:hAnsi="Times New Roman"/>
          <w:noProof/>
          <w:sz w:val="24"/>
        </w:rPr>
        <w:t>Pe baza argumentelor expuse mai sus, Comisia se opune cererii prezentate de România.</w:t>
      </w:r>
    </w:p>
    <w:sectPr w:rsidR="00074E0C" w:rsidRPr="005B24D0" w:rsidSect="003170E8">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CA14EA" w14:textId="77777777" w:rsidR="00E7370E" w:rsidRPr="005B24D0" w:rsidRDefault="00E7370E" w:rsidP="003170E8">
      <w:pPr>
        <w:spacing w:after="0" w:line="240" w:lineRule="auto"/>
      </w:pPr>
      <w:r w:rsidRPr="005B24D0">
        <w:separator/>
      </w:r>
    </w:p>
  </w:endnote>
  <w:endnote w:type="continuationSeparator" w:id="0">
    <w:p w14:paraId="1604406A" w14:textId="77777777" w:rsidR="00E7370E" w:rsidRPr="005B24D0" w:rsidRDefault="00E7370E" w:rsidP="003170E8">
      <w:pPr>
        <w:spacing w:after="0" w:line="240" w:lineRule="auto"/>
      </w:pPr>
      <w:r w:rsidRPr="005B24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Trebuchet MS">
    <w:panose1 w:val="020B0603020202020204"/>
    <w:charset w:val="00"/>
    <w:family w:val="swiss"/>
    <w:pitch w:val="variable"/>
    <w:sig w:usb0="00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37310C" w14:textId="7508C86C" w:rsidR="000B6ECD" w:rsidRPr="000B6ECD" w:rsidRDefault="000B6ECD" w:rsidP="000B6ECD">
    <w:pPr>
      <w:pStyle w:val="FooterCoverPage"/>
      <w:rPr>
        <w:rFonts w:ascii="Arial" w:hAnsi="Arial" w:cs="Arial"/>
        <w:b/>
        <w:sz w:val="48"/>
      </w:rPr>
    </w:pPr>
    <w:r w:rsidRPr="000B6ECD">
      <w:rPr>
        <w:rFonts w:ascii="Arial" w:hAnsi="Arial" w:cs="Arial"/>
        <w:b/>
        <w:sz w:val="48"/>
      </w:rPr>
      <w:t>RO</w:t>
    </w:r>
    <w:r w:rsidRPr="000B6ECD">
      <w:rPr>
        <w:rFonts w:ascii="Arial" w:hAnsi="Arial" w:cs="Arial"/>
        <w:b/>
        <w:sz w:val="48"/>
      </w:rPr>
      <w:tab/>
    </w:r>
    <w:r w:rsidRPr="000B6ECD">
      <w:rPr>
        <w:rFonts w:ascii="Arial" w:hAnsi="Arial" w:cs="Arial"/>
        <w:b/>
        <w:sz w:val="48"/>
      </w:rPr>
      <w:tab/>
    </w:r>
    <w:r w:rsidRPr="000B6ECD">
      <w:tab/>
    </w:r>
    <w:r w:rsidRPr="000B6EC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4919DA" w14:textId="5AE56BC1" w:rsidR="000B6ECD" w:rsidRPr="000B6ECD" w:rsidRDefault="000B6ECD" w:rsidP="000B6ECD">
    <w:pPr>
      <w:pStyle w:val="FooterCoverPage"/>
      <w:rPr>
        <w:rFonts w:ascii="Arial" w:hAnsi="Arial" w:cs="Arial"/>
        <w:b/>
        <w:sz w:val="48"/>
      </w:rPr>
    </w:pPr>
    <w:r w:rsidRPr="000B6ECD">
      <w:rPr>
        <w:rFonts w:ascii="Arial" w:hAnsi="Arial" w:cs="Arial"/>
        <w:b/>
        <w:sz w:val="48"/>
      </w:rPr>
      <w:t>RO</w:t>
    </w:r>
    <w:r w:rsidRPr="000B6ECD">
      <w:rPr>
        <w:rFonts w:ascii="Arial" w:hAnsi="Arial" w:cs="Arial"/>
        <w:b/>
        <w:sz w:val="48"/>
      </w:rPr>
      <w:tab/>
    </w:r>
    <w:r w:rsidRPr="000B6ECD">
      <w:rPr>
        <w:rFonts w:ascii="Arial" w:hAnsi="Arial" w:cs="Arial"/>
        <w:b/>
        <w:sz w:val="48"/>
      </w:rPr>
      <w:tab/>
    </w:r>
    <w:r w:rsidRPr="000B6ECD">
      <w:tab/>
    </w:r>
    <w:r w:rsidRPr="000B6EC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BF41B" w14:textId="77777777" w:rsidR="000B6ECD" w:rsidRPr="000B6ECD" w:rsidRDefault="000B6ECD" w:rsidP="000B6EC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8D53C" w14:textId="77777777" w:rsidR="003170E8" w:rsidRPr="005B24D0" w:rsidRDefault="003170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68029"/>
      <w:docPartObj>
        <w:docPartGallery w:val="Page Numbers (Bottom of Page)"/>
        <w:docPartUnique/>
      </w:docPartObj>
    </w:sdtPr>
    <w:sdtEndPr/>
    <w:sdtContent>
      <w:p w14:paraId="7FA7FDDF" w14:textId="54D2F494" w:rsidR="00B45DF6" w:rsidRPr="005B24D0" w:rsidRDefault="00B45DF6">
        <w:pPr>
          <w:pStyle w:val="Footer"/>
          <w:jc w:val="center"/>
        </w:pPr>
        <w:r w:rsidRPr="005B24D0">
          <w:fldChar w:fldCharType="begin"/>
        </w:r>
        <w:r w:rsidRPr="005B24D0">
          <w:instrText xml:space="preserve"> PAGE   \* MERGEFORMAT </w:instrText>
        </w:r>
        <w:r w:rsidRPr="005B24D0">
          <w:fldChar w:fldCharType="separate"/>
        </w:r>
        <w:r w:rsidR="000B6ECD">
          <w:rPr>
            <w:noProof/>
          </w:rPr>
          <w:t>1</w:t>
        </w:r>
        <w:r w:rsidRPr="005B24D0">
          <w:fldChar w:fldCharType="end"/>
        </w:r>
      </w:p>
    </w:sdtContent>
  </w:sdt>
  <w:p w14:paraId="7345A900" w14:textId="77777777" w:rsidR="003170E8" w:rsidRPr="005B24D0" w:rsidRDefault="003170E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DC9044" w14:textId="77777777" w:rsidR="003170E8" w:rsidRPr="005B24D0" w:rsidRDefault="00317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241E8E" w14:textId="77777777" w:rsidR="00E7370E" w:rsidRPr="005B24D0" w:rsidRDefault="00E7370E" w:rsidP="003170E8">
      <w:pPr>
        <w:spacing w:after="0" w:line="240" w:lineRule="auto"/>
      </w:pPr>
      <w:r w:rsidRPr="005B24D0">
        <w:separator/>
      </w:r>
    </w:p>
  </w:footnote>
  <w:footnote w:type="continuationSeparator" w:id="0">
    <w:p w14:paraId="247A404C" w14:textId="77777777" w:rsidR="00E7370E" w:rsidRPr="005B24D0" w:rsidRDefault="00E7370E" w:rsidP="003170E8">
      <w:pPr>
        <w:spacing w:after="0" w:line="240" w:lineRule="auto"/>
      </w:pPr>
      <w:r w:rsidRPr="005B24D0">
        <w:continuationSeparator/>
      </w:r>
    </w:p>
  </w:footnote>
  <w:footnote w:id="1">
    <w:p w14:paraId="12C4B32F" w14:textId="7BA885E0" w:rsidR="00734CA2" w:rsidRPr="005B24D0" w:rsidRDefault="00734CA2" w:rsidP="00734CA2">
      <w:pPr>
        <w:pStyle w:val="FootnoteText"/>
        <w:ind w:left="284" w:hanging="284"/>
        <w:rPr>
          <w:sz w:val="16"/>
          <w:szCs w:val="16"/>
        </w:rPr>
      </w:pPr>
      <w:r w:rsidRPr="005B24D0">
        <w:rPr>
          <w:rStyle w:val="FootnoteReference"/>
        </w:rPr>
        <w:footnoteRef/>
      </w:r>
      <w:r w:rsidRPr="005B24D0">
        <w:t xml:space="preserve"> </w:t>
      </w:r>
      <w:r w:rsidRPr="005B24D0">
        <w:rPr>
          <w:rFonts w:ascii="Times New Roman" w:hAnsi="Times New Roman"/>
          <w:color w:val="444444"/>
          <w:shd w:val="clear" w:color="auto" w:fill="FFFFFF"/>
        </w:rPr>
        <w:t>JO L 347, 11.12.2006, p. 1</w:t>
      </w:r>
      <w:r w:rsidR="005B24D0" w:rsidRPr="005B24D0">
        <w:rPr>
          <w:rFonts w:ascii="Times New Roman" w:hAnsi="Times New Roman"/>
          <w:color w:val="444444"/>
          <w:shd w:val="clear" w:color="auto" w:fill="FFFFFF"/>
        </w:rPr>
        <w:t>.</w:t>
      </w:r>
    </w:p>
  </w:footnote>
  <w:footnote w:id="2">
    <w:p w14:paraId="1F1ABDAF" w14:textId="77777777" w:rsidR="00734CA2" w:rsidRPr="00755140" w:rsidRDefault="00734CA2" w:rsidP="00734CA2">
      <w:pPr>
        <w:pStyle w:val="FootnoteText"/>
      </w:pPr>
      <w:r w:rsidRPr="005B24D0">
        <w:rPr>
          <w:rStyle w:val="FootnoteReference"/>
        </w:rPr>
        <w:footnoteRef/>
      </w:r>
      <w:r w:rsidRPr="005B24D0">
        <w:t xml:space="preserve"> </w:t>
      </w:r>
      <w:r w:rsidRPr="005B24D0">
        <w:rPr>
          <w:rFonts w:ascii="Times New Roman" w:hAnsi="Times New Roman"/>
        </w:rPr>
        <w:t xml:space="preserve">A se vedea hotărârea din 27 ianuarie 2011 în cauza </w:t>
      </w:r>
      <w:r w:rsidRPr="005B24D0">
        <w:rPr>
          <w:rFonts w:ascii="Times New Roman" w:hAnsi="Times New Roman"/>
          <w:i/>
        </w:rPr>
        <w:t>Vandoorne</w:t>
      </w:r>
      <w:r w:rsidRPr="005B24D0">
        <w:rPr>
          <w:rFonts w:ascii="Times New Roman" w:hAnsi="Times New Roman"/>
        </w:rPr>
        <w:t xml:space="preserve"> C-489/09, EU:C:2011:33, punctul 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6A4FF" w14:textId="77777777" w:rsidR="000B6ECD" w:rsidRPr="000B6ECD" w:rsidRDefault="000B6ECD" w:rsidP="000B6EC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4A5C5" w14:textId="77777777" w:rsidR="000B6ECD" w:rsidRPr="000B6ECD" w:rsidRDefault="000B6ECD" w:rsidP="000B6EC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0DCE0" w14:textId="77777777" w:rsidR="000B6ECD" w:rsidRPr="000B6ECD" w:rsidRDefault="000B6ECD" w:rsidP="000B6EC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4DFD6" w14:textId="77777777" w:rsidR="003170E8" w:rsidRPr="005B24D0" w:rsidRDefault="003170E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D2295" w14:textId="77777777" w:rsidR="003170E8" w:rsidRPr="005B24D0" w:rsidRDefault="003170E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ABDFB1" w14:textId="77777777" w:rsidR="003170E8" w:rsidRPr="005B24D0" w:rsidRDefault="003170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FF6745"/>
    <w:multiLevelType w:val="hybridMultilevel"/>
    <w:tmpl w:val="E082797A"/>
    <w:lvl w:ilvl="0" w:tplc="037E498C">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26BC31FF"/>
    <w:multiLevelType w:val="hybridMultilevel"/>
    <w:tmpl w:val="BC300EA0"/>
    <w:lvl w:ilvl="0" w:tplc="E960C98C">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80729C9"/>
    <w:multiLevelType w:val="hybridMultilevel"/>
    <w:tmpl w:val="1F7E8B30"/>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390D628D"/>
    <w:multiLevelType w:val="hybridMultilevel"/>
    <w:tmpl w:val="AB30E07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8F46D2C"/>
    <w:multiLevelType w:val="hybridMultilevel"/>
    <w:tmpl w:val="F19C97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4D06C87"/>
    <w:multiLevelType w:val="multilevel"/>
    <w:tmpl w:val="9D463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EB2911"/>
    <w:multiLevelType w:val="hybridMultilevel"/>
    <w:tmpl w:val="053E69A6"/>
    <w:lvl w:ilvl="0" w:tplc="3808FF76">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67A153C5"/>
    <w:multiLevelType w:val="hybridMultilevel"/>
    <w:tmpl w:val="6634758C"/>
    <w:lvl w:ilvl="0" w:tplc="B70CFD26">
      <w:start w:val="1"/>
      <w:numFmt w:val="decimal"/>
      <w:lvlText w:val="%1."/>
      <w:lvlJc w:val="left"/>
      <w:pPr>
        <w:ind w:left="720" w:hanging="360"/>
      </w:pPr>
      <w:rPr>
        <w:rFonts w:ascii="Times New Roman" w:hAnsi="Times New Roman" w:cs="Times New Roman"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B0033E1"/>
    <w:multiLevelType w:val="hybridMultilevel"/>
    <w:tmpl w:val="AE3E05FE"/>
    <w:lvl w:ilvl="0" w:tplc="635C403C">
      <w:numFmt w:val="bullet"/>
      <w:lvlText w:val="-"/>
      <w:lvlJc w:val="left"/>
      <w:pPr>
        <w:ind w:left="720" w:hanging="360"/>
      </w:pPr>
      <w:rPr>
        <w:rFonts w:ascii="Aptos" w:eastAsia="Aptos" w:hAnsi="Apto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1"/>
  </w:num>
  <w:num w:numId="5">
    <w:abstractNumId w:val="4"/>
  </w:num>
  <w:num w:numId="6">
    <w:abstractNumId w:val="3"/>
  </w:num>
  <w:num w:numId="7">
    <w:abstractNumId w:val="2"/>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3253925-6FDA-45A4-8120-8FF171864CB7"/>
    <w:docVar w:name="LW_COVERPAGE_TYPE" w:val="1"/>
    <w:docVar w:name="LW_CROSSREFERENCE" w:val="&lt;UNUSED&gt;"/>
    <w:docVar w:name="LW_DocType" w:val="NORMAL"/>
    <w:docVar w:name="LW_EMISSION" w:val="16.2.2026"/>
    <w:docVar w:name="LW_EMISSION_ISODATE" w:val="2026-02-16"/>
    <w:docVar w:name="LW_EMISSION_LOCATION" w:val="BRX"/>
    <w:docVar w:name="LW_EMISSION_PREFIX" w:val="Bruxelles, "/>
    <w:docVar w:name="LW_EMISSION_SUFFIX" w:val=" "/>
    <w:docVar w:name="LW_ID_DOCTYPE_NONLW" w:val="CP-010"/>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în conformitate cu articolul 395 din Directiva 2006/112/CE a Consiliului"/>
    <w:docVar w:name="LW_TYPE.DOC.CP" w:val="COMUNICARE A COMISIEI C\u258?TRE CONSILIU"/>
    <w:docVar w:name="LW_TYPE.DOC.CP.USERTEXT" w:val="&lt;EMPTY&gt;"/>
    <w:docVar w:name="LwApiVersions" w:val="LW4CoDe 1.24.5.0; LW 9.2, Build 20251112"/>
  </w:docVars>
  <w:rsids>
    <w:rsidRoot w:val="003170E8"/>
    <w:rsid w:val="0000695A"/>
    <w:rsid w:val="00007D74"/>
    <w:rsid w:val="00015D53"/>
    <w:rsid w:val="0001778E"/>
    <w:rsid w:val="00020210"/>
    <w:rsid w:val="00027462"/>
    <w:rsid w:val="00041D46"/>
    <w:rsid w:val="000560EC"/>
    <w:rsid w:val="00060E2A"/>
    <w:rsid w:val="000632AE"/>
    <w:rsid w:val="00064EFE"/>
    <w:rsid w:val="000651AD"/>
    <w:rsid w:val="00074E0C"/>
    <w:rsid w:val="00077A83"/>
    <w:rsid w:val="0008280C"/>
    <w:rsid w:val="00084984"/>
    <w:rsid w:val="0009130F"/>
    <w:rsid w:val="000A1DF1"/>
    <w:rsid w:val="000B264D"/>
    <w:rsid w:val="000B2D0D"/>
    <w:rsid w:val="000B6ECD"/>
    <w:rsid w:val="000B70E5"/>
    <w:rsid w:val="000D0A7B"/>
    <w:rsid w:val="000D0D28"/>
    <w:rsid w:val="000E7C7F"/>
    <w:rsid w:val="0010637D"/>
    <w:rsid w:val="001179BD"/>
    <w:rsid w:val="00120C88"/>
    <w:rsid w:val="00132C1B"/>
    <w:rsid w:val="00136720"/>
    <w:rsid w:val="00146D4D"/>
    <w:rsid w:val="001503FA"/>
    <w:rsid w:val="001539CC"/>
    <w:rsid w:val="00163771"/>
    <w:rsid w:val="001770DD"/>
    <w:rsid w:val="00184076"/>
    <w:rsid w:val="001A2247"/>
    <w:rsid w:val="001A7E3D"/>
    <w:rsid w:val="001D29D1"/>
    <w:rsid w:val="001F2C9C"/>
    <w:rsid w:val="00203357"/>
    <w:rsid w:val="002068D9"/>
    <w:rsid w:val="00216E3E"/>
    <w:rsid w:val="00226D5A"/>
    <w:rsid w:val="00237AED"/>
    <w:rsid w:val="00255D44"/>
    <w:rsid w:val="0029524F"/>
    <w:rsid w:val="00296612"/>
    <w:rsid w:val="002A274A"/>
    <w:rsid w:val="002B29F1"/>
    <w:rsid w:val="002C2BAE"/>
    <w:rsid w:val="002C4BA5"/>
    <w:rsid w:val="002C5E6E"/>
    <w:rsid w:val="002C687F"/>
    <w:rsid w:val="002D114E"/>
    <w:rsid w:val="002F31E4"/>
    <w:rsid w:val="002F4800"/>
    <w:rsid w:val="002F5F12"/>
    <w:rsid w:val="00303233"/>
    <w:rsid w:val="003170E8"/>
    <w:rsid w:val="00320B80"/>
    <w:rsid w:val="0033332A"/>
    <w:rsid w:val="003513C3"/>
    <w:rsid w:val="00376597"/>
    <w:rsid w:val="00387951"/>
    <w:rsid w:val="003A63A4"/>
    <w:rsid w:val="003B61C6"/>
    <w:rsid w:val="003C2275"/>
    <w:rsid w:val="003E3B96"/>
    <w:rsid w:val="004023EA"/>
    <w:rsid w:val="004027C7"/>
    <w:rsid w:val="00425ED3"/>
    <w:rsid w:val="00431D20"/>
    <w:rsid w:val="0044242D"/>
    <w:rsid w:val="004567BC"/>
    <w:rsid w:val="00463879"/>
    <w:rsid w:val="0046512F"/>
    <w:rsid w:val="0047769D"/>
    <w:rsid w:val="00484798"/>
    <w:rsid w:val="00487490"/>
    <w:rsid w:val="004C11BE"/>
    <w:rsid w:val="004C4EE2"/>
    <w:rsid w:val="004D04CC"/>
    <w:rsid w:val="004E201B"/>
    <w:rsid w:val="004E54C1"/>
    <w:rsid w:val="004E6656"/>
    <w:rsid w:val="00501687"/>
    <w:rsid w:val="0050274C"/>
    <w:rsid w:val="0051290A"/>
    <w:rsid w:val="00513841"/>
    <w:rsid w:val="005165D3"/>
    <w:rsid w:val="00517D7D"/>
    <w:rsid w:val="00521FC8"/>
    <w:rsid w:val="005401DA"/>
    <w:rsid w:val="00541747"/>
    <w:rsid w:val="0054409D"/>
    <w:rsid w:val="00545F58"/>
    <w:rsid w:val="0057571D"/>
    <w:rsid w:val="00580152"/>
    <w:rsid w:val="00580C2B"/>
    <w:rsid w:val="005853D5"/>
    <w:rsid w:val="00592338"/>
    <w:rsid w:val="005B24D0"/>
    <w:rsid w:val="005B284A"/>
    <w:rsid w:val="005B7CF5"/>
    <w:rsid w:val="005C1F31"/>
    <w:rsid w:val="005E0D23"/>
    <w:rsid w:val="005F175C"/>
    <w:rsid w:val="0060407C"/>
    <w:rsid w:val="00607200"/>
    <w:rsid w:val="0061183C"/>
    <w:rsid w:val="00620D59"/>
    <w:rsid w:val="0062126C"/>
    <w:rsid w:val="00631E5E"/>
    <w:rsid w:val="00636E30"/>
    <w:rsid w:val="00646D04"/>
    <w:rsid w:val="0066295E"/>
    <w:rsid w:val="00666DF8"/>
    <w:rsid w:val="0069274F"/>
    <w:rsid w:val="0069781E"/>
    <w:rsid w:val="006A3584"/>
    <w:rsid w:val="006A4490"/>
    <w:rsid w:val="006A545D"/>
    <w:rsid w:val="006A5F7F"/>
    <w:rsid w:val="006C5BE6"/>
    <w:rsid w:val="006D2504"/>
    <w:rsid w:val="006D7920"/>
    <w:rsid w:val="006E1264"/>
    <w:rsid w:val="007003A8"/>
    <w:rsid w:val="007110D0"/>
    <w:rsid w:val="00714062"/>
    <w:rsid w:val="00715768"/>
    <w:rsid w:val="007158B9"/>
    <w:rsid w:val="007168DB"/>
    <w:rsid w:val="00734CA2"/>
    <w:rsid w:val="00735910"/>
    <w:rsid w:val="00746150"/>
    <w:rsid w:val="00755E87"/>
    <w:rsid w:val="00783674"/>
    <w:rsid w:val="00791799"/>
    <w:rsid w:val="00794FC4"/>
    <w:rsid w:val="007B4A32"/>
    <w:rsid w:val="007B6200"/>
    <w:rsid w:val="007E6EF8"/>
    <w:rsid w:val="007F17C5"/>
    <w:rsid w:val="00802C24"/>
    <w:rsid w:val="00811021"/>
    <w:rsid w:val="00814D2D"/>
    <w:rsid w:val="008333E8"/>
    <w:rsid w:val="008463AC"/>
    <w:rsid w:val="00867544"/>
    <w:rsid w:val="0087268E"/>
    <w:rsid w:val="00880726"/>
    <w:rsid w:val="008A276A"/>
    <w:rsid w:val="008D151E"/>
    <w:rsid w:val="008E61F2"/>
    <w:rsid w:val="00904FBC"/>
    <w:rsid w:val="0090530C"/>
    <w:rsid w:val="00905C3B"/>
    <w:rsid w:val="00905E1E"/>
    <w:rsid w:val="00925862"/>
    <w:rsid w:val="00937476"/>
    <w:rsid w:val="009442EC"/>
    <w:rsid w:val="00970F21"/>
    <w:rsid w:val="00975082"/>
    <w:rsid w:val="009939F7"/>
    <w:rsid w:val="009A0FB4"/>
    <w:rsid w:val="009B65AA"/>
    <w:rsid w:val="009C40CC"/>
    <w:rsid w:val="009C5E66"/>
    <w:rsid w:val="009F0EA0"/>
    <w:rsid w:val="00A10DB1"/>
    <w:rsid w:val="00A167F1"/>
    <w:rsid w:val="00A2616C"/>
    <w:rsid w:val="00A77CF3"/>
    <w:rsid w:val="00A82AFE"/>
    <w:rsid w:val="00A82E2E"/>
    <w:rsid w:val="00A83131"/>
    <w:rsid w:val="00A901DB"/>
    <w:rsid w:val="00A97C5B"/>
    <w:rsid w:val="00AA1020"/>
    <w:rsid w:val="00AA1CA5"/>
    <w:rsid w:val="00AA2475"/>
    <w:rsid w:val="00AA73F2"/>
    <w:rsid w:val="00AD4AF4"/>
    <w:rsid w:val="00AD5F24"/>
    <w:rsid w:val="00B2125F"/>
    <w:rsid w:val="00B24820"/>
    <w:rsid w:val="00B24C45"/>
    <w:rsid w:val="00B415B9"/>
    <w:rsid w:val="00B44BDD"/>
    <w:rsid w:val="00B45DF6"/>
    <w:rsid w:val="00B5120E"/>
    <w:rsid w:val="00B62A2E"/>
    <w:rsid w:val="00B66662"/>
    <w:rsid w:val="00B91505"/>
    <w:rsid w:val="00B96803"/>
    <w:rsid w:val="00BD2335"/>
    <w:rsid w:val="00BD6DE3"/>
    <w:rsid w:val="00BD7EB1"/>
    <w:rsid w:val="00BE00D2"/>
    <w:rsid w:val="00BE052E"/>
    <w:rsid w:val="00BE1737"/>
    <w:rsid w:val="00C1255D"/>
    <w:rsid w:val="00C23AE1"/>
    <w:rsid w:val="00C25D30"/>
    <w:rsid w:val="00C261CE"/>
    <w:rsid w:val="00C2694C"/>
    <w:rsid w:val="00C321A2"/>
    <w:rsid w:val="00C340C4"/>
    <w:rsid w:val="00C35939"/>
    <w:rsid w:val="00C45950"/>
    <w:rsid w:val="00C91ADF"/>
    <w:rsid w:val="00C92D0F"/>
    <w:rsid w:val="00C95104"/>
    <w:rsid w:val="00CA0BA7"/>
    <w:rsid w:val="00CA6FF7"/>
    <w:rsid w:val="00CB150C"/>
    <w:rsid w:val="00CB4AF3"/>
    <w:rsid w:val="00CC5D86"/>
    <w:rsid w:val="00CD2ABA"/>
    <w:rsid w:val="00CE6C32"/>
    <w:rsid w:val="00CE7B33"/>
    <w:rsid w:val="00CF65A6"/>
    <w:rsid w:val="00CF6ABA"/>
    <w:rsid w:val="00D15DB0"/>
    <w:rsid w:val="00D33879"/>
    <w:rsid w:val="00D46D1A"/>
    <w:rsid w:val="00D5197C"/>
    <w:rsid w:val="00D60795"/>
    <w:rsid w:val="00D77C29"/>
    <w:rsid w:val="00D96C8F"/>
    <w:rsid w:val="00D97F7D"/>
    <w:rsid w:val="00DA415D"/>
    <w:rsid w:val="00DB42D5"/>
    <w:rsid w:val="00DB6354"/>
    <w:rsid w:val="00DB6D01"/>
    <w:rsid w:val="00DD5C88"/>
    <w:rsid w:val="00DE0344"/>
    <w:rsid w:val="00E10D8A"/>
    <w:rsid w:val="00E22156"/>
    <w:rsid w:val="00E259AA"/>
    <w:rsid w:val="00E2633B"/>
    <w:rsid w:val="00E3181E"/>
    <w:rsid w:val="00E62CAF"/>
    <w:rsid w:val="00E6437D"/>
    <w:rsid w:val="00E72280"/>
    <w:rsid w:val="00E7370E"/>
    <w:rsid w:val="00EC195C"/>
    <w:rsid w:val="00EC3B2A"/>
    <w:rsid w:val="00ED14FE"/>
    <w:rsid w:val="00EE7C66"/>
    <w:rsid w:val="00F01F19"/>
    <w:rsid w:val="00F0689D"/>
    <w:rsid w:val="00F21405"/>
    <w:rsid w:val="00F276CB"/>
    <w:rsid w:val="00F50CBD"/>
    <w:rsid w:val="00F71C9B"/>
    <w:rsid w:val="00F9787A"/>
    <w:rsid w:val="00FA6B90"/>
    <w:rsid w:val="00FA715D"/>
    <w:rsid w:val="00FB635B"/>
    <w:rsid w:val="00FC2E25"/>
    <w:rsid w:val="00FC4208"/>
    <w:rsid w:val="00FC4B94"/>
    <w:rsid w:val="00FE259A"/>
    <w:rsid w:val="00FE7F70"/>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A7C1B93"/>
  <w15:chartTrackingRefBased/>
  <w15:docId w15:val="{6F2870CF-A8B4-4989-BF40-8A8C341ED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170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0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70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0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0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0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0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0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0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0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0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70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0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0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0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0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0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0E8"/>
    <w:rPr>
      <w:rFonts w:eastAsiaTheme="majorEastAsia" w:cstheme="majorBidi"/>
      <w:color w:val="272727" w:themeColor="text1" w:themeTint="D8"/>
    </w:rPr>
  </w:style>
  <w:style w:type="paragraph" w:styleId="Title">
    <w:name w:val="Title"/>
    <w:basedOn w:val="Normal"/>
    <w:next w:val="Normal"/>
    <w:link w:val="TitleChar"/>
    <w:uiPriority w:val="10"/>
    <w:qFormat/>
    <w:rsid w:val="003170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0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0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0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0E8"/>
    <w:pPr>
      <w:spacing w:before="160"/>
      <w:jc w:val="center"/>
    </w:pPr>
    <w:rPr>
      <w:i/>
      <w:iCs/>
      <w:color w:val="404040" w:themeColor="text1" w:themeTint="BF"/>
    </w:rPr>
  </w:style>
  <w:style w:type="character" w:customStyle="1" w:styleId="QuoteChar">
    <w:name w:val="Quote Char"/>
    <w:basedOn w:val="DefaultParagraphFont"/>
    <w:link w:val="Quote"/>
    <w:uiPriority w:val="29"/>
    <w:rsid w:val="003170E8"/>
    <w:rPr>
      <w:i/>
      <w:iCs/>
      <w:color w:val="404040" w:themeColor="text1" w:themeTint="BF"/>
    </w:rPr>
  </w:style>
  <w:style w:type="paragraph" w:styleId="ListParagraph">
    <w:name w:val="List Paragraph"/>
    <w:basedOn w:val="Normal"/>
    <w:uiPriority w:val="34"/>
    <w:qFormat/>
    <w:rsid w:val="003170E8"/>
    <w:pPr>
      <w:ind w:left="720"/>
      <w:contextualSpacing/>
    </w:pPr>
  </w:style>
  <w:style w:type="character" w:styleId="IntenseEmphasis">
    <w:name w:val="Intense Emphasis"/>
    <w:basedOn w:val="DefaultParagraphFont"/>
    <w:uiPriority w:val="21"/>
    <w:qFormat/>
    <w:rsid w:val="003170E8"/>
    <w:rPr>
      <w:i/>
      <w:iCs/>
      <w:color w:val="0F4761" w:themeColor="accent1" w:themeShade="BF"/>
    </w:rPr>
  </w:style>
  <w:style w:type="paragraph" w:styleId="IntenseQuote">
    <w:name w:val="Intense Quote"/>
    <w:basedOn w:val="Normal"/>
    <w:next w:val="Normal"/>
    <w:link w:val="IntenseQuoteChar"/>
    <w:uiPriority w:val="30"/>
    <w:qFormat/>
    <w:rsid w:val="003170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0E8"/>
    <w:rPr>
      <w:i/>
      <w:iCs/>
      <w:color w:val="0F4761" w:themeColor="accent1" w:themeShade="BF"/>
    </w:rPr>
  </w:style>
  <w:style w:type="character" w:styleId="IntenseReference">
    <w:name w:val="Intense Reference"/>
    <w:basedOn w:val="DefaultParagraphFont"/>
    <w:uiPriority w:val="32"/>
    <w:qFormat/>
    <w:rsid w:val="003170E8"/>
    <w:rPr>
      <w:b/>
      <w:bCs/>
      <w:smallCaps/>
      <w:color w:val="0F4761" w:themeColor="accent1" w:themeShade="BF"/>
      <w:spacing w:val="5"/>
    </w:rPr>
  </w:style>
  <w:style w:type="character" w:customStyle="1" w:styleId="Marker">
    <w:name w:val="Marker"/>
    <w:basedOn w:val="DefaultParagraphFont"/>
    <w:rsid w:val="003170E8"/>
    <w:rPr>
      <w:color w:val="0000FF"/>
      <w:shd w:val="clear" w:color="auto" w:fill="auto"/>
    </w:rPr>
  </w:style>
  <w:style w:type="paragraph" w:styleId="Header">
    <w:name w:val="header"/>
    <w:basedOn w:val="Normal"/>
    <w:link w:val="HeaderChar"/>
    <w:uiPriority w:val="99"/>
    <w:unhideWhenUsed/>
    <w:rsid w:val="003170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70E8"/>
  </w:style>
  <w:style w:type="paragraph" w:styleId="Footer">
    <w:name w:val="footer"/>
    <w:basedOn w:val="Normal"/>
    <w:link w:val="FooterChar"/>
    <w:uiPriority w:val="99"/>
    <w:unhideWhenUsed/>
    <w:rsid w:val="003170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70E8"/>
  </w:style>
  <w:style w:type="paragraph" w:customStyle="1" w:styleId="Pagedecouverture">
    <w:name w:val="Page de couverture"/>
    <w:basedOn w:val="Normal"/>
    <w:next w:val="Normal"/>
    <w:rsid w:val="003170E8"/>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3170E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170E8"/>
    <w:rPr>
      <w:rFonts w:ascii="Times New Roman" w:hAnsi="Times New Roman" w:cs="Times New Roman"/>
      <w:sz w:val="24"/>
    </w:rPr>
  </w:style>
  <w:style w:type="paragraph" w:customStyle="1" w:styleId="FooterSensitivity">
    <w:name w:val="Footer Sensitivity"/>
    <w:basedOn w:val="Normal"/>
    <w:link w:val="FooterSensitivityChar"/>
    <w:rsid w:val="003170E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3170E8"/>
    <w:rPr>
      <w:rFonts w:ascii="Times New Roman" w:hAnsi="Times New Roman" w:cs="Times New Roman"/>
      <w:b/>
      <w:sz w:val="32"/>
    </w:rPr>
  </w:style>
  <w:style w:type="paragraph" w:customStyle="1" w:styleId="HeaderCoverPage">
    <w:name w:val="Header Cover Page"/>
    <w:basedOn w:val="Normal"/>
    <w:link w:val="HeaderCoverPageChar"/>
    <w:rsid w:val="003170E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170E8"/>
    <w:rPr>
      <w:rFonts w:ascii="Times New Roman" w:hAnsi="Times New Roman" w:cs="Times New Roman"/>
      <w:sz w:val="24"/>
    </w:rPr>
  </w:style>
  <w:style w:type="paragraph" w:customStyle="1" w:styleId="HeaderSensitivity">
    <w:name w:val="Header Sensitivity"/>
    <w:basedOn w:val="Normal"/>
    <w:link w:val="HeaderSensitivityChar"/>
    <w:rsid w:val="003170E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3170E8"/>
    <w:rPr>
      <w:rFonts w:ascii="Times New Roman" w:hAnsi="Times New Roman" w:cs="Times New Roman"/>
      <w:b/>
      <w:sz w:val="32"/>
    </w:rPr>
  </w:style>
  <w:style w:type="paragraph" w:customStyle="1" w:styleId="HeaderSensitivityRight">
    <w:name w:val="Header Sensitivity Right"/>
    <w:basedOn w:val="Normal"/>
    <w:link w:val="HeaderSensitivityRightChar"/>
    <w:rsid w:val="003170E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3170E8"/>
    <w:rPr>
      <w:rFonts w:ascii="Times New Roman" w:hAnsi="Times New Roman" w:cs="Times New Roman"/>
      <w:sz w:val="28"/>
    </w:rPr>
  </w:style>
  <w:style w:type="paragraph" w:styleId="FootnoteText">
    <w:name w:val="footnote text"/>
    <w:basedOn w:val="Normal"/>
    <w:link w:val="FootnoteTextChar"/>
    <w:uiPriority w:val="99"/>
    <w:unhideWhenUsed/>
    <w:rsid w:val="00734CA2"/>
    <w:pPr>
      <w:spacing w:after="0" w:line="240" w:lineRule="auto"/>
    </w:pPr>
    <w:rPr>
      <w:kern w:val="0"/>
      <w:sz w:val="20"/>
      <w:szCs w:val="20"/>
      <w14:ligatures w14:val="none"/>
    </w:rPr>
  </w:style>
  <w:style w:type="character" w:customStyle="1" w:styleId="FootnoteTextChar">
    <w:name w:val="Footnote Text Char"/>
    <w:basedOn w:val="DefaultParagraphFont"/>
    <w:link w:val="FootnoteText"/>
    <w:uiPriority w:val="99"/>
    <w:rsid w:val="00734CA2"/>
    <w:rPr>
      <w:kern w:val="0"/>
      <w:sz w:val="20"/>
      <w:szCs w:val="20"/>
      <w:lang w:val="ro-RO"/>
      <w14:ligatures w14:val="none"/>
    </w:rPr>
  </w:style>
  <w:style w:type="character" w:styleId="FootnoteReference">
    <w:name w:val="footnote reference"/>
    <w:aliases w:val="Footnote Reference Superscript,BVI fnr,Footnote symbol,Footnote,FR + (Complex) Arial,(Latin) 9 pt,(Complex) 10 pt + (Compl...,Nota,Appel note de bas de p,SUPERS,Footnotemark,FR,Footnotemark1,Footnotemark2,FR1,Footnotemark3,FR2,FR3,FR4"/>
    <w:link w:val="FootnotesymbolCarZchn"/>
    <w:qFormat/>
    <w:rsid w:val="00734CA2"/>
    <w:rPr>
      <w:rFonts w:cs="Times New Roman"/>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734CA2"/>
    <w:pPr>
      <w:spacing w:after="0" w:line="160" w:lineRule="exact"/>
      <w:ind w:left="284" w:hanging="284"/>
      <w:jc w:val="both"/>
    </w:pPr>
    <w:rPr>
      <w:rFonts w:cs="Times New Roman"/>
      <w:vertAlign w:val="superscript"/>
    </w:rPr>
  </w:style>
  <w:style w:type="paragraph" w:styleId="Revision">
    <w:name w:val="Revision"/>
    <w:hidden/>
    <w:uiPriority w:val="99"/>
    <w:semiHidden/>
    <w:rsid w:val="00592338"/>
    <w:pPr>
      <w:spacing w:after="0" w:line="240" w:lineRule="auto"/>
    </w:pPr>
  </w:style>
  <w:style w:type="character" w:styleId="CommentReference">
    <w:name w:val="annotation reference"/>
    <w:basedOn w:val="DefaultParagraphFont"/>
    <w:uiPriority w:val="99"/>
    <w:semiHidden/>
    <w:unhideWhenUsed/>
    <w:rsid w:val="00592338"/>
    <w:rPr>
      <w:sz w:val="16"/>
      <w:szCs w:val="16"/>
    </w:rPr>
  </w:style>
  <w:style w:type="paragraph" w:styleId="CommentText">
    <w:name w:val="annotation text"/>
    <w:basedOn w:val="Normal"/>
    <w:link w:val="CommentTextChar"/>
    <w:uiPriority w:val="99"/>
    <w:unhideWhenUsed/>
    <w:rsid w:val="00592338"/>
    <w:pPr>
      <w:spacing w:line="240" w:lineRule="auto"/>
    </w:pPr>
    <w:rPr>
      <w:sz w:val="20"/>
      <w:szCs w:val="20"/>
    </w:rPr>
  </w:style>
  <w:style w:type="character" w:customStyle="1" w:styleId="CommentTextChar">
    <w:name w:val="Comment Text Char"/>
    <w:basedOn w:val="DefaultParagraphFont"/>
    <w:link w:val="CommentText"/>
    <w:uiPriority w:val="99"/>
    <w:rsid w:val="00592338"/>
    <w:rPr>
      <w:sz w:val="20"/>
      <w:szCs w:val="20"/>
    </w:rPr>
  </w:style>
  <w:style w:type="paragraph" w:styleId="CommentSubject">
    <w:name w:val="annotation subject"/>
    <w:basedOn w:val="CommentText"/>
    <w:next w:val="CommentText"/>
    <w:link w:val="CommentSubjectChar"/>
    <w:uiPriority w:val="99"/>
    <w:semiHidden/>
    <w:unhideWhenUsed/>
    <w:rsid w:val="00592338"/>
    <w:rPr>
      <w:b/>
      <w:bCs/>
    </w:rPr>
  </w:style>
  <w:style w:type="character" w:customStyle="1" w:styleId="CommentSubjectChar">
    <w:name w:val="Comment Subject Char"/>
    <w:basedOn w:val="CommentTextChar"/>
    <w:link w:val="CommentSubject"/>
    <w:uiPriority w:val="99"/>
    <w:semiHidden/>
    <w:rsid w:val="00592338"/>
    <w:rPr>
      <w:b/>
      <w:bCs/>
      <w:sz w:val="20"/>
      <w:szCs w:val="20"/>
    </w:rPr>
  </w:style>
  <w:style w:type="paragraph" w:customStyle="1" w:styleId="Languesfaisantfoi">
    <w:name w:val="Langues faisant foi"/>
    <w:basedOn w:val="Normal"/>
    <w:next w:val="Normal"/>
    <w:rsid w:val="00791799"/>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791799"/>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791799"/>
    <w:pPr>
      <w:spacing w:after="0"/>
    </w:pPr>
  </w:style>
  <w:style w:type="paragraph" w:customStyle="1" w:styleId="IntrtEEEPagedecouverture">
    <w:name w:val="Intérêt EEE (Page de couverture)"/>
    <w:basedOn w:val="IntrtEEE"/>
    <w:next w:val="Normal"/>
    <w:rsid w:val="00791799"/>
  </w:style>
  <w:style w:type="character" w:customStyle="1" w:styleId="Bodytext1">
    <w:name w:val="Body text|1_"/>
    <w:basedOn w:val="DefaultParagraphFont"/>
    <w:link w:val="Bodytext10"/>
    <w:rsid w:val="00487490"/>
    <w:rPr>
      <w:rFonts w:ascii="Trebuchet MS" w:eastAsia="Trebuchet MS" w:hAnsi="Trebuchet MS" w:cs="Trebuchet MS"/>
    </w:rPr>
  </w:style>
  <w:style w:type="paragraph" w:customStyle="1" w:styleId="Bodytext10">
    <w:name w:val="Body text|1"/>
    <w:basedOn w:val="Normal"/>
    <w:link w:val="Bodytext1"/>
    <w:rsid w:val="00487490"/>
    <w:pPr>
      <w:widowControl w:val="0"/>
      <w:spacing w:after="100" w:line="276" w:lineRule="auto"/>
      <w:ind w:firstLine="400"/>
    </w:pPr>
    <w:rPr>
      <w:rFonts w:ascii="Trebuchet MS" w:eastAsia="Trebuchet MS" w:hAnsi="Trebuchet MS" w:cs="Trebuchet MS"/>
    </w:rPr>
  </w:style>
  <w:style w:type="paragraph" w:styleId="NormalWeb">
    <w:name w:val="Normal (Web)"/>
    <w:basedOn w:val="Normal"/>
    <w:uiPriority w:val="99"/>
    <w:rsid w:val="00FE7F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437693">
      <w:bodyDiv w:val="1"/>
      <w:marLeft w:val="0"/>
      <w:marRight w:val="0"/>
      <w:marTop w:val="0"/>
      <w:marBottom w:val="0"/>
      <w:divBdr>
        <w:top w:val="none" w:sz="0" w:space="0" w:color="auto"/>
        <w:left w:val="none" w:sz="0" w:space="0" w:color="auto"/>
        <w:bottom w:val="none" w:sz="0" w:space="0" w:color="auto"/>
        <w:right w:val="none" w:sz="0" w:space="0" w:color="auto"/>
      </w:divBdr>
    </w:div>
    <w:div w:id="486357629">
      <w:bodyDiv w:val="1"/>
      <w:marLeft w:val="0"/>
      <w:marRight w:val="0"/>
      <w:marTop w:val="0"/>
      <w:marBottom w:val="0"/>
      <w:divBdr>
        <w:top w:val="none" w:sz="0" w:space="0" w:color="auto"/>
        <w:left w:val="none" w:sz="0" w:space="0" w:color="auto"/>
        <w:bottom w:val="none" w:sz="0" w:space="0" w:color="auto"/>
        <w:right w:val="none" w:sz="0" w:space="0" w:color="auto"/>
      </w:divBdr>
    </w:div>
    <w:div w:id="941649231">
      <w:bodyDiv w:val="1"/>
      <w:marLeft w:val="0"/>
      <w:marRight w:val="0"/>
      <w:marTop w:val="0"/>
      <w:marBottom w:val="0"/>
      <w:divBdr>
        <w:top w:val="none" w:sz="0" w:space="0" w:color="auto"/>
        <w:left w:val="none" w:sz="0" w:space="0" w:color="auto"/>
        <w:bottom w:val="none" w:sz="0" w:space="0" w:color="auto"/>
        <w:right w:val="none" w:sz="0" w:space="0" w:color="auto"/>
      </w:divBdr>
    </w:div>
    <w:div w:id="1100416078">
      <w:bodyDiv w:val="1"/>
      <w:marLeft w:val="0"/>
      <w:marRight w:val="0"/>
      <w:marTop w:val="0"/>
      <w:marBottom w:val="0"/>
      <w:divBdr>
        <w:top w:val="none" w:sz="0" w:space="0" w:color="auto"/>
        <w:left w:val="none" w:sz="0" w:space="0" w:color="auto"/>
        <w:bottom w:val="none" w:sz="0" w:space="0" w:color="auto"/>
        <w:right w:val="none" w:sz="0" w:space="0" w:color="auto"/>
      </w:divBdr>
    </w:div>
    <w:div w:id="1440563057">
      <w:bodyDiv w:val="1"/>
      <w:marLeft w:val="0"/>
      <w:marRight w:val="0"/>
      <w:marTop w:val="0"/>
      <w:marBottom w:val="0"/>
      <w:divBdr>
        <w:top w:val="none" w:sz="0" w:space="0" w:color="auto"/>
        <w:left w:val="none" w:sz="0" w:space="0" w:color="auto"/>
        <w:bottom w:val="none" w:sz="0" w:space="0" w:color="auto"/>
        <w:right w:val="none" w:sz="0" w:space="0" w:color="auto"/>
      </w:divBdr>
    </w:div>
    <w:div w:id="157320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8867B-9391-452C-BDC5-DFB93B7DC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2025-12-18T10:51:00Z</dcterms:created>
  <dcterms:modified xsi:type="dcterms:W3CDTF">2026-02-09T08:10:00Z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CP-010</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2025-07-11T14:07:18Z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1cb2abe4-eda4-4141-97e3-f797fdc75b72</vt:lpwstr>
  </property>
  <property fmtid="{D5CDD505-2E9C-101B-9397-08002B2CF9AE}" pid="15" name="MSIP_Label_6bd9ddd1-4d20-43f6-abfa-fc3c07406f94_ContentBits">
    <vt:lpwstr>0</vt:lpwstr>
  </property>
</Properties>
</file>