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B77E0" w14:textId="63049A9E" w:rsidR="0097358D" w:rsidRDefault="006F72EA" w:rsidP="006F72EA">
      <w:pPr>
        <w:pStyle w:val="Pagedecouverture"/>
        <w:rPr>
          <w:noProof/>
        </w:rPr>
      </w:pPr>
      <w:r>
        <w:rPr>
          <w:noProof/>
        </w:rPr>
        <w:pict w14:anchorId="13CCAD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9D9A478-C1A8-453C-AB1D-731EE33A821A" style="width:455.25pt;height:381.75pt">
            <v:imagedata r:id="rId11" o:title=""/>
          </v:shape>
        </w:pict>
      </w:r>
    </w:p>
    <w:p w14:paraId="06AB757F" w14:textId="77777777" w:rsidR="006F72EA" w:rsidRPr="006F72EA" w:rsidRDefault="006F72EA" w:rsidP="006F72EA">
      <w:pPr>
        <w:pStyle w:val="Pagedecouverture"/>
        <w:sectPr w:rsidR="006F72EA" w:rsidRPr="006F72EA" w:rsidSect="006F72EA">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0A96F9A" w14:textId="26B2DE90" w:rsidR="003C332A" w:rsidRDefault="003C332A" w:rsidP="004A4B17">
      <w:pPr>
        <w:pStyle w:val="Annexetitre"/>
        <w:rPr>
          <w:noProof/>
        </w:rPr>
      </w:pPr>
      <w:bookmarkStart w:id="0" w:name="_GoBack"/>
      <w:bookmarkEnd w:id="0"/>
      <w:r w:rsidRPr="003C332A">
        <w:rPr>
          <w:noProof/>
        </w:rPr>
        <w:lastRenderedPageBreak/>
        <w:t>ANNEX</w:t>
      </w:r>
    </w:p>
    <w:p w14:paraId="3C2E9812" w14:textId="77777777" w:rsidR="00131EDA" w:rsidRPr="00AA5DE1" w:rsidRDefault="00131EDA" w:rsidP="00131EDA">
      <w:pPr>
        <w:pStyle w:val="ManualHeading1"/>
        <w:rPr>
          <w:noProof/>
        </w:rPr>
      </w:pPr>
      <w:r>
        <w:rPr>
          <w:noProof/>
        </w:rPr>
        <w:t xml:space="preserve">A. </w:t>
      </w:r>
      <w:r w:rsidRPr="00AA5DE1">
        <w:rPr>
          <w:noProof/>
        </w:rPr>
        <w:t xml:space="preserve">NATURE AND SCOPE OF THE AGREEMENTS  </w:t>
      </w:r>
    </w:p>
    <w:p w14:paraId="628CAF9F" w14:textId="2CFEACA1" w:rsidR="00131EDA" w:rsidRPr="00844A7A" w:rsidRDefault="00131EDA" w:rsidP="00131EDA">
      <w:pPr>
        <w:spacing w:after="0"/>
        <w:rPr>
          <w:rStyle w:val="CommentReference"/>
          <w:noProof/>
          <w:szCs w:val="24"/>
        </w:rPr>
      </w:pPr>
      <w:r w:rsidRPr="00844A7A">
        <w:rPr>
          <w:rFonts w:eastAsia="Times New Roman"/>
          <w:noProof/>
          <w:szCs w:val="24"/>
        </w:rPr>
        <w:t xml:space="preserve">These negotiating directives are intended to guide the Commission in the negotiations aiming to conclude six bilateral roaming agreements between the EU and, respectively, </w:t>
      </w:r>
      <w:r w:rsidRPr="00844A7A">
        <w:rPr>
          <w:rFonts w:eastAsia="Arial Unicode MS"/>
          <w:noProof/>
          <w:szCs w:val="24"/>
        </w:rPr>
        <w:t>the Republic of Albania, Bosnia</w:t>
      </w:r>
      <w:r>
        <w:rPr>
          <w:rFonts w:eastAsia="Arial Unicode MS"/>
          <w:noProof/>
          <w:szCs w:val="24"/>
        </w:rPr>
        <w:t xml:space="preserve"> and </w:t>
      </w:r>
      <w:r w:rsidRPr="00844A7A">
        <w:rPr>
          <w:rFonts w:eastAsia="Arial Unicode MS"/>
          <w:noProof/>
          <w:szCs w:val="24"/>
        </w:rPr>
        <w:t>Herzegovina, Kosovo</w:t>
      </w:r>
      <w:r w:rsidR="00BF46B3">
        <w:rPr>
          <w:rStyle w:val="FootnoteReference"/>
          <w:rFonts w:eastAsia="Arial Unicode MS"/>
          <w:noProof/>
          <w:szCs w:val="24"/>
        </w:rPr>
        <w:footnoteReference w:customMarkFollows="1" w:id="2"/>
        <w:t>*</w:t>
      </w:r>
      <w:r w:rsidRPr="00844A7A">
        <w:rPr>
          <w:rFonts w:eastAsia="Arial Unicode MS"/>
          <w:noProof/>
          <w:szCs w:val="24"/>
        </w:rPr>
        <w:t>, Montenegro, the Republic of North Macedonia and the Republic of Serbia</w:t>
      </w:r>
      <w:r w:rsidR="00694C71">
        <w:rPr>
          <w:rFonts w:eastAsia="Arial Unicode MS"/>
          <w:noProof/>
          <w:szCs w:val="24"/>
        </w:rPr>
        <w:t xml:space="preserve"> (the “WB6”)</w:t>
      </w:r>
      <w:r w:rsidRPr="00844A7A">
        <w:rPr>
          <w:rFonts w:eastAsia="Times New Roman"/>
          <w:noProof/>
          <w:szCs w:val="24"/>
        </w:rPr>
        <w:t xml:space="preserve">, which would provide the framework for integrating </w:t>
      </w:r>
      <w:r w:rsidR="003A01F1">
        <w:rPr>
          <w:rFonts w:eastAsia="Times New Roman"/>
          <w:noProof/>
          <w:szCs w:val="24"/>
        </w:rPr>
        <w:t>these countries</w:t>
      </w:r>
      <w:r w:rsidR="003A01F1" w:rsidRPr="00844A7A">
        <w:rPr>
          <w:rFonts w:eastAsia="Times New Roman"/>
          <w:noProof/>
          <w:szCs w:val="24"/>
        </w:rPr>
        <w:t xml:space="preserve"> </w:t>
      </w:r>
      <w:r w:rsidRPr="00844A7A">
        <w:rPr>
          <w:rFonts w:eastAsia="Times New Roman"/>
          <w:noProof/>
          <w:szCs w:val="24"/>
        </w:rPr>
        <w:t xml:space="preserve">in the EU </w:t>
      </w:r>
      <w:r>
        <w:rPr>
          <w:rFonts w:eastAsia="Times New Roman"/>
          <w:noProof/>
          <w:szCs w:val="24"/>
        </w:rPr>
        <w:t>R</w:t>
      </w:r>
      <w:r w:rsidRPr="00844A7A">
        <w:rPr>
          <w:rFonts w:eastAsia="Times New Roman"/>
          <w:noProof/>
          <w:szCs w:val="24"/>
        </w:rPr>
        <w:t xml:space="preserve">oam </w:t>
      </w:r>
      <w:r>
        <w:rPr>
          <w:rFonts w:eastAsia="Times New Roman"/>
          <w:noProof/>
          <w:szCs w:val="24"/>
        </w:rPr>
        <w:t>L</w:t>
      </w:r>
      <w:r w:rsidRPr="00844A7A">
        <w:rPr>
          <w:rFonts w:eastAsia="Times New Roman"/>
          <w:noProof/>
          <w:szCs w:val="24"/>
        </w:rPr>
        <w:t xml:space="preserve">ike at </w:t>
      </w:r>
      <w:r>
        <w:rPr>
          <w:rFonts w:eastAsia="Times New Roman"/>
          <w:noProof/>
          <w:szCs w:val="24"/>
        </w:rPr>
        <w:t>H</w:t>
      </w:r>
      <w:r w:rsidRPr="00844A7A">
        <w:rPr>
          <w:rFonts w:eastAsia="Times New Roman"/>
          <w:noProof/>
          <w:szCs w:val="24"/>
        </w:rPr>
        <w:t>ome area</w:t>
      </w:r>
      <w:r w:rsidRPr="00844A7A">
        <w:rPr>
          <w:rStyle w:val="CommentReference"/>
          <w:noProof/>
          <w:szCs w:val="24"/>
        </w:rPr>
        <w:t>.</w:t>
      </w:r>
    </w:p>
    <w:p w14:paraId="4A3A52BC" w14:textId="02634A49" w:rsidR="00131EDA" w:rsidRPr="00844A7A" w:rsidRDefault="00131EDA" w:rsidP="59F0A968">
      <w:pPr>
        <w:spacing w:after="0"/>
        <w:rPr>
          <w:rFonts w:eastAsia="Times New Roman"/>
          <w:noProof/>
        </w:rPr>
      </w:pPr>
      <w:r w:rsidRPr="5A9968CE">
        <w:rPr>
          <w:rFonts w:eastAsia="Times New Roman"/>
          <w:noProof/>
        </w:rPr>
        <w:t xml:space="preserve">The EU relationship with </w:t>
      </w:r>
      <w:r w:rsidRPr="5A9968CE">
        <w:rPr>
          <w:rFonts w:eastAsia="Arial Unicode MS"/>
          <w:noProof/>
        </w:rPr>
        <w:t xml:space="preserve">the </w:t>
      </w:r>
      <w:r w:rsidR="00694C71" w:rsidRPr="5A9968CE">
        <w:rPr>
          <w:rFonts w:eastAsia="Arial Unicode MS"/>
          <w:noProof/>
        </w:rPr>
        <w:t xml:space="preserve">WB6 </w:t>
      </w:r>
      <w:r w:rsidRPr="5A9968CE">
        <w:rPr>
          <w:rFonts w:eastAsia="Times New Roman"/>
          <w:noProof/>
        </w:rPr>
        <w:t xml:space="preserve">is currently governed by the respective </w:t>
      </w:r>
      <w:r w:rsidR="00110FD3" w:rsidRPr="5A9968CE">
        <w:rPr>
          <w:rFonts w:eastAsia="Times New Roman"/>
          <w:noProof/>
        </w:rPr>
        <w:t>S</w:t>
      </w:r>
      <w:r w:rsidR="000A0712" w:rsidRPr="5A9968CE">
        <w:rPr>
          <w:rFonts w:eastAsia="Times New Roman"/>
          <w:noProof/>
        </w:rPr>
        <w:t>tabilisation and Association Agreements (</w:t>
      </w:r>
      <w:r w:rsidRPr="5A9968CE">
        <w:rPr>
          <w:rFonts w:eastAsia="Times New Roman"/>
          <w:noProof/>
        </w:rPr>
        <w:t>SAAs</w:t>
      </w:r>
      <w:r w:rsidR="000A0712" w:rsidRPr="5A9968CE">
        <w:rPr>
          <w:rFonts w:eastAsia="Times New Roman"/>
          <w:noProof/>
        </w:rPr>
        <w:t>)</w:t>
      </w:r>
      <w:r w:rsidRPr="5A9968CE">
        <w:rPr>
          <w:rFonts w:eastAsia="Times New Roman"/>
          <w:noProof/>
        </w:rPr>
        <w:t xml:space="preserve">. The SAAs focus on achieving the stabilisation in the region and </w:t>
      </w:r>
      <w:r w:rsidR="00CA8508" w:rsidRPr="5A9968CE">
        <w:rPr>
          <w:rFonts w:eastAsia="Times New Roman"/>
          <w:noProof/>
        </w:rPr>
        <w:t>preparing for possible future accession</w:t>
      </w:r>
      <w:r w:rsidRPr="5A9968CE">
        <w:rPr>
          <w:rFonts w:eastAsia="Times New Roman"/>
          <w:noProof/>
        </w:rPr>
        <w:t xml:space="preserve">. They provide </w:t>
      </w:r>
      <w:r w:rsidR="04450EB4" w:rsidRPr="5A9968CE">
        <w:rPr>
          <w:rFonts w:eastAsia="Times New Roman"/>
          <w:noProof/>
        </w:rPr>
        <w:t xml:space="preserve">for </w:t>
      </w:r>
      <w:r w:rsidRPr="5A9968CE">
        <w:rPr>
          <w:rFonts w:eastAsia="Times New Roman"/>
          <w:noProof/>
        </w:rPr>
        <w:t xml:space="preserve">each WB6 partners’ </w:t>
      </w:r>
      <w:r w:rsidR="083A5CC5" w:rsidRPr="5A9968CE">
        <w:rPr>
          <w:rFonts w:eastAsia="Times New Roman"/>
          <w:noProof/>
        </w:rPr>
        <w:t xml:space="preserve">progressive alignment </w:t>
      </w:r>
      <w:r w:rsidR="737317F4" w:rsidRPr="5A9968CE">
        <w:rPr>
          <w:rFonts w:eastAsia="Times New Roman"/>
          <w:noProof/>
        </w:rPr>
        <w:t>of</w:t>
      </w:r>
      <w:r w:rsidRPr="5A9968CE">
        <w:rPr>
          <w:rFonts w:eastAsia="Times New Roman"/>
          <w:noProof/>
        </w:rPr>
        <w:t xml:space="preserve"> its laws to the EU </w:t>
      </w:r>
      <w:r w:rsidR="5F6E098E" w:rsidRPr="0042790A">
        <w:rPr>
          <w:rFonts w:eastAsia="Times New Roman"/>
          <w:i/>
          <w:iCs/>
          <w:noProof/>
        </w:rPr>
        <w:t>acquis</w:t>
      </w:r>
      <w:r w:rsidR="5F6E098E" w:rsidRPr="5A9968CE">
        <w:rPr>
          <w:rFonts w:eastAsia="Times New Roman"/>
          <w:noProof/>
        </w:rPr>
        <w:t xml:space="preserve"> </w:t>
      </w:r>
      <w:r w:rsidRPr="5A9968CE">
        <w:rPr>
          <w:rFonts w:eastAsia="Times New Roman"/>
          <w:noProof/>
        </w:rPr>
        <w:t>and by liberali</w:t>
      </w:r>
      <w:r w:rsidR="54C99F97" w:rsidRPr="5A9968CE">
        <w:rPr>
          <w:rFonts w:eastAsia="Times New Roman"/>
          <w:noProof/>
        </w:rPr>
        <w:t>s</w:t>
      </w:r>
      <w:r w:rsidRPr="5A9968CE">
        <w:rPr>
          <w:rFonts w:eastAsia="Times New Roman"/>
          <w:noProof/>
        </w:rPr>
        <w:t xml:space="preserve">ing trade between the EU and the WB6. This includes the strengthening of cooperation in the area of electronic communication services and WB6’s alignment with the EU </w:t>
      </w:r>
      <w:r w:rsidRPr="5A9968CE">
        <w:rPr>
          <w:rFonts w:eastAsia="Times New Roman"/>
          <w:i/>
          <w:iCs/>
          <w:noProof/>
        </w:rPr>
        <w:t>acquis</w:t>
      </w:r>
      <w:r w:rsidRPr="5A9968CE">
        <w:rPr>
          <w:rFonts w:eastAsia="Times New Roman"/>
          <w:noProof/>
        </w:rPr>
        <w:t>. Although the objectives and commitments under the SAAs remain relevant, they need to be complemented with a legal framework which would make it possible to</w:t>
      </w:r>
      <w:r w:rsidR="3A812696" w:rsidRPr="5A9968CE">
        <w:rPr>
          <w:rFonts w:eastAsia="Times New Roman"/>
          <w:noProof/>
        </w:rPr>
        <w:t xml:space="preserve"> fulfil the broader liberalisation objectives</w:t>
      </w:r>
      <w:r w:rsidR="3DEB712D" w:rsidRPr="5A9968CE">
        <w:rPr>
          <w:rFonts w:eastAsia="Times New Roman"/>
          <w:noProof/>
        </w:rPr>
        <w:t xml:space="preserve"> and </w:t>
      </w:r>
      <w:r w:rsidRPr="5A9968CE">
        <w:rPr>
          <w:rFonts w:eastAsia="Times New Roman"/>
          <w:noProof/>
        </w:rPr>
        <w:t xml:space="preserve">integrate </w:t>
      </w:r>
      <w:r w:rsidRPr="5A9968CE">
        <w:rPr>
          <w:rFonts w:eastAsia="Arial Unicode MS"/>
          <w:noProof/>
        </w:rPr>
        <w:t>the Republic of Albania, Bosnia and Herzegovina, Kosovo, Montenegro, the Republic of North Macedonia and the Republic of Serbia</w:t>
      </w:r>
      <w:r w:rsidRPr="5A9968CE">
        <w:rPr>
          <w:rFonts w:eastAsia="Times New Roman"/>
          <w:noProof/>
        </w:rPr>
        <w:t xml:space="preserve"> in the EU Roam Like at Home area.</w:t>
      </w:r>
      <w:r w:rsidRPr="5A9968CE">
        <w:rPr>
          <w:rFonts w:eastAsia="Arial Unicode MS"/>
          <w:noProof/>
        </w:rPr>
        <w:t xml:space="preserve"> </w:t>
      </w:r>
      <w:r w:rsidRPr="5A9968CE">
        <w:rPr>
          <w:rFonts w:eastAsia="Times"/>
          <w:noProof/>
        </w:rPr>
        <w:t>Such a framework is not provided for under the SAAs as they stand.</w:t>
      </w:r>
      <w:r w:rsidRPr="5A9968CE">
        <w:rPr>
          <w:rFonts w:eastAsia="Times New Roman"/>
          <w:noProof/>
        </w:rPr>
        <w:t xml:space="preserve"> </w:t>
      </w:r>
    </w:p>
    <w:p w14:paraId="3A84C652" w14:textId="1F1E6454" w:rsidR="00131EDA" w:rsidRDefault="00131EDA" w:rsidP="00131EDA">
      <w:pPr>
        <w:spacing w:after="0"/>
        <w:rPr>
          <w:rFonts w:eastAsia="Times New Roman"/>
          <w:noProof/>
          <w:szCs w:val="24"/>
        </w:rPr>
      </w:pPr>
      <w:r w:rsidRPr="00844A7A">
        <w:rPr>
          <w:rFonts w:eastAsia="Times New Roman"/>
          <w:noProof/>
          <w:szCs w:val="24"/>
        </w:rPr>
        <w:t xml:space="preserve">In line with the accession process, the objectives of </w:t>
      </w:r>
      <w:r w:rsidR="00DE79CA">
        <w:rPr>
          <w:rFonts w:eastAsia="Times New Roman"/>
          <w:noProof/>
          <w:szCs w:val="24"/>
        </w:rPr>
        <w:t xml:space="preserve">the </w:t>
      </w:r>
      <w:r w:rsidRPr="00844A7A">
        <w:rPr>
          <w:rFonts w:eastAsia="Times New Roman"/>
          <w:noProof/>
          <w:szCs w:val="24"/>
        </w:rPr>
        <w:t xml:space="preserve">Growth Plan and gradual integration in the internal market, the EU is offering the possibility of negotiating agreements with each of WB6 in the sector of roaming on public mobile communications networks. The </w:t>
      </w:r>
      <w:r w:rsidR="00F0168C">
        <w:rPr>
          <w:rFonts w:eastAsia="Times New Roman"/>
          <w:noProof/>
          <w:szCs w:val="24"/>
        </w:rPr>
        <w:t>recommended</w:t>
      </w:r>
      <w:r w:rsidRPr="00844A7A">
        <w:rPr>
          <w:rFonts w:eastAsia="Times New Roman"/>
          <w:noProof/>
          <w:szCs w:val="24"/>
        </w:rPr>
        <w:t xml:space="preserve"> bilateral sectoral agreements would build upon and complement the existing SAAs with </w:t>
      </w:r>
      <w:r w:rsidRPr="00844A7A">
        <w:rPr>
          <w:rFonts w:eastAsia="Arial Unicode MS"/>
          <w:noProof/>
          <w:szCs w:val="24"/>
        </w:rPr>
        <w:t>the Republic of Albania, Bosnia</w:t>
      </w:r>
      <w:r>
        <w:rPr>
          <w:rFonts w:eastAsia="Arial Unicode MS"/>
          <w:noProof/>
          <w:szCs w:val="24"/>
        </w:rPr>
        <w:t xml:space="preserve"> and </w:t>
      </w:r>
      <w:r w:rsidRPr="00844A7A">
        <w:rPr>
          <w:rFonts w:eastAsia="Arial Unicode MS"/>
          <w:noProof/>
          <w:szCs w:val="24"/>
        </w:rPr>
        <w:t>Herzegovina, Kosovo, Montenegro, the Republic of North Macedonia and the Republic of Serbia</w:t>
      </w:r>
      <w:r w:rsidRPr="00844A7A">
        <w:rPr>
          <w:rFonts w:eastAsia="Times New Roman"/>
          <w:noProof/>
          <w:szCs w:val="24"/>
        </w:rPr>
        <w:t xml:space="preserve">. </w:t>
      </w:r>
    </w:p>
    <w:p w14:paraId="12B91155" w14:textId="6D056BBB" w:rsidR="00131EDA" w:rsidRDefault="0019116A" w:rsidP="00131EDA">
      <w:pPr>
        <w:rPr>
          <w:rFonts w:eastAsia="Times New Roman"/>
          <w:noProof/>
          <w:szCs w:val="24"/>
        </w:rPr>
      </w:pPr>
      <w:r>
        <w:rPr>
          <w:rFonts w:eastAsia="Times New Roman"/>
          <w:noProof/>
          <w:szCs w:val="24"/>
        </w:rPr>
        <w:t>Th</w:t>
      </w:r>
      <w:r w:rsidR="00DD77CF" w:rsidRPr="002D37F7">
        <w:rPr>
          <w:rFonts w:eastAsia="Times New Roman"/>
          <w:noProof/>
          <w:szCs w:val="24"/>
        </w:rPr>
        <w:t xml:space="preserve">e offer </w:t>
      </w:r>
      <w:r w:rsidR="00972C71">
        <w:rPr>
          <w:rFonts w:eastAsia="Times New Roman"/>
          <w:noProof/>
          <w:szCs w:val="24"/>
        </w:rPr>
        <w:t xml:space="preserve">to conclude a bilateral agreement </w:t>
      </w:r>
      <w:r w:rsidR="00DD77CF" w:rsidRPr="002D37F7">
        <w:rPr>
          <w:rFonts w:eastAsia="Times New Roman"/>
          <w:noProof/>
          <w:szCs w:val="24"/>
        </w:rPr>
        <w:t>will be made to th</w:t>
      </w:r>
      <w:r w:rsidR="005811A7" w:rsidRPr="002D37F7">
        <w:rPr>
          <w:rFonts w:eastAsia="Times New Roman"/>
          <w:noProof/>
          <w:szCs w:val="24"/>
        </w:rPr>
        <w:t>ose</w:t>
      </w:r>
      <w:r w:rsidR="00DD77CF" w:rsidRPr="002D37F7">
        <w:rPr>
          <w:rFonts w:eastAsia="Times New Roman"/>
          <w:noProof/>
          <w:szCs w:val="24"/>
        </w:rPr>
        <w:t xml:space="preserve"> partners, who </w:t>
      </w:r>
      <w:bookmarkStart w:id="1" w:name="_Hlk216424047"/>
      <w:r w:rsidR="00DD77CF" w:rsidRPr="002D37F7">
        <w:rPr>
          <w:rFonts w:eastAsia="Times New Roman"/>
          <w:noProof/>
          <w:szCs w:val="24"/>
        </w:rPr>
        <w:t xml:space="preserve">are clearly demonstrating that they are firmly </w:t>
      </w:r>
      <w:r w:rsidR="005811A7" w:rsidRPr="002D37F7">
        <w:rPr>
          <w:rFonts w:eastAsia="Times New Roman"/>
          <w:noProof/>
          <w:szCs w:val="24"/>
        </w:rPr>
        <w:t>committed to</w:t>
      </w:r>
      <w:r w:rsidR="00DD77CF" w:rsidRPr="002D37F7">
        <w:rPr>
          <w:rFonts w:eastAsia="Times New Roman"/>
          <w:noProof/>
          <w:szCs w:val="24"/>
        </w:rPr>
        <w:t xml:space="preserve"> the </w:t>
      </w:r>
      <w:r w:rsidR="005811A7" w:rsidRPr="002D37F7">
        <w:rPr>
          <w:rFonts w:eastAsia="Times New Roman"/>
          <w:noProof/>
          <w:szCs w:val="24"/>
        </w:rPr>
        <w:t xml:space="preserve">accession </w:t>
      </w:r>
      <w:r w:rsidR="00DD77CF" w:rsidRPr="002D37F7">
        <w:rPr>
          <w:rFonts w:eastAsia="Times New Roman"/>
          <w:noProof/>
          <w:szCs w:val="24"/>
        </w:rPr>
        <w:t xml:space="preserve">path and </w:t>
      </w:r>
      <w:r w:rsidR="005811A7" w:rsidRPr="002D37F7">
        <w:rPr>
          <w:rFonts w:eastAsia="Times New Roman"/>
          <w:noProof/>
          <w:szCs w:val="24"/>
        </w:rPr>
        <w:t>progressing towards meeting the required conditions</w:t>
      </w:r>
      <w:bookmarkEnd w:id="1"/>
      <w:r w:rsidR="00DD77CF" w:rsidRPr="002D37F7">
        <w:rPr>
          <w:rFonts w:eastAsia="Times New Roman"/>
          <w:noProof/>
          <w:szCs w:val="24"/>
        </w:rPr>
        <w:t>.</w:t>
      </w:r>
      <w:r w:rsidR="007C0F29">
        <w:rPr>
          <w:rFonts w:eastAsia="Times New Roman"/>
          <w:noProof/>
          <w:szCs w:val="24"/>
        </w:rPr>
        <w:t xml:space="preserve"> Full compliance with the EU roaming </w:t>
      </w:r>
      <w:r w:rsidR="007C0F29" w:rsidRPr="006D735E">
        <w:rPr>
          <w:rFonts w:eastAsia="Times New Roman"/>
          <w:i/>
          <w:iCs/>
          <w:noProof/>
          <w:szCs w:val="24"/>
        </w:rPr>
        <w:t xml:space="preserve">acquis </w:t>
      </w:r>
      <w:r w:rsidR="007C0F29">
        <w:rPr>
          <w:rFonts w:eastAsia="Times New Roman"/>
          <w:noProof/>
          <w:szCs w:val="24"/>
        </w:rPr>
        <w:t xml:space="preserve">is a pre-condition for </w:t>
      </w:r>
      <w:r w:rsidR="006424CE">
        <w:rPr>
          <w:rFonts w:eastAsia="Times New Roman"/>
          <w:noProof/>
          <w:szCs w:val="24"/>
        </w:rPr>
        <w:t xml:space="preserve">access to the EU RLAH area. </w:t>
      </w:r>
    </w:p>
    <w:p w14:paraId="535B8C55" w14:textId="7F4A6B24" w:rsidR="00AE5C2A" w:rsidRDefault="00AE5C2A" w:rsidP="00131EDA">
      <w:pPr>
        <w:rPr>
          <w:rFonts w:eastAsia="Times New Roman"/>
          <w:noProof/>
          <w:szCs w:val="24"/>
        </w:rPr>
      </w:pPr>
      <w:r>
        <w:rPr>
          <w:rFonts w:eastAsia="Times New Roman"/>
          <w:noProof/>
          <w:szCs w:val="24"/>
        </w:rPr>
        <w:t xml:space="preserve">Democratic principles, human rights and fundamental </w:t>
      </w:r>
      <w:r w:rsidR="00F02921">
        <w:rPr>
          <w:rFonts w:eastAsia="Times New Roman"/>
          <w:noProof/>
          <w:szCs w:val="24"/>
        </w:rPr>
        <w:t xml:space="preserve">freedoms, and upholding </w:t>
      </w:r>
      <w:r w:rsidR="00B066EE">
        <w:rPr>
          <w:rFonts w:eastAsia="Times New Roman"/>
          <w:noProof/>
          <w:szCs w:val="24"/>
        </w:rPr>
        <w:t xml:space="preserve">the </w:t>
      </w:r>
      <w:r w:rsidR="00F02921">
        <w:rPr>
          <w:rFonts w:eastAsia="Times New Roman"/>
          <w:noProof/>
          <w:szCs w:val="24"/>
        </w:rPr>
        <w:t xml:space="preserve">rule of law are essential elements of the agreements. </w:t>
      </w:r>
    </w:p>
    <w:p w14:paraId="1C0C2CF0" w14:textId="5C028AEE" w:rsidR="0002085D" w:rsidRPr="00EC14C2" w:rsidRDefault="00A558A0" w:rsidP="0002233D">
      <w:pPr>
        <w:rPr>
          <w:rFonts w:eastAsia="Times New Roman"/>
          <w:noProof/>
          <w:szCs w:val="24"/>
          <w:lang w:val="en-IE"/>
        </w:rPr>
      </w:pPr>
      <w:r>
        <w:rPr>
          <w:rFonts w:eastAsia="Times New Roman"/>
          <w:noProof/>
          <w:szCs w:val="24"/>
        </w:rPr>
        <w:t>The Commission notes that</w:t>
      </w:r>
      <w:r w:rsidR="00980431">
        <w:rPr>
          <w:rFonts w:eastAsia="Times New Roman"/>
          <w:noProof/>
          <w:szCs w:val="24"/>
        </w:rPr>
        <w:t xml:space="preserve"> </w:t>
      </w:r>
      <w:r w:rsidR="00BC29E6" w:rsidRPr="00A61657">
        <w:rPr>
          <w:rFonts w:eastAsia="Times New Roman"/>
          <w:noProof/>
          <w:szCs w:val="24"/>
        </w:rPr>
        <w:t>Common Foreign and Security Policy (</w:t>
      </w:r>
      <w:r w:rsidR="00F623B3" w:rsidRPr="00A61657">
        <w:rPr>
          <w:rFonts w:eastAsia="Times New Roman"/>
          <w:noProof/>
          <w:szCs w:val="24"/>
          <w:lang w:val="en-IE"/>
        </w:rPr>
        <w:t>CFSP</w:t>
      </w:r>
      <w:r w:rsidR="00BC29E6" w:rsidRPr="00A61657">
        <w:rPr>
          <w:rFonts w:eastAsia="Times New Roman"/>
          <w:noProof/>
          <w:szCs w:val="24"/>
          <w:lang w:val="en-IE"/>
        </w:rPr>
        <w:t>)</w:t>
      </w:r>
      <w:r w:rsidR="00F623B3" w:rsidRPr="00A61657">
        <w:rPr>
          <w:rFonts w:eastAsia="Times New Roman"/>
          <w:noProof/>
          <w:szCs w:val="24"/>
          <w:lang w:val="en-IE"/>
        </w:rPr>
        <w:t xml:space="preserve"> </w:t>
      </w:r>
      <w:r w:rsidR="0050440D" w:rsidRPr="00A61657">
        <w:rPr>
          <w:rFonts w:eastAsia="Times New Roman"/>
          <w:noProof/>
          <w:szCs w:val="24"/>
          <w:lang w:val="en-IE"/>
        </w:rPr>
        <w:t xml:space="preserve">and </w:t>
      </w:r>
      <w:r w:rsidR="00C70496">
        <w:rPr>
          <w:rFonts w:eastAsia="Times New Roman"/>
          <w:noProof/>
          <w:szCs w:val="24"/>
          <w:lang w:val="en-IE"/>
        </w:rPr>
        <w:t xml:space="preserve">upholding </w:t>
      </w:r>
      <w:r w:rsidR="00B066EE">
        <w:rPr>
          <w:rFonts w:eastAsia="Times New Roman"/>
          <w:noProof/>
          <w:szCs w:val="24"/>
          <w:lang w:val="en-IE"/>
        </w:rPr>
        <w:t>the r</w:t>
      </w:r>
      <w:r w:rsidR="00113B47" w:rsidRPr="00A61657">
        <w:rPr>
          <w:rFonts w:eastAsia="Times New Roman"/>
          <w:noProof/>
          <w:szCs w:val="24"/>
          <w:lang w:val="en-IE"/>
        </w:rPr>
        <w:t xml:space="preserve">ule of </w:t>
      </w:r>
      <w:r w:rsidR="00B066EE">
        <w:rPr>
          <w:rFonts w:eastAsia="Times New Roman"/>
          <w:noProof/>
          <w:szCs w:val="24"/>
          <w:lang w:val="en-IE"/>
        </w:rPr>
        <w:t>l</w:t>
      </w:r>
      <w:r w:rsidR="00113B47" w:rsidRPr="00A61657">
        <w:rPr>
          <w:rFonts w:eastAsia="Times New Roman"/>
          <w:noProof/>
          <w:szCs w:val="24"/>
          <w:lang w:val="en-IE"/>
        </w:rPr>
        <w:t xml:space="preserve">aw </w:t>
      </w:r>
      <w:r w:rsidR="00F623B3" w:rsidRPr="00A61657">
        <w:rPr>
          <w:rFonts w:eastAsia="Times New Roman"/>
          <w:noProof/>
          <w:szCs w:val="24"/>
          <w:lang w:val="en-IE"/>
        </w:rPr>
        <w:t xml:space="preserve">are particularly important </w:t>
      </w:r>
      <w:r>
        <w:rPr>
          <w:rFonts w:eastAsia="Times New Roman"/>
          <w:noProof/>
          <w:szCs w:val="24"/>
          <w:lang w:val="en-IE"/>
        </w:rPr>
        <w:t xml:space="preserve">areas </w:t>
      </w:r>
      <w:r w:rsidR="009108AE">
        <w:rPr>
          <w:rFonts w:eastAsia="Times New Roman"/>
          <w:noProof/>
          <w:szCs w:val="24"/>
          <w:lang w:val="en-IE"/>
        </w:rPr>
        <w:t>for</w:t>
      </w:r>
      <w:r w:rsidR="00432A5D" w:rsidRPr="00A61657">
        <w:rPr>
          <w:rFonts w:eastAsia="Times New Roman"/>
          <w:noProof/>
          <w:szCs w:val="24"/>
          <w:lang w:val="en-IE"/>
        </w:rPr>
        <w:t xml:space="preserve"> </w:t>
      </w:r>
      <w:r w:rsidR="005E725A">
        <w:rPr>
          <w:rFonts w:eastAsia="Times New Roman"/>
          <w:noProof/>
          <w:szCs w:val="24"/>
          <w:lang w:val="en-IE"/>
        </w:rPr>
        <w:t xml:space="preserve">the </w:t>
      </w:r>
      <w:r w:rsidR="00432A5D" w:rsidRPr="00A61657">
        <w:rPr>
          <w:rFonts w:eastAsia="Times New Roman"/>
          <w:noProof/>
          <w:szCs w:val="24"/>
          <w:lang w:val="en-IE"/>
        </w:rPr>
        <w:t>enlargement process</w:t>
      </w:r>
      <w:r w:rsidR="00171B25" w:rsidRPr="00A61657">
        <w:rPr>
          <w:rFonts w:eastAsia="Times New Roman"/>
          <w:noProof/>
          <w:szCs w:val="24"/>
          <w:lang w:val="en-IE"/>
        </w:rPr>
        <w:t>.</w:t>
      </w:r>
      <w:r w:rsidR="00113B47" w:rsidRPr="00A61657">
        <w:rPr>
          <w:rFonts w:eastAsia="Times New Roman"/>
          <w:noProof/>
          <w:szCs w:val="24"/>
          <w:lang w:val="en-IE"/>
        </w:rPr>
        <w:t xml:space="preserve"> </w:t>
      </w:r>
      <w:r w:rsidR="00F623B3" w:rsidRPr="00A61657">
        <w:rPr>
          <w:rFonts w:eastAsia="Times New Roman"/>
          <w:noProof/>
          <w:szCs w:val="24"/>
          <w:lang w:val="en-IE"/>
        </w:rPr>
        <w:t xml:space="preserve"> </w:t>
      </w:r>
    </w:p>
    <w:p w14:paraId="60DA9FAD" w14:textId="08DD2433" w:rsidR="00131EDA" w:rsidRPr="00AA5DE1" w:rsidRDefault="00131EDA" w:rsidP="00131EDA">
      <w:pPr>
        <w:pStyle w:val="ManualHeading1"/>
        <w:rPr>
          <w:noProof/>
        </w:rPr>
      </w:pPr>
      <w:r>
        <w:rPr>
          <w:noProof/>
        </w:rPr>
        <w:t xml:space="preserve">B. </w:t>
      </w:r>
      <w:r w:rsidR="00F0168C">
        <w:rPr>
          <w:noProof/>
        </w:rPr>
        <w:t>RECOMMENDED</w:t>
      </w:r>
      <w:r w:rsidRPr="00AA5DE1">
        <w:rPr>
          <w:noProof/>
        </w:rPr>
        <w:t xml:space="preserve"> CONTENT OF THE AGREEMENTS </w:t>
      </w:r>
    </w:p>
    <w:p w14:paraId="3E2C99B9" w14:textId="77777777" w:rsidR="00131EDA" w:rsidRPr="00844A7A" w:rsidRDefault="00131EDA" w:rsidP="00131EDA">
      <w:pPr>
        <w:shd w:val="clear" w:color="auto" w:fill="FFFFFF" w:themeFill="background1"/>
        <w:spacing w:after="0"/>
        <w:rPr>
          <w:rFonts w:eastAsia="Times New Roman"/>
          <w:noProof/>
          <w:szCs w:val="24"/>
        </w:rPr>
      </w:pPr>
    </w:p>
    <w:p w14:paraId="50121AEF" w14:textId="77777777" w:rsidR="00131EDA" w:rsidRPr="00844A7A" w:rsidRDefault="00131EDA" w:rsidP="00131EDA">
      <w:pPr>
        <w:pStyle w:val="ManualHeading2"/>
        <w:rPr>
          <w:noProof/>
        </w:rPr>
      </w:pPr>
      <w:r w:rsidRPr="00844A7A">
        <w:rPr>
          <w:noProof/>
        </w:rPr>
        <w:t xml:space="preserve">Objectives and scope </w:t>
      </w:r>
    </w:p>
    <w:p w14:paraId="61A01CA9" w14:textId="70582706" w:rsidR="00131EDA" w:rsidRPr="00844A7A" w:rsidRDefault="00131EDA" w:rsidP="00131EDA">
      <w:pPr>
        <w:spacing w:after="0"/>
        <w:rPr>
          <w:rFonts w:eastAsia="Times New Roman"/>
          <w:noProof/>
          <w:szCs w:val="24"/>
        </w:rPr>
      </w:pPr>
      <w:r w:rsidRPr="00844A7A">
        <w:rPr>
          <w:rFonts w:eastAsia="Times New Roman"/>
          <w:noProof/>
          <w:szCs w:val="24"/>
        </w:rPr>
        <w:t xml:space="preserve">The aim of the sectoral agreements </w:t>
      </w:r>
      <w:r w:rsidR="00EB6601">
        <w:rPr>
          <w:rFonts w:eastAsia="Times New Roman"/>
          <w:noProof/>
          <w:szCs w:val="24"/>
        </w:rPr>
        <w:t>will</w:t>
      </w:r>
      <w:r w:rsidRPr="00844A7A">
        <w:rPr>
          <w:rFonts w:eastAsia="Times New Roman"/>
          <w:noProof/>
          <w:szCs w:val="24"/>
        </w:rPr>
        <w:t xml:space="preserve"> be to ensure that users of public mobile communication networks travelling between any particular WB6 </w:t>
      </w:r>
      <w:r>
        <w:rPr>
          <w:rFonts w:eastAsia="Times New Roman"/>
          <w:noProof/>
          <w:szCs w:val="24"/>
        </w:rPr>
        <w:t>partner</w:t>
      </w:r>
      <w:r w:rsidRPr="00844A7A">
        <w:rPr>
          <w:rFonts w:eastAsia="Times New Roman"/>
          <w:noProof/>
          <w:szCs w:val="24"/>
        </w:rPr>
        <w:t xml:space="preserve"> and the EU do not pay excessive prices for roaming services. This </w:t>
      </w:r>
      <w:r w:rsidR="00EB6601">
        <w:rPr>
          <w:rFonts w:eastAsia="Times New Roman"/>
          <w:noProof/>
          <w:szCs w:val="24"/>
        </w:rPr>
        <w:t>will</w:t>
      </w:r>
      <w:r w:rsidRPr="00844A7A">
        <w:rPr>
          <w:rFonts w:eastAsia="Times New Roman"/>
          <w:noProof/>
          <w:szCs w:val="24"/>
        </w:rPr>
        <w:t xml:space="preserve"> be done through reciprocal opening of the roaming market under the conditions set by the EU roaming rules.</w:t>
      </w:r>
    </w:p>
    <w:p w14:paraId="5678776E" w14:textId="39232A6E" w:rsidR="00131EDA" w:rsidRPr="00844A7A" w:rsidRDefault="00131EDA" w:rsidP="00131EDA">
      <w:pPr>
        <w:spacing w:after="0"/>
        <w:rPr>
          <w:rFonts w:eastAsia="Times New Roman"/>
          <w:noProof/>
          <w:szCs w:val="24"/>
        </w:rPr>
      </w:pPr>
      <w:r w:rsidRPr="00844A7A">
        <w:rPr>
          <w:rFonts w:eastAsia="Times New Roman"/>
          <w:noProof/>
          <w:szCs w:val="24"/>
        </w:rPr>
        <w:t xml:space="preserve">The agreements </w:t>
      </w:r>
      <w:r w:rsidR="00EB6601">
        <w:rPr>
          <w:rFonts w:eastAsia="Times New Roman"/>
          <w:noProof/>
          <w:szCs w:val="24"/>
        </w:rPr>
        <w:t>will</w:t>
      </w:r>
      <w:r w:rsidRPr="00844A7A">
        <w:rPr>
          <w:rFonts w:eastAsia="Times New Roman"/>
          <w:noProof/>
          <w:szCs w:val="24"/>
        </w:rPr>
        <w:t xml:space="preserve"> provide for the framework and conditions for the reciprocal opening of the Parties’ markets with respect to the sector of roaming on public mobile communications networks. The opening </w:t>
      </w:r>
      <w:r w:rsidR="00EB6601">
        <w:rPr>
          <w:rFonts w:eastAsia="Times New Roman"/>
          <w:noProof/>
          <w:szCs w:val="24"/>
        </w:rPr>
        <w:t>will</w:t>
      </w:r>
      <w:r w:rsidRPr="00844A7A">
        <w:rPr>
          <w:rFonts w:eastAsia="Times New Roman"/>
          <w:noProof/>
          <w:szCs w:val="24"/>
        </w:rPr>
        <w:t xml:space="preserve"> notably be conditioned on the </w:t>
      </w:r>
      <w:r w:rsidRPr="00844A7A">
        <w:rPr>
          <w:rFonts w:eastAsia="Times"/>
          <w:noProof/>
          <w:szCs w:val="24"/>
        </w:rPr>
        <w:t xml:space="preserve">full implementation of </w:t>
      </w:r>
      <w:r w:rsidRPr="00844A7A">
        <w:rPr>
          <w:rFonts w:eastAsia="Times New Roman"/>
          <w:noProof/>
          <w:szCs w:val="24"/>
        </w:rPr>
        <w:t>the EU roaming</w:t>
      </w:r>
      <w:r w:rsidRPr="00844A7A">
        <w:rPr>
          <w:rFonts w:eastAsia="Times New Roman"/>
          <w:i/>
          <w:iCs/>
          <w:noProof/>
          <w:szCs w:val="24"/>
        </w:rPr>
        <w:t xml:space="preserve"> acquis </w:t>
      </w:r>
      <w:r w:rsidRPr="00844A7A">
        <w:rPr>
          <w:rFonts w:eastAsia="Times New Roman"/>
          <w:noProof/>
          <w:szCs w:val="24"/>
        </w:rPr>
        <w:t>by WB6, which</w:t>
      </w:r>
      <w:r w:rsidR="006266DF">
        <w:rPr>
          <w:rFonts w:eastAsia="Times New Roman"/>
          <w:noProof/>
          <w:szCs w:val="24"/>
        </w:rPr>
        <w:t xml:space="preserve"> will</w:t>
      </w:r>
      <w:r w:rsidRPr="00844A7A">
        <w:rPr>
          <w:rFonts w:eastAsia="Times New Roman"/>
          <w:noProof/>
          <w:szCs w:val="24"/>
        </w:rPr>
        <w:t xml:space="preserve"> need to be confirmed through a positive comprehensive assessment by the Union to be conducted by the Commission. Once a positive assessment has been made with respect</w:t>
      </w:r>
      <w:r w:rsidR="006266DF">
        <w:rPr>
          <w:rFonts w:eastAsia="Times New Roman"/>
          <w:noProof/>
          <w:szCs w:val="24"/>
        </w:rPr>
        <w:t xml:space="preserve"> to a</w:t>
      </w:r>
      <w:r w:rsidRPr="00844A7A">
        <w:rPr>
          <w:rFonts w:eastAsia="Times New Roman"/>
          <w:noProof/>
          <w:szCs w:val="24"/>
        </w:rPr>
        <w:t xml:space="preserve"> WB6 </w:t>
      </w:r>
      <w:r>
        <w:rPr>
          <w:rFonts w:eastAsia="Times New Roman"/>
          <w:noProof/>
          <w:szCs w:val="24"/>
        </w:rPr>
        <w:t>partner</w:t>
      </w:r>
      <w:r w:rsidR="00ED7D58">
        <w:rPr>
          <w:rFonts w:eastAsia="Times New Roman"/>
          <w:noProof/>
          <w:szCs w:val="24"/>
        </w:rPr>
        <w:t>,</w:t>
      </w:r>
      <w:r>
        <w:rPr>
          <w:rFonts w:eastAsia="Times New Roman"/>
          <w:noProof/>
          <w:szCs w:val="24"/>
        </w:rPr>
        <w:t xml:space="preserve"> </w:t>
      </w:r>
      <w:r w:rsidRPr="00844A7A">
        <w:rPr>
          <w:rFonts w:eastAsia="Times New Roman"/>
          <w:noProof/>
          <w:szCs w:val="24"/>
        </w:rPr>
        <w:t xml:space="preserve">the responsible </w:t>
      </w:r>
      <w:r w:rsidR="00792187">
        <w:rPr>
          <w:rFonts w:eastAsia="Times New Roman"/>
          <w:noProof/>
          <w:szCs w:val="24"/>
        </w:rPr>
        <w:t>J</w:t>
      </w:r>
      <w:r w:rsidRPr="00844A7A">
        <w:rPr>
          <w:rFonts w:eastAsia="Times New Roman"/>
          <w:noProof/>
          <w:szCs w:val="24"/>
        </w:rPr>
        <w:t xml:space="preserve">oint </w:t>
      </w:r>
      <w:r w:rsidR="00792187">
        <w:rPr>
          <w:rFonts w:eastAsia="Times New Roman"/>
          <w:noProof/>
          <w:szCs w:val="24"/>
        </w:rPr>
        <w:t>B</w:t>
      </w:r>
      <w:r w:rsidRPr="00844A7A">
        <w:rPr>
          <w:rFonts w:eastAsia="Times New Roman"/>
          <w:noProof/>
          <w:szCs w:val="24"/>
        </w:rPr>
        <w:t xml:space="preserve">ody under the Agreement </w:t>
      </w:r>
      <w:r w:rsidR="006266DF">
        <w:rPr>
          <w:rFonts w:eastAsia="Times New Roman"/>
          <w:noProof/>
          <w:szCs w:val="24"/>
        </w:rPr>
        <w:t>will</w:t>
      </w:r>
      <w:r w:rsidRPr="00844A7A">
        <w:rPr>
          <w:rFonts w:eastAsia="Times New Roman"/>
          <w:noProof/>
          <w:szCs w:val="24"/>
        </w:rPr>
        <w:t xml:space="preserve"> be empowered to decide on the reciprocal opening. </w:t>
      </w:r>
    </w:p>
    <w:p w14:paraId="668A9059" w14:textId="77777777" w:rsidR="00131EDA" w:rsidRDefault="00131EDA" w:rsidP="00131EDA">
      <w:pPr>
        <w:rPr>
          <w:rFonts w:eastAsia="Times New Roman"/>
          <w:b/>
          <w:bCs/>
          <w:noProof/>
          <w:szCs w:val="24"/>
        </w:rPr>
      </w:pPr>
    </w:p>
    <w:p w14:paraId="6CD09AEB" w14:textId="77777777" w:rsidR="00131EDA" w:rsidRPr="00844A7A" w:rsidRDefault="00131EDA" w:rsidP="00131EDA">
      <w:pPr>
        <w:rPr>
          <w:rFonts w:eastAsia="Times New Roman"/>
          <w:b/>
          <w:bCs/>
          <w:noProof/>
          <w:szCs w:val="24"/>
        </w:rPr>
      </w:pPr>
      <w:r w:rsidRPr="00844A7A">
        <w:rPr>
          <w:rFonts w:eastAsia="Times New Roman"/>
          <w:b/>
          <w:bCs/>
          <w:noProof/>
          <w:szCs w:val="24"/>
        </w:rPr>
        <w:t xml:space="preserve">Regulatory alignment with the EU roaming </w:t>
      </w:r>
      <w:r w:rsidRPr="00844A7A">
        <w:rPr>
          <w:rFonts w:eastAsia="Times New Roman"/>
          <w:b/>
          <w:bCs/>
          <w:i/>
          <w:iCs/>
          <w:noProof/>
          <w:szCs w:val="24"/>
        </w:rPr>
        <w:t xml:space="preserve">acquis </w:t>
      </w:r>
    </w:p>
    <w:p w14:paraId="19D41B7D" w14:textId="2653E67D" w:rsidR="00131EDA" w:rsidRPr="00844A7A" w:rsidRDefault="00131EDA" w:rsidP="00131EDA">
      <w:pPr>
        <w:spacing w:after="0"/>
        <w:rPr>
          <w:rFonts w:eastAsia="Times New Roman"/>
          <w:noProof/>
          <w:szCs w:val="24"/>
        </w:rPr>
      </w:pPr>
      <w:r w:rsidRPr="00844A7A">
        <w:rPr>
          <w:rFonts w:eastAsia="Times New Roman"/>
          <w:noProof/>
          <w:szCs w:val="24"/>
        </w:rPr>
        <w:t xml:space="preserve">The applicable provisions of the Union roaming </w:t>
      </w:r>
      <w:r w:rsidRPr="00844A7A">
        <w:rPr>
          <w:rFonts w:eastAsia="Times New Roman"/>
          <w:i/>
          <w:iCs/>
          <w:noProof/>
          <w:szCs w:val="24"/>
        </w:rPr>
        <w:t xml:space="preserve">acquis </w:t>
      </w:r>
      <w:r w:rsidRPr="00844A7A">
        <w:rPr>
          <w:rFonts w:eastAsia="Times New Roman"/>
          <w:noProof/>
          <w:szCs w:val="24"/>
        </w:rPr>
        <w:t>and any horizontal or specific adaptations thereto</w:t>
      </w:r>
      <w:r w:rsidR="00961AAA">
        <w:rPr>
          <w:rFonts w:eastAsia="Times New Roman"/>
          <w:noProof/>
          <w:szCs w:val="24"/>
        </w:rPr>
        <w:t xml:space="preserve"> will</w:t>
      </w:r>
      <w:r w:rsidR="00284595">
        <w:rPr>
          <w:rFonts w:eastAsia="Times New Roman"/>
          <w:noProof/>
          <w:szCs w:val="24"/>
        </w:rPr>
        <w:t xml:space="preserve"> </w:t>
      </w:r>
      <w:r w:rsidRPr="00844A7A">
        <w:rPr>
          <w:rFonts w:eastAsia="Times New Roman"/>
          <w:noProof/>
          <w:szCs w:val="24"/>
        </w:rPr>
        <w:t xml:space="preserve">be listed in an annex to the respective agreements. The agreements </w:t>
      </w:r>
      <w:r w:rsidR="00961AAA">
        <w:rPr>
          <w:rFonts w:eastAsia="Times New Roman"/>
          <w:noProof/>
          <w:szCs w:val="24"/>
        </w:rPr>
        <w:t xml:space="preserve">will </w:t>
      </w:r>
      <w:r w:rsidRPr="00844A7A">
        <w:rPr>
          <w:rFonts w:eastAsia="Times New Roman"/>
          <w:noProof/>
          <w:szCs w:val="24"/>
        </w:rPr>
        <w:t xml:space="preserve">contain the procedure to amend the list of the applicable roaming </w:t>
      </w:r>
      <w:r w:rsidRPr="00844A7A">
        <w:rPr>
          <w:rFonts w:eastAsia="Times New Roman"/>
          <w:i/>
          <w:iCs/>
          <w:noProof/>
          <w:szCs w:val="24"/>
        </w:rPr>
        <w:t xml:space="preserve">acquis </w:t>
      </w:r>
      <w:r w:rsidRPr="00844A7A">
        <w:rPr>
          <w:rFonts w:eastAsia="Times New Roman"/>
          <w:noProof/>
          <w:szCs w:val="24"/>
        </w:rPr>
        <w:t xml:space="preserve">and the rules for incorporation and implementation of the new or amended relevant EU acts. </w:t>
      </w:r>
    </w:p>
    <w:p w14:paraId="792F5676" w14:textId="5E8B0667" w:rsidR="00131EDA" w:rsidRPr="00244B92" w:rsidRDefault="00131EDA" w:rsidP="00131EDA">
      <w:pPr>
        <w:rPr>
          <w:rFonts w:eastAsia="Times New Roman"/>
          <w:noProof/>
          <w:szCs w:val="24"/>
        </w:rPr>
      </w:pPr>
      <w:r w:rsidRPr="00844A7A">
        <w:rPr>
          <w:rFonts w:eastAsia="Times New Roman"/>
          <w:noProof/>
          <w:szCs w:val="24"/>
        </w:rPr>
        <w:t xml:space="preserve">The agreements </w:t>
      </w:r>
      <w:r w:rsidR="00961AAA">
        <w:rPr>
          <w:rFonts w:eastAsia="Times New Roman"/>
          <w:noProof/>
          <w:szCs w:val="24"/>
        </w:rPr>
        <w:t xml:space="preserve">will </w:t>
      </w:r>
      <w:r w:rsidRPr="00844A7A">
        <w:rPr>
          <w:rFonts w:eastAsia="Times New Roman"/>
          <w:noProof/>
          <w:szCs w:val="24"/>
        </w:rPr>
        <w:t xml:space="preserve">include an obligation for </w:t>
      </w:r>
      <w:r w:rsidR="00694C71">
        <w:rPr>
          <w:rFonts w:eastAsia="Times New Roman"/>
          <w:noProof/>
          <w:szCs w:val="24"/>
        </w:rPr>
        <w:t>the WB6</w:t>
      </w:r>
      <w:r w:rsidRPr="00844A7A">
        <w:rPr>
          <w:rFonts w:eastAsia="Times"/>
          <w:noProof/>
          <w:szCs w:val="24"/>
        </w:rPr>
        <w:t xml:space="preserve">, respectively, to fully enact and completely and fully implement </w:t>
      </w:r>
      <w:r w:rsidRPr="00844A7A">
        <w:rPr>
          <w:rFonts w:eastAsia="Times New Roman"/>
          <w:noProof/>
          <w:szCs w:val="24"/>
        </w:rPr>
        <w:t>the EU roaming</w:t>
      </w:r>
      <w:r w:rsidRPr="00844A7A">
        <w:rPr>
          <w:rFonts w:eastAsia="Times New Roman"/>
          <w:i/>
          <w:iCs/>
          <w:noProof/>
          <w:szCs w:val="24"/>
        </w:rPr>
        <w:t xml:space="preserve"> acquis</w:t>
      </w:r>
      <w:r w:rsidRPr="00844A7A">
        <w:rPr>
          <w:rFonts w:eastAsia="Times New Roman"/>
          <w:noProof/>
          <w:szCs w:val="24"/>
        </w:rPr>
        <w:t xml:space="preserve"> before (as a precondition for) the extension of the EU roaming area and an obligation to maintain dynamic alignment with the EU roaming </w:t>
      </w:r>
      <w:r w:rsidRPr="00844A7A">
        <w:rPr>
          <w:rFonts w:eastAsia="Times New Roman"/>
          <w:i/>
          <w:iCs/>
          <w:noProof/>
          <w:szCs w:val="24"/>
        </w:rPr>
        <w:t>acquis</w:t>
      </w:r>
      <w:r w:rsidRPr="00844A7A">
        <w:rPr>
          <w:rFonts w:eastAsia="Times New Roman"/>
          <w:noProof/>
          <w:szCs w:val="24"/>
        </w:rPr>
        <w:t xml:space="preserve"> as it evolves in the future following reciprocal market opening. The agreements </w:t>
      </w:r>
      <w:r w:rsidR="00D14922">
        <w:rPr>
          <w:rFonts w:eastAsia="Times New Roman"/>
          <w:noProof/>
          <w:szCs w:val="24"/>
        </w:rPr>
        <w:t xml:space="preserve">will </w:t>
      </w:r>
      <w:r w:rsidRPr="00844A7A">
        <w:rPr>
          <w:rFonts w:eastAsia="Times New Roman"/>
          <w:noProof/>
          <w:szCs w:val="24"/>
        </w:rPr>
        <w:t xml:space="preserve">include the criteria and procedure for the comprehensive assessment of the state of implementation of the EU roaming </w:t>
      </w:r>
      <w:r w:rsidRPr="00844A7A">
        <w:rPr>
          <w:rFonts w:eastAsia="Times New Roman"/>
          <w:i/>
          <w:iCs/>
          <w:noProof/>
          <w:szCs w:val="24"/>
        </w:rPr>
        <w:t>acquis</w:t>
      </w:r>
      <w:r w:rsidRPr="00844A7A">
        <w:rPr>
          <w:rFonts w:eastAsia="Times New Roman"/>
          <w:noProof/>
          <w:szCs w:val="24"/>
        </w:rPr>
        <w:t xml:space="preserve"> prior to an eventual decision by a </w:t>
      </w:r>
      <w:r w:rsidR="00792187">
        <w:rPr>
          <w:rFonts w:eastAsia="Times New Roman"/>
          <w:noProof/>
          <w:szCs w:val="24"/>
        </w:rPr>
        <w:t>J</w:t>
      </w:r>
      <w:r w:rsidRPr="00844A7A">
        <w:rPr>
          <w:rFonts w:eastAsia="Times New Roman"/>
          <w:noProof/>
          <w:szCs w:val="24"/>
        </w:rPr>
        <w:t xml:space="preserve">oint </w:t>
      </w:r>
      <w:r w:rsidR="00792187">
        <w:rPr>
          <w:rFonts w:eastAsia="Times New Roman"/>
          <w:noProof/>
          <w:szCs w:val="24"/>
        </w:rPr>
        <w:t>B</w:t>
      </w:r>
      <w:r w:rsidRPr="00844A7A">
        <w:rPr>
          <w:rFonts w:eastAsia="Times New Roman"/>
          <w:noProof/>
          <w:szCs w:val="24"/>
        </w:rPr>
        <w:t>ody under the agreement to reciprocally open markets with respect to the roaming sector.</w:t>
      </w:r>
    </w:p>
    <w:p w14:paraId="42316764" w14:textId="2E9FD308" w:rsidR="00131EDA" w:rsidRDefault="00131EDA" w:rsidP="00131EDA">
      <w:pPr>
        <w:rPr>
          <w:rFonts w:eastAsia="Times New Roman"/>
          <w:b/>
          <w:bCs/>
          <w:noProof/>
          <w:szCs w:val="24"/>
        </w:rPr>
      </w:pPr>
      <w:r w:rsidRPr="00844A7A">
        <w:rPr>
          <w:rFonts w:eastAsia="Times New Roman"/>
          <w:noProof/>
          <w:szCs w:val="24"/>
        </w:rPr>
        <w:t xml:space="preserve">The agreements </w:t>
      </w:r>
      <w:r w:rsidR="00D14922">
        <w:rPr>
          <w:rFonts w:eastAsia="Times New Roman"/>
          <w:noProof/>
          <w:szCs w:val="24"/>
        </w:rPr>
        <w:t>will</w:t>
      </w:r>
      <w:r w:rsidRPr="00844A7A">
        <w:rPr>
          <w:rFonts w:eastAsia="Times New Roman"/>
          <w:noProof/>
          <w:szCs w:val="24"/>
        </w:rPr>
        <w:t xml:space="preserve"> include the criteria and procedure for the continuous monitoring and assessment of the implementation of the EU roaming </w:t>
      </w:r>
      <w:r w:rsidRPr="00844A7A">
        <w:rPr>
          <w:rFonts w:eastAsia="Times New Roman"/>
          <w:i/>
          <w:iCs/>
          <w:noProof/>
          <w:szCs w:val="24"/>
        </w:rPr>
        <w:t xml:space="preserve">acquis </w:t>
      </w:r>
      <w:r w:rsidRPr="00844A7A">
        <w:rPr>
          <w:rFonts w:eastAsia="Times New Roman"/>
          <w:noProof/>
          <w:szCs w:val="24"/>
        </w:rPr>
        <w:t xml:space="preserve">and the possibility, conditions and procedure for the Union to suspend the benefits under the roaming agreements in case of failure by a WB6 to comply with regulatory alignment obligations. </w:t>
      </w:r>
    </w:p>
    <w:p w14:paraId="3C734DF3" w14:textId="77777777" w:rsidR="00131EDA" w:rsidRDefault="00131EDA" w:rsidP="00131EDA">
      <w:pPr>
        <w:rPr>
          <w:rFonts w:eastAsia="Times New Roman"/>
          <w:b/>
          <w:bCs/>
          <w:noProof/>
          <w:szCs w:val="24"/>
        </w:rPr>
      </w:pPr>
    </w:p>
    <w:p w14:paraId="2E8244AF" w14:textId="77777777" w:rsidR="00131EDA" w:rsidRPr="00844A7A" w:rsidRDefault="00131EDA" w:rsidP="00131EDA">
      <w:pPr>
        <w:rPr>
          <w:rFonts w:eastAsia="Times New Roman"/>
          <w:b/>
          <w:bCs/>
          <w:noProof/>
          <w:szCs w:val="24"/>
        </w:rPr>
      </w:pPr>
      <w:r w:rsidRPr="00844A7A">
        <w:rPr>
          <w:rFonts w:eastAsia="Times New Roman"/>
          <w:b/>
          <w:bCs/>
          <w:noProof/>
          <w:szCs w:val="24"/>
        </w:rPr>
        <w:t>Enforcement</w:t>
      </w:r>
    </w:p>
    <w:p w14:paraId="18312422" w14:textId="15EB7185" w:rsidR="004A5594" w:rsidRDefault="00131EDA" w:rsidP="00131EDA">
      <w:pPr>
        <w:rPr>
          <w:rFonts w:eastAsia="Times New Roman"/>
          <w:noProof/>
          <w:szCs w:val="24"/>
        </w:rPr>
      </w:pPr>
      <w:r w:rsidRPr="00844A7A">
        <w:rPr>
          <w:rFonts w:eastAsia="Times New Roman"/>
          <w:noProof/>
          <w:szCs w:val="24"/>
        </w:rPr>
        <w:t xml:space="preserve">The agreements </w:t>
      </w:r>
      <w:r w:rsidR="00E10AA2">
        <w:rPr>
          <w:rFonts w:eastAsia="Times New Roman"/>
          <w:noProof/>
          <w:szCs w:val="24"/>
        </w:rPr>
        <w:t>will</w:t>
      </w:r>
      <w:r w:rsidR="00696325">
        <w:rPr>
          <w:rFonts w:eastAsia="Times New Roman"/>
          <w:noProof/>
          <w:szCs w:val="24"/>
        </w:rPr>
        <w:t xml:space="preserve"> </w:t>
      </w:r>
      <w:r w:rsidRPr="00844A7A">
        <w:rPr>
          <w:rFonts w:eastAsia="Times New Roman"/>
          <w:noProof/>
          <w:szCs w:val="24"/>
        </w:rPr>
        <w:t xml:space="preserve">provide for </w:t>
      </w:r>
      <w:r w:rsidR="006730CE">
        <w:rPr>
          <w:rFonts w:eastAsia="Times New Roman"/>
          <w:noProof/>
          <w:szCs w:val="24"/>
        </w:rPr>
        <w:t xml:space="preserve">an institutional framework and safeguards modelled upon the EU Treaties to protect the autonomy and uniform interpretation of </w:t>
      </w:r>
      <w:r w:rsidR="00464F4D">
        <w:rPr>
          <w:rFonts w:eastAsia="Times New Roman"/>
          <w:noProof/>
          <w:szCs w:val="24"/>
        </w:rPr>
        <w:t xml:space="preserve">the </w:t>
      </w:r>
      <w:r w:rsidR="006730CE">
        <w:rPr>
          <w:rFonts w:eastAsia="Times New Roman"/>
          <w:noProof/>
          <w:szCs w:val="24"/>
        </w:rPr>
        <w:t xml:space="preserve">EU </w:t>
      </w:r>
      <w:r w:rsidR="00464F4D">
        <w:rPr>
          <w:rFonts w:eastAsia="Times New Roman"/>
          <w:noProof/>
          <w:szCs w:val="24"/>
        </w:rPr>
        <w:t xml:space="preserve">roaming </w:t>
      </w:r>
      <w:r w:rsidR="00464F4D" w:rsidRPr="006D735E">
        <w:rPr>
          <w:rFonts w:eastAsia="Times New Roman"/>
          <w:i/>
          <w:iCs/>
          <w:noProof/>
          <w:szCs w:val="24"/>
        </w:rPr>
        <w:t>acquis</w:t>
      </w:r>
      <w:r w:rsidR="00464F4D">
        <w:rPr>
          <w:rFonts w:eastAsia="Times New Roman"/>
          <w:noProof/>
          <w:szCs w:val="24"/>
        </w:rPr>
        <w:t xml:space="preserve"> </w:t>
      </w:r>
      <w:r w:rsidR="006730CE">
        <w:rPr>
          <w:rFonts w:eastAsia="Times New Roman"/>
          <w:noProof/>
          <w:szCs w:val="24"/>
        </w:rPr>
        <w:t xml:space="preserve">and to put the Union in a position </w:t>
      </w:r>
      <w:r w:rsidR="00694C71">
        <w:rPr>
          <w:rFonts w:eastAsia="Times New Roman"/>
          <w:noProof/>
          <w:szCs w:val="24"/>
        </w:rPr>
        <w:t xml:space="preserve">effectively </w:t>
      </w:r>
      <w:r w:rsidR="006730CE">
        <w:rPr>
          <w:rFonts w:eastAsia="Times New Roman"/>
          <w:noProof/>
          <w:szCs w:val="24"/>
        </w:rPr>
        <w:t xml:space="preserve">to react in case of non-compliance. </w:t>
      </w:r>
      <w:r w:rsidR="004A5594">
        <w:rPr>
          <w:rFonts w:eastAsia="Times New Roman"/>
          <w:noProof/>
          <w:szCs w:val="24"/>
        </w:rPr>
        <w:t>T</w:t>
      </w:r>
      <w:r w:rsidR="004A5594" w:rsidRPr="004A5594">
        <w:rPr>
          <w:rFonts w:eastAsia="Times New Roman"/>
          <w:noProof/>
          <w:szCs w:val="24"/>
        </w:rPr>
        <w:t>he willingness and readiness of the WB6 to incorporate key EU law mechanisms into their legal orders will enable them to demonstrate their preparedness to assume the responsibilities of EU membership</w:t>
      </w:r>
      <w:r w:rsidR="004A5594">
        <w:rPr>
          <w:rFonts w:eastAsia="Times New Roman"/>
          <w:noProof/>
          <w:szCs w:val="24"/>
        </w:rPr>
        <w:t xml:space="preserve">. </w:t>
      </w:r>
    </w:p>
    <w:p w14:paraId="5691CC82" w14:textId="4369B336" w:rsidR="00131EDA" w:rsidRPr="00844A7A" w:rsidRDefault="00464F4D" w:rsidP="00131EDA">
      <w:pPr>
        <w:rPr>
          <w:rFonts w:eastAsia="Times New Roman"/>
          <w:noProof/>
          <w:szCs w:val="24"/>
        </w:rPr>
      </w:pPr>
      <w:r>
        <w:rPr>
          <w:rFonts w:eastAsia="Times New Roman"/>
          <w:noProof/>
          <w:szCs w:val="24"/>
        </w:rPr>
        <w:t xml:space="preserve">Each of the </w:t>
      </w:r>
      <w:r w:rsidR="00694C71">
        <w:rPr>
          <w:rFonts w:eastAsia="Times New Roman"/>
          <w:noProof/>
          <w:szCs w:val="24"/>
        </w:rPr>
        <w:t xml:space="preserve">WB6 </w:t>
      </w:r>
      <w:r>
        <w:rPr>
          <w:rFonts w:eastAsia="Times New Roman"/>
          <w:noProof/>
          <w:szCs w:val="24"/>
        </w:rPr>
        <w:t xml:space="preserve">partners </w:t>
      </w:r>
      <w:r w:rsidR="00E10AA2">
        <w:rPr>
          <w:rFonts w:eastAsia="Times New Roman"/>
          <w:noProof/>
          <w:szCs w:val="24"/>
        </w:rPr>
        <w:t>will have to</w:t>
      </w:r>
      <w:r w:rsidR="00696325">
        <w:rPr>
          <w:rFonts w:eastAsia="Times New Roman"/>
          <w:noProof/>
          <w:szCs w:val="24"/>
        </w:rPr>
        <w:t xml:space="preserve"> </w:t>
      </w:r>
      <w:r w:rsidRPr="00464F4D">
        <w:rPr>
          <w:rFonts w:eastAsia="Times New Roman"/>
          <w:noProof/>
          <w:szCs w:val="24"/>
        </w:rPr>
        <w:t xml:space="preserve">ensure that </w:t>
      </w:r>
      <w:r>
        <w:rPr>
          <w:rFonts w:eastAsia="Times New Roman"/>
          <w:noProof/>
          <w:szCs w:val="24"/>
        </w:rPr>
        <w:t xml:space="preserve">EU legal </w:t>
      </w:r>
      <w:r w:rsidR="00694C71">
        <w:rPr>
          <w:rFonts w:eastAsia="Times New Roman"/>
          <w:noProof/>
          <w:szCs w:val="24"/>
        </w:rPr>
        <w:t xml:space="preserve">acts </w:t>
      </w:r>
      <w:r>
        <w:rPr>
          <w:rFonts w:eastAsia="Times New Roman"/>
          <w:noProof/>
          <w:szCs w:val="24"/>
        </w:rPr>
        <w:t xml:space="preserve">specified in the agreements </w:t>
      </w:r>
      <w:r w:rsidRPr="00464F4D">
        <w:rPr>
          <w:rFonts w:eastAsia="Times New Roman"/>
          <w:noProof/>
          <w:szCs w:val="24"/>
        </w:rPr>
        <w:t xml:space="preserve">have the same legal effects as they have in the legal order of a Member State pursuant to Article 288 TFEU and the case-law of the Court of Justice. Where the acts </w:t>
      </w:r>
      <w:r>
        <w:rPr>
          <w:rFonts w:eastAsia="Times New Roman"/>
          <w:noProof/>
          <w:szCs w:val="24"/>
        </w:rPr>
        <w:t>in question</w:t>
      </w:r>
      <w:r w:rsidRPr="00464F4D">
        <w:rPr>
          <w:rFonts w:eastAsia="Times New Roman"/>
          <w:noProof/>
          <w:szCs w:val="24"/>
        </w:rPr>
        <w:t xml:space="preserve"> create rights and obligations that individuals can invoke before national courts of Member States without the need for further implementation by a Member State, such provisions </w:t>
      </w:r>
      <w:r w:rsidR="00E11A2B">
        <w:rPr>
          <w:rFonts w:eastAsia="Times New Roman"/>
          <w:noProof/>
          <w:szCs w:val="24"/>
        </w:rPr>
        <w:t>will also have to</w:t>
      </w:r>
      <w:r w:rsidR="00D84D26">
        <w:rPr>
          <w:rFonts w:eastAsia="Times New Roman"/>
          <w:noProof/>
          <w:szCs w:val="24"/>
        </w:rPr>
        <w:t xml:space="preserve"> </w:t>
      </w:r>
      <w:r w:rsidRPr="00464F4D">
        <w:rPr>
          <w:rFonts w:eastAsia="Times New Roman"/>
          <w:noProof/>
          <w:szCs w:val="24"/>
        </w:rPr>
        <w:t xml:space="preserve">also create rights and obligations that individuals can invoke before the national courts of each </w:t>
      </w:r>
      <w:r>
        <w:rPr>
          <w:rFonts w:eastAsia="Times New Roman"/>
          <w:noProof/>
          <w:szCs w:val="24"/>
        </w:rPr>
        <w:t xml:space="preserve">of the Union’s partners </w:t>
      </w:r>
      <w:r w:rsidRPr="00464F4D">
        <w:rPr>
          <w:rFonts w:eastAsia="Times New Roman"/>
          <w:noProof/>
          <w:szCs w:val="24"/>
        </w:rPr>
        <w:t xml:space="preserve">without the need for further implementation. </w:t>
      </w:r>
      <w:r w:rsidR="00131EDA" w:rsidRPr="00844A7A">
        <w:rPr>
          <w:rFonts w:eastAsia="Times New Roman"/>
          <w:noProof/>
          <w:szCs w:val="24"/>
        </w:rPr>
        <w:t xml:space="preserve">Furthermore, the questions concerning the EU acts specified in the agreements, </w:t>
      </w:r>
      <w:r w:rsidR="00E11A2B">
        <w:rPr>
          <w:rFonts w:eastAsia="Times New Roman"/>
          <w:noProof/>
          <w:szCs w:val="24"/>
        </w:rPr>
        <w:t>will</w:t>
      </w:r>
      <w:r w:rsidR="00696325">
        <w:rPr>
          <w:rFonts w:eastAsia="Times New Roman"/>
          <w:noProof/>
          <w:szCs w:val="24"/>
        </w:rPr>
        <w:t xml:space="preserve"> </w:t>
      </w:r>
      <w:r w:rsidR="00131EDA" w:rsidRPr="00844A7A">
        <w:rPr>
          <w:rFonts w:eastAsia="Times New Roman"/>
          <w:noProof/>
          <w:szCs w:val="24"/>
        </w:rPr>
        <w:t xml:space="preserve">be under the exclusive competence of the Court of Justice of the European Union. </w:t>
      </w:r>
    </w:p>
    <w:p w14:paraId="325F7663" w14:textId="49B668E3" w:rsidR="00131EDA" w:rsidRPr="00844A7A" w:rsidRDefault="00A12031" w:rsidP="00131EDA">
      <w:pPr>
        <w:rPr>
          <w:rFonts w:eastAsia="Times New Roman"/>
          <w:noProof/>
          <w:szCs w:val="24"/>
        </w:rPr>
      </w:pPr>
      <w:r>
        <w:rPr>
          <w:rFonts w:eastAsia="Times New Roman"/>
          <w:noProof/>
          <w:szCs w:val="24"/>
        </w:rPr>
        <w:t xml:space="preserve">The Agreements will include a </w:t>
      </w:r>
      <w:r w:rsidR="00464F4D">
        <w:rPr>
          <w:rFonts w:eastAsia="Times New Roman"/>
          <w:noProof/>
          <w:szCs w:val="24"/>
        </w:rPr>
        <w:t xml:space="preserve">reliable </w:t>
      </w:r>
      <w:r w:rsidR="00131EDA" w:rsidRPr="00844A7A">
        <w:rPr>
          <w:rFonts w:eastAsia="Times New Roman"/>
          <w:noProof/>
          <w:szCs w:val="24"/>
        </w:rPr>
        <w:t xml:space="preserve">mechanism to ensure that legal acts </w:t>
      </w:r>
      <w:r w:rsidR="00464F4D">
        <w:rPr>
          <w:rFonts w:eastAsia="Times New Roman"/>
          <w:noProof/>
          <w:szCs w:val="24"/>
        </w:rPr>
        <w:t xml:space="preserve">amending the EU roaming </w:t>
      </w:r>
      <w:r w:rsidR="00464F4D" w:rsidRPr="006030AD">
        <w:rPr>
          <w:rFonts w:eastAsia="Times New Roman"/>
          <w:i/>
          <w:iCs/>
          <w:noProof/>
          <w:szCs w:val="24"/>
        </w:rPr>
        <w:t xml:space="preserve">acquis </w:t>
      </w:r>
      <w:r w:rsidR="00131EDA" w:rsidRPr="00844A7A">
        <w:rPr>
          <w:rFonts w:eastAsia="Times New Roman"/>
          <w:noProof/>
          <w:szCs w:val="24"/>
        </w:rPr>
        <w:t xml:space="preserve">are dynamically incorporated into the agreement, thus ensuring a common legal framework at all times; </w:t>
      </w:r>
      <w:r w:rsidR="00FA6FA7">
        <w:rPr>
          <w:rFonts w:eastAsia="Times New Roman"/>
          <w:noProof/>
          <w:szCs w:val="24"/>
        </w:rPr>
        <w:t>T</w:t>
      </w:r>
      <w:r w:rsidR="00131EDA" w:rsidRPr="00844A7A">
        <w:rPr>
          <w:rFonts w:eastAsia="Times New Roman"/>
          <w:noProof/>
          <w:szCs w:val="24"/>
        </w:rPr>
        <w:t>he</w:t>
      </w:r>
      <w:r w:rsidR="00B24DA0">
        <w:rPr>
          <w:rFonts w:eastAsia="Times New Roman"/>
          <w:noProof/>
          <w:szCs w:val="24"/>
        </w:rPr>
        <w:t xml:space="preserve"> Court of Justice of </w:t>
      </w:r>
      <w:r w:rsidR="00D84D26">
        <w:rPr>
          <w:rFonts w:eastAsia="Times New Roman"/>
          <w:noProof/>
          <w:szCs w:val="24"/>
        </w:rPr>
        <w:t xml:space="preserve">the </w:t>
      </w:r>
      <w:r w:rsidR="00B24DA0">
        <w:rPr>
          <w:rFonts w:eastAsia="Times New Roman"/>
          <w:noProof/>
          <w:szCs w:val="24"/>
        </w:rPr>
        <w:t xml:space="preserve">European Union </w:t>
      </w:r>
      <w:r w:rsidR="00FA6FA7">
        <w:rPr>
          <w:rFonts w:eastAsia="Times New Roman"/>
          <w:noProof/>
          <w:szCs w:val="24"/>
        </w:rPr>
        <w:t xml:space="preserve">will be </w:t>
      </w:r>
      <w:r w:rsidR="00131EDA" w:rsidRPr="00844A7A">
        <w:rPr>
          <w:rFonts w:eastAsia="Times New Roman"/>
          <w:noProof/>
          <w:szCs w:val="24"/>
        </w:rPr>
        <w:t xml:space="preserve">the ultimate authority for interpreting the respective </w:t>
      </w:r>
      <w:r w:rsidR="00131EDA">
        <w:rPr>
          <w:rFonts w:eastAsia="Times New Roman"/>
          <w:noProof/>
          <w:szCs w:val="24"/>
        </w:rPr>
        <w:t>a</w:t>
      </w:r>
      <w:r w:rsidR="00131EDA" w:rsidRPr="00844A7A">
        <w:rPr>
          <w:rFonts w:eastAsia="Times New Roman"/>
          <w:noProof/>
          <w:szCs w:val="24"/>
        </w:rPr>
        <w:t>greements and providing interpretations for national courts in WB6 when requested</w:t>
      </w:r>
      <w:r w:rsidR="00696325">
        <w:rPr>
          <w:rFonts w:eastAsia="Times New Roman"/>
          <w:noProof/>
          <w:szCs w:val="24"/>
        </w:rPr>
        <w:t>.</w:t>
      </w:r>
      <w:r w:rsidR="00131EDA" w:rsidRPr="00844A7A">
        <w:rPr>
          <w:rFonts w:eastAsia="Times New Roman"/>
          <w:noProof/>
          <w:szCs w:val="24"/>
        </w:rPr>
        <w:t xml:space="preserve"> </w:t>
      </w:r>
      <w:r w:rsidR="00416093">
        <w:rPr>
          <w:rFonts w:eastAsia="Times New Roman"/>
          <w:noProof/>
          <w:szCs w:val="24"/>
        </w:rPr>
        <w:t>T</w:t>
      </w:r>
      <w:r w:rsidR="00131EDA" w:rsidRPr="00844A7A">
        <w:rPr>
          <w:rFonts w:eastAsia="Times New Roman"/>
          <w:noProof/>
          <w:szCs w:val="24"/>
        </w:rPr>
        <w:t xml:space="preserve">he </w:t>
      </w:r>
      <w:r w:rsidR="00416093">
        <w:rPr>
          <w:rFonts w:eastAsia="Times New Roman"/>
          <w:noProof/>
          <w:szCs w:val="24"/>
        </w:rPr>
        <w:t>Court of Justice of the European Union</w:t>
      </w:r>
      <w:r w:rsidR="00131EDA" w:rsidRPr="00844A7A">
        <w:rPr>
          <w:rFonts w:eastAsia="Times New Roman"/>
          <w:noProof/>
          <w:szCs w:val="24"/>
        </w:rPr>
        <w:t xml:space="preserve"> </w:t>
      </w:r>
      <w:r w:rsidR="00682881">
        <w:rPr>
          <w:rFonts w:eastAsia="Times New Roman"/>
          <w:noProof/>
          <w:szCs w:val="24"/>
        </w:rPr>
        <w:t xml:space="preserve">will have </w:t>
      </w:r>
      <w:r w:rsidR="00131EDA" w:rsidRPr="00844A7A">
        <w:rPr>
          <w:rFonts w:eastAsia="Times New Roman"/>
          <w:noProof/>
          <w:szCs w:val="24"/>
        </w:rPr>
        <w:t xml:space="preserve">exclusive jurisdiction to review the legality of decisions made by EU institutions under the respective </w:t>
      </w:r>
      <w:r w:rsidR="00131EDA">
        <w:rPr>
          <w:rFonts w:eastAsia="Times New Roman"/>
          <w:noProof/>
          <w:szCs w:val="24"/>
        </w:rPr>
        <w:t>a</w:t>
      </w:r>
      <w:r w:rsidR="00131EDA" w:rsidRPr="00844A7A">
        <w:rPr>
          <w:rFonts w:eastAsia="Times New Roman"/>
          <w:noProof/>
          <w:szCs w:val="24"/>
        </w:rPr>
        <w:t>greements.</w:t>
      </w:r>
    </w:p>
    <w:p w14:paraId="134D81AB" w14:textId="77777777" w:rsidR="00131EDA" w:rsidRDefault="00131EDA" w:rsidP="00131EDA">
      <w:pPr>
        <w:rPr>
          <w:rFonts w:eastAsia="Times New Roman"/>
          <w:b/>
          <w:bCs/>
          <w:noProof/>
          <w:szCs w:val="24"/>
        </w:rPr>
      </w:pPr>
    </w:p>
    <w:p w14:paraId="1F743E76" w14:textId="77777777" w:rsidR="00131EDA" w:rsidRPr="00844A7A" w:rsidRDefault="00131EDA" w:rsidP="00131EDA">
      <w:pPr>
        <w:rPr>
          <w:rFonts w:eastAsia="Times New Roman"/>
          <w:b/>
          <w:bCs/>
          <w:noProof/>
          <w:szCs w:val="24"/>
        </w:rPr>
      </w:pPr>
      <w:r w:rsidRPr="00844A7A">
        <w:rPr>
          <w:rFonts w:eastAsia="Times New Roman"/>
          <w:b/>
          <w:bCs/>
          <w:noProof/>
          <w:szCs w:val="24"/>
        </w:rPr>
        <w:t xml:space="preserve">Interpretation </w:t>
      </w:r>
    </w:p>
    <w:p w14:paraId="498CF754" w14:textId="1242177C" w:rsidR="00131EDA" w:rsidRPr="00844A7A" w:rsidRDefault="00131EDA" w:rsidP="00131EDA">
      <w:pPr>
        <w:rPr>
          <w:rFonts w:eastAsia="Times New Roman"/>
          <w:noProof/>
          <w:szCs w:val="24"/>
        </w:rPr>
      </w:pPr>
      <w:r w:rsidRPr="00844A7A">
        <w:rPr>
          <w:rFonts w:eastAsia="Times New Roman"/>
          <w:noProof/>
          <w:szCs w:val="24"/>
        </w:rPr>
        <w:t xml:space="preserve">The agreements and EU roaming </w:t>
      </w:r>
      <w:r w:rsidRPr="00844A7A">
        <w:rPr>
          <w:rFonts w:eastAsia="Times New Roman"/>
          <w:i/>
          <w:iCs/>
          <w:noProof/>
          <w:szCs w:val="24"/>
        </w:rPr>
        <w:t>acquis</w:t>
      </w:r>
      <w:r w:rsidRPr="00844A7A">
        <w:rPr>
          <w:rFonts w:eastAsia="Times New Roman"/>
          <w:noProof/>
          <w:szCs w:val="24"/>
        </w:rPr>
        <w:t xml:space="preserve"> </w:t>
      </w:r>
      <w:r w:rsidR="00682881">
        <w:rPr>
          <w:rFonts w:eastAsia="Times New Roman"/>
          <w:noProof/>
          <w:szCs w:val="24"/>
        </w:rPr>
        <w:t>will</w:t>
      </w:r>
      <w:r w:rsidRPr="00844A7A">
        <w:rPr>
          <w:rFonts w:eastAsia="Times New Roman"/>
          <w:noProof/>
          <w:szCs w:val="24"/>
        </w:rPr>
        <w:t xml:space="preserve"> be interpreted in their implementation and application in line with the rulings and decisions of the Court of Justice</w:t>
      </w:r>
      <w:r>
        <w:rPr>
          <w:rFonts w:eastAsia="Times New Roman"/>
          <w:noProof/>
          <w:szCs w:val="24"/>
        </w:rPr>
        <w:t>.</w:t>
      </w:r>
      <w:r w:rsidRPr="00844A7A">
        <w:rPr>
          <w:rFonts w:eastAsia="Times New Roman"/>
          <w:noProof/>
          <w:szCs w:val="24"/>
        </w:rPr>
        <w:t xml:space="preserve">  </w:t>
      </w:r>
    </w:p>
    <w:p w14:paraId="3FF92FC7" w14:textId="4469C71C" w:rsidR="00131EDA" w:rsidRPr="00844A7A" w:rsidRDefault="00131EDA" w:rsidP="00131EDA">
      <w:pPr>
        <w:spacing w:after="0"/>
        <w:rPr>
          <w:rFonts w:eastAsia="Times New Roman"/>
          <w:noProof/>
          <w:szCs w:val="24"/>
        </w:rPr>
      </w:pPr>
      <w:r w:rsidRPr="00844A7A">
        <w:rPr>
          <w:rFonts w:eastAsia="Times New Roman"/>
          <w:noProof/>
          <w:szCs w:val="24"/>
        </w:rPr>
        <w:t>Furthermore, if a question of interpretation arises before a national court or tribunal of a WB6</w:t>
      </w:r>
      <w:r>
        <w:rPr>
          <w:rFonts w:eastAsia="Times New Roman"/>
          <w:noProof/>
          <w:szCs w:val="24"/>
        </w:rPr>
        <w:t xml:space="preserve"> partner</w:t>
      </w:r>
      <w:r w:rsidRPr="00844A7A">
        <w:rPr>
          <w:rFonts w:eastAsia="Times New Roman"/>
          <w:noProof/>
          <w:szCs w:val="24"/>
        </w:rPr>
        <w:t xml:space="preserve">, regarding the agreements or the </w:t>
      </w:r>
      <w:r w:rsidRPr="00844A7A">
        <w:rPr>
          <w:rFonts w:eastAsia="Times New Roman"/>
          <w:i/>
          <w:iCs/>
          <w:noProof/>
          <w:szCs w:val="24"/>
        </w:rPr>
        <w:t>national acts</w:t>
      </w:r>
      <w:r w:rsidRPr="00844A7A">
        <w:rPr>
          <w:rFonts w:eastAsia="Times New Roman"/>
          <w:noProof/>
          <w:szCs w:val="24"/>
        </w:rPr>
        <w:t xml:space="preserve"> adopted in pursuance thereof which are identical in substance to corresponding rules of the TFEU or to acts adopted pursuant to the TFEU,  the national court or tribunal </w:t>
      </w:r>
      <w:r w:rsidR="00882645">
        <w:rPr>
          <w:rFonts w:eastAsia="Times New Roman"/>
          <w:noProof/>
          <w:szCs w:val="24"/>
        </w:rPr>
        <w:t xml:space="preserve">will </w:t>
      </w:r>
      <w:r w:rsidRPr="00844A7A">
        <w:rPr>
          <w:rFonts w:eastAsia="Times New Roman"/>
          <w:noProof/>
          <w:szCs w:val="24"/>
        </w:rPr>
        <w:t xml:space="preserve">have the possibility to ask the Court of Justice to decide on the question. When the national court or tribunal is one against whose decision there is no judicial remedy under national law, it </w:t>
      </w:r>
      <w:r w:rsidR="00882645">
        <w:rPr>
          <w:rFonts w:eastAsia="Times New Roman"/>
          <w:noProof/>
          <w:szCs w:val="24"/>
        </w:rPr>
        <w:t xml:space="preserve">will </w:t>
      </w:r>
      <w:r w:rsidRPr="00844A7A">
        <w:rPr>
          <w:rFonts w:eastAsia="Times New Roman"/>
          <w:noProof/>
          <w:szCs w:val="24"/>
        </w:rPr>
        <w:t>be required to make a referral to the Court of Justice.</w:t>
      </w:r>
    </w:p>
    <w:p w14:paraId="55AAAC19" w14:textId="77777777" w:rsidR="00131EDA" w:rsidRDefault="00131EDA" w:rsidP="00131EDA">
      <w:pPr>
        <w:rPr>
          <w:rFonts w:eastAsia="Times New Roman"/>
          <w:b/>
          <w:bCs/>
          <w:noProof/>
          <w:szCs w:val="24"/>
        </w:rPr>
      </w:pPr>
    </w:p>
    <w:p w14:paraId="0F992DE0" w14:textId="77777777" w:rsidR="00131EDA" w:rsidRPr="00844A7A" w:rsidRDefault="00131EDA" w:rsidP="00131EDA">
      <w:pPr>
        <w:rPr>
          <w:rFonts w:eastAsia="Times New Roman"/>
          <w:b/>
          <w:bCs/>
          <w:noProof/>
          <w:szCs w:val="24"/>
        </w:rPr>
      </w:pPr>
      <w:r w:rsidRPr="00844A7A">
        <w:rPr>
          <w:rFonts w:eastAsia="Times New Roman"/>
          <w:b/>
          <w:bCs/>
          <w:noProof/>
          <w:szCs w:val="24"/>
        </w:rPr>
        <w:t>Institutional framework</w:t>
      </w:r>
    </w:p>
    <w:p w14:paraId="0281A858" w14:textId="4E680D7F" w:rsidR="00131EDA" w:rsidRPr="00844A7A" w:rsidRDefault="00975089" w:rsidP="2FA43655">
      <w:pPr>
        <w:spacing w:after="0"/>
        <w:rPr>
          <w:rFonts w:eastAsia="Times New Roman"/>
          <w:noProof/>
        </w:rPr>
      </w:pPr>
      <w:r w:rsidRPr="2FA43655">
        <w:rPr>
          <w:rFonts w:eastAsia="Times New Roman"/>
          <w:noProof/>
        </w:rPr>
        <w:t>Without prejudice to the involvement of the Commission and the</w:t>
      </w:r>
      <w:r w:rsidR="00377D22">
        <w:rPr>
          <w:rFonts w:eastAsia="Times New Roman"/>
          <w:noProof/>
        </w:rPr>
        <w:t xml:space="preserve"> Court of Justice</w:t>
      </w:r>
      <w:r w:rsidRPr="2FA43655">
        <w:rPr>
          <w:rFonts w:eastAsia="Times New Roman"/>
          <w:noProof/>
        </w:rPr>
        <w:t>, t</w:t>
      </w:r>
      <w:r w:rsidR="00131EDA" w:rsidRPr="2FA43655">
        <w:rPr>
          <w:rFonts w:eastAsia="Times New Roman"/>
          <w:noProof/>
        </w:rPr>
        <w:t xml:space="preserve">he administration of the </w:t>
      </w:r>
      <w:r w:rsidR="00F0168C">
        <w:rPr>
          <w:rFonts w:eastAsia="Times New Roman"/>
          <w:noProof/>
        </w:rPr>
        <w:t>recommended</w:t>
      </w:r>
      <w:r w:rsidR="00131EDA" w:rsidRPr="2FA43655">
        <w:rPr>
          <w:rFonts w:eastAsia="Times New Roman"/>
          <w:noProof/>
        </w:rPr>
        <w:t xml:space="preserve"> agreements </w:t>
      </w:r>
      <w:r w:rsidR="00377D22">
        <w:rPr>
          <w:rFonts w:eastAsia="Times New Roman"/>
          <w:noProof/>
        </w:rPr>
        <w:t xml:space="preserve">will </w:t>
      </w:r>
      <w:r w:rsidR="00131EDA" w:rsidRPr="2FA43655">
        <w:rPr>
          <w:rFonts w:eastAsia="Times New Roman"/>
          <w:noProof/>
        </w:rPr>
        <w:t xml:space="preserve">be to the extent possible in the remit of the </w:t>
      </w:r>
      <w:r w:rsidR="4878241E" w:rsidRPr="001E29D0">
        <w:rPr>
          <w:rFonts w:eastAsia="Times New Roman"/>
          <w:noProof/>
        </w:rPr>
        <w:t>Stabilisation and Association Committee</w:t>
      </w:r>
      <w:r w:rsidR="00131EDA" w:rsidRPr="2FA43655">
        <w:rPr>
          <w:rFonts w:eastAsia="Times New Roman"/>
          <w:noProof/>
        </w:rPr>
        <w:t xml:space="preserve"> set up by the Stabilisation and Association Council of </w:t>
      </w:r>
      <w:r w:rsidR="00F226A2">
        <w:rPr>
          <w:rFonts w:eastAsia="Times New Roman"/>
          <w:noProof/>
        </w:rPr>
        <w:t xml:space="preserve">the </w:t>
      </w:r>
      <w:r w:rsidR="00131EDA" w:rsidRPr="2FA43655">
        <w:rPr>
          <w:rFonts w:eastAsia="Times New Roman"/>
          <w:noProof/>
        </w:rPr>
        <w:t xml:space="preserve">SAAs, consisting </w:t>
      </w:r>
      <w:r w:rsidR="00EE7B63" w:rsidRPr="2FA43655">
        <w:rPr>
          <w:rFonts w:eastAsia="Times New Roman"/>
          <w:noProof/>
        </w:rPr>
        <w:t>of representatives</w:t>
      </w:r>
      <w:r w:rsidR="00131EDA" w:rsidRPr="2FA43655">
        <w:rPr>
          <w:rFonts w:eastAsia="Times New Roman"/>
          <w:noProof/>
        </w:rPr>
        <w:t xml:space="preserve"> of the EU and WB6. </w:t>
      </w:r>
    </w:p>
    <w:p w14:paraId="4323F3C3" w14:textId="77777777" w:rsidR="00131EDA" w:rsidRPr="00844A7A" w:rsidRDefault="00131EDA" w:rsidP="00131EDA">
      <w:pPr>
        <w:rPr>
          <w:rFonts w:eastAsia="Times New Roman"/>
          <w:b/>
          <w:bCs/>
          <w:noProof/>
          <w:szCs w:val="24"/>
        </w:rPr>
      </w:pPr>
    </w:p>
    <w:p w14:paraId="554B57BB" w14:textId="77777777" w:rsidR="00131EDA" w:rsidRPr="00844A7A" w:rsidRDefault="00131EDA" w:rsidP="00131EDA">
      <w:pPr>
        <w:rPr>
          <w:rFonts w:eastAsia="Times New Roman"/>
          <w:b/>
          <w:bCs/>
          <w:noProof/>
          <w:szCs w:val="24"/>
        </w:rPr>
      </w:pPr>
      <w:r w:rsidRPr="00844A7A">
        <w:rPr>
          <w:rFonts w:eastAsia="Times New Roman"/>
          <w:b/>
          <w:bCs/>
          <w:noProof/>
          <w:szCs w:val="24"/>
        </w:rPr>
        <w:t xml:space="preserve">Dispute settlement </w:t>
      </w:r>
    </w:p>
    <w:p w14:paraId="46719440" w14:textId="1B4D943E" w:rsidR="00131EDA" w:rsidRPr="00844A7A" w:rsidRDefault="00131EDA" w:rsidP="2FA43655">
      <w:pPr>
        <w:spacing w:after="0"/>
        <w:rPr>
          <w:rFonts w:eastAsia="Times New Roman"/>
          <w:noProof/>
        </w:rPr>
      </w:pPr>
      <w:r w:rsidRPr="2FA43655">
        <w:rPr>
          <w:rFonts w:eastAsia="Times New Roman"/>
          <w:noProof/>
        </w:rPr>
        <w:t xml:space="preserve">The Agreements </w:t>
      </w:r>
      <w:r w:rsidR="00377D22">
        <w:rPr>
          <w:rFonts w:eastAsia="Times New Roman"/>
          <w:noProof/>
        </w:rPr>
        <w:t xml:space="preserve">will </w:t>
      </w:r>
      <w:r w:rsidRPr="2FA43655">
        <w:rPr>
          <w:rFonts w:eastAsia="Times New Roman"/>
          <w:noProof/>
        </w:rPr>
        <w:t xml:space="preserve">set out the procedure for settlement of disputes between the parties concerning the application or interpretation of the Agreements. </w:t>
      </w:r>
      <w:r w:rsidR="00464F4D" w:rsidRPr="2FA43655">
        <w:rPr>
          <w:rFonts w:eastAsia="Times New Roman"/>
          <w:noProof/>
        </w:rPr>
        <w:t xml:space="preserve">There </w:t>
      </w:r>
      <w:r w:rsidR="00292B79">
        <w:rPr>
          <w:rFonts w:eastAsia="Times New Roman"/>
          <w:noProof/>
        </w:rPr>
        <w:t xml:space="preserve">will </w:t>
      </w:r>
      <w:r w:rsidR="00464F4D" w:rsidRPr="2FA43655">
        <w:rPr>
          <w:rFonts w:eastAsia="Times New Roman"/>
          <w:noProof/>
        </w:rPr>
        <w:t xml:space="preserve">be the possibility for the Commission to bring infringement proceedings modelled upon Article 258 TFEU. Similarly, the </w:t>
      </w:r>
      <w:r w:rsidRPr="2FA43655">
        <w:rPr>
          <w:rFonts w:eastAsia="Times"/>
          <w:noProof/>
        </w:rPr>
        <w:t>WB6</w:t>
      </w:r>
      <w:r w:rsidRPr="2FA43655">
        <w:rPr>
          <w:rFonts w:eastAsia="Times New Roman"/>
          <w:noProof/>
        </w:rPr>
        <w:t xml:space="preserve"> </w:t>
      </w:r>
      <w:r w:rsidR="00292B79">
        <w:rPr>
          <w:rFonts w:eastAsia="Times New Roman"/>
          <w:noProof/>
        </w:rPr>
        <w:t xml:space="preserve">will </w:t>
      </w:r>
      <w:r w:rsidRPr="2FA43655">
        <w:rPr>
          <w:rFonts w:eastAsia="Times New Roman"/>
          <w:noProof/>
        </w:rPr>
        <w:t xml:space="preserve">be able to bring a dispute regarding the application or </w:t>
      </w:r>
      <w:r w:rsidRPr="001E29D0">
        <w:rPr>
          <w:rFonts w:eastAsia="Times New Roman"/>
          <w:noProof/>
        </w:rPr>
        <w:t>interpretation of the respective agreement before the</w:t>
      </w:r>
      <w:r w:rsidR="00292B79">
        <w:rPr>
          <w:rFonts w:eastAsia="Times New Roman"/>
          <w:noProof/>
        </w:rPr>
        <w:t xml:space="preserve"> Court of Justice</w:t>
      </w:r>
      <w:r w:rsidRPr="001E29D0">
        <w:rPr>
          <w:rFonts w:eastAsia="Times New Roman"/>
          <w:noProof/>
        </w:rPr>
        <w:t>.</w:t>
      </w:r>
      <w:r w:rsidRPr="001E29D0">
        <w:rPr>
          <w:noProof/>
        </w:rPr>
        <w:t xml:space="preserve"> </w:t>
      </w:r>
      <w:r w:rsidRPr="2FA43655">
        <w:rPr>
          <w:rFonts w:eastAsia="Times New Roman"/>
          <w:noProof/>
        </w:rPr>
        <w:t>The modalities according to which the Court of Justice</w:t>
      </w:r>
      <w:r w:rsidR="00464F4D" w:rsidRPr="2FA43655">
        <w:rPr>
          <w:rFonts w:eastAsia="Times New Roman"/>
          <w:noProof/>
        </w:rPr>
        <w:t xml:space="preserve"> rules on the disputes and questions of interpretation brought before it </w:t>
      </w:r>
      <w:r w:rsidR="00B06E0B">
        <w:rPr>
          <w:rFonts w:eastAsia="Times New Roman"/>
          <w:noProof/>
        </w:rPr>
        <w:t xml:space="preserve">will </w:t>
      </w:r>
      <w:r w:rsidRPr="2FA43655">
        <w:rPr>
          <w:rFonts w:eastAsia="Times New Roman"/>
          <w:noProof/>
        </w:rPr>
        <w:t>be set out in an annex to the agreements.</w:t>
      </w:r>
    </w:p>
    <w:p w14:paraId="0E5123A2" w14:textId="77777777" w:rsidR="00131EDA" w:rsidRPr="00844A7A" w:rsidRDefault="00131EDA" w:rsidP="00131EDA">
      <w:pPr>
        <w:rPr>
          <w:rFonts w:eastAsia="Times New Roman"/>
          <w:b/>
          <w:bCs/>
          <w:noProof/>
          <w:szCs w:val="24"/>
        </w:rPr>
      </w:pPr>
    </w:p>
    <w:p w14:paraId="59D0C329" w14:textId="77777777" w:rsidR="00131EDA" w:rsidRPr="00844A7A" w:rsidRDefault="00131EDA" w:rsidP="00131EDA">
      <w:pPr>
        <w:rPr>
          <w:rFonts w:eastAsia="Times New Roman"/>
          <w:b/>
          <w:bCs/>
          <w:noProof/>
          <w:szCs w:val="24"/>
        </w:rPr>
      </w:pPr>
      <w:r w:rsidRPr="00844A7A">
        <w:rPr>
          <w:rFonts w:eastAsia="Times New Roman"/>
          <w:b/>
          <w:bCs/>
          <w:noProof/>
          <w:szCs w:val="24"/>
        </w:rPr>
        <w:t>Safeguards</w:t>
      </w:r>
    </w:p>
    <w:p w14:paraId="38DBD669" w14:textId="6330D37E" w:rsidR="00131EDA" w:rsidRPr="00844A7A" w:rsidRDefault="00F23758" w:rsidP="00131EDA">
      <w:pPr>
        <w:rPr>
          <w:rFonts w:eastAsia="Times New Roman"/>
          <w:noProof/>
          <w:szCs w:val="24"/>
        </w:rPr>
      </w:pPr>
      <w:r>
        <w:rPr>
          <w:rFonts w:eastAsia="Times New Roman"/>
          <w:noProof/>
          <w:szCs w:val="24"/>
        </w:rPr>
        <w:t>Should</w:t>
      </w:r>
      <w:r w:rsidR="00694C71">
        <w:rPr>
          <w:rFonts w:eastAsia="Times New Roman"/>
          <w:noProof/>
          <w:szCs w:val="24"/>
        </w:rPr>
        <w:t xml:space="preserve"> a WB6 not comply with a ruling of the</w:t>
      </w:r>
      <w:r>
        <w:rPr>
          <w:rFonts w:eastAsia="Times New Roman"/>
          <w:noProof/>
          <w:szCs w:val="24"/>
        </w:rPr>
        <w:t xml:space="preserve"> Court of Justice</w:t>
      </w:r>
      <w:r w:rsidR="00694C71">
        <w:rPr>
          <w:rFonts w:eastAsia="Times New Roman"/>
          <w:noProof/>
          <w:szCs w:val="24"/>
        </w:rPr>
        <w:t xml:space="preserve">, the Commission </w:t>
      </w:r>
      <w:r>
        <w:rPr>
          <w:rFonts w:eastAsia="Times New Roman"/>
          <w:noProof/>
          <w:szCs w:val="24"/>
        </w:rPr>
        <w:t xml:space="preserve">will </w:t>
      </w:r>
      <w:r w:rsidR="00694C71">
        <w:rPr>
          <w:rFonts w:eastAsia="Times New Roman"/>
          <w:noProof/>
          <w:szCs w:val="24"/>
        </w:rPr>
        <w:t>be empowered to suspend parts of the agreement</w:t>
      </w:r>
      <w:r w:rsidR="00975089">
        <w:rPr>
          <w:rFonts w:eastAsia="Times New Roman"/>
          <w:noProof/>
          <w:szCs w:val="24"/>
        </w:rPr>
        <w:t xml:space="preserve"> without further requirements</w:t>
      </w:r>
      <w:r w:rsidR="00694C71">
        <w:rPr>
          <w:rFonts w:eastAsia="Times New Roman"/>
          <w:noProof/>
          <w:szCs w:val="24"/>
        </w:rPr>
        <w:t>.</w:t>
      </w:r>
    </w:p>
    <w:p w14:paraId="11E7038A" w14:textId="77777777" w:rsidR="00D77662" w:rsidRDefault="00D77662" w:rsidP="00131EDA">
      <w:pPr>
        <w:rPr>
          <w:rFonts w:eastAsia="Times New Roman"/>
          <w:b/>
          <w:bCs/>
          <w:noProof/>
          <w:szCs w:val="24"/>
        </w:rPr>
      </w:pPr>
    </w:p>
    <w:p w14:paraId="64BD3DCE" w14:textId="6A7126B6" w:rsidR="00131EDA" w:rsidRPr="00844A7A" w:rsidRDefault="00131EDA" w:rsidP="00131EDA">
      <w:pPr>
        <w:rPr>
          <w:rFonts w:eastAsia="Times New Roman"/>
          <w:b/>
          <w:bCs/>
          <w:noProof/>
          <w:szCs w:val="24"/>
        </w:rPr>
      </w:pPr>
      <w:r w:rsidRPr="00844A7A">
        <w:rPr>
          <w:rFonts w:eastAsia="Times New Roman"/>
          <w:b/>
          <w:bCs/>
          <w:noProof/>
          <w:szCs w:val="24"/>
        </w:rPr>
        <w:t>Relationships with Other Agreements</w:t>
      </w:r>
    </w:p>
    <w:p w14:paraId="4AF8E280" w14:textId="16D3222F" w:rsidR="00131EDA" w:rsidRPr="00844A7A" w:rsidRDefault="00131EDA" w:rsidP="00131EDA">
      <w:pPr>
        <w:spacing w:after="0"/>
        <w:rPr>
          <w:rFonts w:eastAsia="Times New Roman"/>
          <w:noProof/>
          <w:szCs w:val="24"/>
        </w:rPr>
      </w:pPr>
      <w:r w:rsidRPr="00844A7A">
        <w:rPr>
          <w:rFonts w:eastAsia="Times New Roman"/>
          <w:noProof/>
          <w:szCs w:val="24"/>
        </w:rPr>
        <w:t xml:space="preserve">The </w:t>
      </w:r>
      <w:r w:rsidR="00F0168C">
        <w:rPr>
          <w:rFonts w:eastAsia="Times New Roman"/>
          <w:noProof/>
          <w:szCs w:val="24"/>
        </w:rPr>
        <w:t>recommended</w:t>
      </w:r>
      <w:r w:rsidRPr="00844A7A">
        <w:rPr>
          <w:rFonts w:eastAsia="Times New Roman"/>
          <w:noProof/>
          <w:szCs w:val="24"/>
        </w:rPr>
        <w:t xml:space="preserve"> agreements </w:t>
      </w:r>
      <w:r w:rsidR="000214A4">
        <w:rPr>
          <w:rFonts w:eastAsia="Times New Roman"/>
          <w:noProof/>
          <w:szCs w:val="24"/>
        </w:rPr>
        <w:t>will</w:t>
      </w:r>
      <w:r w:rsidR="00813877">
        <w:rPr>
          <w:rFonts w:eastAsia="Times New Roman"/>
          <w:noProof/>
          <w:szCs w:val="24"/>
        </w:rPr>
        <w:t xml:space="preserve"> </w:t>
      </w:r>
      <w:r w:rsidRPr="00844A7A">
        <w:rPr>
          <w:rFonts w:eastAsia="Times New Roman"/>
          <w:noProof/>
          <w:szCs w:val="24"/>
        </w:rPr>
        <w:t xml:space="preserve">become an integral part of the overall relations between the Union and </w:t>
      </w:r>
      <w:r>
        <w:rPr>
          <w:rFonts w:eastAsia="Times New Roman"/>
          <w:noProof/>
          <w:szCs w:val="24"/>
        </w:rPr>
        <w:t xml:space="preserve">Republic of </w:t>
      </w:r>
      <w:r w:rsidRPr="00844A7A">
        <w:rPr>
          <w:rFonts w:eastAsia="Times"/>
          <w:noProof/>
          <w:szCs w:val="24"/>
        </w:rPr>
        <w:t>Albania, Bosnia and Herzegovina</w:t>
      </w:r>
      <w:r w:rsidR="00BF46B3">
        <w:rPr>
          <w:rFonts w:eastAsia="Times"/>
          <w:noProof/>
          <w:szCs w:val="24"/>
        </w:rPr>
        <w:t>,</w:t>
      </w:r>
      <w:r>
        <w:rPr>
          <w:rFonts w:eastAsia="Times"/>
          <w:noProof/>
          <w:szCs w:val="24"/>
        </w:rPr>
        <w:t xml:space="preserve"> </w:t>
      </w:r>
      <w:r w:rsidRPr="00844A7A">
        <w:rPr>
          <w:rFonts w:eastAsia="Times"/>
          <w:noProof/>
          <w:szCs w:val="24"/>
        </w:rPr>
        <w:t xml:space="preserve">Kosovo, </w:t>
      </w:r>
      <w:r>
        <w:rPr>
          <w:rFonts w:eastAsia="Times"/>
          <w:noProof/>
          <w:szCs w:val="24"/>
        </w:rPr>
        <w:t xml:space="preserve">Republic of </w:t>
      </w:r>
      <w:r w:rsidRPr="00844A7A">
        <w:rPr>
          <w:rFonts w:eastAsia="Times"/>
          <w:noProof/>
          <w:szCs w:val="24"/>
        </w:rPr>
        <w:t xml:space="preserve">North Macedonia, Montenegro and </w:t>
      </w:r>
      <w:r>
        <w:rPr>
          <w:rFonts w:eastAsia="Times"/>
          <w:noProof/>
          <w:szCs w:val="24"/>
        </w:rPr>
        <w:t xml:space="preserve">Republic of </w:t>
      </w:r>
      <w:r w:rsidRPr="00844A7A">
        <w:rPr>
          <w:rFonts w:eastAsia="Times"/>
          <w:noProof/>
          <w:szCs w:val="24"/>
        </w:rPr>
        <w:t>Serbia</w:t>
      </w:r>
      <w:r w:rsidRPr="00844A7A">
        <w:rPr>
          <w:rFonts w:eastAsia="Times New Roman"/>
          <w:noProof/>
          <w:szCs w:val="24"/>
        </w:rPr>
        <w:t xml:space="preserve">, as established by their respective SAAs, and should form part of a common institutional framework. They </w:t>
      </w:r>
      <w:r w:rsidR="000214A4">
        <w:rPr>
          <w:rFonts w:eastAsia="Times New Roman"/>
          <w:noProof/>
          <w:szCs w:val="24"/>
        </w:rPr>
        <w:t xml:space="preserve">will </w:t>
      </w:r>
      <w:r w:rsidRPr="00844A7A">
        <w:rPr>
          <w:rFonts w:eastAsia="Times New Roman"/>
          <w:noProof/>
          <w:szCs w:val="24"/>
        </w:rPr>
        <w:t xml:space="preserve">constitute specific agreements, which will give effect to the trade provisions of the SAAs and together with the </w:t>
      </w:r>
      <w:r w:rsidR="000214A4">
        <w:rPr>
          <w:rFonts w:eastAsia="Times New Roman"/>
          <w:noProof/>
          <w:szCs w:val="24"/>
        </w:rPr>
        <w:t xml:space="preserve">respective </w:t>
      </w:r>
      <w:r w:rsidRPr="00844A7A">
        <w:rPr>
          <w:rFonts w:eastAsia="Times New Roman"/>
          <w:noProof/>
          <w:szCs w:val="24"/>
        </w:rPr>
        <w:t xml:space="preserve">Free </w:t>
      </w:r>
      <w:r w:rsidR="000214A4">
        <w:rPr>
          <w:rFonts w:eastAsia="Times New Roman"/>
          <w:noProof/>
          <w:szCs w:val="24"/>
        </w:rPr>
        <w:t>T</w:t>
      </w:r>
      <w:r w:rsidRPr="00844A7A">
        <w:rPr>
          <w:rFonts w:eastAsia="Times New Roman"/>
          <w:noProof/>
          <w:szCs w:val="24"/>
        </w:rPr>
        <w:t xml:space="preserve">rade Agreement will form a free trade area consistent with Article V of the GATS. </w:t>
      </w:r>
    </w:p>
    <w:p w14:paraId="49161A19" w14:textId="77777777" w:rsidR="00131EDA" w:rsidRPr="00844A7A" w:rsidRDefault="00131EDA" w:rsidP="00131EDA">
      <w:pPr>
        <w:rPr>
          <w:rFonts w:eastAsia="Times New Roman"/>
          <w:b/>
          <w:bCs/>
          <w:noProof/>
          <w:szCs w:val="24"/>
        </w:rPr>
      </w:pPr>
    </w:p>
    <w:p w14:paraId="40E99B04" w14:textId="77777777" w:rsidR="00E62296" w:rsidRDefault="00E62296" w:rsidP="00131EDA">
      <w:pPr>
        <w:rPr>
          <w:rFonts w:eastAsia="Times New Roman"/>
          <w:b/>
          <w:bCs/>
          <w:noProof/>
          <w:szCs w:val="24"/>
        </w:rPr>
      </w:pPr>
    </w:p>
    <w:p w14:paraId="6FF40380" w14:textId="05D11399" w:rsidR="00131EDA" w:rsidRPr="00844A7A" w:rsidRDefault="00131EDA" w:rsidP="00131EDA">
      <w:pPr>
        <w:rPr>
          <w:rFonts w:eastAsia="Times New Roman"/>
          <w:b/>
          <w:bCs/>
          <w:noProof/>
          <w:szCs w:val="24"/>
        </w:rPr>
      </w:pPr>
      <w:r w:rsidRPr="00844A7A">
        <w:rPr>
          <w:rFonts w:eastAsia="Times New Roman"/>
          <w:b/>
          <w:bCs/>
          <w:noProof/>
          <w:szCs w:val="24"/>
        </w:rPr>
        <w:t>Termination of the Agreement</w:t>
      </w:r>
      <w:r w:rsidR="00D60DFA">
        <w:rPr>
          <w:rFonts w:eastAsia="Times New Roman"/>
          <w:b/>
          <w:bCs/>
          <w:noProof/>
          <w:szCs w:val="24"/>
        </w:rPr>
        <w:t>s</w:t>
      </w:r>
    </w:p>
    <w:p w14:paraId="71291D95" w14:textId="47AB8D03" w:rsidR="0002085D" w:rsidRPr="00EC14C2" w:rsidRDefault="001632D5" w:rsidP="0002085D">
      <w:pPr>
        <w:rPr>
          <w:rFonts w:eastAsia="Times New Roman"/>
          <w:noProof/>
          <w:szCs w:val="24"/>
          <w:lang w:val="en-IE"/>
        </w:rPr>
      </w:pPr>
      <w:bookmarkStart w:id="2" w:name="_Hlk216260136"/>
      <w:r w:rsidRPr="00EC14C2">
        <w:rPr>
          <w:rFonts w:eastAsia="Times New Roman"/>
          <w:noProof/>
          <w:szCs w:val="24"/>
        </w:rPr>
        <w:t>The Agreements will be concluded for an in</w:t>
      </w:r>
      <w:r w:rsidR="00EC14C2">
        <w:rPr>
          <w:rFonts w:eastAsia="Times New Roman"/>
          <w:noProof/>
          <w:szCs w:val="24"/>
        </w:rPr>
        <w:t>d</w:t>
      </w:r>
      <w:r w:rsidRPr="00EC14C2">
        <w:rPr>
          <w:rFonts w:eastAsia="Times New Roman"/>
          <w:noProof/>
          <w:szCs w:val="24"/>
        </w:rPr>
        <w:t>efinite perio</w:t>
      </w:r>
      <w:r w:rsidR="00EC14C2">
        <w:rPr>
          <w:rFonts w:eastAsia="Times New Roman"/>
          <w:noProof/>
          <w:szCs w:val="24"/>
        </w:rPr>
        <w:t>d</w:t>
      </w:r>
      <w:r w:rsidRPr="00EC14C2">
        <w:rPr>
          <w:rFonts w:eastAsia="Times New Roman"/>
          <w:noProof/>
          <w:szCs w:val="24"/>
        </w:rPr>
        <w:t>.</w:t>
      </w:r>
      <w:r w:rsidR="00EC14C2">
        <w:rPr>
          <w:rFonts w:eastAsia="Times New Roman"/>
          <w:noProof/>
          <w:szCs w:val="24"/>
        </w:rPr>
        <w:t xml:space="preserve"> </w:t>
      </w:r>
      <w:r w:rsidRPr="00EC14C2">
        <w:rPr>
          <w:rFonts w:eastAsia="Times New Roman"/>
          <w:noProof/>
          <w:szCs w:val="24"/>
        </w:rPr>
        <w:t>The Agreements</w:t>
      </w:r>
      <w:r w:rsidR="00F623B3" w:rsidRPr="00EC14C2">
        <w:rPr>
          <w:rFonts w:eastAsia="Times New Roman"/>
          <w:noProof/>
          <w:szCs w:val="24"/>
        </w:rPr>
        <w:t xml:space="preserve"> will lay down the conditions and procedures under which the Union may suspend, in whole or in part, the application of the Agreement</w:t>
      </w:r>
      <w:r w:rsidR="00F623B3" w:rsidRPr="00256C81">
        <w:rPr>
          <w:rFonts w:eastAsia="Times New Roman"/>
          <w:noProof/>
          <w:szCs w:val="24"/>
        </w:rPr>
        <w:t>s</w:t>
      </w:r>
      <w:r w:rsidR="00F623B3" w:rsidRPr="00EC14C2">
        <w:rPr>
          <w:rFonts w:eastAsia="Times New Roman"/>
          <w:noProof/>
          <w:szCs w:val="24"/>
        </w:rPr>
        <w:t>, as well as the procedure and notice periods for terminating the Agreements.</w:t>
      </w:r>
      <w:r w:rsidR="00F623B3" w:rsidRPr="00EC14C2">
        <w:rPr>
          <w:rFonts w:eastAsia="Times New Roman"/>
          <w:i/>
          <w:iCs/>
          <w:noProof/>
          <w:szCs w:val="24"/>
        </w:rPr>
        <w:t xml:space="preserve"> </w:t>
      </w:r>
    </w:p>
    <w:bookmarkEnd w:id="2"/>
    <w:p w14:paraId="03B5F13A" w14:textId="77777777" w:rsidR="00D51DE8" w:rsidRPr="00EC14C2" w:rsidRDefault="00D51DE8" w:rsidP="2FA43655">
      <w:pPr>
        <w:rPr>
          <w:rFonts w:eastAsia="Times New Roman"/>
          <w:noProof/>
          <w:szCs w:val="24"/>
          <w:lang w:val="en-IE"/>
        </w:rPr>
      </w:pPr>
    </w:p>
    <w:p w14:paraId="055A6913" w14:textId="77777777" w:rsidR="00131EDA" w:rsidRDefault="00131EDA" w:rsidP="00131EDA">
      <w:pPr>
        <w:keepNext/>
        <w:keepLines/>
        <w:rPr>
          <w:noProof/>
        </w:rPr>
      </w:pPr>
      <w:r w:rsidRPr="00B97935">
        <w:rPr>
          <w:noProof/>
          <w:color w:val="000000"/>
        </w:rPr>
        <w:t>This Decision is addressed t</w:t>
      </w:r>
      <w:r>
        <w:rPr>
          <w:noProof/>
          <w:color w:val="000000"/>
        </w:rPr>
        <w:t xml:space="preserve">o the Commission. </w:t>
      </w:r>
    </w:p>
    <w:p w14:paraId="787DAE14" w14:textId="77777777" w:rsidR="00131EDA" w:rsidRDefault="00131EDA" w:rsidP="00131EDA">
      <w:pPr>
        <w:pStyle w:val="Fait"/>
        <w:rPr>
          <w:noProof/>
        </w:rPr>
      </w:pPr>
    </w:p>
    <w:p w14:paraId="088C2D9B" w14:textId="77777777" w:rsidR="00131EDA" w:rsidRDefault="00131EDA" w:rsidP="00131EDA">
      <w:pPr>
        <w:pStyle w:val="Institutionquisigne"/>
        <w:rPr>
          <w:noProof/>
        </w:rPr>
      </w:pPr>
      <w:r w:rsidRPr="00956F0A">
        <w:rPr>
          <w:noProof/>
        </w:rPr>
        <w:tab/>
        <w:t>For the Council</w:t>
      </w:r>
    </w:p>
    <w:p w14:paraId="04BE3C00" w14:textId="77777777" w:rsidR="00131EDA" w:rsidRPr="001C3DAD" w:rsidRDefault="00131EDA" w:rsidP="00131EDA">
      <w:pPr>
        <w:pStyle w:val="Personnequisigne"/>
        <w:rPr>
          <w:noProof/>
        </w:rPr>
      </w:pPr>
      <w:r w:rsidRPr="00956F0A">
        <w:rPr>
          <w:noProof/>
        </w:rPr>
        <w:tab/>
        <w:t>The President</w:t>
      </w:r>
    </w:p>
    <w:p w14:paraId="1F2B1C1C" w14:textId="77777777" w:rsidR="00905D22" w:rsidRPr="003C332A" w:rsidRDefault="00905D22" w:rsidP="003C332A">
      <w:pPr>
        <w:rPr>
          <w:noProof/>
        </w:rPr>
      </w:pPr>
    </w:p>
    <w:sectPr w:rsidR="00905D22" w:rsidRPr="003C332A" w:rsidSect="006F72EA">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628F9" w14:textId="77777777" w:rsidR="00360AAB" w:rsidRDefault="00360AAB" w:rsidP="003C332A">
      <w:pPr>
        <w:spacing w:before="0" w:after="0"/>
      </w:pPr>
      <w:r>
        <w:separator/>
      </w:r>
    </w:p>
  </w:endnote>
  <w:endnote w:type="continuationSeparator" w:id="0">
    <w:p w14:paraId="120F95B7" w14:textId="77777777" w:rsidR="00360AAB" w:rsidRDefault="00360AAB" w:rsidP="003C332A">
      <w:pPr>
        <w:spacing w:before="0" w:after="0"/>
      </w:pPr>
      <w:r>
        <w:continuationSeparator/>
      </w:r>
    </w:p>
  </w:endnote>
  <w:endnote w:type="continuationNotice" w:id="1">
    <w:p w14:paraId="47D54617" w14:textId="77777777" w:rsidR="00360AAB" w:rsidRDefault="00360AA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31F32" w14:textId="2116FC3E" w:rsidR="006F72EA" w:rsidRPr="006F72EA" w:rsidRDefault="006F72EA" w:rsidP="006F72EA">
    <w:pPr>
      <w:pStyle w:val="Footer"/>
      <w:rPr>
        <w:rFonts w:ascii="Arial" w:hAnsi="Arial" w:cs="Arial"/>
        <w:b/>
        <w:sz w:val="48"/>
      </w:rPr>
    </w:pPr>
    <w:r w:rsidRPr="006F72EA">
      <w:rPr>
        <w:rFonts w:ascii="Arial" w:hAnsi="Arial" w:cs="Arial"/>
        <w:b/>
        <w:sz w:val="48"/>
      </w:rPr>
      <w:t>EN</w:t>
    </w:r>
    <w:r w:rsidRPr="006F72EA">
      <w:rPr>
        <w:rFonts w:ascii="Arial" w:hAnsi="Arial" w:cs="Arial"/>
        <w:b/>
        <w:sz w:val="48"/>
      </w:rPr>
      <w:tab/>
    </w:r>
    <w:r w:rsidRPr="006F72EA">
      <w:rPr>
        <w:rFonts w:ascii="Arial" w:hAnsi="Arial" w:cs="Arial"/>
        <w:b/>
        <w:sz w:val="48"/>
      </w:rPr>
      <w:tab/>
    </w:r>
    <w:r w:rsidRPr="006F72EA">
      <w:tab/>
    </w:r>
    <w:r w:rsidRPr="006F72E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6DD5F" w14:textId="00023A92" w:rsidR="006F72EA" w:rsidRPr="006F72EA" w:rsidRDefault="006F72EA" w:rsidP="006F72EA">
    <w:pPr>
      <w:pStyle w:val="Footer"/>
      <w:rPr>
        <w:rFonts w:ascii="Arial" w:hAnsi="Arial" w:cs="Arial"/>
        <w:b/>
        <w:sz w:val="48"/>
      </w:rPr>
    </w:pPr>
    <w:r w:rsidRPr="006F72EA">
      <w:rPr>
        <w:rFonts w:ascii="Arial" w:hAnsi="Arial" w:cs="Arial"/>
        <w:b/>
        <w:sz w:val="48"/>
      </w:rPr>
      <w:t>EN</w:t>
    </w:r>
    <w:r w:rsidRPr="006F72EA">
      <w:rPr>
        <w:rFonts w:ascii="Arial" w:hAnsi="Arial" w:cs="Arial"/>
        <w:b/>
        <w:sz w:val="48"/>
      </w:rPr>
      <w:tab/>
    </w:r>
    <w:r w:rsidRPr="006F72EA">
      <w:rPr>
        <w:rFonts w:ascii="Arial" w:hAnsi="Arial" w:cs="Arial"/>
        <w:b/>
        <w:sz w:val="48"/>
      </w:rPr>
      <w:tab/>
    </w:r>
    <w:r w:rsidRPr="006F72EA">
      <w:tab/>
    </w:r>
    <w:r w:rsidRPr="006F72E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0DC69" w14:textId="77777777" w:rsidR="006F72EA" w:rsidRPr="006F72EA" w:rsidRDefault="006F72EA" w:rsidP="006F72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02E20" w14:textId="77777777" w:rsidR="006F72EA" w:rsidRDefault="006F72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40C05" w14:textId="6EDF73D5" w:rsidR="006F72EA" w:rsidRPr="006F72EA" w:rsidRDefault="006F72EA" w:rsidP="006F72EA">
    <w:pPr>
      <w:pStyle w:val="Footer"/>
      <w:rPr>
        <w:rFonts w:ascii="Arial" w:hAnsi="Arial" w:cs="Arial"/>
        <w:b/>
        <w:sz w:val="48"/>
      </w:rPr>
    </w:pPr>
    <w:r w:rsidRPr="006F72EA">
      <w:rPr>
        <w:rFonts w:ascii="Arial" w:hAnsi="Arial" w:cs="Arial"/>
        <w:b/>
        <w:sz w:val="48"/>
      </w:rPr>
      <w:t>EN</w:t>
    </w:r>
    <w:r w:rsidRPr="006F72E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F72EA">
      <w:tab/>
    </w:r>
    <w:r w:rsidRPr="006F72EA">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DA0AC" w14:textId="77777777" w:rsidR="006F72EA" w:rsidRDefault="006F72EA" w:rsidP="006F72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5F2570" w14:textId="77777777" w:rsidR="00360AAB" w:rsidRDefault="00360AAB" w:rsidP="003C332A">
      <w:pPr>
        <w:spacing w:before="0" w:after="0"/>
      </w:pPr>
      <w:r>
        <w:separator/>
      </w:r>
    </w:p>
  </w:footnote>
  <w:footnote w:type="continuationSeparator" w:id="0">
    <w:p w14:paraId="2AA49DCA" w14:textId="77777777" w:rsidR="00360AAB" w:rsidRDefault="00360AAB" w:rsidP="003C332A">
      <w:pPr>
        <w:spacing w:before="0" w:after="0"/>
      </w:pPr>
      <w:r>
        <w:continuationSeparator/>
      </w:r>
    </w:p>
  </w:footnote>
  <w:footnote w:type="continuationNotice" w:id="1">
    <w:p w14:paraId="01DEB9CB" w14:textId="77777777" w:rsidR="00360AAB" w:rsidRDefault="00360AAB">
      <w:pPr>
        <w:spacing w:before="0" w:after="0"/>
      </w:pPr>
    </w:p>
  </w:footnote>
  <w:footnote w:id="2">
    <w:p w14:paraId="6AE04815" w14:textId="0C556373" w:rsidR="00BF46B3" w:rsidRDefault="00BF46B3">
      <w:pPr>
        <w:pStyle w:val="FootnoteText"/>
      </w:pPr>
      <w:r>
        <w:rPr>
          <w:rStyle w:val="FootnoteReference"/>
        </w:rPr>
        <w:t>*</w:t>
      </w:r>
      <w:r>
        <w:tab/>
      </w:r>
      <w:r w:rsidRPr="00BF46B3">
        <w:t>This designation is without prejudice to positions on status, and is in line with UNSCR 1244/1999 and the ICJ Opinion on the Kosovo declaration of independence.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71B92" w14:textId="77777777" w:rsidR="006F72EA" w:rsidRPr="006F72EA" w:rsidRDefault="006F72EA" w:rsidP="006F72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739CB" w14:textId="77777777" w:rsidR="006F72EA" w:rsidRPr="006F72EA" w:rsidRDefault="006F72EA" w:rsidP="006F72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1D785" w14:textId="77777777" w:rsidR="006F72EA" w:rsidRPr="006F72EA" w:rsidRDefault="006F72EA" w:rsidP="006F72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BC165" w14:textId="77777777" w:rsidR="006F72EA" w:rsidRDefault="006F72E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86393" w14:textId="77777777" w:rsidR="006F72EA" w:rsidRDefault="006F72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526AB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C9CFB5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D5A75D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A5E9A4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9 08:29: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F9D9A478-C1A8-453C-AB1D-731EE33A821A"/>
    <w:docVar w:name="LW_COVERPAGE_TYPE" w:val="1"/>
    <w:docVar w:name="LW_CreatedUtc" w:val="2025-09-12T13:51:56.5721181Z"/>
    <w:docVar w:name="LW_CROSSREFERENCE" w:val="&lt;UNUSED&gt;"/>
    <w:docVar w:name="LW_DocType" w:val="ANNEX"/>
    <w:docVar w:name="LW_EMISSION" w:val="25.2.2026"/>
    <w:docVar w:name="LW_EMISSION_ISODATE" w:val="2026-02-25"/>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uthorising the opening of negotiations on individual agreements between the European Union and Republic of Albania, Bosnia and Herzegovina, Kosovo*, Montenegro, the Republic of North Macedonia and the Republic of Serbia on roaming on public mobile communications networks"/>
    <w:docVar w:name="LW_OBJETACTEPRINCIPAL.CP" w:val="authorising the opening of negotiations on individual agreements between the European Union and Republic of Albania, Bosnia and Herzegovina, Kosovo*, Montenegro, the Republic of North Macedonia and the Republic of Serbia on roaming on public mobile communications networks"/>
    <w:docVar w:name="LW_PART_NBR" w:val="1"/>
    <w:docVar w:name="LW_PART_NBR_TOTAL" w:val="1"/>
    <w:docVar w:name="LW_REF.INST.NEW" w:val="COM"/>
    <w:docVar w:name="LW_REF.INST.NEW_ADOPTED" w:val="final"/>
    <w:docVar w:name="LW_REF.INST.NEW_TEXT" w:val="(2026) 7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Recommendation for a Council Decision "/>
    <w:docVar w:name="LW_TYPEACTEPRINCIPAL.CP" w:val="Recommendation for a Council Decision "/>
    <w:docVar w:name="LwApiVersions" w:val="LW4CoDe 1.24.5.0; LW 9.2, Build 20251112"/>
  </w:docVars>
  <w:rsids>
    <w:rsidRoot w:val="003C332A"/>
    <w:rsid w:val="00000314"/>
    <w:rsid w:val="0002085D"/>
    <w:rsid w:val="000214A4"/>
    <w:rsid w:val="0002233D"/>
    <w:rsid w:val="00026884"/>
    <w:rsid w:val="00051B5B"/>
    <w:rsid w:val="00054556"/>
    <w:rsid w:val="00057D4C"/>
    <w:rsid w:val="000600D5"/>
    <w:rsid w:val="00062026"/>
    <w:rsid w:val="00064A75"/>
    <w:rsid w:val="00064DAB"/>
    <w:rsid w:val="00074F9E"/>
    <w:rsid w:val="00090796"/>
    <w:rsid w:val="000933A2"/>
    <w:rsid w:val="000A0712"/>
    <w:rsid w:val="000A2D34"/>
    <w:rsid w:val="000A66F0"/>
    <w:rsid w:val="000D6242"/>
    <w:rsid w:val="000E5947"/>
    <w:rsid w:val="000E5BC1"/>
    <w:rsid w:val="00100969"/>
    <w:rsid w:val="00110FD3"/>
    <w:rsid w:val="00113B47"/>
    <w:rsid w:val="00122BDE"/>
    <w:rsid w:val="00123007"/>
    <w:rsid w:val="00125BD1"/>
    <w:rsid w:val="00131EDA"/>
    <w:rsid w:val="001327C7"/>
    <w:rsid w:val="00136534"/>
    <w:rsid w:val="00136535"/>
    <w:rsid w:val="00151764"/>
    <w:rsid w:val="00151C1B"/>
    <w:rsid w:val="00162699"/>
    <w:rsid w:val="001632D5"/>
    <w:rsid w:val="00163ABF"/>
    <w:rsid w:val="001658C1"/>
    <w:rsid w:val="00165C4F"/>
    <w:rsid w:val="00167852"/>
    <w:rsid w:val="00171B25"/>
    <w:rsid w:val="00174FF0"/>
    <w:rsid w:val="00176159"/>
    <w:rsid w:val="00181729"/>
    <w:rsid w:val="00185AB5"/>
    <w:rsid w:val="001868FE"/>
    <w:rsid w:val="0019116A"/>
    <w:rsid w:val="001B0C6D"/>
    <w:rsid w:val="001B5B42"/>
    <w:rsid w:val="001C0E15"/>
    <w:rsid w:val="001C4601"/>
    <w:rsid w:val="001E29D0"/>
    <w:rsid w:val="001E38FC"/>
    <w:rsid w:val="001E7518"/>
    <w:rsid w:val="001F343E"/>
    <w:rsid w:val="00205AA0"/>
    <w:rsid w:val="00211A1C"/>
    <w:rsid w:val="00232B9C"/>
    <w:rsid w:val="002331F7"/>
    <w:rsid w:val="00235F4B"/>
    <w:rsid w:val="002518E5"/>
    <w:rsid w:val="00256C81"/>
    <w:rsid w:val="00276761"/>
    <w:rsid w:val="00282F89"/>
    <w:rsid w:val="00283A84"/>
    <w:rsid w:val="00284595"/>
    <w:rsid w:val="00292866"/>
    <w:rsid w:val="00292B79"/>
    <w:rsid w:val="00294721"/>
    <w:rsid w:val="002A16BC"/>
    <w:rsid w:val="002A3852"/>
    <w:rsid w:val="002A5993"/>
    <w:rsid w:val="002B23E1"/>
    <w:rsid w:val="002C7C94"/>
    <w:rsid w:val="002D37F7"/>
    <w:rsid w:val="002E17CD"/>
    <w:rsid w:val="002E1B09"/>
    <w:rsid w:val="002F499B"/>
    <w:rsid w:val="00305CA7"/>
    <w:rsid w:val="00306C79"/>
    <w:rsid w:val="0031047E"/>
    <w:rsid w:val="00337A4A"/>
    <w:rsid w:val="00345190"/>
    <w:rsid w:val="003455BA"/>
    <w:rsid w:val="00356A3C"/>
    <w:rsid w:val="00360212"/>
    <w:rsid w:val="00360AAB"/>
    <w:rsid w:val="00361150"/>
    <w:rsid w:val="003646DD"/>
    <w:rsid w:val="00377D22"/>
    <w:rsid w:val="00384A49"/>
    <w:rsid w:val="0038565F"/>
    <w:rsid w:val="003876ED"/>
    <w:rsid w:val="003A01F1"/>
    <w:rsid w:val="003A3F9F"/>
    <w:rsid w:val="003A47C0"/>
    <w:rsid w:val="003B0AC4"/>
    <w:rsid w:val="003C2123"/>
    <w:rsid w:val="003C332A"/>
    <w:rsid w:val="003C7F95"/>
    <w:rsid w:val="003D4E45"/>
    <w:rsid w:val="003E0D3D"/>
    <w:rsid w:val="003E0DA1"/>
    <w:rsid w:val="003E12D9"/>
    <w:rsid w:val="003E34F8"/>
    <w:rsid w:val="003E3B0F"/>
    <w:rsid w:val="003E7BAC"/>
    <w:rsid w:val="00403F8A"/>
    <w:rsid w:val="00413499"/>
    <w:rsid w:val="00416093"/>
    <w:rsid w:val="00416189"/>
    <w:rsid w:val="00426F9E"/>
    <w:rsid w:val="0042790A"/>
    <w:rsid w:val="00432A5D"/>
    <w:rsid w:val="00454206"/>
    <w:rsid w:val="00464F4D"/>
    <w:rsid w:val="00471062"/>
    <w:rsid w:val="00487963"/>
    <w:rsid w:val="00490982"/>
    <w:rsid w:val="00491120"/>
    <w:rsid w:val="004915CF"/>
    <w:rsid w:val="00492EB7"/>
    <w:rsid w:val="004A2C26"/>
    <w:rsid w:val="004A4B17"/>
    <w:rsid w:val="004A5594"/>
    <w:rsid w:val="004A7C09"/>
    <w:rsid w:val="004B2DBD"/>
    <w:rsid w:val="004B3602"/>
    <w:rsid w:val="004B3CB5"/>
    <w:rsid w:val="004F407F"/>
    <w:rsid w:val="004F5045"/>
    <w:rsid w:val="004F64FB"/>
    <w:rsid w:val="0050440D"/>
    <w:rsid w:val="00514A77"/>
    <w:rsid w:val="00527E41"/>
    <w:rsid w:val="005337A3"/>
    <w:rsid w:val="0053578A"/>
    <w:rsid w:val="00554F95"/>
    <w:rsid w:val="0055701D"/>
    <w:rsid w:val="00562985"/>
    <w:rsid w:val="00566EF0"/>
    <w:rsid w:val="00571087"/>
    <w:rsid w:val="005714A1"/>
    <w:rsid w:val="00571545"/>
    <w:rsid w:val="00573AD7"/>
    <w:rsid w:val="00580792"/>
    <w:rsid w:val="005811A7"/>
    <w:rsid w:val="00591425"/>
    <w:rsid w:val="00596823"/>
    <w:rsid w:val="00597074"/>
    <w:rsid w:val="005A3769"/>
    <w:rsid w:val="005A5D22"/>
    <w:rsid w:val="005A6FD7"/>
    <w:rsid w:val="005B14D1"/>
    <w:rsid w:val="005B3E88"/>
    <w:rsid w:val="005B443A"/>
    <w:rsid w:val="005D212A"/>
    <w:rsid w:val="005D5062"/>
    <w:rsid w:val="005E228A"/>
    <w:rsid w:val="005E725A"/>
    <w:rsid w:val="005F31CB"/>
    <w:rsid w:val="006030AD"/>
    <w:rsid w:val="00615357"/>
    <w:rsid w:val="006266DF"/>
    <w:rsid w:val="00626E37"/>
    <w:rsid w:val="006424CE"/>
    <w:rsid w:val="00642F02"/>
    <w:rsid w:val="00643BC3"/>
    <w:rsid w:val="0064739D"/>
    <w:rsid w:val="006514BB"/>
    <w:rsid w:val="00660E7F"/>
    <w:rsid w:val="00666483"/>
    <w:rsid w:val="00670DE1"/>
    <w:rsid w:val="006730CE"/>
    <w:rsid w:val="0068060E"/>
    <w:rsid w:val="00682881"/>
    <w:rsid w:val="006925B3"/>
    <w:rsid w:val="0069432C"/>
    <w:rsid w:val="00694C71"/>
    <w:rsid w:val="00695B6F"/>
    <w:rsid w:val="00696325"/>
    <w:rsid w:val="006A6BCB"/>
    <w:rsid w:val="006B39DB"/>
    <w:rsid w:val="006B4BED"/>
    <w:rsid w:val="006D1307"/>
    <w:rsid w:val="006D735E"/>
    <w:rsid w:val="006D7C19"/>
    <w:rsid w:val="006F2C2E"/>
    <w:rsid w:val="006F72EA"/>
    <w:rsid w:val="00713FC8"/>
    <w:rsid w:val="00730260"/>
    <w:rsid w:val="007330C7"/>
    <w:rsid w:val="00733F5A"/>
    <w:rsid w:val="00736E86"/>
    <w:rsid w:val="00745083"/>
    <w:rsid w:val="00756E91"/>
    <w:rsid w:val="007610C3"/>
    <w:rsid w:val="0076118F"/>
    <w:rsid w:val="0076393F"/>
    <w:rsid w:val="007713D5"/>
    <w:rsid w:val="00775CF7"/>
    <w:rsid w:val="007828CF"/>
    <w:rsid w:val="007870CA"/>
    <w:rsid w:val="00792187"/>
    <w:rsid w:val="007A4ACD"/>
    <w:rsid w:val="007C0F29"/>
    <w:rsid w:val="007C77EB"/>
    <w:rsid w:val="007E5425"/>
    <w:rsid w:val="007F10BE"/>
    <w:rsid w:val="007F752F"/>
    <w:rsid w:val="00801AC9"/>
    <w:rsid w:val="00812847"/>
    <w:rsid w:val="00813877"/>
    <w:rsid w:val="00817FD3"/>
    <w:rsid w:val="00863548"/>
    <w:rsid w:val="0086366C"/>
    <w:rsid w:val="00864153"/>
    <w:rsid w:val="008676FF"/>
    <w:rsid w:val="00882645"/>
    <w:rsid w:val="0088386B"/>
    <w:rsid w:val="00885514"/>
    <w:rsid w:val="00895BD2"/>
    <w:rsid w:val="00896F8D"/>
    <w:rsid w:val="00897455"/>
    <w:rsid w:val="008A3BA0"/>
    <w:rsid w:val="008A55B4"/>
    <w:rsid w:val="008B14E4"/>
    <w:rsid w:val="008C338D"/>
    <w:rsid w:val="008D3CAD"/>
    <w:rsid w:val="008D6398"/>
    <w:rsid w:val="008E11A3"/>
    <w:rsid w:val="008F1D44"/>
    <w:rsid w:val="008F1F1D"/>
    <w:rsid w:val="008F2E04"/>
    <w:rsid w:val="008F5CE8"/>
    <w:rsid w:val="00905D22"/>
    <w:rsid w:val="0090787B"/>
    <w:rsid w:val="00907F85"/>
    <w:rsid w:val="009108AE"/>
    <w:rsid w:val="0091448C"/>
    <w:rsid w:val="009226B6"/>
    <w:rsid w:val="0092419A"/>
    <w:rsid w:val="0095618E"/>
    <w:rsid w:val="009615C9"/>
    <w:rsid w:val="00961AAA"/>
    <w:rsid w:val="009645DE"/>
    <w:rsid w:val="00972AE9"/>
    <w:rsid w:val="00972C71"/>
    <w:rsid w:val="0097358D"/>
    <w:rsid w:val="00974619"/>
    <w:rsid w:val="00975089"/>
    <w:rsid w:val="00975CAC"/>
    <w:rsid w:val="00980431"/>
    <w:rsid w:val="00982156"/>
    <w:rsid w:val="00982EC8"/>
    <w:rsid w:val="009864A9"/>
    <w:rsid w:val="009B6141"/>
    <w:rsid w:val="009C2B3C"/>
    <w:rsid w:val="009D3101"/>
    <w:rsid w:val="009D7503"/>
    <w:rsid w:val="009F366C"/>
    <w:rsid w:val="00A021E7"/>
    <w:rsid w:val="00A12031"/>
    <w:rsid w:val="00A227E8"/>
    <w:rsid w:val="00A41A1C"/>
    <w:rsid w:val="00A558A0"/>
    <w:rsid w:val="00A61657"/>
    <w:rsid w:val="00A6243B"/>
    <w:rsid w:val="00A64A34"/>
    <w:rsid w:val="00A71F6D"/>
    <w:rsid w:val="00AA2655"/>
    <w:rsid w:val="00AB1F5E"/>
    <w:rsid w:val="00AB2A5D"/>
    <w:rsid w:val="00AB50D8"/>
    <w:rsid w:val="00AC083D"/>
    <w:rsid w:val="00AD1C82"/>
    <w:rsid w:val="00AE5C2A"/>
    <w:rsid w:val="00B00793"/>
    <w:rsid w:val="00B00AC3"/>
    <w:rsid w:val="00B066EE"/>
    <w:rsid w:val="00B06E0B"/>
    <w:rsid w:val="00B10692"/>
    <w:rsid w:val="00B121AD"/>
    <w:rsid w:val="00B16AEE"/>
    <w:rsid w:val="00B202EE"/>
    <w:rsid w:val="00B23E54"/>
    <w:rsid w:val="00B24DA0"/>
    <w:rsid w:val="00B27348"/>
    <w:rsid w:val="00B47393"/>
    <w:rsid w:val="00B646A9"/>
    <w:rsid w:val="00B85C17"/>
    <w:rsid w:val="00B92F4E"/>
    <w:rsid w:val="00B94F93"/>
    <w:rsid w:val="00B9682B"/>
    <w:rsid w:val="00B96D8B"/>
    <w:rsid w:val="00BA235A"/>
    <w:rsid w:val="00BA4F3C"/>
    <w:rsid w:val="00BA6117"/>
    <w:rsid w:val="00BA6570"/>
    <w:rsid w:val="00BB2B82"/>
    <w:rsid w:val="00BB30BC"/>
    <w:rsid w:val="00BC29E6"/>
    <w:rsid w:val="00BF035A"/>
    <w:rsid w:val="00BF1713"/>
    <w:rsid w:val="00BF46B3"/>
    <w:rsid w:val="00BF781C"/>
    <w:rsid w:val="00C00212"/>
    <w:rsid w:val="00C108F7"/>
    <w:rsid w:val="00C151C7"/>
    <w:rsid w:val="00C23547"/>
    <w:rsid w:val="00C35646"/>
    <w:rsid w:val="00C43880"/>
    <w:rsid w:val="00C45BC9"/>
    <w:rsid w:val="00C4659E"/>
    <w:rsid w:val="00C53410"/>
    <w:rsid w:val="00C61AC3"/>
    <w:rsid w:val="00C6720E"/>
    <w:rsid w:val="00C70496"/>
    <w:rsid w:val="00C706DF"/>
    <w:rsid w:val="00C763A9"/>
    <w:rsid w:val="00C83306"/>
    <w:rsid w:val="00C953CA"/>
    <w:rsid w:val="00C97862"/>
    <w:rsid w:val="00CA02D0"/>
    <w:rsid w:val="00CA02D7"/>
    <w:rsid w:val="00CA2259"/>
    <w:rsid w:val="00CA3454"/>
    <w:rsid w:val="00CA8508"/>
    <w:rsid w:val="00CB1C64"/>
    <w:rsid w:val="00CC108A"/>
    <w:rsid w:val="00CC1997"/>
    <w:rsid w:val="00CC3715"/>
    <w:rsid w:val="00CD0288"/>
    <w:rsid w:val="00CD1C09"/>
    <w:rsid w:val="00CD7277"/>
    <w:rsid w:val="00CE0BC7"/>
    <w:rsid w:val="00CF61D2"/>
    <w:rsid w:val="00D0390A"/>
    <w:rsid w:val="00D14922"/>
    <w:rsid w:val="00D24692"/>
    <w:rsid w:val="00D2607E"/>
    <w:rsid w:val="00D30452"/>
    <w:rsid w:val="00D328C4"/>
    <w:rsid w:val="00D33986"/>
    <w:rsid w:val="00D51DE8"/>
    <w:rsid w:val="00D60DFA"/>
    <w:rsid w:val="00D66199"/>
    <w:rsid w:val="00D734D7"/>
    <w:rsid w:val="00D745A8"/>
    <w:rsid w:val="00D77662"/>
    <w:rsid w:val="00D804ED"/>
    <w:rsid w:val="00D84D26"/>
    <w:rsid w:val="00D95AF0"/>
    <w:rsid w:val="00DA0478"/>
    <w:rsid w:val="00DA48A9"/>
    <w:rsid w:val="00DA49E6"/>
    <w:rsid w:val="00DA5E5D"/>
    <w:rsid w:val="00DC1605"/>
    <w:rsid w:val="00DC1B14"/>
    <w:rsid w:val="00DD251A"/>
    <w:rsid w:val="00DD3593"/>
    <w:rsid w:val="00DD4169"/>
    <w:rsid w:val="00DD738B"/>
    <w:rsid w:val="00DD77CF"/>
    <w:rsid w:val="00DE2087"/>
    <w:rsid w:val="00DE58E6"/>
    <w:rsid w:val="00DE79CA"/>
    <w:rsid w:val="00DF6473"/>
    <w:rsid w:val="00DF7321"/>
    <w:rsid w:val="00E05856"/>
    <w:rsid w:val="00E10AA2"/>
    <w:rsid w:val="00E11A2B"/>
    <w:rsid w:val="00E16ECD"/>
    <w:rsid w:val="00E3579A"/>
    <w:rsid w:val="00E44E99"/>
    <w:rsid w:val="00E60224"/>
    <w:rsid w:val="00E62296"/>
    <w:rsid w:val="00E72190"/>
    <w:rsid w:val="00E80DAF"/>
    <w:rsid w:val="00E861F3"/>
    <w:rsid w:val="00E92C46"/>
    <w:rsid w:val="00E93B1E"/>
    <w:rsid w:val="00E959F2"/>
    <w:rsid w:val="00EA7802"/>
    <w:rsid w:val="00EB6601"/>
    <w:rsid w:val="00EC14C2"/>
    <w:rsid w:val="00EC2162"/>
    <w:rsid w:val="00ED348A"/>
    <w:rsid w:val="00ED7D58"/>
    <w:rsid w:val="00EE671E"/>
    <w:rsid w:val="00EE7B63"/>
    <w:rsid w:val="00EF20A5"/>
    <w:rsid w:val="00EF4AD8"/>
    <w:rsid w:val="00EF737B"/>
    <w:rsid w:val="00F0168C"/>
    <w:rsid w:val="00F02921"/>
    <w:rsid w:val="00F07631"/>
    <w:rsid w:val="00F07874"/>
    <w:rsid w:val="00F14DC2"/>
    <w:rsid w:val="00F21A00"/>
    <w:rsid w:val="00F226A2"/>
    <w:rsid w:val="00F23758"/>
    <w:rsid w:val="00F309ED"/>
    <w:rsid w:val="00F31266"/>
    <w:rsid w:val="00F53F53"/>
    <w:rsid w:val="00F623B3"/>
    <w:rsid w:val="00F7024E"/>
    <w:rsid w:val="00F74170"/>
    <w:rsid w:val="00F767E7"/>
    <w:rsid w:val="00F7787A"/>
    <w:rsid w:val="00F77DED"/>
    <w:rsid w:val="00F82260"/>
    <w:rsid w:val="00F9183A"/>
    <w:rsid w:val="00FA6FA7"/>
    <w:rsid w:val="00FB3967"/>
    <w:rsid w:val="00FB7AE1"/>
    <w:rsid w:val="00FC1AF6"/>
    <w:rsid w:val="00FC4812"/>
    <w:rsid w:val="00FD2475"/>
    <w:rsid w:val="00FD26D5"/>
    <w:rsid w:val="00FD6DC1"/>
    <w:rsid w:val="00FD7A67"/>
    <w:rsid w:val="00FE0F44"/>
    <w:rsid w:val="00FE23D5"/>
    <w:rsid w:val="04450EB4"/>
    <w:rsid w:val="083A5CC5"/>
    <w:rsid w:val="1E0D3B69"/>
    <w:rsid w:val="2FA43655"/>
    <w:rsid w:val="3A812696"/>
    <w:rsid w:val="3DEB712D"/>
    <w:rsid w:val="3F4AF95E"/>
    <w:rsid w:val="4878241E"/>
    <w:rsid w:val="54C99F97"/>
    <w:rsid w:val="59F0A968"/>
    <w:rsid w:val="5A9968CE"/>
    <w:rsid w:val="5D2DC520"/>
    <w:rsid w:val="5F4FD47D"/>
    <w:rsid w:val="5F6E098E"/>
    <w:rsid w:val="6E23E62A"/>
    <w:rsid w:val="6E86096D"/>
    <w:rsid w:val="737317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AB3824A"/>
  <w15:docId w15:val="{E5C0A8A7-795D-4CBF-8715-E550ACCC0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31EDA"/>
    <w:rPr>
      <w:sz w:val="16"/>
      <w:szCs w:val="16"/>
    </w:rPr>
  </w:style>
  <w:style w:type="character" w:styleId="Hyperlink">
    <w:name w:val="Hyperlink"/>
    <w:basedOn w:val="DefaultParagraphFont"/>
    <w:uiPriority w:val="99"/>
    <w:unhideWhenUsed/>
    <w:rsid w:val="00131EDA"/>
    <w:rPr>
      <w:color w:val="0000FF" w:themeColor="hyperlink"/>
      <w:u w:val="single"/>
    </w:rPr>
  </w:style>
  <w:style w:type="paragraph" w:styleId="CommentText">
    <w:name w:val="annotation text"/>
    <w:basedOn w:val="Normal"/>
    <w:link w:val="CommentTextChar"/>
    <w:uiPriority w:val="99"/>
    <w:unhideWhenUsed/>
    <w:rsid w:val="00131EDA"/>
    <w:rPr>
      <w:sz w:val="20"/>
      <w:szCs w:val="20"/>
    </w:rPr>
  </w:style>
  <w:style w:type="character" w:customStyle="1" w:styleId="CommentTextChar">
    <w:name w:val="Comment Text Char"/>
    <w:basedOn w:val="DefaultParagraphFont"/>
    <w:link w:val="CommentText"/>
    <w:uiPriority w:val="99"/>
    <w:rsid w:val="00131EDA"/>
    <w:rPr>
      <w:rFonts w:ascii="Times New Roman" w:hAnsi="Times New Roman" w:cs="Times New Roman"/>
      <w:sz w:val="20"/>
      <w:szCs w:val="20"/>
      <w:lang w:val="en-GB"/>
    </w:rPr>
  </w:style>
  <w:style w:type="paragraph" w:styleId="ListBullet">
    <w:name w:val="List Bullet"/>
    <w:basedOn w:val="Normal"/>
    <w:uiPriority w:val="99"/>
    <w:semiHidden/>
    <w:unhideWhenUsed/>
    <w:rsid w:val="00BF46B3"/>
    <w:pPr>
      <w:numPr>
        <w:numId w:val="1"/>
      </w:numPr>
      <w:contextualSpacing/>
    </w:pPr>
  </w:style>
  <w:style w:type="paragraph" w:styleId="ListBullet2">
    <w:name w:val="List Bullet 2"/>
    <w:basedOn w:val="Normal"/>
    <w:uiPriority w:val="99"/>
    <w:semiHidden/>
    <w:unhideWhenUsed/>
    <w:rsid w:val="00BF46B3"/>
    <w:pPr>
      <w:numPr>
        <w:numId w:val="2"/>
      </w:numPr>
      <w:contextualSpacing/>
    </w:pPr>
  </w:style>
  <w:style w:type="paragraph" w:styleId="ListBullet3">
    <w:name w:val="List Bullet 3"/>
    <w:basedOn w:val="Normal"/>
    <w:uiPriority w:val="99"/>
    <w:semiHidden/>
    <w:unhideWhenUsed/>
    <w:rsid w:val="00BF46B3"/>
    <w:pPr>
      <w:numPr>
        <w:numId w:val="3"/>
      </w:numPr>
      <w:contextualSpacing/>
    </w:pPr>
  </w:style>
  <w:style w:type="paragraph" w:styleId="ListBullet4">
    <w:name w:val="List Bullet 4"/>
    <w:basedOn w:val="Normal"/>
    <w:uiPriority w:val="99"/>
    <w:semiHidden/>
    <w:unhideWhenUsed/>
    <w:rsid w:val="00BF46B3"/>
    <w:pPr>
      <w:numPr>
        <w:numId w:val="4"/>
      </w:numPr>
      <w:contextualSpacing/>
    </w:pPr>
  </w:style>
  <w:style w:type="paragraph" w:styleId="Revision">
    <w:name w:val="Revision"/>
    <w:hidden/>
    <w:uiPriority w:val="99"/>
    <w:semiHidden/>
    <w:rsid w:val="00DD77CF"/>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CD7277"/>
    <w:rPr>
      <w:b/>
      <w:bCs/>
    </w:rPr>
  </w:style>
  <w:style w:type="character" w:customStyle="1" w:styleId="CommentSubjectChar">
    <w:name w:val="Comment Subject Char"/>
    <w:basedOn w:val="CommentTextChar"/>
    <w:link w:val="CommentSubject"/>
    <w:uiPriority w:val="99"/>
    <w:semiHidden/>
    <w:rsid w:val="00CD7277"/>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D7277"/>
    <w:rPr>
      <w:color w:val="605E5C"/>
      <w:shd w:val="clear" w:color="auto" w:fill="E1DFDD"/>
    </w:rPr>
  </w:style>
  <w:style w:type="character" w:customStyle="1" w:styleId="HeaderChar">
    <w:name w:val="Header Char"/>
    <w:basedOn w:val="DefaultParagraphFont"/>
    <w:link w:val="Header"/>
    <w:uiPriority w:val="99"/>
    <w:rsid w:val="006F72EA"/>
    <w:rPr>
      <w:rFonts w:ascii="Times New Roman" w:hAnsi="Times New Roman" w:cs="Times New Roman"/>
      <w:sz w:val="24"/>
      <w:lang w:val="en-GB"/>
    </w:rPr>
  </w:style>
  <w:style w:type="character" w:customStyle="1" w:styleId="FooterChar">
    <w:name w:val="Footer Char"/>
    <w:basedOn w:val="DefaultParagraphFont"/>
    <w:link w:val="Footer"/>
    <w:uiPriority w:val="99"/>
    <w:rsid w:val="006F72E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F72E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F72EA"/>
    <w:pPr>
      <w:spacing w:before="0"/>
      <w:jc w:val="right"/>
    </w:pPr>
    <w:rPr>
      <w:sz w:val="28"/>
    </w:rPr>
  </w:style>
  <w:style w:type="paragraph" w:customStyle="1" w:styleId="FooterSensitivity">
    <w:name w:val="Footer Sensitivity"/>
    <w:basedOn w:val="Normal"/>
    <w:rsid w:val="006F72E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6F72EA"/>
    <w:pPr>
      <w:tabs>
        <w:tab w:val="center" w:pos="4535"/>
        <w:tab w:val="right" w:pos="9071"/>
      </w:tabs>
      <w:spacing w:before="0"/>
    </w:pPr>
  </w:style>
  <w:style w:type="paragraph" w:customStyle="1" w:styleId="HeaderLandscape">
    <w:name w:val="HeaderLandscape"/>
    <w:basedOn w:val="Normal"/>
    <w:rsid w:val="006F72EA"/>
    <w:pPr>
      <w:tabs>
        <w:tab w:val="center" w:pos="7285"/>
        <w:tab w:val="right" w:pos="14003"/>
      </w:tabs>
      <w:spacing w:before="0"/>
    </w:pPr>
  </w:style>
  <w:style w:type="paragraph" w:styleId="Footer">
    <w:name w:val="footer"/>
    <w:basedOn w:val="Normal"/>
    <w:link w:val="FooterChar"/>
    <w:uiPriority w:val="99"/>
    <w:unhideWhenUsed/>
    <w:rsid w:val="006F72E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F72E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74281">
      <w:bodyDiv w:val="1"/>
      <w:marLeft w:val="0"/>
      <w:marRight w:val="0"/>
      <w:marTop w:val="0"/>
      <w:marBottom w:val="0"/>
      <w:divBdr>
        <w:top w:val="none" w:sz="0" w:space="0" w:color="auto"/>
        <w:left w:val="none" w:sz="0" w:space="0" w:color="auto"/>
        <w:bottom w:val="none" w:sz="0" w:space="0" w:color="auto"/>
        <w:right w:val="none" w:sz="0" w:space="0" w:color="auto"/>
      </w:divBdr>
    </w:div>
    <w:div w:id="776601696">
      <w:bodyDiv w:val="1"/>
      <w:marLeft w:val="0"/>
      <w:marRight w:val="0"/>
      <w:marTop w:val="0"/>
      <w:marBottom w:val="0"/>
      <w:divBdr>
        <w:top w:val="none" w:sz="0" w:space="0" w:color="auto"/>
        <w:left w:val="none" w:sz="0" w:space="0" w:color="auto"/>
        <w:bottom w:val="none" w:sz="0" w:space="0" w:color="auto"/>
        <w:right w:val="none" w:sz="0" w:space="0" w:color="auto"/>
      </w:divBdr>
    </w:div>
    <w:div w:id="864636661">
      <w:bodyDiv w:val="1"/>
      <w:marLeft w:val="0"/>
      <w:marRight w:val="0"/>
      <w:marTop w:val="0"/>
      <w:marBottom w:val="0"/>
      <w:divBdr>
        <w:top w:val="none" w:sz="0" w:space="0" w:color="auto"/>
        <w:left w:val="none" w:sz="0" w:space="0" w:color="auto"/>
        <w:bottom w:val="none" w:sz="0" w:space="0" w:color="auto"/>
        <w:right w:val="none" w:sz="0" w:space="0" w:color="auto"/>
      </w:divBdr>
    </w:div>
    <w:div w:id="877277384">
      <w:bodyDiv w:val="1"/>
      <w:marLeft w:val="0"/>
      <w:marRight w:val="0"/>
      <w:marTop w:val="0"/>
      <w:marBottom w:val="0"/>
      <w:divBdr>
        <w:top w:val="none" w:sz="0" w:space="0" w:color="auto"/>
        <w:left w:val="none" w:sz="0" w:space="0" w:color="auto"/>
        <w:bottom w:val="none" w:sz="0" w:space="0" w:color="auto"/>
        <w:right w:val="none" w:sz="0" w:space="0" w:color="auto"/>
      </w:divBdr>
    </w:div>
    <w:div w:id="1115712416">
      <w:bodyDiv w:val="1"/>
      <w:marLeft w:val="0"/>
      <w:marRight w:val="0"/>
      <w:marTop w:val="0"/>
      <w:marBottom w:val="0"/>
      <w:divBdr>
        <w:top w:val="none" w:sz="0" w:space="0" w:color="auto"/>
        <w:left w:val="none" w:sz="0" w:space="0" w:color="auto"/>
        <w:bottom w:val="none" w:sz="0" w:space="0" w:color="auto"/>
        <w:right w:val="none" w:sz="0" w:space="0" w:color="auto"/>
      </w:divBdr>
    </w:div>
    <w:div w:id="1326200250">
      <w:bodyDiv w:val="1"/>
      <w:marLeft w:val="0"/>
      <w:marRight w:val="0"/>
      <w:marTop w:val="0"/>
      <w:marBottom w:val="0"/>
      <w:divBdr>
        <w:top w:val="none" w:sz="0" w:space="0" w:color="auto"/>
        <w:left w:val="none" w:sz="0" w:space="0" w:color="auto"/>
        <w:bottom w:val="none" w:sz="0" w:space="0" w:color="auto"/>
        <w:right w:val="none" w:sz="0" w:space="0" w:color="auto"/>
      </w:divBdr>
    </w:div>
    <w:div w:id="1403672863">
      <w:bodyDiv w:val="1"/>
      <w:marLeft w:val="0"/>
      <w:marRight w:val="0"/>
      <w:marTop w:val="0"/>
      <w:marBottom w:val="0"/>
      <w:divBdr>
        <w:top w:val="none" w:sz="0" w:space="0" w:color="auto"/>
        <w:left w:val="none" w:sz="0" w:space="0" w:color="auto"/>
        <w:bottom w:val="none" w:sz="0" w:space="0" w:color="auto"/>
        <w:right w:val="none" w:sz="0" w:space="0" w:color="auto"/>
      </w:divBdr>
    </w:div>
    <w:div w:id="173049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1A97F5DED2004E906E199DB8D805E7" ma:contentTypeVersion="4" ma:contentTypeDescription="Create a new document." ma:contentTypeScope="" ma:versionID="dc75728e0962f9ef714c0b29af87a2b8">
  <xsd:schema xmlns:xsd="http://www.w3.org/2001/XMLSchema" xmlns:xs="http://www.w3.org/2001/XMLSchema" xmlns:p="http://schemas.microsoft.com/office/2006/metadata/properties" xmlns:ns2="7926876d-2117-47f5-bfa1-c39f0d9f996b" targetNamespace="http://schemas.microsoft.com/office/2006/metadata/properties" ma:root="true" ma:fieldsID="1c5581363471f40183e97a07ed46db5c" ns2:_="">
    <xsd:import namespace="7926876d-2117-47f5-bfa1-c39f0d9f99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6876d-2117-47f5-bfa1-c39f0d9f99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63CBA-78AD-4859-BE46-CAA84832F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6876d-2117-47f5-bfa1-c39f0d9f9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C839C2-92A5-4698-953D-D95EF55DD948}">
  <ds:schemaRefs>
    <ds:schemaRef ds:uri="http://schemas.microsoft.com/office/2006/metadata/properties"/>
    <ds:schemaRef ds:uri="http://schemas.microsoft.com/office/infopath/2007/PartnerControls"/>
    <ds:schemaRef ds:uri="b1a089e9-d5bb-46c7-8a06-6befa35c4139"/>
  </ds:schemaRefs>
</ds:datastoreItem>
</file>

<file path=customXml/itemProps3.xml><?xml version="1.0" encoding="utf-8"?>
<ds:datastoreItem xmlns:ds="http://schemas.openxmlformats.org/officeDocument/2006/customXml" ds:itemID="{501C3BF7-52AD-46FE-A7E4-D6D23DC9E158}">
  <ds:schemaRefs>
    <ds:schemaRef ds:uri="http://schemas.microsoft.com/sharepoint/v3/contenttype/forms"/>
  </ds:schemaRefs>
</ds:datastoreItem>
</file>

<file path=customXml/itemProps4.xml><?xml version="1.0" encoding="utf-8"?>
<ds:datastoreItem xmlns:ds="http://schemas.openxmlformats.org/officeDocument/2006/customXml" ds:itemID="{470DCB8A-A6DA-4864-8BC4-D0D70C4F8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36</TotalTime>
  <Pages>5</Pages>
  <Words>1430</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80</cp:revision>
  <dcterms:created xsi:type="dcterms:W3CDTF">2026-01-08T21:05:00Z</dcterms:created>
  <dcterms:modified xsi:type="dcterms:W3CDTF">2026-02-19T07:29:00Z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2025-09-12T14:10:01Z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5ea59afd-4cf0-4772-9d49-8e8f89e7d6a9</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0x0101005E1A97F5DED2004E906E199DB8D805E7</vt:lpwstr>
  </property>
  <property fmtid="{D5CDD505-2E9C-101B-9397-08002B2CF9AE}" pid="22" name="DQCStatus">
    <vt:lpwstr>Green (DQC version 03)</vt:lpwstr>
  </property>
</Properties>
</file>