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B7B2188" w14:textId="017782C5" w:rsidR="00354285" w:rsidRDefault="00797F7B" w:rsidP="00797F7B">
      <w:pPr>
        <w:pStyle w:val="Pagedecouverture"/>
        <w:rPr>
          <w:noProof/>
        </w:rPr>
      </w:pPr>
      <w:r>
        <w:rPr>
          <w:noProof/>
        </w:rPr>
        <w:pict w14:anchorId="7247450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7495046F-C62B-4E41-97A9-04C37BE0309A" style="width:455.25pt;height:704.25pt">
            <v:imagedata r:id="rId8" o:title=""/>
          </v:shape>
        </w:pict>
      </w:r>
    </w:p>
    <w:p w14:paraId="6027954B" w14:textId="52B89440" w:rsidR="00027E8D" w:rsidRPr="00027E8D" w:rsidRDefault="00027E8D" w:rsidP="00027E8D">
      <w:pPr>
        <w:pStyle w:val="Pagedecouverture"/>
        <w:rPr>
          <w:noProof/>
        </w:rPr>
        <w:sectPr w:rsidR="00027E8D" w:rsidRPr="00027E8D" w:rsidSect="00797F7B">
          <w:footerReference w:type="even" r:id="rId9"/>
          <w:footerReference w:type="default" r:id="rId10"/>
          <w:pgSz w:w="11907" w:h="16839"/>
          <w:pgMar w:top="1134" w:right="1417" w:bottom="1134" w:left="1417" w:header="709" w:footer="709" w:gutter="0"/>
          <w:pgNumType w:start="0"/>
          <w:cols w:space="720"/>
          <w:docGrid w:linePitch="360"/>
        </w:sectPr>
      </w:pPr>
    </w:p>
    <w:p w14:paraId="6997378F" w14:textId="58E7284A" w:rsidR="00096659" w:rsidRPr="00472A1F" w:rsidRDefault="00096659" w:rsidP="00354285">
      <w:pPr>
        <w:pStyle w:val="Exposdesmotifstitre"/>
        <w:rPr>
          <w:noProof/>
        </w:rPr>
      </w:pPr>
      <w:bookmarkStart w:id="0" w:name="_GoBack"/>
      <w:bookmarkEnd w:id="0"/>
      <w:r w:rsidRPr="00472A1F">
        <w:rPr>
          <w:noProof/>
        </w:rPr>
        <w:lastRenderedPageBreak/>
        <w:t>EXPUNERE DE MOTIVE</w:t>
      </w:r>
    </w:p>
    <w:p w14:paraId="693B5691" w14:textId="47E951EE" w:rsidR="00096659" w:rsidRPr="00472A1F" w:rsidRDefault="00096659" w:rsidP="00BB6B30">
      <w:pPr>
        <w:pStyle w:val="ManualHeading1"/>
        <w:rPr>
          <w:noProof/>
        </w:rPr>
      </w:pPr>
      <w:r w:rsidRPr="00472A1F">
        <w:rPr>
          <w:noProof/>
        </w:rPr>
        <w:t>1.</w:t>
      </w:r>
      <w:r w:rsidRPr="00472A1F">
        <w:rPr>
          <w:noProof/>
        </w:rPr>
        <w:tab/>
        <w:t>CONTEXTUL RECOMANDĂRII</w:t>
      </w:r>
    </w:p>
    <w:p w14:paraId="2474EEEA" w14:textId="6A37CD64" w:rsidR="00096659" w:rsidRPr="00472A1F" w:rsidRDefault="00096659" w:rsidP="00044058">
      <w:pPr>
        <w:pStyle w:val="ManualHeading2"/>
        <w:rPr>
          <w:rFonts w:eastAsia="Arial Unicode MS"/>
          <w:noProof/>
        </w:rPr>
      </w:pPr>
      <w:r w:rsidRPr="00472A1F">
        <w:rPr>
          <w:noProof/>
          <w:color w:val="000000"/>
          <w:u w:color="000000"/>
          <w:bdr w:val="nil"/>
        </w:rPr>
        <w:t>•</w:t>
      </w:r>
      <w:r w:rsidRPr="00472A1F">
        <w:rPr>
          <w:noProof/>
          <w:color w:val="000000"/>
          <w:u w:color="000000"/>
          <w:bdr w:val="nil"/>
        </w:rPr>
        <w:tab/>
      </w:r>
      <w:r w:rsidRPr="00472A1F">
        <w:rPr>
          <w:noProof/>
        </w:rPr>
        <w:t>Motivele și obiectivele recomandării</w:t>
      </w:r>
    </w:p>
    <w:p w14:paraId="34FE529D" w14:textId="77777777" w:rsidR="00E67695" w:rsidRPr="00472A1F" w:rsidRDefault="00E67695" w:rsidP="00354285">
      <w:pPr>
        <w:rPr>
          <w:b/>
          <w:noProof/>
        </w:rPr>
      </w:pPr>
      <w:r w:rsidRPr="00027E8D">
        <w:rPr>
          <w:noProof/>
        </w:rPr>
        <w:t xml:space="preserve">Politica în materie de roaming este o poveste europeană de succes, care le permite milioanelor de consumatori și întreprinderi din UE să rămână conectate în viața lor de zi cu zi, fără suprataxe pe piața unică digitală. Începând cu </w:t>
      </w:r>
      <w:r w:rsidRPr="00472A1F">
        <w:rPr>
          <w:noProof/>
        </w:rPr>
        <w:t>15</w:t>
      </w:r>
      <w:r w:rsidRPr="00027E8D">
        <w:rPr>
          <w:noProof/>
        </w:rPr>
        <w:t xml:space="preserve"> iunie </w:t>
      </w:r>
      <w:r w:rsidRPr="00472A1F">
        <w:rPr>
          <w:noProof/>
        </w:rPr>
        <w:t>2017</w:t>
      </w:r>
      <w:r w:rsidRPr="00027E8D">
        <w:rPr>
          <w:noProof/>
        </w:rPr>
        <w:t xml:space="preserve">, rezidenții UE au acces la servicii mobile (servicii de voce, de SMS și de date) fără costuri suplimentare atunci când călătoresc periodic în UE. Regulamentul (UE) </w:t>
      </w:r>
      <w:r w:rsidRPr="00472A1F">
        <w:rPr>
          <w:noProof/>
        </w:rPr>
        <w:t>2022</w:t>
      </w:r>
      <w:r w:rsidRPr="00027E8D">
        <w:rPr>
          <w:noProof/>
        </w:rPr>
        <w:t>/</w:t>
      </w:r>
      <w:r w:rsidRPr="00472A1F">
        <w:rPr>
          <w:noProof/>
        </w:rPr>
        <w:t>612</w:t>
      </w:r>
      <w:r w:rsidRPr="00027E8D">
        <w:rPr>
          <w:noProof/>
        </w:rPr>
        <w:t xml:space="preserve"> privind roamingul constată, de asemenea, că tarifele de roaming cu țările terțe rămân ridicate. Zona de roaming a UE se extinde deja la Spațiul Economic European (SEE) și, începând cu </w:t>
      </w:r>
      <w:r w:rsidRPr="00472A1F">
        <w:rPr>
          <w:noProof/>
        </w:rPr>
        <w:t>1</w:t>
      </w:r>
      <w:r w:rsidRPr="00027E8D">
        <w:rPr>
          <w:noProof/>
        </w:rPr>
        <w:t xml:space="preserve"> ianuarie </w:t>
      </w:r>
      <w:r w:rsidRPr="00472A1F">
        <w:rPr>
          <w:noProof/>
        </w:rPr>
        <w:t>2026</w:t>
      </w:r>
      <w:r w:rsidRPr="00027E8D">
        <w:rPr>
          <w:noProof/>
        </w:rPr>
        <w:t>, sfera sa de acțiune a fost lărgită pentru a cuprinde Ucraina și Republica Moldova. Atât Ucraina, cât și Republica Moldova au efectuat cu succes apropierea sistemelor lor juridice naționale de acquis-ul UE în materie de roaming</w:t>
      </w:r>
      <w:r w:rsidRPr="006B6E20">
        <w:rPr>
          <w:rStyle w:val="FootnoteReference"/>
          <w:rFonts w:eastAsia="Arial Unicode MS"/>
          <w:iCs/>
          <w:noProof/>
        </w:rPr>
        <w:footnoteReference w:id="1"/>
      </w:r>
      <w:r w:rsidRPr="00027E8D">
        <w:rPr>
          <w:noProof/>
        </w:rPr>
        <w:t xml:space="preserve">. </w:t>
      </w:r>
    </w:p>
    <w:p w14:paraId="1BB40F14" w14:textId="77777777" w:rsidR="00E67695" w:rsidRPr="00472A1F" w:rsidRDefault="00E67695" w:rsidP="00354285">
      <w:pPr>
        <w:rPr>
          <w:b/>
          <w:noProof/>
        </w:rPr>
      </w:pPr>
      <w:r w:rsidRPr="00027E8D">
        <w:rPr>
          <w:noProof/>
        </w:rPr>
        <w:t>Cei șase parteneri din Balcanii de Vest</w:t>
      </w:r>
      <w:r w:rsidRPr="00027E8D">
        <w:rPr>
          <w:rStyle w:val="FootnoteReference"/>
          <w:rFonts w:eastAsia="Arial Unicode MS"/>
          <w:noProof/>
        </w:rPr>
        <w:footnoteReference w:id="2"/>
      </w:r>
      <w:r w:rsidRPr="00027E8D">
        <w:rPr>
          <w:noProof/>
        </w:rPr>
        <w:t xml:space="preserve"> (WB</w:t>
      </w:r>
      <w:r w:rsidRPr="00472A1F">
        <w:rPr>
          <w:noProof/>
        </w:rPr>
        <w:t>6</w:t>
      </w:r>
      <w:r w:rsidRPr="00027E8D">
        <w:rPr>
          <w:noProof/>
        </w:rPr>
        <w:t xml:space="preserve">) au instituit un spațiu regional dedicat roamingului la prețurile de pe piața națională care reproduce efectiv, începând cu </w:t>
      </w:r>
      <w:r w:rsidRPr="00472A1F">
        <w:rPr>
          <w:noProof/>
        </w:rPr>
        <w:t>1</w:t>
      </w:r>
      <w:r w:rsidRPr="00027E8D">
        <w:rPr>
          <w:noProof/>
        </w:rPr>
        <w:t xml:space="preserve"> iulie </w:t>
      </w:r>
      <w:r w:rsidRPr="00472A1F">
        <w:rPr>
          <w:noProof/>
        </w:rPr>
        <w:t>2021</w:t>
      </w:r>
      <w:r w:rsidRPr="00027E8D">
        <w:rPr>
          <w:noProof/>
        </w:rPr>
        <w:t xml:space="preserve">, regimul UE al roamingului la prețurile de pe piața națională. În plus, în decembrie </w:t>
      </w:r>
      <w:r w:rsidRPr="00472A1F">
        <w:rPr>
          <w:noProof/>
        </w:rPr>
        <w:t>2022</w:t>
      </w:r>
      <w:r w:rsidRPr="00027E8D">
        <w:rPr>
          <w:noProof/>
        </w:rPr>
        <w:t>, operatorii din UE și WB</w:t>
      </w:r>
      <w:r w:rsidRPr="00472A1F">
        <w:rPr>
          <w:noProof/>
        </w:rPr>
        <w:t>6</w:t>
      </w:r>
      <w:r w:rsidRPr="00027E8D">
        <w:rPr>
          <w:noProof/>
        </w:rPr>
        <w:t xml:space="preserve"> au semnat un acord voluntar de roaming privind tarife cu amănuntul reduse pentru serviciile de date în roaming între UE și WB</w:t>
      </w:r>
      <w:r w:rsidRPr="00472A1F">
        <w:rPr>
          <w:noProof/>
        </w:rPr>
        <w:t>6</w:t>
      </w:r>
      <w:r w:rsidRPr="00027E8D">
        <w:rPr>
          <w:noProof/>
        </w:rPr>
        <w:t xml:space="preserve">, acord care a început să se aplice la </w:t>
      </w:r>
      <w:r w:rsidRPr="00472A1F">
        <w:rPr>
          <w:noProof/>
        </w:rPr>
        <w:t>1</w:t>
      </w:r>
      <w:r w:rsidRPr="00027E8D">
        <w:rPr>
          <w:noProof/>
        </w:rPr>
        <w:t xml:space="preserve"> octombrie </w:t>
      </w:r>
      <w:r w:rsidRPr="00472A1F">
        <w:rPr>
          <w:noProof/>
        </w:rPr>
        <w:t>2023</w:t>
      </w:r>
      <w:r w:rsidRPr="00027E8D">
        <w:rPr>
          <w:noProof/>
        </w:rPr>
        <w:t xml:space="preserve">. </w:t>
      </w:r>
    </w:p>
    <w:p w14:paraId="65B33506" w14:textId="77777777" w:rsidR="00E67695" w:rsidRPr="00472A1F" w:rsidRDefault="00E67695" w:rsidP="00354285">
      <w:pPr>
        <w:rPr>
          <w:b/>
          <w:noProof/>
        </w:rPr>
      </w:pPr>
      <w:r w:rsidRPr="00027E8D">
        <w:rPr>
          <w:noProof/>
        </w:rPr>
        <w:t>UE are legături strânse cu partenerii săi din cadrul WB</w:t>
      </w:r>
      <w:r w:rsidRPr="00472A1F">
        <w:rPr>
          <w:noProof/>
        </w:rPr>
        <w:t>6</w:t>
      </w:r>
      <w:r w:rsidRPr="00027E8D">
        <w:rPr>
          <w:noProof/>
        </w:rPr>
        <w:t xml:space="preserve"> care au, de asemenea, o perspectivă de integrare europeană, perspectivă ce se reflectă în respectivele acorduri bilaterale de stabilizare și de asociere (ASA)</w:t>
      </w:r>
      <w:r w:rsidRPr="00027E8D">
        <w:rPr>
          <w:rStyle w:val="FootnoteReference"/>
          <w:rFonts w:eastAsia="Arial Unicode MS"/>
          <w:noProof/>
        </w:rPr>
        <w:footnoteReference w:id="3"/>
      </w:r>
      <w:r w:rsidRPr="00027E8D">
        <w:rPr>
          <w:noProof/>
        </w:rPr>
        <w:t>. Cinci dintre cei șase parteneri WB</w:t>
      </w:r>
      <w:r w:rsidRPr="00472A1F">
        <w:rPr>
          <w:noProof/>
        </w:rPr>
        <w:t>6</w:t>
      </w:r>
      <w:r w:rsidRPr="00027E8D">
        <w:rPr>
          <w:noProof/>
        </w:rPr>
        <w:t xml:space="preserve"> au statut de țară candidată, în timp ce Kosovo</w:t>
      </w:r>
      <w:r w:rsidRPr="00027E8D">
        <w:rPr>
          <w:rStyle w:val="FootnoteReference"/>
          <w:rFonts w:eastAsia="Arial Unicode MS"/>
          <w:noProof/>
        </w:rPr>
        <w:footnoteReference w:customMarkFollows="1" w:id="4"/>
        <w:t>*</w:t>
      </w:r>
      <w:r w:rsidRPr="00027E8D">
        <w:rPr>
          <w:noProof/>
        </w:rPr>
        <w:t xml:space="preserve"> este o țară potențial candidată. </w:t>
      </w:r>
    </w:p>
    <w:p w14:paraId="27062151" w14:textId="005B0824" w:rsidR="00E67695" w:rsidRPr="00472A1F" w:rsidRDefault="00E67695" w:rsidP="00354285">
      <w:pPr>
        <w:rPr>
          <w:b/>
          <w:noProof/>
        </w:rPr>
      </w:pPr>
      <w:r w:rsidRPr="00027E8D">
        <w:rPr>
          <w:noProof/>
        </w:rPr>
        <w:t>ASA vizează crearea unor oportunități comerciale și alinierea regiunii la standardele UE. Acordurile de acest tip oferă cadrul general pentru relațiile UE cu partenerii din Balcanii de Vest. Cele șase ASA conțin obligația de a consolida cooperarea în domeniul rețelelor de comunicații electronice și al serviciilor conexe</w:t>
      </w:r>
      <w:r w:rsidRPr="00027E8D">
        <w:rPr>
          <w:rStyle w:val="FootnoteReference"/>
          <w:rFonts w:eastAsia="Arial Unicode MS"/>
          <w:noProof/>
        </w:rPr>
        <w:footnoteReference w:id="5"/>
      </w:r>
      <w:r w:rsidRPr="00027E8D">
        <w:rPr>
          <w:noProof/>
        </w:rPr>
        <w:t xml:space="preserve">, obiectivul final fiind adoptarea de către </w:t>
      </w:r>
      <w:r w:rsidRPr="00027E8D">
        <w:rPr>
          <w:noProof/>
        </w:rPr>
        <w:lastRenderedPageBreak/>
        <w:t>partenerii WB</w:t>
      </w:r>
      <w:r w:rsidRPr="00472A1F">
        <w:rPr>
          <w:noProof/>
        </w:rPr>
        <w:t>6</w:t>
      </w:r>
      <w:r w:rsidRPr="00027E8D">
        <w:rPr>
          <w:noProof/>
        </w:rPr>
        <w:t xml:space="preserve"> respectivi a acquis-ului UE în aceste sectoare. Totuși, ASA nu furnizează un temei juridic fiabil pentru extinderea zonei de roaming a UE la partenerii WB</w:t>
      </w:r>
      <w:r w:rsidRPr="00472A1F">
        <w:rPr>
          <w:noProof/>
        </w:rPr>
        <w:t>6</w:t>
      </w:r>
      <w:r w:rsidRPr="00027E8D">
        <w:rPr>
          <w:noProof/>
        </w:rPr>
        <w:t xml:space="preserve">. Prin urmare, se recomandă ca UE să încheie câte un acord sectorial privind roamingul cu fiecare dintre cei șase parteneri din Balcanii de Vest, care ar prevedea cadrul și condițiile pentru deschiderea reciprocă a piețelor părților în ceea ce privește sectorul roamingului pe rețelele publice de comunicații mobile. Acordurile recomandate ar trebui să fie ancorate în cadrul ASA existent. </w:t>
      </w:r>
    </w:p>
    <w:p w14:paraId="3138D6C0" w14:textId="7D6A4964" w:rsidR="00E67695" w:rsidRPr="00472A1F" w:rsidRDefault="00E67695" w:rsidP="00354285">
      <w:pPr>
        <w:rPr>
          <w:b/>
          <w:noProof/>
        </w:rPr>
      </w:pPr>
      <w:r w:rsidRPr="00027E8D">
        <w:rPr>
          <w:noProof/>
        </w:rPr>
        <w:t>Deschiderea ar trebui să fie condiționată în special de punerea în aplicare deplină a acquis</w:t>
      </w:r>
      <w:r w:rsidR="00472A1F">
        <w:rPr>
          <w:noProof/>
        </w:rPr>
        <w:t>­</w:t>
      </w:r>
      <w:r w:rsidRPr="00027E8D">
        <w:rPr>
          <w:noProof/>
        </w:rPr>
        <w:t>ului UE în materie de roaming, ceea ce ar trebui să fie confirmat printr-o evaluare pozitivă cuprinzătoare de către Uniune, care ar urma să fie efectuată de Comisie. Odată ce un anumit partener WB</w:t>
      </w:r>
      <w:r w:rsidRPr="00472A1F">
        <w:rPr>
          <w:noProof/>
        </w:rPr>
        <w:t>6</w:t>
      </w:r>
      <w:r w:rsidRPr="00027E8D">
        <w:rPr>
          <w:noProof/>
        </w:rPr>
        <w:t xml:space="preserve"> a făcut obiectul unei evaluări pozitive, organismul comun responsabil instituit în temeiul acordului ar urma să fie abilitat să decidă cu privire la deschiderea reciprocă. Acordurile ar trebui să cuprindă și o obligație, pentru partenerii WB</w:t>
      </w:r>
      <w:r w:rsidRPr="00472A1F">
        <w:rPr>
          <w:noProof/>
        </w:rPr>
        <w:t>6</w:t>
      </w:r>
      <w:r w:rsidRPr="00027E8D">
        <w:rPr>
          <w:noProof/>
        </w:rPr>
        <w:t>, de a menține alinierea dinamică la acquis-ul UE în materie de roaming pe măsură ce acesta va evolua în viitor în urma extinderii eventuale a zonei de roaming a UE și să prevadă posibilitatea ca Uniunea să suspende beneficiile care decurg din acordurile privind roamingul, precum și condițiile și procedura aferente, și anume în cazul nerespectării de către un partener WB</w:t>
      </w:r>
      <w:r w:rsidRPr="00472A1F">
        <w:rPr>
          <w:noProof/>
        </w:rPr>
        <w:t>6</w:t>
      </w:r>
      <w:r w:rsidRPr="00027E8D">
        <w:rPr>
          <w:noProof/>
        </w:rPr>
        <w:t xml:space="preserve"> a obligației sale de a pune în aplicare acquis-ul relevant al UE încorporat în acord. În acest scop, Comisia ar trebui să aibă posibilitatea de a iniția proceduri de constatare a neîndeplinirii obligațiilor, după modelul celor prevăzute la articolul </w:t>
      </w:r>
      <w:r w:rsidRPr="00472A1F">
        <w:rPr>
          <w:noProof/>
        </w:rPr>
        <w:t>258</w:t>
      </w:r>
      <w:r w:rsidRPr="00027E8D">
        <w:rPr>
          <w:noProof/>
        </w:rPr>
        <w:t xml:space="preserve"> din TFUE. În cazul în care unul dintre partenerii WB</w:t>
      </w:r>
      <w:r w:rsidRPr="00472A1F">
        <w:rPr>
          <w:noProof/>
        </w:rPr>
        <w:t>6</w:t>
      </w:r>
      <w:r w:rsidRPr="00027E8D">
        <w:rPr>
          <w:noProof/>
        </w:rPr>
        <w:t xml:space="preserve"> nu respectă o hotărâre a CJUE, Comisia ar trebui să fie abilitată să suspende părți ale acordului fără alte formalități. </w:t>
      </w:r>
    </w:p>
    <w:p w14:paraId="6C9351AC" w14:textId="77777777" w:rsidR="00E67695" w:rsidRPr="00472A1F" w:rsidRDefault="00E67695" w:rsidP="00354285">
      <w:pPr>
        <w:rPr>
          <w:b/>
          <w:noProof/>
        </w:rPr>
      </w:pPr>
      <w:r w:rsidRPr="00027E8D">
        <w:rPr>
          <w:noProof/>
        </w:rPr>
        <w:t>Acordurile ar trebui, de asemenea, să prevadă un cadru instituțional și măsuri de salvgardare inspirate din tratatele UE pentru a proteja autonomia și interpretarea uniformă a acquis-ului UE în materie de roaming și pentru a permite Uniunii să reacționeze cu eficacitate în caz de neconformitate. Voința partenerilor WB</w:t>
      </w:r>
      <w:r w:rsidRPr="00472A1F">
        <w:rPr>
          <w:noProof/>
        </w:rPr>
        <w:t>6</w:t>
      </w:r>
      <w:r w:rsidRPr="00027E8D">
        <w:rPr>
          <w:noProof/>
        </w:rPr>
        <w:t xml:space="preserve"> de a încorpora principalele mecanisme de drept al UE în ordinile lor juridice și disponibilitatea lor de a face acest demers le vor permite să demonstreze că sunt gata să își asume responsabilitățile care decurg din statutul de membru al UE. </w:t>
      </w:r>
    </w:p>
    <w:p w14:paraId="6AB13016" w14:textId="77777777" w:rsidR="00E67695" w:rsidRPr="00472A1F" w:rsidRDefault="00E67695" w:rsidP="00354285">
      <w:pPr>
        <w:rPr>
          <w:b/>
          <w:noProof/>
        </w:rPr>
      </w:pPr>
      <w:r w:rsidRPr="00027E8D">
        <w:rPr>
          <w:noProof/>
        </w:rPr>
        <w:t>Fiecare dintre partenerii WB</w:t>
      </w:r>
      <w:r w:rsidRPr="00472A1F">
        <w:rPr>
          <w:noProof/>
        </w:rPr>
        <w:t>6</w:t>
      </w:r>
      <w:r w:rsidRPr="00027E8D">
        <w:rPr>
          <w:noProof/>
        </w:rPr>
        <w:t xml:space="preserve"> ar trebui să se asigure că actele juridice ale UE specificate în acorduri au aceleași efecte juridice ca cele pe care le produc în ordinea juridică a unui stat membru, astfel cum se prevede la articolul </w:t>
      </w:r>
      <w:r w:rsidRPr="00472A1F">
        <w:rPr>
          <w:noProof/>
        </w:rPr>
        <w:t>288</w:t>
      </w:r>
      <w:r w:rsidRPr="00027E8D">
        <w:rPr>
          <w:noProof/>
        </w:rPr>
        <w:t xml:space="preserve"> din TFUE și în jurisprudența Curții de Justiție. În cazul în care actele respective creează drepturi și obligații pe care persoanele fizice le pot invoca în fața instanțelor naționale ale unui stat membru fără a fi necesară punerea în aplicare ulterioară de către respectivul stat membru, astfel de dispoziții ar trebui, de asemenea, să creeze drepturi și obligații pe care persoanele fizice le pot invoca în fața instanțelor naționale ale fiecăruia dintre partenerii Uniunii fără a fi necesare măsuri ulterioare de punere în aplicare. </w:t>
      </w:r>
    </w:p>
    <w:p w14:paraId="2A8EBEE5" w14:textId="77777777" w:rsidR="00E67695" w:rsidRPr="00472A1F" w:rsidRDefault="00E67695" w:rsidP="00354285">
      <w:pPr>
        <w:rPr>
          <w:b/>
          <w:noProof/>
        </w:rPr>
      </w:pPr>
      <w:r w:rsidRPr="00027E8D">
        <w:rPr>
          <w:noProof/>
        </w:rPr>
        <w:t xml:space="preserve">Acordurile ar trebui să se încheie pe o perioadă nedeterminată și ar trebui să conțină mecanisme solide privind suspendarea și denunțarea. Acestea ar trebui să prevadă condițiile și procedurile în temeiul cărora Uniunea poate suspenda, integral sau parțial, aplicarea acordurilor, precum și procedura și perioadele de preaviz pentru denunțarea acordurilor. </w:t>
      </w:r>
    </w:p>
    <w:p w14:paraId="413E172E" w14:textId="77777777" w:rsidR="00E67695" w:rsidRPr="00027E8D" w:rsidRDefault="00E67695" w:rsidP="00354285">
      <w:pPr>
        <w:rPr>
          <w:noProof/>
        </w:rPr>
      </w:pPr>
      <w:r w:rsidRPr="00027E8D">
        <w:rPr>
          <w:noProof/>
        </w:rPr>
        <w:t>Prezenta recomandare este, de asemenea, în concordanță cu planul de creștere pentru Balcanii de Vest</w:t>
      </w:r>
      <w:r w:rsidRPr="00027E8D">
        <w:rPr>
          <w:rStyle w:val="FootnoteReference"/>
          <w:noProof/>
        </w:rPr>
        <w:footnoteReference w:id="6"/>
      </w:r>
      <w:r w:rsidRPr="00027E8D">
        <w:rPr>
          <w:noProof/>
        </w:rPr>
        <w:t xml:space="preserve">, adoptat de Comisie în noiembrie </w:t>
      </w:r>
      <w:r w:rsidRPr="00472A1F">
        <w:rPr>
          <w:noProof/>
        </w:rPr>
        <w:t>2023</w:t>
      </w:r>
      <w:r w:rsidRPr="00027E8D">
        <w:rPr>
          <w:noProof/>
        </w:rPr>
        <w:t xml:space="preserve">. Noul plan de creștere prevede integrarea treptată a regiunii în domenii specifice ale pieței unice a UE, sub rezerva înregistrării de </w:t>
      </w:r>
      <w:r w:rsidRPr="00027E8D">
        <w:rPr>
          <w:noProof/>
        </w:rPr>
        <w:lastRenderedPageBreak/>
        <w:t>progrese în ceea ce privește integrarea economică regională și alinierea la acquis-ul relevant al UE, precum și sub rezerva instituirii unor capacități și proceduri administrative suficiente.</w:t>
      </w:r>
    </w:p>
    <w:p w14:paraId="060C1E33" w14:textId="77777777" w:rsidR="00E67695" w:rsidRPr="00472A1F" w:rsidRDefault="00E67695" w:rsidP="00E67695">
      <w:pPr>
        <w:pStyle w:val="ManualHeading2"/>
        <w:rPr>
          <w:rFonts w:eastAsia="Arial Unicode MS"/>
          <w:noProof/>
          <w:u w:color="000000"/>
          <w:bdr w:val="nil"/>
        </w:rPr>
      </w:pPr>
      <w:r w:rsidRPr="00472A1F">
        <w:rPr>
          <w:noProof/>
          <w:u w:color="000000"/>
          <w:bdr w:val="nil"/>
        </w:rPr>
        <w:t>•</w:t>
      </w:r>
      <w:r w:rsidRPr="00472A1F">
        <w:rPr>
          <w:noProof/>
          <w:u w:color="000000"/>
          <w:bdr w:val="nil"/>
        </w:rPr>
        <w:tab/>
      </w:r>
      <w:r w:rsidRPr="00472A1F">
        <w:rPr>
          <w:noProof/>
        </w:rPr>
        <w:t>Coerența cu dispozițiile existente în domeniul de politică vizat</w:t>
      </w:r>
    </w:p>
    <w:p w14:paraId="19EF3FE1" w14:textId="77777777" w:rsidR="00F0411F" w:rsidRPr="00027E8D" w:rsidRDefault="00F0411F" w:rsidP="00354285">
      <w:pPr>
        <w:rPr>
          <w:noProof/>
        </w:rPr>
      </w:pPr>
      <w:r w:rsidRPr="00027E8D">
        <w:rPr>
          <w:noProof/>
        </w:rPr>
        <w:t>UE a procedat deja la extinderea zonei de roaming a UE la țările din SEE și la unele țări candidate.</w:t>
      </w:r>
    </w:p>
    <w:p w14:paraId="0A725ACE" w14:textId="77777777" w:rsidR="00F0411F" w:rsidRPr="00027E8D" w:rsidRDefault="00F0411F" w:rsidP="00354285">
      <w:pPr>
        <w:rPr>
          <w:noProof/>
        </w:rPr>
      </w:pPr>
      <w:r w:rsidRPr="00027E8D">
        <w:rPr>
          <w:noProof/>
        </w:rPr>
        <w:t>Angajamentele privind roamingul în WB</w:t>
      </w:r>
      <w:r w:rsidRPr="00472A1F">
        <w:rPr>
          <w:noProof/>
        </w:rPr>
        <w:t>6</w:t>
      </w:r>
      <w:r w:rsidRPr="00027E8D">
        <w:rPr>
          <w:noProof/>
        </w:rPr>
        <w:t xml:space="preserve"> au fost deja prezentate de </w:t>
      </w:r>
    </w:p>
    <w:p w14:paraId="60124FED" w14:textId="77777777" w:rsidR="00F0411F" w:rsidRPr="00027E8D" w:rsidRDefault="00F0411F" w:rsidP="00354285">
      <w:pPr>
        <w:rPr>
          <w:noProof/>
        </w:rPr>
      </w:pPr>
      <w:r w:rsidRPr="00027E8D">
        <w:rPr>
          <w:noProof/>
        </w:rPr>
        <w:t xml:space="preserve">doamna comisar Gabriel în cadrul Agendei digitale pentru Balcanii de Vest în </w:t>
      </w:r>
      <w:r w:rsidRPr="00472A1F">
        <w:rPr>
          <w:noProof/>
        </w:rPr>
        <w:t>2018</w:t>
      </w:r>
      <w:r w:rsidRPr="00027E8D">
        <w:rPr>
          <w:noProof/>
        </w:rPr>
        <w:t xml:space="preserve"> ca fiind una dintre cele șase inițiative emblematice aferente obiectivelor prevăzute în Comunicarea Comisiei privind o perspectivă credibilă de aderare pentru Balcanii de Vest și un angajament sporit al UE în regiune. În </w:t>
      </w:r>
      <w:r w:rsidRPr="00472A1F">
        <w:rPr>
          <w:noProof/>
        </w:rPr>
        <w:t>2023</w:t>
      </w:r>
      <w:r w:rsidRPr="00027E8D">
        <w:rPr>
          <w:noProof/>
        </w:rPr>
        <w:t>, Comisia a adoptat planul de creștere pentru Balcanii de Vest, care a creat un pachet de măsuri ce se consolidează reciproc, sporind astfel oportunitățile partenerilor WB</w:t>
      </w:r>
      <w:r w:rsidRPr="00472A1F">
        <w:rPr>
          <w:noProof/>
        </w:rPr>
        <w:t>6</w:t>
      </w:r>
      <w:r w:rsidRPr="00027E8D">
        <w:rPr>
          <w:noProof/>
        </w:rPr>
        <w:t xml:space="preserve"> de a beneficia de tratamentul de piață internă înainte de a deveni membri ai UE. În cadrul planului de creștere, UE s-a angajat să le ofere securitate juridică utilizatorilor finali și operatorilor prin găsirea unei soluții juridice pentru a se ajunge la un acord de roaming pe termen lung care să includă Balcanii de Vest în zona UE în care se aplică roamingul la prețurile de pe piața națională, respectând pe deplin angajamentele comerciale internaționale ale Uniunii Europene. Acest angajament a fost reiterat cu ocazia summitului UE-Balcanii de Vest din decembrie </w:t>
      </w:r>
      <w:r w:rsidRPr="00472A1F">
        <w:rPr>
          <w:noProof/>
        </w:rPr>
        <w:t>2024</w:t>
      </w:r>
      <w:r w:rsidRPr="00027E8D">
        <w:rPr>
          <w:noProof/>
        </w:rPr>
        <w:t>, în cadrul căruia liderii au făcut apel la eforturi suplimentare pentru a elabora un acord de roaming pe termen lung care să includă regiunea Balcanilor de Vest în zona UE în care se aplică roamingul la prețurile de pe piața națională.</w:t>
      </w:r>
    </w:p>
    <w:p w14:paraId="39910EB1" w14:textId="77777777" w:rsidR="00E67695" w:rsidRPr="00027E8D" w:rsidRDefault="00F0411F" w:rsidP="00354285">
      <w:pPr>
        <w:rPr>
          <w:noProof/>
        </w:rPr>
      </w:pPr>
      <w:r w:rsidRPr="00027E8D">
        <w:rPr>
          <w:noProof/>
        </w:rPr>
        <w:t xml:space="preserve">Mai recent, în concluziile sale din iunie </w:t>
      </w:r>
      <w:r w:rsidRPr="00472A1F">
        <w:rPr>
          <w:noProof/>
        </w:rPr>
        <w:t>2025</w:t>
      </w:r>
      <w:r w:rsidRPr="00027E8D">
        <w:rPr>
          <w:noProof/>
        </w:rPr>
        <w:t>, Consiliul European</w:t>
      </w:r>
      <w:r w:rsidRPr="00027E8D">
        <w:rPr>
          <w:rStyle w:val="FootnoteReference"/>
          <w:noProof/>
        </w:rPr>
        <w:footnoteReference w:id="7"/>
      </w:r>
      <w:r w:rsidRPr="00027E8D">
        <w:rPr>
          <w:noProof/>
        </w:rPr>
        <w:t xml:space="preserve"> și-a reafirmat hotărârea de a continua integrarea treptată dintre UE și regiune în cursul procesului de extindere și într-un mod bazat pe merite. Prin urmare, este important să se accelereze procesul și să se ia măsuri concrete în vederea îndeplinirii acestor angajamente politice prin negocierea unor acorduri sectoriale. Acordurile sectoriale le vor permite cetățenilor UE și cetățenilor WB</w:t>
      </w:r>
      <w:r w:rsidRPr="00472A1F">
        <w:rPr>
          <w:noProof/>
        </w:rPr>
        <w:t>6</w:t>
      </w:r>
      <w:r w:rsidRPr="00027E8D">
        <w:rPr>
          <w:noProof/>
        </w:rPr>
        <w:t xml:space="preserve"> să beneficieze de serviciile de roaming atunci când călătoresc în zona extinsă de roaming la prețurile de pe piața națională.</w:t>
      </w:r>
    </w:p>
    <w:p w14:paraId="0CED5CBE" w14:textId="77777777" w:rsidR="00096659" w:rsidRPr="00472A1F" w:rsidRDefault="00096659" w:rsidP="00F0411F">
      <w:pPr>
        <w:pStyle w:val="ManualHeading2"/>
        <w:spacing w:after="0"/>
        <w:rPr>
          <w:rFonts w:eastAsia="Arial Unicode MS"/>
          <w:noProof/>
        </w:rPr>
      </w:pPr>
      <w:r w:rsidRPr="00472A1F">
        <w:rPr>
          <w:noProof/>
          <w:color w:val="000000"/>
          <w:u w:color="000000"/>
          <w:bdr w:val="nil"/>
        </w:rPr>
        <w:t>•</w:t>
      </w:r>
      <w:r w:rsidRPr="00472A1F">
        <w:rPr>
          <w:noProof/>
          <w:color w:val="000000"/>
          <w:u w:color="000000"/>
          <w:bdr w:val="nil"/>
        </w:rPr>
        <w:tab/>
      </w:r>
      <w:r w:rsidRPr="00472A1F">
        <w:rPr>
          <w:noProof/>
        </w:rPr>
        <w:t>Coerența cu alte politici ale Uniunii</w:t>
      </w:r>
    </w:p>
    <w:p w14:paraId="090BA098" w14:textId="77777777" w:rsidR="00F0411F" w:rsidRPr="00472A1F" w:rsidRDefault="00F0411F" w:rsidP="00354285">
      <w:pPr>
        <w:rPr>
          <w:b/>
          <w:smallCaps/>
          <w:noProof/>
        </w:rPr>
      </w:pPr>
      <w:r w:rsidRPr="00027E8D">
        <w:rPr>
          <w:noProof/>
        </w:rPr>
        <w:t xml:space="preserve">Politica comercială comună: </w:t>
      </w:r>
    </w:p>
    <w:p w14:paraId="1E1CAA35" w14:textId="77777777" w:rsidR="00F0411F" w:rsidRPr="00472A1F" w:rsidRDefault="00F0411F" w:rsidP="00354285">
      <w:pPr>
        <w:rPr>
          <w:b/>
          <w:smallCaps/>
          <w:noProof/>
        </w:rPr>
      </w:pPr>
      <w:r w:rsidRPr="00027E8D">
        <w:rPr>
          <w:noProof/>
        </w:rPr>
        <w:t>Prezenta recomandare pune în aplicare politica comercială comună a Uniunii față de partenerii WB</w:t>
      </w:r>
      <w:r w:rsidRPr="00472A1F">
        <w:rPr>
          <w:noProof/>
        </w:rPr>
        <w:t>6</w:t>
      </w:r>
      <w:r w:rsidRPr="00027E8D">
        <w:rPr>
          <w:noProof/>
        </w:rPr>
        <w:t xml:space="preserve"> și de țările candidate, pe baza dispozițiilor din ASA menționate anterior. Aceasta sprijină alinierea treptată a reglementărilor la acquis-ul Uniunii, astfel cum se prevede în ASA, și este în concordanță cu obiectivul de acordare a unui acces sporit la piața unică a UE, astfel cum se prevede în planul de creștere pentru Balcanii de Vest. </w:t>
      </w:r>
    </w:p>
    <w:p w14:paraId="4CBA7591" w14:textId="77777777" w:rsidR="00F0411F" w:rsidRPr="00472A1F" w:rsidRDefault="00F0411F" w:rsidP="00354285">
      <w:pPr>
        <w:rPr>
          <w:b/>
          <w:smallCaps/>
          <w:noProof/>
        </w:rPr>
      </w:pPr>
      <w:r w:rsidRPr="00027E8D">
        <w:rPr>
          <w:noProof/>
        </w:rPr>
        <w:t xml:space="preserve">Extinderea UE: </w:t>
      </w:r>
    </w:p>
    <w:p w14:paraId="283D0C00" w14:textId="77777777" w:rsidR="00F0411F" w:rsidRPr="00472A1F" w:rsidRDefault="00F0411F" w:rsidP="00354285">
      <w:pPr>
        <w:rPr>
          <w:b/>
          <w:smallCaps/>
          <w:noProof/>
        </w:rPr>
      </w:pPr>
      <w:r w:rsidRPr="00027E8D">
        <w:rPr>
          <w:noProof/>
        </w:rPr>
        <w:t xml:space="preserve">Extinderea rămâne o politică esențială a Uniunii Europene, care contribuie la securitatea, pacea, stabilitatea și prosperitatea pe termen lung în Europa. Procesul de extindere a căpătat un nou impuls pe parcursul anilor </w:t>
      </w:r>
      <w:r w:rsidRPr="00472A1F">
        <w:rPr>
          <w:noProof/>
        </w:rPr>
        <w:t>2023</w:t>
      </w:r>
      <w:r w:rsidRPr="00027E8D">
        <w:rPr>
          <w:noProof/>
        </w:rPr>
        <w:t xml:space="preserve"> și </w:t>
      </w:r>
      <w:r w:rsidRPr="00472A1F">
        <w:rPr>
          <w:noProof/>
        </w:rPr>
        <w:t>2024</w:t>
      </w:r>
      <w:r w:rsidRPr="00027E8D">
        <w:rPr>
          <w:noProof/>
        </w:rPr>
        <w:t>. Războiul de agresiune al Rusiei împotriva Ucrainei a evidențiat necesitatea de a aduce WB</w:t>
      </w:r>
      <w:r w:rsidRPr="00472A1F">
        <w:rPr>
          <w:noProof/>
        </w:rPr>
        <w:t>6</w:t>
      </w:r>
      <w:r w:rsidRPr="00027E8D">
        <w:rPr>
          <w:noProof/>
        </w:rPr>
        <w:t xml:space="preserve"> mai aproape de UE și de a accelera procesul de aderare a acestor țări. În prezent, cinci țări din cadrul WB</w:t>
      </w:r>
      <w:r w:rsidRPr="00472A1F">
        <w:rPr>
          <w:noProof/>
        </w:rPr>
        <w:t>6</w:t>
      </w:r>
      <w:r w:rsidRPr="00027E8D">
        <w:rPr>
          <w:noProof/>
        </w:rPr>
        <w:t xml:space="preserve"> au statut de țară candidată, în timp ce Kosovo are statutul de țară potențial candidată. </w:t>
      </w:r>
    </w:p>
    <w:p w14:paraId="49022B0D" w14:textId="714058E1" w:rsidR="00F0411F" w:rsidRPr="00472A1F" w:rsidRDefault="00F0411F" w:rsidP="00354285">
      <w:pPr>
        <w:rPr>
          <w:b/>
          <w:smallCaps/>
          <w:noProof/>
        </w:rPr>
      </w:pPr>
      <w:r w:rsidRPr="00027E8D">
        <w:rPr>
          <w:noProof/>
        </w:rPr>
        <w:t>Aderarea acestor țări poate fi accelerată prin instituirea unor reforme legate de UE în țările partenere WB</w:t>
      </w:r>
      <w:r w:rsidRPr="00472A1F">
        <w:rPr>
          <w:noProof/>
        </w:rPr>
        <w:t>6</w:t>
      </w:r>
      <w:r w:rsidRPr="00027E8D">
        <w:rPr>
          <w:noProof/>
        </w:rPr>
        <w:t xml:space="preserve"> și prin oportunitatea de a aduce în prim-plan unele dintre beneficiile aderării la UE, care să poată fi resimțite de cetățenii WB</w:t>
      </w:r>
      <w:r w:rsidRPr="00472A1F">
        <w:rPr>
          <w:noProof/>
        </w:rPr>
        <w:t>6</w:t>
      </w:r>
      <w:r w:rsidRPr="00027E8D">
        <w:rPr>
          <w:noProof/>
        </w:rPr>
        <w:t xml:space="preserve">. Pentru a accelera ritmul procesului de </w:t>
      </w:r>
      <w:r w:rsidRPr="00027E8D">
        <w:rPr>
          <w:noProof/>
        </w:rPr>
        <w:lastRenderedPageBreak/>
        <w:t xml:space="preserve">extindere, UE le permite partenerilor să își intensifice reformele și investițiile, precum și alinierea la acquis-ul UE a reglementărilor lor. Dacă acest demers este efectuat în mod corespunzător, țările partenere și cetățenii lor ar trebui să fie în măsură să beneficieze de o integrare treptată înainte de aderarea la UE. Integrarea treptată este o parte indisolubilă pe calea aderării și are menirea de a accelera aderarea țărilor candidate care își mențin angajamentul deplin față de acest obiectiv și de a facilita integrarea acestora pe piața internă a UE. Acordurile sectoriale recomandate fac obiectul denunțării, în conformitate cu dreptul internațional. </w:t>
      </w:r>
    </w:p>
    <w:p w14:paraId="733A5D66" w14:textId="77777777" w:rsidR="00F0411F" w:rsidRPr="00472A1F" w:rsidRDefault="00F0411F" w:rsidP="00354285">
      <w:pPr>
        <w:rPr>
          <w:b/>
          <w:smallCaps/>
          <w:noProof/>
        </w:rPr>
      </w:pPr>
      <w:r w:rsidRPr="00027E8D">
        <w:rPr>
          <w:noProof/>
        </w:rPr>
        <w:t>Respectarea principiilor democratice, a drepturilor omului și a libertăților fundamentale, precum și respectarea principiilor statului de drept sunt elemente esențiale ale acestor acorduri, astfel cum se specifică în dispozițiile ASA respective</w:t>
      </w:r>
      <w:r w:rsidRPr="00027E8D">
        <w:rPr>
          <w:rStyle w:val="FootnoteReference"/>
          <w:rFonts w:eastAsia="Arial Unicode MS"/>
          <w:noProof/>
        </w:rPr>
        <w:footnoteReference w:id="8"/>
      </w:r>
      <w:r w:rsidRPr="00027E8D">
        <w:rPr>
          <w:noProof/>
        </w:rPr>
        <w:t xml:space="preserve">. </w:t>
      </w:r>
    </w:p>
    <w:p w14:paraId="169023AE" w14:textId="1283E99A" w:rsidR="00627977" w:rsidRPr="00472A1F" w:rsidRDefault="00F0411F" w:rsidP="00354285">
      <w:pPr>
        <w:rPr>
          <w:b/>
          <w:smallCaps/>
          <w:noProof/>
        </w:rPr>
      </w:pPr>
      <w:r w:rsidRPr="00027E8D">
        <w:rPr>
          <w:noProof/>
        </w:rPr>
        <w:t>Având în vedere importanța semnificativă a mediului geostrategic, care a fost și rămâne un catalizator pentru aderare în contextul global actual, Comisia ia act de importanța progreselor realizate de WB</w:t>
      </w:r>
      <w:r w:rsidRPr="00472A1F">
        <w:rPr>
          <w:noProof/>
        </w:rPr>
        <w:t>6</w:t>
      </w:r>
      <w:r w:rsidRPr="00027E8D">
        <w:rPr>
          <w:noProof/>
        </w:rPr>
        <w:t xml:space="preserve"> în domenii de mare relevanță pentru obiectivele geostrategice ale UE, în special alinierea la politica externă și de securitate comună (PESC) a UE și la alte obiective fundamentale legate de politicile UE în domeniul telecomunicațiilor, precum și în alte domenii legate de elementele fundamentale ale procesului de aderare.</w:t>
      </w:r>
    </w:p>
    <w:p w14:paraId="32B57EF6" w14:textId="77777777" w:rsidR="00096659" w:rsidRPr="00472A1F" w:rsidRDefault="00096659" w:rsidP="00550536">
      <w:pPr>
        <w:pStyle w:val="ManualHeading1"/>
        <w:rPr>
          <w:noProof/>
        </w:rPr>
      </w:pPr>
      <w:r w:rsidRPr="00472A1F">
        <w:rPr>
          <w:noProof/>
        </w:rPr>
        <w:t>2.</w:t>
      </w:r>
      <w:r w:rsidRPr="00472A1F">
        <w:rPr>
          <w:noProof/>
        </w:rPr>
        <w:tab/>
        <w:t>TEMEI JURIDIC, SUBSIDIARITATE ȘI PROPORȚIONALITATE</w:t>
      </w:r>
    </w:p>
    <w:p w14:paraId="77D47868" w14:textId="77777777" w:rsidR="00096659" w:rsidRPr="00472A1F" w:rsidRDefault="00096659" w:rsidP="00A4693B">
      <w:pPr>
        <w:pStyle w:val="ManualHeading2"/>
        <w:rPr>
          <w:rFonts w:eastAsia="Arial Unicode MS"/>
          <w:noProof/>
          <w:u w:color="000000"/>
          <w:bdr w:val="nil"/>
        </w:rPr>
      </w:pPr>
      <w:r w:rsidRPr="00472A1F">
        <w:rPr>
          <w:noProof/>
          <w:u w:color="000000"/>
          <w:bdr w:val="nil"/>
        </w:rPr>
        <w:t>•</w:t>
      </w:r>
      <w:r w:rsidRPr="00472A1F">
        <w:rPr>
          <w:noProof/>
          <w:u w:color="000000"/>
          <w:bdr w:val="nil"/>
        </w:rPr>
        <w:tab/>
        <w:t>Temeiul juridic procedural</w:t>
      </w:r>
    </w:p>
    <w:p w14:paraId="2D1C3434" w14:textId="77777777" w:rsidR="00D43054" w:rsidRPr="00027E8D" w:rsidRDefault="00D43054" w:rsidP="00D43054">
      <w:pPr>
        <w:pBdr>
          <w:top w:val="nil"/>
          <w:left w:val="nil"/>
          <w:bottom w:val="nil"/>
          <w:right w:val="nil"/>
          <w:between w:val="nil"/>
          <w:bar w:val="nil"/>
        </w:pBdr>
        <w:spacing w:before="0" w:after="240"/>
        <w:rPr>
          <w:rFonts w:eastAsia="Arial Unicode MS"/>
          <w:noProof/>
        </w:rPr>
      </w:pPr>
      <w:r w:rsidRPr="00027E8D">
        <w:rPr>
          <w:noProof/>
        </w:rPr>
        <w:t xml:space="preserve">Articolul </w:t>
      </w:r>
      <w:r w:rsidRPr="00472A1F">
        <w:rPr>
          <w:noProof/>
        </w:rPr>
        <w:t>218</w:t>
      </w:r>
      <w:r w:rsidRPr="00027E8D">
        <w:rPr>
          <w:noProof/>
        </w:rPr>
        <w:t xml:space="preserve"> alineatul (</w:t>
      </w:r>
      <w:r w:rsidRPr="00472A1F">
        <w:rPr>
          <w:noProof/>
        </w:rPr>
        <w:t>3</w:t>
      </w:r>
      <w:r w:rsidRPr="00027E8D">
        <w:rPr>
          <w:noProof/>
        </w:rPr>
        <w:t>) din Tratatul privind funcționarea Uniunii Europene (TFUE) prevede că, în cazul în care acordul preconizat nu se referă exclusiv sau în principal la politica externă și de securitate comună, Comisia prezintă recomandări Consiliului. Consiliul adoptă o decizie de autorizare a începerii negocierilor și de numire a negociatorului Uniunii sau a șefului echipei de negociere a Uniunii.</w:t>
      </w:r>
    </w:p>
    <w:p w14:paraId="2E0B83A3" w14:textId="77777777" w:rsidR="00D43054" w:rsidRPr="00027E8D" w:rsidRDefault="00D43054" w:rsidP="00D43054">
      <w:pPr>
        <w:pBdr>
          <w:top w:val="nil"/>
          <w:left w:val="nil"/>
          <w:bottom w:val="nil"/>
          <w:right w:val="nil"/>
          <w:between w:val="nil"/>
          <w:bar w:val="nil"/>
        </w:pBdr>
        <w:spacing w:before="0" w:after="240"/>
        <w:rPr>
          <w:rFonts w:eastAsia="Arial Unicode MS"/>
          <w:noProof/>
        </w:rPr>
      </w:pPr>
      <w:r w:rsidRPr="00027E8D">
        <w:rPr>
          <w:noProof/>
        </w:rPr>
        <w:t xml:space="preserve">Articolul </w:t>
      </w:r>
      <w:r w:rsidRPr="00472A1F">
        <w:rPr>
          <w:noProof/>
        </w:rPr>
        <w:t>218</w:t>
      </w:r>
      <w:r w:rsidRPr="00027E8D">
        <w:rPr>
          <w:noProof/>
        </w:rPr>
        <w:t xml:space="preserve"> alineatul (</w:t>
      </w:r>
      <w:r w:rsidRPr="00472A1F">
        <w:rPr>
          <w:noProof/>
        </w:rPr>
        <w:t>4</w:t>
      </w:r>
      <w:r w:rsidRPr="00027E8D">
        <w:rPr>
          <w:noProof/>
        </w:rPr>
        <w:t xml:space="preserve">) din TFUE prevede că Consiliul poate adresa directive de negociere negociatorului și poate desemna un comitet special pentru a se consulta cu negociatorul. </w:t>
      </w:r>
    </w:p>
    <w:p w14:paraId="0AC5C867" w14:textId="77777777" w:rsidR="00D43054" w:rsidRPr="00027E8D" w:rsidRDefault="00D43054" w:rsidP="00D43054">
      <w:pPr>
        <w:pBdr>
          <w:top w:val="nil"/>
          <w:left w:val="nil"/>
          <w:bottom w:val="nil"/>
          <w:right w:val="nil"/>
          <w:between w:val="nil"/>
          <w:bar w:val="nil"/>
        </w:pBdr>
        <w:spacing w:before="0" w:after="240"/>
        <w:rPr>
          <w:rFonts w:eastAsia="Arial Unicode MS"/>
          <w:noProof/>
        </w:rPr>
      </w:pPr>
      <w:r w:rsidRPr="00027E8D">
        <w:rPr>
          <w:noProof/>
        </w:rPr>
        <w:t xml:space="preserve">Comisia recomandă începerea negocierilor între Uniunea Europeană și Republica Albania, Bosnia și Herțegovina, Kosovo, Muntenegru, Republica Macedonia de Nord și, respectiv, Republica Serbia în vederea încheierii a șase acorduri internaționale bilaterale referitoare la roamingul internațional în rețelele publice de comunicații mobile. </w:t>
      </w:r>
    </w:p>
    <w:p w14:paraId="60A5D622" w14:textId="77777777" w:rsidR="00D43054" w:rsidRPr="00027E8D" w:rsidRDefault="00D43054" w:rsidP="00D43054">
      <w:pPr>
        <w:pBdr>
          <w:top w:val="nil"/>
          <w:left w:val="nil"/>
          <w:bottom w:val="nil"/>
          <w:right w:val="nil"/>
          <w:between w:val="nil"/>
          <w:bar w:val="nil"/>
        </w:pBdr>
        <w:spacing w:before="0" w:after="240"/>
        <w:rPr>
          <w:rFonts w:eastAsia="Arial Unicode MS"/>
          <w:noProof/>
        </w:rPr>
      </w:pPr>
      <w:r w:rsidRPr="00027E8D">
        <w:rPr>
          <w:noProof/>
        </w:rPr>
        <w:t xml:space="preserve">Comisia trebuie să fie desemnată negociator. </w:t>
      </w:r>
    </w:p>
    <w:p w14:paraId="5514B177" w14:textId="06E1912F" w:rsidR="00D43054" w:rsidRPr="00027E8D" w:rsidRDefault="00D43054" w:rsidP="00D43054">
      <w:pPr>
        <w:pBdr>
          <w:top w:val="nil"/>
          <w:left w:val="nil"/>
          <w:bottom w:val="nil"/>
          <w:right w:val="nil"/>
          <w:between w:val="nil"/>
          <w:bar w:val="nil"/>
        </w:pBdr>
        <w:spacing w:before="0" w:after="240"/>
        <w:rPr>
          <w:rFonts w:eastAsia="Arial Unicode MS"/>
          <w:noProof/>
        </w:rPr>
      </w:pPr>
      <w:r w:rsidRPr="00027E8D">
        <w:rPr>
          <w:noProof/>
        </w:rPr>
        <w:t xml:space="preserve">Temeiul juridic procedural al deciziei recomandate de autorizare a începerii negocierilor pentru cele două acorduri avute în vedere este articolul </w:t>
      </w:r>
      <w:r w:rsidRPr="00472A1F">
        <w:rPr>
          <w:noProof/>
        </w:rPr>
        <w:t>218</w:t>
      </w:r>
      <w:r w:rsidRPr="00027E8D">
        <w:rPr>
          <w:noProof/>
        </w:rPr>
        <w:t xml:space="preserve"> alineatele (</w:t>
      </w:r>
      <w:r w:rsidRPr="00472A1F">
        <w:rPr>
          <w:noProof/>
        </w:rPr>
        <w:t>3</w:t>
      </w:r>
      <w:r w:rsidRPr="00027E8D">
        <w:rPr>
          <w:noProof/>
        </w:rPr>
        <w:t>) și (</w:t>
      </w:r>
      <w:r w:rsidRPr="00472A1F">
        <w:rPr>
          <w:noProof/>
        </w:rPr>
        <w:t>4</w:t>
      </w:r>
      <w:r w:rsidRPr="00027E8D">
        <w:rPr>
          <w:noProof/>
        </w:rPr>
        <w:t>) din TFUE.</w:t>
      </w:r>
    </w:p>
    <w:p w14:paraId="15E8F747" w14:textId="77777777" w:rsidR="00D43054" w:rsidRPr="00472A1F" w:rsidRDefault="00D43054" w:rsidP="00D43054">
      <w:pPr>
        <w:pStyle w:val="ManualHeading2"/>
        <w:rPr>
          <w:rFonts w:eastAsia="Arial Unicode MS"/>
          <w:noProof/>
          <w:u w:color="000000"/>
          <w:bdr w:val="nil"/>
        </w:rPr>
      </w:pPr>
      <w:r w:rsidRPr="00472A1F">
        <w:rPr>
          <w:noProof/>
          <w:u w:color="000000"/>
          <w:bdr w:val="nil"/>
        </w:rPr>
        <w:lastRenderedPageBreak/>
        <w:t>•</w:t>
      </w:r>
      <w:r w:rsidRPr="00472A1F">
        <w:rPr>
          <w:noProof/>
          <w:u w:color="000000"/>
          <w:bdr w:val="nil"/>
        </w:rPr>
        <w:tab/>
        <w:t>Temeiul juridic material</w:t>
      </w:r>
    </w:p>
    <w:p w14:paraId="2563187D" w14:textId="77777777" w:rsidR="00D43054" w:rsidRPr="00027E8D" w:rsidRDefault="00D43054" w:rsidP="00D43054">
      <w:pPr>
        <w:pBdr>
          <w:top w:val="nil"/>
          <w:left w:val="nil"/>
          <w:bottom w:val="nil"/>
          <w:right w:val="nil"/>
          <w:between w:val="nil"/>
          <w:bar w:val="nil"/>
        </w:pBdr>
        <w:spacing w:before="0" w:after="240"/>
        <w:rPr>
          <w:rFonts w:eastAsia="Arial Unicode MS"/>
          <w:noProof/>
        </w:rPr>
      </w:pPr>
      <w:r w:rsidRPr="00027E8D">
        <w:rPr>
          <w:noProof/>
        </w:rPr>
        <w:t>Obiectivul acordurilor planificate este de a continua integrarea pieței în domeniul comerțului cu servicii și, în special, de a integra partenerii WB</w:t>
      </w:r>
      <w:r w:rsidRPr="00472A1F">
        <w:rPr>
          <w:noProof/>
        </w:rPr>
        <w:t>6</w:t>
      </w:r>
      <w:r w:rsidRPr="00027E8D">
        <w:rPr>
          <w:noProof/>
        </w:rPr>
        <w:t xml:space="preserve"> pe piața internă în ceea ce privește roamingul. Prin urmare, negocierea acestor acorduri intră sub incidența politicii comerciale comune (PCC).</w:t>
      </w:r>
    </w:p>
    <w:p w14:paraId="65AF4801" w14:textId="77777777" w:rsidR="00D43054" w:rsidRPr="00027E8D" w:rsidRDefault="00D43054" w:rsidP="00D43054">
      <w:pPr>
        <w:pBdr>
          <w:top w:val="nil"/>
          <w:left w:val="nil"/>
          <w:bottom w:val="nil"/>
          <w:right w:val="nil"/>
          <w:between w:val="nil"/>
          <w:bar w:val="nil"/>
        </w:pBdr>
        <w:spacing w:before="0" w:after="240"/>
        <w:rPr>
          <w:rFonts w:eastAsia="Arial Unicode MS"/>
          <w:noProof/>
        </w:rPr>
      </w:pPr>
      <w:r w:rsidRPr="00027E8D">
        <w:rPr>
          <w:noProof/>
        </w:rPr>
        <w:t>Din acest motiv, temeiul juridic material este prevăzut la articolul </w:t>
      </w:r>
      <w:r w:rsidRPr="00472A1F">
        <w:rPr>
          <w:noProof/>
        </w:rPr>
        <w:t>207</w:t>
      </w:r>
      <w:r w:rsidRPr="00027E8D">
        <w:rPr>
          <w:noProof/>
        </w:rPr>
        <w:t xml:space="preserve"> alineatul (</w:t>
      </w:r>
      <w:r w:rsidRPr="00472A1F">
        <w:rPr>
          <w:noProof/>
        </w:rPr>
        <w:t>4</w:t>
      </w:r>
      <w:r w:rsidRPr="00027E8D">
        <w:rPr>
          <w:noProof/>
        </w:rPr>
        <w:t>) primul paragraf din Tratatul privind funcționarea Uniunii Europene (TFUE).</w:t>
      </w:r>
    </w:p>
    <w:p w14:paraId="106A2AFA" w14:textId="77777777" w:rsidR="00D43054" w:rsidRPr="00472A1F" w:rsidRDefault="00D43054" w:rsidP="00D43054">
      <w:pPr>
        <w:pStyle w:val="ManualHeading2"/>
        <w:tabs>
          <w:tab w:val="center" w:pos="4536"/>
        </w:tabs>
        <w:rPr>
          <w:rFonts w:eastAsia="Arial Unicode MS"/>
          <w:noProof/>
          <w:u w:color="000000"/>
          <w:bdr w:val="nil"/>
        </w:rPr>
      </w:pPr>
      <w:r w:rsidRPr="00472A1F">
        <w:rPr>
          <w:noProof/>
          <w:u w:color="000000"/>
          <w:bdr w:val="nil"/>
        </w:rPr>
        <w:t>•</w:t>
      </w:r>
      <w:r w:rsidRPr="00472A1F">
        <w:rPr>
          <w:noProof/>
          <w:u w:color="000000"/>
          <w:bdr w:val="nil"/>
        </w:rPr>
        <w:tab/>
        <w:t>Alegerea negociatorului</w:t>
      </w:r>
      <w:r w:rsidRPr="00472A1F">
        <w:rPr>
          <w:noProof/>
          <w:u w:color="000000"/>
          <w:bdr w:val="nil"/>
        </w:rPr>
        <w:tab/>
      </w:r>
    </w:p>
    <w:p w14:paraId="53FF7FC7" w14:textId="77777777" w:rsidR="00D43054" w:rsidRPr="00027E8D" w:rsidRDefault="00D43054" w:rsidP="00354285">
      <w:pPr>
        <w:rPr>
          <w:noProof/>
        </w:rPr>
      </w:pPr>
      <w:r w:rsidRPr="00027E8D">
        <w:rPr>
          <w:noProof/>
        </w:rPr>
        <w:t>Dat fiind că acordurile preconizate vizează exclusiv alte aspecte decât politica externă și de securitate comună, Comisia trebuie desemnată negociator în temeiul articolului </w:t>
      </w:r>
      <w:r w:rsidRPr="00472A1F">
        <w:rPr>
          <w:noProof/>
        </w:rPr>
        <w:t>218</w:t>
      </w:r>
      <w:r w:rsidRPr="00027E8D">
        <w:rPr>
          <w:noProof/>
        </w:rPr>
        <w:t xml:space="preserve"> alineatul (</w:t>
      </w:r>
      <w:r w:rsidRPr="00472A1F">
        <w:rPr>
          <w:noProof/>
        </w:rPr>
        <w:t>3</w:t>
      </w:r>
      <w:r w:rsidRPr="00027E8D">
        <w:rPr>
          <w:noProof/>
        </w:rPr>
        <w:t>) din TFUE.</w:t>
      </w:r>
    </w:p>
    <w:p w14:paraId="0BD5CFA9" w14:textId="77777777" w:rsidR="00D43054" w:rsidRPr="00472A1F" w:rsidRDefault="00D43054" w:rsidP="00D43054">
      <w:pPr>
        <w:pStyle w:val="ManualHeading2"/>
        <w:rPr>
          <w:rFonts w:eastAsia="Arial Unicode MS"/>
          <w:noProof/>
          <w:u w:color="000000"/>
          <w:bdr w:val="nil"/>
        </w:rPr>
      </w:pPr>
      <w:r w:rsidRPr="00472A1F">
        <w:rPr>
          <w:noProof/>
          <w:u w:color="000000"/>
          <w:bdr w:val="nil"/>
        </w:rPr>
        <w:t>•</w:t>
      </w:r>
      <w:r w:rsidRPr="00472A1F">
        <w:rPr>
          <w:noProof/>
          <w:u w:color="000000"/>
          <w:bdr w:val="nil"/>
        </w:rPr>
        <w:tab/>
        <w:t>Competența Uniunii</w:t>
      </w:r>
    </w:p>
    <w:p w14:paraId="248C3C1F" w14:textId="77777777" w:rsidR="00D43054" w:rsidRPr="00027E8D" w:rsidRDefault="00D43054" w:rsidP="00D43054">
      <w:pPr>
        <w:pBdr>
          <w:top w:val="nil"/>
          <w:left w:val="nil"/>
          <w:bottom w:val="nil"/>
          <w:right w:val="nil"/>
          <w:between w:val="nil"/>
          <w:bar w:val="nil"/>
        </w:pBdr>
        <w:spacing w:before="0" w:after="240"/>
        <w:rPr>
          <w:rFonts w:eastAsia="Arial Unicode MS"/>
          <w:noProof/>
        </w:rPr>
      </w:pPr>
      <w:r w:rsidRPr="00027E8D">
        <w:rPr>
          <w:noProof/>
        </w:rPr>
        <w:t>Politica comercială comună se numără printre competențele exclusive ale Uniunii în temeiul articolului </w:t>
      </w:r>
      <w:r w:rsidRPr="00472A1F">
        <w:rPr>
          <w:noProof/>
        </w:rPr>
        <w:t>3</w:t>
      </w:r>
      <w:r w:rsidRPr="00027E8D">
        <w:rPr>
          <w:noProof/>
        </w:rPr>
        <w:t xml:space="preserve"> alineatul (</w:t>
      </w:r>
      <w:r w:rsidRPr="00472A1F">
        <w:rPr>
          <w:noProof/>
        </w:rPr>
        <w:t>1</w:t>
      </w:r>
      <w:r w:rsidRPr="00027E8D">
        <w:rPr>
          <w:noProof/>
        </w:rPr>
        <w:t>) litera (e) din TFUE. Întrucât acordurile planificate intră în domeniul de aplicare al politicii comerciale comune, Uniunea are competența exclusivă de a încheia acordurile respective.</w:t>
      </w:r>
    </w:p>
    <w:p w14:paraId="32EB2DCE" w14:textId="77777777" w:rsidR="00096659" w:rsidRPr="00472A1F" w:rsidRDefault="00096659" w:rsidP="00A4693B">
      <w:pPr>
        <w:pStyle w:val="ManualHeading2"/>
        <w:rPr>
          <w:rFonts w:eastAsia="Arial Unicode MS"/>
          <w:noProof/>
          <w:u w:color="000000"/>
          <w:bdr w:val="nil"/>
        </w:rPr>
      </w:pPr>
      <w:r w:rsidRPr="00472A1F">
        <w:rPr>
          <w:noProof/>
          <w:u w:color="000000"/>
          <w:bdr w:val="nil"/>
        </w:rPr>
        <w:t>•</w:t>
      </w:r>
      <w:r w:rsidRPr="00472A1F">
        <w:rPr>
          <w:noProof/>
          <w:u w:color="000000"/>
          <w:bdr w:val="nil"/>
        </w:rPr>
        <w:tab/>
        <w:t xml:space="preserve">Subsidiaritatea (în cazul competențelor neexclusive) </w:t>
      </w:r>
    </w:p>
    <w:p w14:paraId="034908B0" w14:textId="77777777" w:rsidR="00096659" w:rsidRPr="00027E8D" w:rsidRDefault="00D43054" w:rsidP="00550536">
      <w:pPr>
        <w:pBdr>
          <w:top w:val="nil"/>
          <w:left w:val="nil"/>
          <w:bottom w:val="nil"/>
          <w:right w:val="nil"/>
          <w:between w:val="nil"/>
          <w:bar w:val="nil"/>
        </w:pBdr>
        <w:spacing w:before="0" w:after="240"/>
        <w:rPr>
          <w:rFonts w:eastAsia="Arial Unicode MS"/>
          <w:noProof/>
        </w:rPr>
      </w:pPr>
      <w:r w:rsidRPr="00027E8D">
        <w:rPr>
          <w:noProof/>
        </w:rPr>
        <w:t>Negocierea acordurilor internaționale referitoare la angajamentele privind prestarea de servicii în domeniul roamingului intră în sfera de acțiune a politicii comerciale comune și este, așadar, o competență exclusivă în conformitate cu articolul </w:t>
      </w:r>
      <w:r w:rsidRPr="00472A1F">
        <w:rPr>
          <w:noProof/>
        </w:rPr>
        <w:t>3</w:t>
      </w:r>
      <w:r w:rsidRPr="00027E8D">
        <w:rPr>
          <w:noProof/>
        </w:rPr>
        <w:t xml:space="preserve"> alineatul (</w:t>
      </w:r>
      <w:r w:rsidRPr="00472A1F">
        <w:rPr>
          <w:noProof/>
        </w:rPr>
        <w:t>1</w:t>
      </w:r>
      <w:r w:rsidRPr="00027E8D">
        <w:rPr>
          <w:noProof/>
        </w:rPr>
        <w:t xml:space="preserve">) din TFUE. Conform articolului </w:t>
      </w:r>
      <w:r w:rsidRPr="00472A1F">
        <w:rPr>
          <w:noProof/>
        </w:rPr>
        <w:t>5</w:t>
      </w:r>
      <w:r w:rsidRPr="00027E8D">
        <w:rPr>
          <w:noProof/>
        </w:rPr>
        <w:t xml:space="preserve"> alineatul (</w:t>
      </w:r>
      <w:r w:rsidRPr="00472A1F">
        <w:rPr>
          <w:noProof/>
        </w:rPr>
        <w:t>3</w:t>
      </w:r>
      <w:r w:rsidRPr="00027E8D">
        <w:rPr>
          <w:noProof/>
        </w:rPr>
        <w:t>) din Tratatul privind Uniunea Europeană (TUE), principiul subsidiarității nu se aplică în domeniile de competență exclusivă a UE.</w:t>
      </w:r>
    </w:p>
    <w:p w14:paraId="23DEFB0A" w14:textId="77777777" w:rsidR="00096659" w:rsidRPr="00472A1F" w:rsidRDefault="00096659" w:rsidP="00A4693B">
      <w:pPr>
        <w:pStyle w:val="ManualHeading2"/>
        <w:rPr>
          <w:rFonts w:eastAsia="Arial Unicode MS"/>
          <w:noProof/>
          <w:u w:color="000000"/>
          <w:bdr w:val="nil"/>
        </w:rPr>
      </w:pPr>
      <w:r w:rsidRPr="00472A1F">
        <w:rPr>
          <w:noProof/>
          <w:u w:color="000000"/>
          <w:bdr w:val="nil"/>
        </w:rPr>
        <w:t>•</w:t>
      </w:r>
      <w:r w:rsidRPr="00472A1F">
        <w:rPr>
          <w:noProof/>
          <w:u w:color="000000"/>
          <w:bdr w:val="nil"/>
        </w:rPr>
        <w:tab/>
        <w:t>Proporționalitatea</w:t>
      </w:r>
    </w:p>
    <w:p w14:paraId="3C5183D4" w14:textId="77777777" w:rsidR="00D43054" w:rsidRPr="00027E8D" w:rsidRDefault="00D43054" w:rsidP="00550536">
      <w:pPr>
        <w:pBdr>
          <w:top w:val="nil"/>
          <w:left w:val="nil"/>
          <w:bottom w:val="nil"/>
          <w:right w:val="nil"/>
          <w:between w:val="nil"/>
          <w:bar w:val="nil"/>
        </w:pBdr>
        <w:spacing w:before="0" w:after="240"/>
        <w:rPr>
          <w:rFonts w:eastAsia="Arial Unicode MS"/>
          <w:noProof/>
        </w:rPr>
      </w:pPr>
      <w:r w:rsidRPr="00027E8D">
        <w:rPr>
          <w:noProof/>
        </w:rPr>
        <w:t xml:space="preserve">Negocierea acordurilor avute în vedere nu depășește ceea ce este necesar sau adecvat pentru atingerea obiectivelor de politică ale politicii comerciale comune. </w:t>
      </w:r>
    </w:p>
    <w:p w14:paraId="1E3B3AA7" w14:textId="77777777" w:rsidR="00096659" w:rsidRPr="00472A1F" w:rsidRDefault="00096659" w:rsidP="00A4693B">
      <w:pPr>
        <w:pStyle w:val="ManualHeading2"/>
        <w:rPr>
          <w:rFonts w:eastAsia="Arial Unicode MS"/>
          <w:noProof/>
          <w:u w:color="000000"/>
          <w:bdr w:val="nil"/>
        </w:rPr>
      </w:pPr>
      <w:r w:rsidRPr="00472A1F">
        <w:rPr>
          <w:noProof/>
          <w:u w:color="000000"/>
          <w:bdr w:val="nil"/>
        </w:rPr>
        <w:t>•</w:t>
      </w:r>
      <w:r w:rsidRPr="00472A1F">
        <w:rPr>
          <w:noProof/>
          <w:u w:color="000000"/>
          <w:bdr w:val="nil"/>
        </w:rPr>
        <w:tab/>
        <w:t>Alegerea instrumentului</w:t>
      </w:r>
    </w:p>
    <w:p w14:paraId="6145DBF4" w14:textId="77777777" w:rsidR="00096659" w:rsidRPr="00027E8D" w:rsidRDefault="004A5618" w:rsidP="004A5618">
      <w:pPr>
        <w:pBdr>
          <w:top w:val="nil"/>
          <w:left w:val="nil"/>
          <w:bottom w:val="nil"/>
          <w:right w:val="nil"/>
          <w:between w:val="nil"/>
          <w:bar w:val="nil"/>
        </w:pBdr>
        <w:spacing w:before="0" w:after="240"/>
        <w:rPr>
          <w:rFonts w:eastAsia="Arial Unicode MS"/>
          <w:noProof/>
        </w:rPr>
      </w:pPr>
      <w:r w:rsidRPr="00027E8D">
        <w:rPr>
          <w:noProof/>
        </w:rPr>
        <w:t>Prezenta recomandare de decizie a Consiliului este prezentată în conformitate cu articolul </w:t>
      </w:r>
      <w:r w:rsidRPr="00472A1F">
        <w:rPr>
          <w:noProof/>
        </w:rPr>
        <w:t>218</w:t>
      </w:r>
      <w:r w:rsidRPr="00027E8D">
        <w:rPr>
          <w:noProof/>
        </w:rPr>
        <w:t xml:space="preserve"> alineatele (</w:t>
      </w:r>
      <w:r w:rsidRPr="00472A1F">
        <w:rPr>
          <w:noProof/>
        </w:rPr>
        <w:t>3</w:t>
      </w:r>
      <w:r w:rsidRPr="00027E8D">
        <w:rPr>
          <w:noProof/>
        </w:rPr>
        <w:t>) și (</w:t>
      </w:r>
      <w:r w:rsidRPr="00472A1F">
        <w:rPr>
          <w:noProof/>
        </w:rPr>
        <w:t>4</w:t>
      </w:r>
      <w:r w:rsidRPr="00027E8D">
        <w:rPr>
          <w:noProof/>
        </w:rPr>
        <w:t>) din TFUE, în care se prevede adoptarea de către Consiliu a unei decizii de autorizare a începerii negocierilor și de numire a negociatorului Uniunii. De asemenea, Consiliul poate adresa directive de negociere negociatorului. Nu există un alt instrument juridic care ar putea fi folosit în scopul realizării obiectivului exprimat în prezenta recomandare.</w:t>
      </w:r>
    </w:p>
    <w:p w14:paraId="5013FDD3" w14:textId="77777777" w:rsidR="00096659" w:rsidRPr="00472A1F" w:rsidRDefault="00096659" w:rsidP="00550536">
      <w:pPr>
        <w:pStyle w:val="ManualHeading1"/>
        <w:rPr>
          <w:noProof/>
        </w:rPr>
      </w:pPr>
      <w:r w:rsidRPr="00472A1F">
        <w:rPr>
          <w:noProof/>
        </w:rPr>
        <w:lastRenderedPageBreak/>
        <w:t>3.</w:t>
      </w:r>
      <w:r w:rsidRPr="00472A1F">
        <w:rPr>
          <w:noProof/>
        </w:rPr>
        <w:tab/>
        <w:t xml:space="preserve">REZULTATELE EVALUĂRILOR </w:t>
      </w:r>
      <w:r w:rsidRPr="00472A1F">
        <w:rPr>
          <w:i/>
          <w:noProof/>
        </w:rPr>
        <w:t>EX POST</w:t>
      </w:r>
      <w:r w:rsidRPr="00472A1F">
        <w:rPr>
          <w:noProof/>
        </w:rPr>
        <w:t>, ALE CONSULTĂRILOR CU PĂRȚILE INTERESATE ȘI ALE EVALUĂRILOR IMPACTULUI</w:t>
      </w:r>
    </w:p>
    <w:p w14:paraId="29FD6DDB" w14:textId="77777777" w:rsidR="00096659" w:rsidRPr="00472A1F" w:rsidRDefault="00096659" w:rsidP="00A4693B">
      <w:pPr>
        <w:pStyle w:val="ManualHeading2"/>
        <w:rPr>
          <w:rFonts w:eastAsia="Arial Unicode MS"/>
          <w:noProof/>
          <w:u w:color="000000"/>
          <w:bdr w:val="nil"/>
        </w:rPr>
      </w:pPr>
      <w:r w:rsidRPr="00472A1F">
        <w:rPr>
          <w:noProof/>
          <w:u w:color="000000"/>
          <w:bdr w:val="nil"/>
        </w:rPr>
        <w:t>•</w:t>
      </w:r>
      <w:r w:rsidRPr="00472A1F">
        <w:rPr>
          <w:noProof/>
          <w:u w:color="000000"/>
          <w:bdr w:val="nil"/>
        </w:rPr>
        <w:tab/>
        <w:t>Evaluarea impactului</w:t>
      </w:r>
    </w:p>
    <w:p w14:paraId="7A6C3B1A" w14:textId="77777777" w:rsidR="004A5618" w:rsidRPr="00027E8D" w:rsidRDefault="004A5618" w:rsidP="004A5618">
      <w:pPr>
        <w:pStyle w:val="ManualHeading2"/>
        <w:ind w:left="0" w:firstLine="0"/>
        <w:rPr>
          <w:rFonts w:eastAsia="Arial Unicode MS"/>
          <w:b w:val="0"/>
          <w:noProof/>
        </w:rPr>
      </w:pPr>
      <w:r w:rsidRPr="00027E8D">
        <w:rPr>
          <w:b w:val="0"/>
          <w:noProof/>
        </w:rPr>
        <w:t xml:space="preserve">Nu au fost necesare evaluări ale impactului pentru procesul similar desfășurat cu Ucraina și Republica Moldova, care alcătuiesc, împreună, o piață de aproximativ </w:t>
      </w:r>
      <w:r w:rsidRPr="00472A1F">
        <w:rPr>
          <w:b w:val="0"/>
          <w:noProof/>
        </w:rPr>
        <w:t>40</w:t>
      </w:r>
      <w:r w:rsidRPr="00027E8D">
        <w:rPr>
          <w:b w:val="0"/>
          <w:noProof/>
        </w:rPr>
        <w:t xml:space="preserve"> de milioane de utilizatori finali. Piețele WB</w:t>
      </w:r>
      <w:r w:rsidRPr="00472A1F">
        <w:rPr>
          <w:b w:val="0"/>
          <w:noProof/>
        </w:rPr>
        <w:t>6</w:t>
      </w:r>
      <w:r w:rsidRPr="00027E8D">
        <w:rPr>
          <w:b w:val="0"/>
          <w:noProof/>
        </w:rPr>
        <w:t xml:space="preserve"> reprezintă aproximativ </w:t>
      </w:r>
      <w:r w:rsidRPr="00472A1F">
        <w:rPr>
          <w:b w:val="0"/>
          <w:noProof/>
        </w:rPr>
        <w:t>18</w:t>
      </w:r>
      <w:r w:rsidRPr="00027E8D">
        <w:rPr>
          <w:b w:val="0"/>
          <w:noProof/>
        </w:rPr>
        <w:t xml:space="preserve"> milioane de utilizatori finali. Integrarea WB</w:t>
      </w:r>
      <w:r w:rsidRPr="00472A1F">
        <w:rPr>
          <w:b w:val="0"/>
          <w:noProof/>
        </w:rPr>
        <w:t>6</w:t>
      </w:r>
      <w:r w:rsidRPr="00027E8D">
        <w:rPr>
          <w:b w:val="0"/>
          <w:noProof/>
        </w:rPr>
        <w:t xml:space="preserve"> pe piața unică a UE reprezintă o etapă intermediară a procesului de aderare al acestor țări. Acordurile sectoriale au fost identificate ca fiind soluția juridică viabilă, care ar permite această integrare.</w:t>
      </w:r>
    </w:p>
    <w:p w14:paraId="25245EC4" w14:textId="77777777" w:rsidR="00096659" w:rsidRPr="00472A1F" w:rsidRDefault="00096659" w:rsidP="004A5618">
      <w:pPr>
        <w:pStyle w:val="ManualHeading1"/>
        <w:rPr>
          <w:noProof/>
        </w:rPr>
      </w:pPr>
      <w:r w:rsidRPr="00472A1F">
        <w:rPr>
          <w:noProof/>
        </w:rPr>
        <w:t>4.</w:t>
      </w:r>
      <w:r w:rsidRPr="00472A1F">
        <w:rPr>
          <w:noProof/>
        </w:rPr>
        <w:tab/>
        <w:t>IMPLICAȚII BUGETARE</w:t>
      </w:r>
    </w:p>
    <w:p w14:paraId="18C39581" w14:textId="77777777" w:rsidR="00354285" w:rsidRPr="00027E8D" w:rsidRDefault="004A5618" w:rsidP="00354285">
      <w:pPr>
        <w:rPr>
          <w:noProof/>
        </w:rPr>
      </w:pPr>
      <w:r w:rsidRPr="00027E8D">
        <w:rPr>
          <w:noProof/>
        </w:rPr>
        <w:t>Recomandarea nu are implicații bugetare.</w:t>
      </w:r>
    </w:p>
    <w:p w14:paraId="5EDB2830" w14:textId="765F9134" w:rsidR="00354285" w:rsidRPr="00027E8D" w:rsidRDefault="00354285" w:rsidP="00354285">
      <w:pPr>
        <w:rPr>
          <w:noProof/>
        </w:rPr>
        <w:sectPr w:rsidR="00354285" w:rsidRPr="00027E8D" w:rsidSect="00797F7B">
          <w:headerReference w:type="even" r:id="rId11"/>
          <w:footerReference w:type="even" r:id="rId12"/>
          <w:footerReference w:type="default" r:id="rId13"/>
          <w:headerReference w:type="first" r:id="rId14"/>
          <w:footerReference w:type="first" r:id="rId15"/>
          <w:pgSz w:w="11907" w:h="16839"/>
          <w:pgMar w:top="1134" w:right="1417" w:bottom="1134" w:left="1417" w:header="709" w:footer="709" w:gutter="0"/>
          <w:cols w:space="708"/>
          <w:docGrid w:linePitch="360"/>
        </w:sectPr>
      </w:pPr>
    </w:p>
    <w:p w14:paraId="18A1B226" w14:textId="1B2B34A0" w:rsidR="00096659" w:rsidRPr="00027E8D" w:rsidRDefault="00027E8D" w:rsidP="00027E8D">
      <w:pPr>
        <w:pStyle w:val="Statut"/>
        <w:rPr>
          <w:noProof/>
        </w:rPr>
      </w:pPr>
      <w:r w:rsidRPr="00027E8D">
        <w:rPr>
          <w:noProof/>
        </w:rPr>
        <w:lastRenderedPageBreak/>
        <w:t>Recomandare de</w:t>
      </w:r>
    </w:p>
    <w:p w14:paraId="0E3C2730" w14:textId="7220B3D6" w:rsidR="00096659" w:rsidRPr="00472A1F" w:rsidRDefault="00027E8D" w:rsidP="00027E8D">
      <w:pPr>
        <w:pStyle w:val="Typedudocument"/>
        <w:rPr>
          <w:noProof/>
        </w:rPr>
      </w:pPr>
      <w:r w:rsidRPr="00472A1F">
        <w:rPr>
          <w:noProof/>
        </w:rPr>
        <w:t>DECIZIE A CONSILIULUI</w:t>
      </w:r>
    </w:p>
    <w:p w14:paraId="34B80593" w14:textId="77777777" w:rsidR="004A5618" w:rsidRPr="00027E8D" w:rsidRDefault="004A5618" w:rsidP="00354285">
      <w:pPr>
        <w:pStyle w:val="Titreobjet"/>
        <w:rPr>
          <w:b w:val="0"/>
          <w:noProof/>
        </w:rPr>
      </w:pPr>
      <w:r w:rsidRPr="00472A1F">
        <w:rPr>
          <w:noProof/>
        </w:rPr>
        <w:t>de autorizare a începerii negocierilor referitoare la acorduri individuale între Uniunea Europeană și Republica Albania, Bosnia și Herțegovina, Kosovo</w:t>
      </w:r>
      <w:r w:rsidRPr="00472A1F">
        <w:rPr>
          <w:rStyle w:val="FootnoteReference"/>
          <w:noProof/>
        </w:rPr>
        <w:footnoteReference w:customMarkFollows="1" w:id="9"/>
        <w:t>*</w:t>
      </w:r>
      <w:r w:rsidRPr="00472A1F">
        <w:rPr>
          <w:noProof/>
        </w:rPr>
        <w:t>, Muntenegru, Republica Macedonia de Nord și Republica Serbia privind roamingul în rețelele publice de comunicații mobile</w:t>
      </w:r>
    </w:p>
    <w:p w14:paraId="12BAA788" w14:textId="77777777" w:rsidR="00096659" w:rsidRPr="00027E8D" w:rsidRDefault="00096659" w:rsidP="00750C38">
      <w:pPr>
        <w:pStyle w:val="Institutionquiagit"/>
        <w:rPr>
          <w:noProof/>
        </w:rPr>
      </w:pPr>
      <w:r w:rsidRPr="00027E8D">
        <w:rPr>
          <w:noProof/>
        </w:rPr>
        <w:t>CONSILIUL UNIUNII EUROPENE,</w:t>
      </w:r>
    </w:p>
    <w:p w14:paraId="1DB9B8B1" w14:textId="77777777" w:rsidR="004A5618" w:rsidRPr="00027E8D" w:rsidRDefault="004A5618" w:rsidP="004A5618">
      <w:pPr>
        <w:autoSpaceDE w:val="0"/>
        <w:autoSpaceDN w:val="0"/>
        <w:adjustRightInd w:val="0"/>
        <w:spacing w:after="0"/>
        <w:rPr>
          <w:rFonts w:eastAsia="Times"/>
          <w:noProof/>
        </w:rPr>
      </w:pPr>
      <w:r w:rsidRPr="00027E8D">
        <w:rPr>
          <w:noProof/>
        </w:rPr>
        <w:t xml:space="preserve">având în vedere Tratatul privind funcționarea Uniunii Europene, în special articolul </w:t>
      </w:r>
      <w:r w:rsidRPr="00472A1F">
        <w:rPr>
          <w:noProof/>
        </w:rPr>
        <w:t>207</w:t>
      </w:r>
      <w:r w:rsidRPr="00027E8D">
        <w:rPr>
          <w:noProof/>
        </w:rPr>
        <w:t xml:space="preserve"> alineatul (</w:t>
      </w:r>
      <w:r w:rsidRPr="00472A1F">
        <w:rPr>
          <w:noProof/>
        </w:rPr>
        <w:t>4</w:t>
      </w:r>
      <w:r w:rsidRPr="00027E8D">
        <w:rPr>
          <w:noProof/>
        </w:rPr>
        <w:t xml:space="preserve">) primul paragraf, coroborat cu articolul </w:t>
      </w:r>
      <w:r w:rsidRPr="00472A1F">
        <w:rPr>
          <w:noProof/>
        </w:rPr>
        <w:t>218</w:t>
      </w:r>
      <w:r w:rsidRPr="00027E8D">
        <w:rPr>
          <w:noProof/>
        </w:rPr>
        <w:t xml:space="preserve"> alineatele (</w:t>
      </w:r>
      <w:r w:rsidRPr="00472A1F">
        <w:rPr>
          <w:noProof/>
        </w:rPr>
        <w:t>3</w:t>
      </w:r>
      <w:r w:rsidRPr="00027E8D">
        <w:rPr>
          <w:noProof/>
        </w:rPr>
        <w:t>) și (</w:t>
      </w:r>
      <w:r w:rsidRPr="00472A1F">
        <w:rPr>
          <w:noProof/>
        </w:rPr>
        <w:t>4</w:t>
      </w:r>
      <w:r w:rsidRPr="00027E8D">
        <w:rPr>
          <w:noProof/>
        </w:rPr>
        <w:t>),</w:t>
      </w:r>
    </w:p>
    <w:p w14:paraId="78EF1F2F" w14:textId="77777777" w:rsidR="004A5618" w:rsidRPr="00027E8D" w:rsidRDefault="004A5618" w:rsidP="004A5618">
      <w:pPr>
        <w:autoSpaceDE w:val="0"/>
        <w:autoSpaceDN w:val="0"/>
        <w:adjustRightInd w:val="0"/>
        <w:spacing w:after="0"/>
        <w:rPr>
          <w:rFonts w:eastAsia="Times"/>
          <w:noProof/>
          <w:szCs w:val="24"/>
        </w:rPr>
      </w:pPr>
      <w:r w:rsidRPr="00027E8D">
        <w:rPr>
          <w:noProof/>
        </w:rPr>
        <w:t>având în vedere recomandarea Comisiei Europene,</w:t>
      </w:r>
    </w:p>
    <w:p w14:paraId="088C59D2" w14:textId="77777777" w:rsidR="00096659" w:rsidRPr="00027E8D" w:rsidRDefault="004A5618" w:rsidP="004A5618">
      <w:pPr>
        <w:autoSpaceDE w:val="0"/>
        <w:autoSpaceDN w:val="0"/>
        <w:adjustRightInd w:val="0"/>
        <w:spacing w:after="0"/>
        <w:rPr>
          <w:rFonts w:eastAsia="Times"/>
          <w:noProof/>
          <w:szCs w:val="24"/>
        </w:rPr>
      </w:pPr>
      <w:r w:rsidRPr="00027E8D">
        <w:rPr>
          <w:noProof/>
        </w:rPr>
        <w:t>întrucât ar trebui să înceapă negocierile în vederea încheierii unor acorduri între Uniunea Europeană și, respectiv, Republica Albania, Bosnia și Herțegovina, Kosovo, Muntenegru, Republica Macedonia de Nord și Republica Serbia privind roamingul în rețelele publice de comunicații mobile,</w:t>
      </w:r>
    </w:p>
    <w:p w14:paraId="0B5E77A1" w14:textId="77777777" w:rsidR="004A5618" w:rsidRPr="00027E8D" w:rsidRDefault="004A5618" w:rsidP="004A5618">
      <w:pPr>
        <w:autoSpaceDE w:val="0"/>
        <w:autoSpaceDN w:val="0"/>
        <w:adjustRightInd w:val="0"/>
        <w:spacing w:after="0"/>
        <w:rPr>
          <w:rFonts w:eastAsia="Times"/>
          <w:noProof/>
          <w:szCs w:val="24"/>
        </w:rPr>
      </w:pPr>
    </w:p>
    <w:p w14:paraId="422000A7" w14:textId="77777777" w:rsidR="00096659" w:rsidRPr="00027E8D" w:rsidRDefault="00096659" w:rsidP="00750C38">
      <w:pPr>
        <w:pStyle w:val="Formuledadoption"/>
        <w:rPr>
          <w:noProof/>
        </w:rPr>
      </w:pPr>
      <w:r w:rsidRPr="00027E8D">
        <w:rPr>
          <w:noProof/>
        </w:rPr>
        <w:t xml:space="preserve">ADOPTĂ PREZENTA DECIZIE: </w:t>
      </w:r>
    </w:p>
    <w:p w14:paraId="60C5E41A" w14:textId="77777777" w:rsidR="004A5618" w:rsidRPr="00472A1F" w:rsidRDefault="004A5618" w:rsidP="004A5618">
      <w:pPr>
        <w:pStyle w:val="Titrearticle"/>
        <w:rPr>
          <w:noProof/>
        </w:rPr>
      </w:pPr>
      <w:r w:rsidRPr="00472A1F">
        <w:rPr>
          <w:noProof/>
        </w:rPr>
        <w:t>Articolul 1</w:t>
      </w:r>
    </w:p>
    <w:p w14:paraId="22CCA6B1" w14:textId="77777777" w:rsidR="004A5618" w:rsidRPr="00027E8D" w:rsidRDefault="004A5618" w:rsidP="004A5618">
      <w:pPr>
        <w:autoSpaceDE w:val="0"/>
        <w:autoSpaceDN w:val="0"/>
        <w:adjustRightInd w:val="0"/>
        <w:spacing w:after="0"/>
        <w:rPr>
          <w:rFonts w:eastAsia="Times"/>
          <w:noProof/>
          <w:szCs w:val="24"/>
        </w:rPr>
      </w:pPr>
      <w:r w:rsidRPr="00027E8D">
        <w:rPr>
          <w:noProof/>
        </w:rPr>
        <w:t xml:space="preserve">Comisia este autorizată să înceapă negocierile, în numele Uniunii, în vederea încheierii unor acorduri cu Republica Albania, Bosnia și Herțegovina, Kosovo, Muntenegru, Republica Macedonia de Nord și, respectiv, Republica Serbia privind roamingul în rețelele publice de comunicații mobile. </w:t>
      </w:r>
    </w:p>
    <w:p w14:paraId="2023A7B3" w14:textId="77777777" w:rsidR="004A5618" w:rsidRPr="00472A1F" w:rsidRDefault="004A5618" w:rsidP="004A5618">
      <w:pPr>
        <w:pStyle w:val="Titrearticle"/>
        <w:keepNext w:val="0"/>
        <w:rPr>
          <w:noProof/>
        </w:rPr>
      </w:pPr>
      <w:r w:rsidRPr="00472A1F">
        <w:rPr>
          <w:noProof/>
        </w:rPr>
        <w:t xml:space="preserve">Articolul </w:t>
      </w:r>
      <w:bookmarkStart w:id="1" w:name="_Hlk126129799"/>
      <w:r w:rsidRPr="00472A1F">
        <w:rPr>
          <w:noProof/>
        </w:rPr>
        <w:t>2</w:t>
      </w:r>
    </w:p>
    <w:p w14:paraId="12E537E0" w14:textId="77777777" w:rsidR="004A5618" w:rsidRPr="00027E8D" w:rsidRDefault="004A5618" w:rsidP="004A5618">
      <w:pPr>
        <w:rPr>
          <w:noProof/>
          <w:color w:val="0000FF"/>
        </w:rPr>
      </w:pPr>
      <w:r w:rsidRPr="00027E8D">
        <w:rPr>
          <w:noProof/>
        </w:rPr>
        <w:t xml:space="preserve"> </w:t>
      </w:r>
      <w:r w:rsidRPr="00027E8D">
        <w:rPr>
          <w:noProof/>
        </w:rPr>
        <w:br/>
      </w:r>
      <w:bookmarkEnd w:id="1"/>
      <w:r w:rsidRPr="00027E8D">
        <w:rPr>
          <w:noProof/>
        </w:rPr>
        <w:t>Negocierile se desfășoară pe baza directivelor de negociere ale Consiliului prevăzute în addendumul la prezenta decizie.</w:t>
      </w:r>
    </w:p>
    <w:p w14:paraId="7E9D488A" w14:textId="77777777" w:rsidR="004A5618" w:rsidRPr="00472A1F" w:rsidRDefault="004A5618" w:rsidP="004A5618">
      <w:pPr>
        <w:pStyle w:val="Titrearticle"/>
        <w:keepNext w:val="0"/>
        <w:rPr>
          <w:noProof/>
        </w:rPr>
      </w:pPr>
      <w:r w:rsidRPr="00472A1F">
        <w:rPr>
          <w:noProof/>
        </w:rPr>
        <w:t xml:space="preserve">Articolul 3 </w:t>
      </w:r>
    </w:p>
    <w:p w14:paraId="72F4D0DD" w14:textId="77777777" w:rsidR="004A5618" w:rsidRPr="00027E8D" w:rsidRDefault="004A5618" w:rsidP="004A5618">
      <w:pPr>
        <w:rPr>
          <w:noProof/>
        </w:rPr>
      </w:pPr>
      <w:r w:rsidRPr="00027E8D">
        <w:rPr>
          <w:noProof/>
        </w:rPr>
        <w:br/>
        <w:t>Prin prezenta decizie, Comisia este desemnată negociator al Uniunii.</w:t>
      </w:r>
    </w:p>
    <w:p w14:paraId="34FD9C81" w14:textId="77777777" w:rsidR="004A5618" w:rsidRPr="00472A1F" w:rsidRDefault="004A5618" w:rsidP="004A5618">
      <w:pPr>
        <w:pStyle w:val="Titrearticle"/>
        <w:rPr>
          <w:noProof/>
        </w:rPr>
      </w:pPr>
      <w:r w:rsidRPr="00472A1F">
        <w:rPr>
          <w:noProof/>
        </w:rPr>
        <w:t>Articolul 4</w:t>
      </w:r>
    </w:p>
    <w:p w14:paraId="0069E233" w14:textId="77777777" w:rsidR="004A5618" w:rsidRPr="00027E8D" w:rsidRDefault="004A5618" w:rsidP="004A5618">
      <w:pPr>
        <w:rPr>
          <w:noProof/>
        </w:rPr>
      </w:pPr>
      <w:r w:rsidRPr="00027E8D">
        <w:rPr>
          <w:noProof/>
        </w:rPr>
        <w:t>Negocierile se desfășoară în consultare cu comitetul special prevăzut la articolul </w:t>
      </w:r>
      <w:r w:rsidRPr="00472A1F">
        <w:rPr>
          <w:noProof/>
        </w:rPr>
        <w:t>207</w:t>
      </w:r>
      <w:r w:rsidRPr="00027E8D">
        <w:rPr>
          <w:noProof/>
        </w:rPr>
        <w:t xml:space="preserve"> alineatul (</w:t>
      </w:r>
      <w:r w:rsidRPr="00472A1F">
        <w:rPr>
          <w:noProof/>
        </w:rPr>
        <w:t>3</w:t>
      </w:r>
      <w:r w:rsidRPr="00027E8D">
        <w:rPr>
          <w:noProof/>
        </w:rPr>
        <w:t>) al treilea paragraf din TFUE.</w:t>
      </w:r>
    </w:p>
    <w:p w14:paraId="79177020" w14:textId="77777777" w:rsidR="004A5618" w:rsidRPr="00472A1F" w:rsidRDefault="004A5618" w:rsidP="00923732">
      <w:pPr>
        <w:pStyle w:val="Titrearticle"/>
        <w:rPr>
          <w:noProof/>
        </w:rPr>
      </w:pPr>
      <w:bookmarkStart w:id="2" w:name="_CopyToNewDocument_"/>
      <w:bookmarkEnd w:id="2"/>
      <w:r w:rsidRPr="00472A1F">
        <w:rPr>
          <w:noProof/>
        </w:rPr>
        <w:lastRenderedPageBreak/>
        <w:t xml:space="preserve">Articolul 5 </w:t>
      </w:r>
    </w:p>
    <w:p w14:paraId="13358546" w14:textId="77777777" w:rsidR="004A5618" w:rsidRPr="00027E8D" w:rsidRDefault="004A5618" w:rsidP="004A5618">
      <w:pPr>
        <w:keepNext/>
        <w:keepLines/>
        <w:rPr>
          <w:noProof/>
        </w:rPr>
      </w:pPr>
      <w:r w:rsidRPr="00027E8D">
        <w:rPr>
          <w:noProof/>
          <w:color w:val="000000"/>
        </w:rPr>
        <w:t xml:space="preserve">Prezenta decizie se adresează Comisiei. </w:t>
      </w:r>
    </w:p>
    <w:p w14:paraId="074683DB" w14:textId="184EA895" w:rsidR="004A5618" w:rsidRPr="00027E8D" w:rsidRDefault="00027E8D" w:rsidP="00923732">
      <w:pPr>
        <w:pStyle w:val="Fait"/>
        <w:rPr>
          <w:noProof/>
        </w:rPr>
      </w:pPr>
      <w:r>
        <w:rPr>
          <w:noProof/>
        </w:rPr>
        <w:t>Adoptată la Bruxelles,</w:t>
      </w:r>
    </w:p>
    <w:p w14:paraId="373D2F97" w14:textId="77777777" w:rsidR="004A5618" w:rsidRPr="00472A1F" w:rsidRDefault="004A5618" w:rsidP="00923732">
      <w:pPr>
        <w:pStyle w:val="Institutionquisigne"/>
        <w:rPr>
          <w:noProof/>
        </w:rPr>
      </w:pPr>
      <w:r w:rsidRPr="00472A1F">
        <w:rPr>
          <w:noProof/>
        </w:rPr>
        <w:tab/>
        <w:t>Pentru Consiliu</w:t>
      </w:r>
    </w:p>
    <w:p w14:paraId="41579530" w14:textId="77777777" w:rsidR="00096659" w:rsidRPr="00472A1F" w:rsidRDefault="004A5618" w:rsidP="00096659">
      <w:pPr>
        <w:pStyle w:val="Personnequisigne"/>
        <w:rPr>
          <w:noProof/>
        </w:rPr>
      </w:pPr>
      <w:r w:rsidRPr="00472A1F">
        <w:rPr>
          <w:noProof/>
        </w:rPr>
        <w:t>Președintele</w:t>
      </w:r>
    </w:p>
    <w:sectPr w:rsidR="00096659" w:rsidRPr="00472A1F" w:rsidSect="00797F7B">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3A6EA5D" w14:textId="77777777" w:rsidR="00077200" w:rsidRDefault="00077200" w:rsidP="00096659">
      <w:pPr>
        <w:spacing w:before="0" w:after="0"/>
      </w:pPr>
      <w:r>
        <w:separator/>
      </w:r>
    </w:p>
  </w:endnote>
  <w:endnote w:type="continuationSeparator" w:id="0">
    <w:p w14:paraId="36FF4A6D" w14:textId="77777777" w:rsidR="00077200" w:rsidRDefault="00077200" w:rsidP="00096659">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5741A2" w14:textId="5F864D74" w:rsidR="00797F7B" w:rsidRPr="00797F7B" w:rsidRDefault="00797F7B" w:rsidP="00797F7B">
    <w:pPr>
      <w:pStyle w:val="Footer"/>
      <w:rPr>
        <w:rFonts w:ascii="Arial" w:hAnsi="Arial" w:cs="Arial"/>
        <w:b/>
        <w:sz w:val="48"/>
      </w:rPr>
    </w:pPr>
    <w:r w:rsidRPr="00797F7B">
      <w:rPr>
        <w:rFonts w:ascii="Arial" w:hAnsi="Arial" w:cs="Arial"/>
        <w:b/>
        <w:sz w:val="48"/>
      </w:rPr>
      <w:t>RO</w:t>
    </w:r>
    <w:r w:rsidRPr="00797F7B">
      <w:rPr>
        <w:rFonts w:ascii="Arial" w:hAnsi="Arial" w:cs="Arial"/>
        <w:b/>
        <w:sz w:val="48"/>
      </w:rPr>
      <w:tab/>
    </w:r>
    <w:r w:rsidRPr="00797F7B">
      <w:rPr>
        <w:rFonts w:ascii="Arial" w:hAnsi="Arial" w:cs="Arial"/>
        <w:b/>
        <w:sz w:val="48"/>
      </w:rPr>
      <w:tab/>
    </w:r>
    <w:r w:rsidRPr="00797F7B">
      <w:tab/>
    </w:r>
    <w:r w:rsidRPr="00797F7B">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ACE5F5" w14:textId="35755247" w:rsidR="00797F7B" w:rsidRPr="00797F7B" w:rsidRDefault="00797F7B" w:rsidP="00797F7B">
    <w:pPr>
      <w:pStyle w:val="Footer"/>
      <w:rPr>
        <w:rFonts w:ascii="Arial" w:hAnsi="Arial" w:cs="Arial"/>
        <w:b/>
        <w:sz w:val="48"/>
      </w:rPr>
    </w:pPr>
    <w:r w:rsidRPr="00797F7B">
      <w:rPr>
        <w:rFonts w:ascii="Arial" w:hAnsi="Arial" w:cs="Arial"/>
        <w:b/>
        <w:sz w:val="48"/>
      </w:rPr>
      <w:t>RO</w:t>
    </w:r>
    <w:r w:rsidRPr="00797F7B">
      <w:rPr>
        <w:rFonts w:ascii="Arial" w:hAnsi="Arial" w:cs="Arial"/>
        <w:b/>
        <w:sz w:val="48"/>
      </w:rPr>
      <w:tab/>
    </w:r>
    <w:r w:rsidRPr="00797F7B">
      <w:rPr>
        <w:rFonts w:ascii="Arial" w:hAnsi="Arial" w:cs="Arial"/>
        <w:b/>
        <w:sz w:val="48"/>
      </w:rPr>
      <w:tab/>
    </w:r>
    <w:r w:rsidRPr="00797F7B">
      <w:tab/>
    </w:r>
    <w:r w:rsidRPr="00797F7B">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F88960" w14:textId="77777777" w:rsidR="00797F7B" w:rsidRDefault="00797F7B">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73D45A" w14:textId="036288E5" w:rsidR="00797F7B" w:rsidRPr="00797F7B" w:rsidRDefault="00797F7B" w:rsidP="00797F7B">
    <w:pPr>
      <w:pStyle w:val="Footer"/>
      <w:rPr>
        <w:rFonts w:ascii="Arial" w:hAnsi="Arial" w:cs="Arial"/>
        <w:b/>
        <w:sz w:val="48"/>
      </w:rPr>
    </w:pPr>
    <w:r w:rsidRPr="00797F7B">
      <w:rPr>
        <w:rFonts w:ascii="Arial" w:hAnsi="Arial" w:cs="Arial"/>
        <w:b/>
        <w:sz w:val="48"/>
      </w:rPr>
      <w:t>RO</w:t>
    </w:r>
    <w:r w:rsidRPr="00797F7B">
      <w:rPr>
        <w:rFonts w:ascii="Arial" w:hAnsi="Arial" w:cs="Arial"/>
        <w:b/>
        <w:sz w:val="48"/>
      </w:rPr>
      <w:tab/>
    </w:r>
    <w:r>
      <w:fldChar w:fldCharType="begin"/>
    </w:r>
    <w:r>
      <w:instrText xml:space="preserve"> PAGE  \* MERGEFORMAT </w:instrText>
    </w:r>
    <w:r>
      <w:fldChar w:fldCharType="separate"/>
    </w:r>
    <w:r w:rsidR="00923732">
      <w:rPr>
        <w:noProof/>
      </w:rPr>
      <w:t>8</w:t>
    </w:r>
    <w:r>
      <w:fldChar w:fldCharType="end"/>
    </w:r>
    <w:r>
      <w:tab/>
    </w:r>
    <w:r w:rsidRPr="00797F7B">
      <w:tab/>
    </w:r>
    <w:r w:rsidRPr="00797F7B">
      <w:rPr>
        <w:rFonts w:ascii="Arial" w:hAnsi="Arial" w:cs="Arial"/>
        <w:b/>
        <w:sz w:val="48"/>
      </w:rPr>
      <w:t>RO</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4FCC4E" w14:textId="77777777" w:rsidR="00797F7B" w:rsidRDefault="00797F7B" w:rsidP="00797F7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87296B3" w14:textId="77777777" w:rsidR="00077200" w:rsidRDefault="00077200" w:rsidP="00096659">
      <w:pPr>
        <w:spacing w:before="0" w:after="0"/>
      </w:pPr>
      <w:r>
        <w:separator/>
      </w:r>
    </w:p>
  </w:footnote>
  <w:footnote w:type="continuationSeparator" w:id="0">
    <w:p w14:paraId="2CDEA5F9" w14:textId="77777777" w:rsidR="00077200" w:rsidRDefault="00077200" w:rsidP="00096659">
      <w:pPr>
        <w:spacing w:before="0" w:after="0"/>
      </w:pPr>
      <w:r>
        <w:continuationSeparator/>
      </w:r>
    </w:p>
  </w:footnote>
  <w:footnote w:id="1">
    <w:p w14:paraId="2F569255" w14:textId="77777777" w:rsidR="00E67695" w:rsidRPr="004A5618" w:rsidRDefault="00E67695" w:rsidP="004A5618">
      <w:pPr>
        <w:pStyle w:val="FootnoteText"/>
        <w:ind w:left="0" w:firstLine="0"/>
      </w:pPr>
      <w:r>
        <w:rPr>
          <w:rStyle w:val="FootnoteReference"/>
        </w:rPr>
        <w:footnoteRef/>
      </w:r>
      <w:r>
        <w:tab/>
        <w:t xml:space="preserve">Extinderea zonei de roaming a UE la țările din afara Uniunii impune acestor țări să transpună așa-numitul „acquis al UE în materie de roaming” în dreptul lor național. „Acquis-ul UE în materie de roaming” include Regulamentul (UE) </w:t>
      </w:r>
      <w:r w:rsidRPr="00472A1F">
        <w:t>2022</w:t>
      </w:r>
      <w:r>
        <w:t>/</w:t>
      </w:r>
      <w:r w:rsidRPr="00472A1F">
        <w:t>612</w:t>
      </w:r>
      <w:r>
        <w:t xml:space="preserve"> privind roamingul, Regulamentul de punere în aplicare (UE) </w:t>
      </w:r>
      <w:r w:rsidRPr="00472A1F">
        <w:t>2016</w:t>
      </w:r>
      <w:r>
        <w:t>/</w:t>
      </w:r>
      <w:r w:rsidRPr="00472A1F">
        <w:t>2286</w:t>
      </w:r>
      <w:r>
        <w:t xml:space="preserve"> al Comisiei, Regulamentul delegat (UE) </w:t>
      </w:r>
      <w:r w:rsidRPr="00472A1F">
        <w:t>2021</w:t>
      </w:r>
      <w:r>
        <w:t>/</w:t>
      </w:r>
      <w:r w:rsidRPr="00472A1F">
        <w:t>654</w:t>
      </w:r>
      <w:r>
        <w:t xml:space="preserve"> al Comisiei, precum și anumite dispoziții prevăzute în Regulamentul (UE) </w:t>
      </w:r>
      <w:r w:rsidRPr="00472A1F">
        <w:t>2018</w:t>
      </w:r>
      <w:r>
        <w:t>/</w:t>
      </w:r>
      <w:r w:rsidRPr="00472A1F">
        <w:t>1971</w:t>
      </w:r>
      <w:r>
        <w:t xml:space="preserve"> privind OAREC și în Directiva (UE) </w:t>
      </w:r>
      <w:r w:rsidRPr="00472A1F">
        <w:t>2018</w:t>
      </w:r>
      <w:r>
        <w:t>/</w:t>
      </w:r>
      <w:r w:rsidRPr="00472A1F">
        <w:t>1972</w:t>
      </w:r>
      <w:r>
        <w:t> de instituire a Codului european al comunicațiilor electronice.</w:t>
      </w:r>
    </w:p>
  </w:footnote>
  <w:footnote w:id="2">
    <w:p w14:paraId="2738A18B" w14:textId="77777777" w:rsidR="00E67695" w:rsidRPr="00E67695" w:rsidRDefault="00E67695" w:rsidP="00E67695">
      <w:pPr>
        <w:pStyle w:val="FootnoteText"/>
        <w:ind w:left="0" w:firstLine="0"/>
      </w:pPr>
      <w:r>
        <w:rPr>
          <w:rStyle w:val="FootnoteReference"/>
        </w:rPr>
        <w:footnoteRef/>
      </w:r>
      <w:r>
        <w:tab/>
        <w:t>Republica Albania, Bosnia și Herțegovina, Kosovo, Muntenegru, Republica Macedonia de Nord și Republica Serbia.</w:t>
      </w:r>
    </w:p>
  </w:footnote>
  <w:footnote w:id="3">
    <w:p w14:paraId="429A2318" w14:textId="77777777" w:rsidR="00E67695" w:rsidRPr="00E67695" w:rsidRDefault="00E67695" w:rsidP="00E67695">
      <w:pPr>
        <w:pStyle w:val="FootnoteText"/>
        <w:ind w:left="0" w:firstLine="0"/>
      </w:pPr>
      <w:r>
        <w:rPr>
          <w:rStyle w:val="FootnoteReference"/>
        </w:rPr>
        <w:footnoteRef/>
      </w:r>
      <w:r>
        <w:tab/>
        <w:t xml:space="preserve">Acordul de stabilizare și de asociere între Comunitățile Europene și statele membre ale acestora, pe de o parte, și Republica Albania, pe de altă parte, JO L </w:t>
      </w:r>
      <w:r w:rsidRPr="00472A1F">
        <w:t>107</w:t>
      </w:r>
      <w:r>
        <w:t xml:space="preserve">, </w:t>
      </w:r>
      <w:r w:rsidRPr="00472A1F">
        <w:t>28</w:t>
      </w:r>
      <w:r>
        <w:t>.</w:t>
      </w:r>
      <w:r w:rsidRPr="00472A1F">
        <w:t>4</w:t>
      </w:r>
      <w:r>
        <w:t>.</w:t>
      </w:r>
      <w:r w:rsidRPr="00472A1F">
        <w:t>2009</w:t>
      </w:r>
      <w:r>
        <w:t xml:space="preserve">, p. </w:t>
      </w:r>
      <w:r w:rsidRPr="00472A1F">
        <w:t>166</w:t>
      </w:r>
      <w:r>
        <w:t xml:space="preserve">; Acordul de stabilizare și de asociere între Comunitățile Europene și statele lor membre, pe de o parte, și Fosta Republică Iugoslavă a Macedoniei, pe de altă parte, JO L </w:t>
      </w:r>
      <w:r w:rsidRPr="00472A1F">
        <w:t>84</w:t>
      </w:r>
      <w:r>
        <w:t xml:space="preserve">, </w:t>
      </w:r>
      <w:r w:rsidRPr="00472A1F">
        <w:t>20</w:t>
      </w:r>
      <w:r>
        <w:t>.</w:t>
      </w:r>
      <w:r w:rsidRPr="00472A1F">
        <w:t>3</w:t>
      </w:r>
      <w:r>
        <w:t>.</w:t>
      </w:r>
      <w:r w:rsidRPr="00472A1F">
        <w:t>2004</w:t>
      </w:r>
      <w:r>
        <w:t xml:space="preserve">, p. </w:t>
      </w:r>
      <w:r w:rsidRPr="00472A1F">
        <w:t>13</w:t>
      </w:r>
      <w:r>
        <w:t xml:space="preserve">; Acordul de stabilizare și de asociere între Comunitățile Europene și statele membre ale acestora, pe de o parte, și Republica Muntenegru, pe de altă parte, JO L </w:t>
      </w:r>
      <w:r w:rsidRPr="00472A1F">
        <w:t>108</w:t>
      </w:r>
      <w:r>
        <w:t xml:space="preserve">, </w:t>
      </w:r>
      <w:r w:rsidRPr="00472A1F">
        <w:t>29</w:t>
      </w:r>
      <w:r>
        <w:t>.</w:t>
      </w:r>
      <w:r w:rsidRPr="00472A1F">
        <w:t>4</w:t>
      </w:r>
      <w:r>
        <w:t>.</w:t>
      </w:r>
      <w:r w:rsidRPr="00472A1F">
        <w:t>2010</w:t>
      </w:r>
      <w:r>
        <w:t xml:space="preserve">, p. </w:t>
      </w:r>
      <w:r w:rsidRPr="00472A1F">
        <w:t>3</w:t>
      </w:r>
      <w:r>
        <w:t xml:space="preserve">; Acordul de stabilizare și de asociere între Comunitățile Europene și statele membre ale acestora, pe de o parte, și Republica Serbia, pe de altă parte, JO L </w:t>
      </w:r>
      <w:r w:rsidRPr="00472A1F">
        <w:t>278</w:t>
      </w:r>
      <w:r>
        <w:t xml:space="preserve">, </w:t>
      </w:r>
      <w:r w:rsidRPr="00472A1F">
        <w:t>18</w:t>
      </w:r>
      <w:r>
        <w:t>.</w:t>
      </w:r>
      <w:r w:rsidRPr="00472A1F">
        <w:t>10</w:t>
      </w:r>
      <w:r>
        <w:t>.</w:t>
      </w:r>
      <w:r w:rsidRPr="00472A1F">
        <w:t>2013</w:t>
      </w:r>
      <w:r>
        <w:t xml:space="preserve">, p. </w:t>
      </w:r>
      <w:r w:rsidRPr="00472A1F">
        <w:t>16</w:t>
      </w:r>
      <w:r>
        <w:t xml:space="preserve">; Acordul de stabilizare și de asociere între Comunitățile Europene și statele membre ale acestora, pe de o parte, și Bosnia și Herțegovina, pe de altă parte, JO L </w:t>
      </w:r>
      <w:r w:rsidRPr="00472A1F">
        <w:t>164</w:t>
      </w:r>
      <w:r>
        <w:t xml:space="preserve">, </w:t>
      </w:r>
      <w:r w:rsidRPr="00472A1F">
        <w:t>30</w:t>
      </w:r>
      <w:r>
        <w:t>.</w:t>
      </w:r>
      <w:r w:rsidRPr="00472A1F">
        <w:t>6</w:t>
      </w:r>
      <w:r>
        <w:t>.</w:t>
      </w:r>
      <w:r w:rsidRPr="00472A1F">
        <w:t>2015</w:t>
      </w:r>
      <w:r>
        <w:t xml:space="preserve">, p. </w:t>
      </w:r>
      <w:r w:rsidRPr="00472A1F">
        <w:t>2</w:t>
      </w:r>
      <w:r>
        <w:t xml:space="preserve">; Acordul de stabilizare și de asociere între Uniunea Europeană și Comunitatea Europeană a Energiei Atomice, pe de o parte, și Kosovo, pe de altă parte, JO L </w:t>
      </w:r>
      <w:r w:rsidRPr="00472A1F">
        <w:t>71</w:t>
      </w:r>
      <w:r>
        <w:t xml:space="preserve">, </w:t>
      </w:r>
      <w:r w:rsidRPr="00472A1F">
        <w:t>16</w:t>
      </w:r>
      <w:r>
        <w:t>.</w:t>
      </w:r>
      <w:r w:rsidRPr="00472A1F">
        <w:t>3</w:t>
      </w:r>
      <w:r>
        <w:t>.</w:t>
      </w:r>
      <w:r w:rsidRPr="00472A1F">
        <w:t>2016</w:t>
      </w:r>
      <w:r>
        <w:t xml:space="preserve">, p. </w:t>
      </w:r>
      <w:r w:rsidRPr="00472A1F">
        <w:t>3</w:t>
      </w:r>
      <w:r>
        <w:t>.</w:t>
      </w:r>
    </w:p>
  </w:footnote>
  <w:footnote w:id="4">
    <w:p w14:paraId="2E412224" w14:textId="77777777" w:rsidR="006D7AE1" w:rsidRPr="008417C2" w:rsidRDefault="006D7AE1" w:rsidP="008417C2">
      <w:pPr>
        <w:pStyle w:val="FootnoteText"/>
        <w:ind w:left="0" w:firstLine="0"/>
      </w:pPr>
      <w:r>
        <w:rPr>
          <w:rStyle w:val="FootnoteReference"/>
        </w:rPr>
        <w:t>*</w:t>
      </w:r>
      <w:r>
        <w:tab/>
        <w:t xml:space="preserve">Această denumire nu aduce atingere pozițiilor privind statutul și este conformă cu RCSONU </w:t>
      </w:r>
      <w:r w:rsidRPr="00472A1F">
        <w:t>1244</w:t>
      </w:r>
      <w:r>
        <w:t>/</w:t>
      </w:r>
      <w:r w:rsidRPr="00472A1F">
        <w:t>1999</w:t>
      </w:r>
      <w:r>
        <w:t>, precum și cu Avizul CIJ privind Declarația de independență a Kosovo.</w:t>
      </w:r>
    </w:p>
  </w:footnote>
  <w:footnote w:id="5">
    <w:p w14:paraId="1438F7FF" w14:textId="1ACD8B19" w:rsidR="00E67695" w:rsidRPr="0009058D" w:rsidRDefault="00E67695" w:rsidP="0009058D">
      <w:pPr>
        <w:pStyle w:val="FootnoteText"/>
      </w:pPr>
      <w:r>
        <w:rPr>
          <w:rStyle w:val="FootnoteReference"/>
        </w:rPr>
        <w:footnoteRef/>
      </w:r>
      <w:r>
        <w:tab/>
        <w:t>Articolul </w:t>
      </w:r>
      <w:r w:rsidRPr="00472A1F">
        <w:t>104</w:t>
      </w:r>
      <w:r>
        <w:t xml:space="preserve"> din Acordul de stabilizare și de asociere cu Republica Albania; articolul </w:t>
      </w:r>
      <w:r w:rsidRPr="00472A1F">
        <w:t>95</w:t>
      </w:r>
      <w:r>
        <w:t xml:space="preserve"> din Acordul de stabilizare și de asociere cu Republica Macedonia de Nord; articolul </w:t>
      </w:r>
      <w:r w:rsidRPr="00472A1F">
        <w:t>106</w:t>
      </w:r>
      <w:r>
        <w:t xml:space="preserve"> din Acordul de stabilizare și de asociere cu Muntenegru; articolul </w:t>
      </w:r>
      <w:r w:rsidRPr="00472A1F">
        <w:t>106</w:t>
      </w:r>
      <w:r>
        <w:t xml:space="preserve"> din Acordul de stabilizare și de asociere cu Republica Serbia; articolul </w:t>
      </w:r>
      <w:r w:rsidRPr="00472A1F">
        <w:t>104</w:t>
      </w:r>
      <w:r>
        <w:t xml:space="preserve"> din Acordul de stabilizare și de asociere cu Bosnia și Herțegovina; articolul </w:t>
      </w:r>
      <w:r w:rsidRPr="00472A1F">
        <w:t>111</w:t>
      </w:r>
      <w:r>
        <w:t xml:space="preserve"> din Acordul de stabilizare și de asociere cu Kosovo. </w:t>
      </w:r>
    </w:p>
  </w:footnote>
  <w:footnote w:id="6">
    <w:p w14:paraId="688EB79E" w14:textId="77777777" w:rsidR="00E67695" w:rsidRPr="00E67695" w:rsidRDefault="00E67695">
      <w:pPr>
        <w:pStyle w:val="FootnoteText"/>
      </w:pPr>
      <w:r>
        <w:rPr>
          <w:rStyle w:val="FootnoteReference"/>
        </w:rPr>
        <w:footnoteRef/>
      </w:r>
      <w:r>
        <w:tab/>
        <w:t>COM(</w:t>
      </w:r>
      <w:r w:rsidRPr="00472A1F">
        <w:t>2023</w:t>
      </w:r>
      <w:r>
        <w:t xml:space="preserve">) </w:t>
      </w:r>
      <w:r w:rsidRPr="00472A1F">
        <w:t>691</w:t>
      </w:r>
      <w:r>
        <w:t>.</w:t>
      </w:r>
    </w:p>
  </w:footnote>
  <w:footnote w:id="7">
    <w:p w14:paraId="46271B43" w14:textId="77777777" w:rsidR="00F0411F" w:rsidRPr="00F0411F" w:rsidRDefault="00F0411F">
      <w:pPr>
        <w:pStyle w:val="FootnoteText"/>
      </w:pPr>
      <w:r>
        <w:rPr>
          <w:rStyle w:val="FootnoteReference"/>
        </w:rPr>
        <w:footnoteRef/>
      </w:r>
      <w:r>
        <w:tab/>
      </w:r>
      <w:hyperlink r:id="rId1" w:history="1">
        <w:r w:rsidRPr="00472A1F">
          <w:rPr>
            <w:rStyle w:val="Hyperlink"/>
          </w:rPr>
          <w:t>https://www.consilium.europa.eu/en/meetings/european-council/2025/06/26/</w:t>
        </w:r>
      </w:hyperlink>
      <w:r>
        <w:t xml:space="preserve"> </w:t>
      </w:r>
    </w:p>
  </w:footnote>
  <w:footnote w:id="8">
    <w:p w14:paraId="654DC4A3" w14:textId="77777777" w:rsidR="00F0411F" w:rsidRPr="00F0411F" w:rsidRDefault="00F0411F" w:rsidP="00F0411F">
      <w:pPr>
        <w:pStyle w:val="FootnoteText"/>
        <w:ind w:left="0" w:firstLine="0"/>
      </w:pPr>
      <w:r>
        <w:rPr>
          <w:rStyle w:val="FootnoteReference"/>
        </w:rPr>
        <w:footnoteRef/>
      </w:r>
      <w:r>
        <w:tab/>
        <w:t xml:space="preserve">Acordul de stabilizare și de asociere între Comunitățile Europene și statele membre ale acestora, pe de o parte, și </w:t>
      </w:r>
      <w:r w:rsidRPr="00472A1F">
        <w:rPr>
          <w:b/>
        </w:rPr>
        <w:t>Republica Albania</w:t>
      </w:r>
      <w:r>
        <w:t xml:space="preserve">, pe de altă parte - Protocoale - Declarații, JO L </w:t>
      </w:r>
      <w:r w:rsidRPr="00472A1F">
        <w:t>107</w:t>
      </w:r>
      <w:r>
        <w:t xml:space="preserve">, </w:t>
      </w:r>
      <w:r w:rsidRPr="00472A1F">
        <w:t>28</w:t>
      </w:r>
      <w:r>
        <w:t>.</w:t>
      </w:r>
      <w:r w:rsidRPr="00472A1F">
        <w:t>4</w:t>
      </w:r>
      <w:r>
        <w:t>.</w:t>
      </w:r>
      <w:r w:rsidRPr="00472A1F">
        <w:t>2009</w:t>
      </w:r>
      <w:r>
        <w:t xml:space="preserve">, p. </w:t>
      </w:r>
      <w:r w:rsidRPr="00472A1F">
        <w:t>166</w:t>
      </w:r>
      <w:r>
        <w:t xml:space="preserve">, articolul </w:t>
      </w:r>
      <w:r w:rsidRPr="00472A1F">
        <w:t>2</w:t>
      </w:r>
      <w:r>
        <w:t xml:space="preserve">; Acordul de stabilizare și de asociere între Comunitățile Europene și statele membre ale acestora, pe de o parte, și </w:t>
      </w:r>
      <w:r w:rsidRPr="00472A1F">
        <w:rPr>
          <w:b/>
        </w:rPr>
        <w:t>Bosnia și Herțegovina</w:t>
      </w:r>
      <w:r>
        <w:t xml:space="preserve">, pe de altă parte, JO L </w:t>
      </w:r>
      <w:r w:rsidRPr="00472A1F">
        <w:t>164</w:t>
      </w:r>
      <w:r>
        <w:t xml:space="preserve">, </w:t>
      </w:r>
      <w:r w:rsidRPr="00472A1F">
        <w:t>30</w:t>
      </w:r>
      <w:r>
        <w:t>.</w:t>
      </w:r>
      <w:r w:rsidRPr="00472A1F">
        <w:t>6</w:t>
      </w:r>
      <w:r>
        <w:t>.</w:t>
      </w:r>
      <w:r w:rsidRPr="00472A1F">
        <w:t>2015</w:t>
      </w:r>
      <w:r>
        <w:t xml:space="preserve">, p. </w:t>
      </w:r>
      <w:r w:rsidRPr="00472A1F">
        <w:t>2</w:t>
      </w:r>
      <w:r>
        <w:t xml:space="preserve">, articolul </w:t>
      </w:r>
      <w:r w:rsidRPr="00472A1F">
        <w:t>2</w:t>
      </w:r>
      <w:r>
        <w:t xml:space="preserve">; Acordul de stabilizare și de asociere între Uniunea Europeană și Comunitatea Europeană a Energiei Atomice, pe de o parte, și </w:t>
      </w:r>
      <w:r w:rsidRPr="00472A1F">
        <w:rPr>
          <w:b/>
        </w:rPr>
        <w:t>Kosovo</w:t>
      </w:r>
      <w:r>
        <w:t xml:space="preserve">*, pe de altă parte, JO L </w:t>
      </w:r>
      <w:r w:rsidRPr="00472A1F">
        <w:t>71</w:t>
      </w:r>
      <w:r>
        <w:t xml:space="preserve">, </w:t>
      </w:r>
      <w:r w:rsidRPr="00472A1F">
        <w:t>16</w:t>
      </w:r>
      <w:r>
        <w:t>.</w:t>
      </w:r>
      <w:r w:rsidRPr="00472A1F">
        <w:t>3</w:t>
      </w:r>
      <w:r>
        <w:t>.</w:t>
      </w:r>
      <w:r w:rsidRPr="00472A1F">
        <w:t>2016</w:t>
      </w:r>
      <w:r>
        <w:t xml:space="preserve">, p. </w:t>
      </w:r>
      <w:r w:rsidRPr="00472A1F">
        <w:t>3</w:t>
      </w:r>
      <w:r>
        <w:t xml:space="preserve">, articolul </w:t>
      </w:r>
      <w:r w:rsidRPr="00472A1F">
        <w:t>3</w:t>
      </w:r>
      <w:r>
        <w:t xml:space="preserve">; </w:t>
      </w:r>
      <w:r w:rsidRPr="00472A1F">
        <w:t>2010</w:t>
      </w:r>
      <w:r>
        <w:t>/</w:t>
      </w:r>
      <w:r w:rsidRPr="00472A1F">
        <w:t>224</w:t>
      </w:r>
      <w:r>
        <w:t xml:space="preserve">/, Acordul de stabilizare și de asociere între Comunitățile Europene și statele membre ale acestora, pe de o parte, și </w:t>
      </w:r>
      <w:r w:rsidRPr="00472A1F">
        <w:rPr>
          <w:b/>
        </w:rPr>
        <w:t>Republica Muntenegru</w:t>
      </w:r>
      <w:r>
        <w:t xml:space="preserve">, pe de altă parte, JO L </w:t>
      </w:r>
      <w:r w:rsidRPr="00472A1F">
        <w:t>108</w:t>
      </w:r>
      <w:r>
        <w:t xml:space="preserve">, </w:t>
      </w:r>
      <w:r w:rsidRPr="00472A1F">
        <w:t>29</w:t>
      </w:r>
      <w:r>
        <w:t>.</w:t>
      </w:r>
      <w:r w:rsidRPr="00472A1F">
        <w:t>4</w:t>
      </w:r>
      <w:r>
        <w:t>.</w:t>
      </w:r>
      <w:r w:rsidRPr="00472A1F">
        <w:t>2010</w:t>
      </w:r>
      <w:r>
        <w:t xml:space="preserve">, p. </w:t>
      </w:r>
      <w:r w:rsidRPr="00472A1F">
        <w:t>3</w:t>
      </w:r>
      <w:r>
        <w:t xml:space="preserve">, articolul </w:t>
      </w:r>
      <w:r w:rsidRPr="00472A1F">
        <w:t>2</w:t>
      </w:r>
      <w:r>
        <w:t xml:space="preserve">; Acordul de stabilizare și de asociere între Comunitățile Europene și statele lor membre, pe de o parte, și </w:t>
      </w:r>
      <w:r w:rsidRPr="00472A1F">
        <w:rPr>
          <w:b/>
        </w:rPr>
        <w:t>Fosta Republică Iugoslavă a Macedoniei</w:t>
      </w:r>
      <w:r>
        <w:t xml:space="preserve">, pe de altă parte (JO L </w:t>
      </w:r>
      <w:r w:rsidRPr="00472A1F">
        <w:t>084</w:t>
      </w:r>
      <w:r>
        <w:t xml:space="preserve">, </w:t>
      </w:r>
      <w:r w:rsidRPr="00472A1F">
        <w:t>20</w:t>
      </w:r>
      <w:r>
        <w:t>.</w:t>
      </w:r>
      <w:r w:rsidRPr="00472A1F">
        <w:t>3</w:t>
      </w:r>
      <w:r>
        <w:t>.</w:t>
      </w:r>
      <w:r w:rsidRPr="00472A1F">
        <w:t>2004</w:t>
      </w:r>
      <w:r>
        <w:t xml:space="preserve">, p. </w:t>
      </w:r>
      <w:r w:rsidRPr="00472A1F">
        <w:t>13</w:t>
      </w:r>
      <w:r>
        <w:t xml:space="preserve">), articolul </w:t>
      </w:r>
      <w:r w:rsidRPr="00472A1F">
        <w:t>2</w:t>
      </w:r>
      <w:r>
        <w:t xml:space="preserve">; Acordul de stabilizare și de asociere între Comunitățile Europene și statele membre ale acestora, pe de o parte, și </w:t>
      </w:r>
      <w:r w:rsidRPr="00472A1F">
        <w:rPr>
          <w:b/>
        </w:rPr>
        <w:t>Republica Serbia</w:t>
      </w:r>
      <w:r>
        <w:t xml:space="preserve">, pe de altă parte, JO L </w:t>
      </w:r>
      <w:r w:rsidRPr="00472A1F">
        <w:t>278</w:t>
      </w:r>
      <w:r>
        <w:t xml:space="preserve">, </w:t>
      </w:r>
      <w:r w:rsidRPr="00472A1F">
        <w:t>18</w:t>
      </w:r>
      <w:r>
        <w:t>.</w:t>
      </w:r>
      <w:r w:rsidRPr="00472A1F">
        <w:t>10</w:t>
      </w:r>
      <w:r>
        <w:t>.</w:t>
      </w:r>
      <w:r w:rsidRPr="00472A1F">
        <w:t>2013</w:t>
      </w:r>
      <w:r>
        <w:t xml:space="preserve">, p. </w:t>
      </w:r>
      <w:r w:rsidRPr="00472A1F">
        <w:t>16</w:t>
      </w:r>
      <w:r>
        <w:t xml:space="preserve">, articolul </w:t>
      </w:r>
      <w:r w:rsidRPr="00472A1F">
        <w:t>2</w:t>
      </w:r>
      <w:r>
        <w:t>.</w:t>
      </w:r>
    </w:p>
  </w:footnote>
  <w:footnote w:id="9">
    <w:p w14:paraId="737D7F3F" w14:textId="77777777" w:rsidR="006D7AE1" w:rsidRPr="008417C2" w:rsidRDefault="006D7AE1">
      <w:pPr>
        <w:pStyle w:val="FootnoteText"/>
      </w:pPr>
      <w:r>
        <w:rPr>
          <w:rStyle w:val="FootnoteReference"/>
        </w:rPr>
        <w:t>*</w:t>
      </w:r>
      <w:r>
        <w:tab/>
        <w:t xml:space="preserve">Această denumire nu aduce atingere pozițiilor privind statutul și este conformă cu RCSONU </w:t>
      </w:r>
      <w:r w:rsidRPr="00472A1F">
        <w:t>1244</w:t>
      </w:r>
      <w:r>
        <w:t>/</w:t>
      </w:r>
      <w:r w:rsidRPr="00472A1F">
        <w:t>1999</w:t>
      </w:r>
      <w:r>
        <w:t>, precum și cu Avizul CIJ privind Declarația de independență a Kosovo.</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3F1B61" w14:textId="77777777" w:rsidR="00797F7B" w:rsidRDefault="00797F7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F8512A" w14:textId="77777777" w:rsidR="00797F7B" w:rsidRDefault="00797F7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93C69900"/>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960E4622"/>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D7628D40"/>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9D0A1ADE"/>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7"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8"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9"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0"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1"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2"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3"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4"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5"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6"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8"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3"/>
  </w:num>
  <w:num w:numId="2">
    <w:abstractNumId w:val="2"/>
  </w:num>
  <w:num w:numId="3">
    <w:abstractNumId w:val="1"/>
  </w:num>
  <w:num w:numId="4">
    <w:abstractNumId w:val="0"/>
  </w:num>
  <w:num w:numId="5">
    <w:abstractNumId w:val="15"/>
  </w:num>
  <w:num w:numId="6">
    <w:abstractNumId w:val="8"/>
  </w:num>
  <w:num w:numId="7">
    <w:abstractNumId w:val="17"/>
  </w:num>
  <w:num w:numId="8">
    <w:abstractNumId w:val="7"/>
  </w:num>
  <w:num w:numId="9">
    <w:abstractNumId w:val="9"/>
  </w:num>
  <w:num w:numId="10">
    <w:abstractNumId w:val="10"/>
  </w:num>
  <w:num w:numId="11">
    <w:abstractNumId w:val="5"/>
  </w:num>
  <w:num w:numId="12">
    <w:abstractNumId w:val="16"/>
  </w:num>
  <w:num w:numId="13">
    <w:abstractNumId w:val="4"/>
  </w:num>
  <w:num w:numId="14">
    <w:abstractNumId w:val="11"/>
  </w:num>
  <w:num w:numId="15">
    <w:abstractNumId w:val="13"/>
  </w:num>
  <w:num w:numId="16">
    <w:abstractNumId w:val="14"/>
  </w:num>
  <w:num w:numId="17">
    <w:abstractNumId w:val="6"/>
  </w:num>
  <w:num w:numId="18">
    <w:abstractNumId w:val="12"/>
  </w:num>
  <w:num w:numId="19">
    <w:abstractNumId w:val="18"/>
  </w:num>
  <w:num w:numId="20">
    <w:abstractNumId w:val="15"/>
  </w:num>
  <w:num w:numId="21">
    <w:abstractNumId w:val="8"/>
  </w:num>
  <w:num w:numId="22">
    <w:abstractNumId w:val="17"/>
  </w:num>
  <w:num w:numId="23">
    <w:abstractNumId w:val="7"/>
  </w:num>
  <w:num w:numId="24">
    <w:abstractNumId w:val="9"/>
  </w:num>
  <w:num w:numId="25">
    <w:abstractNumId w:val="10"/>
  </w:num>
  <w:num w:numId="26">
    <w:abstractNumId w:val="5"/>
  </w:num>
  <w:num w:numId="27">
    <w:abstractNumId w:val="16"/>
  </w:num>
  <w:num w:numId="28">
    <w:abstractNumId w:val="4"/>
  </w:num>
  <w:num w:numId="29">
    <w:abstractNumId w:val="11"/>
  </w:num>
  <w:num w:numId="30">
    <w:abstractNumId w:val="13"/>
  </w:num>
  <w:num w:numId="31">
    <w:abstractNumId w:val="14"/>
  </w:num>
  <w:num w:numId="32">
    <w:abstractNumId w:val="6"/>
  </w:num>
  <w:num w:numId="33">
    <w:abstractNumId w:val="12"/>
  </w:num>
  <w:num w:numId="34">
    <w:abstractNumId w:val="18"/>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573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2-19 08:33:44"/>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7495046F-C62B-4E41-97A9-04C37BE0309A"/>
    <w:docVar w:name="LW_COVERPAGE_TYPE" w:val="1"/>
    <w:docVar w:name="LW_CreatedUtc" w:val="2026-02-09T13:15:17.1912100Z"/>
    <w:docVar w:name="LW_CROSSREFERENCE" w:val="&lt;UNUSED&gt;"/>
    <w:docVar w:name="LW_DocType" w:val="COM"/>
    <w:docVar w:name="LW_EMISSION" w:val="25.2.2026"/>
    <w:docVar w:name="LW_EMISSION_ISODATE" w:val="2026-02-25"/>
    <w:docVar w:name="LW_EMISSION_LOCATION" w:val="BRX"/>
    <w:docVar w:name="LW_EMISSION_PREFIX" w:val="Bruxelles, "/>
    <w:docVar w:name="LW_EMISSION_SUFFIX" w:val=" "/>
    <w:docVar w:name="LW_ID_DOCMODEL" w:val="SG-001"/>
    <w:docVar w:name="LW_ID_DOCSIGNATURE" w:val="SG-001"/>
    <w:docVar w:name="LW_ID_DOCSTRUCTURE" w:val="COM/PL/ORG/NOEEA"/>
    <w:docVar w:name="LW_ID_DOCTYPE" w:val="SG-001"/>
    <w:docVar w:name="LW_ID_STATUT" w:val="SG-001"/>
    <w:docVar w:name="LW_INSERT_EXP.MOTIFS.NEW" w:val="1"/>
    <w:docVar w:name="LW_LANGUE" w:val="RO"/>
    <w:docVar w:name="LW_LEVEL_OF_SENSITIVITY" w:val="Standard treatment"/>
    <w:docVar w:name="LW_NOM.INST" w:val="COMISIA EUROPEAN\u258?"/>
    <w:docVar w:name="LW_NOM.INST_JOINTDOC" w:val="&lt;EMPTY&gt;"/>
    <w:docVar w:name="LW_PART_NBR" w:val="1"/>
    <w:docVar w:name="LW_PART_NBR_TOTAL" w:val="1"/>
    <w:docVar w:name="LW_REF.II.NEW.CP" w:val="&lt;UNUSED&gt;"/>
    <w:docVar w:name="LW_REF.II.NEW.CP_NUMBER" w:val="&lt;UNUSED&gt;"/>
    <w:docVar w:name="LW_REF.II.NEW.CP_YEAR" w:val="2026"/>
    <w:docVar w:name="LW_REF.INST.NEW" w:val="COM"/>
    <w:docVar w:name="LW_REF.INST.NEW_ADOPTED" w:val="final"/>
    <w:docVar w:name="LW_REF.INST.NEW_TEXT" w:val="(2026) 79"/>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Recomandare de"/>
    <w:docVar w:name="LW_SUPERTITRE" w:val="&lt;UNUSED&gt;"/>
    <w:docVar w:name="LW_TITRE.OBJ.CP" w:val="de autorizare a începerii negocierilor referitoare la acorduri individuale între Uniunea European\u259? \u537?i Republica Albania, Bosnia \u537?i Her\u539?egovina, Kosovo&lt;FMT:customFN=*&gt;FMT:Style_footnote reference,Superscript,Style&gt;*&lt;/FMT&gt;_x0009_Aceast\u259? denumire nu aduce atingere pozi\u539?iilor privind statutul \u537?i este conform\u259? cu RCSONU 1244/1999, precum \u537?i cu Avizul CIJ privind Declara\u539?ia de independen\u539?\u259? a Kosovo.&lt;/FMT:FN&gt;, Muntenegru, Republica Macedonia de Nord \u537?i Republica Serbia privind roamingul în re\u539?elele publice de comunica\u539?ii mobile"/>
    <w:docVar w:name="LW_TITRE.OBJ_USEMAINTEXTFORCP" w:val="1"/>
    <w:docVar w:name="LW_TYPE.DOC.CP" w:val="DECIZIE A CONSILIULUI"/>
    <w:docVar w:name="LwApiVersions" w:val="LW4CoDe 1.24.5.0; LW 9.2, Build 20251112"/>
  </w:docVars>
  <w:rsids>
    <w:rsidRoot w:val="00096659"/>
    <w:rsid w:val="000157A8"/>
    <w:rsid w:val="00027E8D"/>
    <w:rsid w:val="00054D12"/>
    <w:rsid w:val="00077200"/>
    <w:rsid w:val="0009058D"/>
    <w:rsid w:val="000915D1"/>
    <w:rsid w:val="00096659"/>
    <w:rsid w:val="000A5C7A"/>
    <w:rsid w:val="000A61C9"/>
    <w:rsid w:val="000B7F87"/>
    <w:rsid w:val="000C6B3D"/>
    <w:rsid w:val="000F4F89"/>
    <w:rsid w:val="00100993"/>
    <w:rsid w:val="00100DD8"/>
    <w:rsid w:val="001065F5"/>
    <w:rsid w:val="001238EF"/>
    <w:rsid w:val="001604C7"/>
    <w:rsid w:val="001726C2"/>
    <w:rsid w:val="001933B8"/>
    <w:rsid w:val="00197613"/>
    <w:rsid w:val="001C74BC"/>
    <w:rsid w:val="00226426"/>
    <w:rsid w:val="00233DC7"/>
    <w:rsid w:val="00247779"/>
    <w:rsid w:val="002638EF"/>
    <w:rsid w:val="00276E0C"/>
    <w:rsid w:val="00284606"/>
    <w:rsid w:val="00285BEE"/>
    <w:rsid w:val="0029533F"/>
    <w:rsid w:val="002A5C60"/>
    <w:rsid w:val="002B30AF"/>
    <w:rsid w:val="002B3AF1"/>
    <w:rsid w:val="00304C4D"/>
    <w:rsid w:val="0033344A"/>
    <w:rsid w:val="00354285"/>
    <w:rsid w:val="00384038"/>
    <w:rsid w:val="00393924"/>
    <w:rsid w:val="003A2E1A"/>
    <w:rsid w:val="003A418C"/>
    <w:rsid w:val="003F31B2"/>
    <w:rsid w:val="0042648E"/>
    <w:rsid w:val="00430F2E"/>
    <w:rsid w:val="00454EF0"/>
    <w:rsid w:val="00472A1F"/>
    <w:rsid w:val="004936D2"/>
    <w:rsid w:val="004A5618"/>
    <w:rsid w:val="004A66F8"/>
    <w:rsid w:val="004B465C"/>
    <w:rsid w:val="004E035D"/>
    <w:rsid w:val="004F463C"/>
    <w:rsid w:val="00521ED8"/>
    <w:rsid w:val="00536CB1"/>
    <w:rsid w:val="005B1EB6"/>
    <w:rsid w:val="005D1F90"/>
    <w:rsid w:val="00604113"/>
    <w:rsid w:val="00627977"/>
    <w:rsid w:val="0065016E"/>
    <w:rsid w:val="0065131C"/>
    <w:rsid w:val="006514BB"/>
    <w:rsid w:val="00672733"/>
    <w:rsid w:val="00681B2F"/>
    <w:rsid w:val="00691ECB"/>
    <w:rsid w:val="006B6E20"/>
    <w:rsid w:val="006D7AE1"/>
    <w:rsid w:val="00714501"/>
    <w:rsid w:val="00716465"/>
    <w:rsid w:val="00723E98"/>
    <w:rsid w:val="00744EF6"/>
    <w:rsid w:val="007472ED"/>
    <w:rsid w:val="00747A5B"/>
    <w:rsid w:val="00764BC8"/>
    <w:rsid w:val="00772E44"/>
    <w:rsid w:val="00773331"/>
    <w:rsid w:val="0079153D"/>
    <w:rsid w:val="007932EF"/>
    <w:rsid w:val="00797F7B"/>
    <w:rsid w:val="007E05B0"/>
    <w:rsid w:val="0080686E"/>
    <w:rsid w:val="00830F95"/>
    <w:rsid w:val="008417C2"/>
    <w:rsid w:val="00874D22"/>
    <w:rsid w:val="008A1C18"/>
    <w:rsid w:val="008A1E4B"/>
    <w:rsid w:val="008A2914"/>
    <w:rsid w:val="008C027E"/>
    <w:rsid w:val="008E4D8E"/>
    <w:rsid w:val="008E79B0"/>
    <w:rsid w:val="00923732"/>
    <w:rsid w:val="00973BBC"/>
    <w:rsid w:val="009979AA"/>
    <w:rsid w:val="009B61DB"/>
    <w:rsid w:val="009D080C"/>
    <w:rsid w:val="009D7F35"/>
    <w:rsid w:val="009F26D4"/>
    <w:rsid w:val="00A3468E"/>
    <w:rsid w:val="00A945CC"/>
    <w:rsid w:val="00A955D7"/>
    <w:rsid w:val="00AC2931"/>
    <w:rsid w:val="00AC3CC4"/>
    <w:rsid w:val="00AD20C9"/>
    <w:rsid w:val="00AD3240"/>
    <w:rsid w:val="00B10692"/>
    <w:rsid w:val="00B57658"/>
    <w:rsid w:val="00B60655"/>
    <w:rsid w:val="00BD4D68"/>
    <w:rsid w:val="00BD63D0"/>
    <w:rsid w:val="00BF1AC8"/>
    <w:rsid w:val="00C12301"/>
    <w:rsid w:val="00C44B1D"/>
    <w:rsid w:val="00C45325"/>
    <w:rsid w:val="00C6268A"/>
    <w:rsid w:val="00CC1E4E"/>
    <w:rsid w:val="00CE76C6"/>
    <w:rsid w:val="00D20381"/>
    <w:rsid w:val="00D414FD"/>
    <w:rsid w:val="00D43054"/>
    <w:rsid w:val="00D77A80"/>
    <w:rsid w:val="00DA48B4"/>
    <w:rsid w:val="00E2457A"/>
    <w:rsid w:val="00E664ED"/>
    <w:rsid w:val="00E67695"/>
    <w:rsid w:val="00E86D28"/>
    <w:rsid w:val="00ED7D68"/>
    <w:rsid w:val="00EF65EC"/>
    <w:rsid w:val="00F0411F"/>
    <w:rsid w:val="00F70497"/>
    <w:rsid w:val="00F7750C"/>
    <w:rsid w:val="00FA4FE8"/>
    <w:rsid w:val="00FC38F8"/>
    <w:rsid w:val="00FD14F4"/>
    <w:rsid w:val="00FF5B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7345"/>
    <o:shapelayout v:ext="edit">
      <o:idmap v:ext="edit" data="1"/>
    </o:shapelayout>
  </w:shapeDefaults>
  <w:decimalSymbol w:val=","/>
  <w:listSeparator w:val=";"/>
  <w14:docId w14:val="7D606C34"/>
  <w15:docId w15:val="{6F06F692-0082-4837-A0CA-953B70AF95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ro-RO"/>
    </w:rPr>
  </w:style>
  <w:style w:type="paragraph" w:styleId="Heading1">
    <w:name w:val="heading 1"/>
    <w:basedOn w:val="Normal"/>
    <w:next w:val="Text1"/>
    <w:link w:val="Heading1Char"/>
    <w:uiPriority w:val="9"/>
    <w:qFormat/>
    <w:pPr>
      <w:keepNext/>
      <w:numPr>
        <w:numId w:val="27"/>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27"/>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27"/>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27"/>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27"/>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27"/>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27"/>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0411F"/>
    <w:rPr>
      <w:color w:val="0000FF" w:themeColor="hyperlink"/>
      <w:u w:val="single"/>
    </w:rPr>
  </w:style>
  <w:style w:type="character" w:customStyle="1" w:styleId="UnresolvedMention">
    <w:name w:val="Unresolved Mention"/>
    <w:basedOn w:val="DefaultParagraphFont"/>
    <w:uiPriority w:val="99"/>
    <w:semiHidden/>
    <w:unhideWhenUsed/>
    <w:rsid w:val="00F0411F"/>
    <w:rPr>
      <w:color w:val="605E5C"/>
      <w:shd w:val="clear" w:color="auto" w:fill="E1DFDD"/>
    </w:rPr>
  </w:style>
  <w:style w:type="paragraph" w:styleId="ListBullet">
    <w:name w:val="List Bullet"/>
    <w:basedOn w:val="Normal"/>
    <w:uiPriority w:val="99"/>
    <w:semiHidden/>
    <w:unhideWhenUsed/>
    <w:rsid w:val="006D7AE1"/>
    <w:pPr>
      <w:numPr>
        <w:numId w:val="1"/>
      </w:numPr>
      <w:contextualSpacing/>
    </w:pPr>
  </w:style>
  <w:style w:type="paragraph" w:styleId="ListBullet2">
    <w:name w:val="List Bullet 2"/>
    <w:basedOn w:val="Normal"/>
    <w:uiPriority w:val="99"/>
    <w:semiHidden/>
    <w:unhideWhenUsed/>
    <w:rsid w:val="006D7AE1"/>
    <w:pPr>
      <w:numPr>
        <w:numId w:val="2"/>
      </w:numPr>
      <w:contextualSpacing/>
    </w:pPr>
  </w:style>
  <w:style w:type="paragraph" w:styleId="ListBullet3">
    <w:name w:val="List Bullet 3"/>
    <w:basedOn w:val="Normal"/>
    <w:uiPriority w:val="99"/>
    <w:semiHidden/>
    <w:unhideWhenUsed/>
    <w:rsid w:val="006D7AE1"/>
    <w:pPr>
      <w:numPr>
        <w:numId w:val="3"/>
      </w:numPr>
      <w:contextualSpacing/>
    </w:pPr>
  </w:style>
  <w:style w:type="paragraph" w:styleId="ListBullet4">
    <w:name w:val="List Bullet 4"/>
    <w:basedOn w:val="Normal"/>
    <w:uiPriority w:val="99"/>
    <w:semiHidden/>
    <w:unhideWhenUsed/>
    <w:rsid w:val="006D7AE1"/>
    <w:pPr>
      <w:numPr>
        <w:numId w:val="4"/>
      </w:numPr>
      <w:contextualSpacing/>
    </w:pPr>
  </w:style>
  <w:style w:type="character" w:styleId="CommentReference">
    <w:name w:val="annotation reference"/>
    <w:basedOn w:val="DefaultParagraphFont"/>
    <w:uiPriority w:val="99"/>
    <w:semiHidden/>
    <w:unhideWhenUsed/>
    <w:rsid w:val="000B7F87"/>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hAnsi="Times New Roman" w:cs="Times New Roman"/>
      <w:sz w:val="20"/>
      <w:szCs w:val="20"/>
      <w:lang w:val="ro-RO"/>
    </w:rPr>
  </w:style>
  <w:style w:type="paragraph" w:styleId="Revision">
    <w:name w:val="Revision"/>
    <w:hidden/>
    <w:uiPriority w:val="99"/>
    <w:semiHidden/>
    <w:rsid w:val="00C44B1D"/>
    <w:pPr>
      <w:spacing w:after="0" w:line="240" w:lineRule="auto"/>
    </w:pPr>
    <w:rPr>
      <w:rFonts w:ascii="Times New Roman" w:hAnsi="Times New Roman" w:cs="Times New Roman"/>
      <w:sz w:val="24"/>
    </w:rPr>
  </w:style>
  <w:style w:type="paragraph" w:styleId="CommentSubject">
    <w:name w:val="annotation subject"/>
    <w:basedOn w:val="CommentText"/>
    <w:next w:val="CommentText"/>
    <w:link w:val="CommentSubjectChar"/>
    <w:uiPriority w:val="99"/>
    <w:semiHidden/>
    <w:unhideWhenUsed/>
    <w:rsid w:val="00FF5BC7"/>
    <w:rPr>
      <w:b/>
      <w:bCs/>
    </w:rPr>
  </w:style>
  <w:style w:type="character" w:customStyle="1" w:styleId="CommentSubjectChar">
    <w:name w:val="Comment Subject Char"/>
    <w:basedOn w:val="CommentTextChar"/>
    <w:link w:val="CommentSubject"/>
    <w:uiPriority w:val="99"/>
    <w:semiHidden/>
    <w:rsid w:val="00FF5BC7"/>
    <w:rPr>
      <w:rFonts w:ascii="Times New Roman" w:hAnsi="Times New Roman" w:cs="Times New Roman"/>
      <w:b/>
      <w:bCs/>
      <w:sz w:val="20"/>
      <w:szCs w:val="20"/>
      <w:lang w:val="ro-RO"/>
    </w:rPr>
  </w:style>
  <w:style w:type="character" w:styleId="FollowedHyperlink">
    <w:name w:val="FollowedHyperlink"/>
    <w:basedOn w:val="DefaultParagraphFont"/>
    <w:uiPriority w:val="99"/>
    <w:semiHidden/>
    <w:unhideWhenUsed/>
    <w:rsid w:val="00B57658"/>
    <w:rPr>
      <w:color w:val="800080" w:themeColor="followedHyperlink"/>
      <w:u w:val="single"/>
    </w:rPr>
  </w:style>
  <w:style w:type="character" w:customStyle="1" w:styleId="HeaderChar">
    <w:name w:val="Header Char"/>
    <w:basedOn w:val="DefaultParagraphFont"/>
    <w:link w:val="Header"/>
    <w:uiPriority w:val="99"/>
    <w:rsid w:val="00797F7B"/>
    <w:rPr>
      <w:rFonts w:ascii="Times New Roman" w:hAnsi="Times New Roman" w:cs="Times New Roman"/>
      <w:sz w:val="24"/>
      <w:lang w:val="ro-RO"/>
    </w:rPr>
  </w:style>
  <w:style w:type="character" w:customStyle="1" w:styleId="FooterChar">
    <w:name w:val="Footer Char"/>
    <w:basedOn w:val="DefaultParagraphFont"/>
    <w:link w:val="Footer"/>
    <w:uiPriority w:val="99"/>
    <w:rsid w:val="00797F7B"/>
    <w:rPr>
      <w:rFonts w:ascii="Times New Roman" w:hAnsi="Times New Roman" w:cs="Times New Roman"/>
      <w:sz w:val="24"/>
      <w:lang w:val="ro-RO"/>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797F7B"/>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797F7B"/>
    <w:pPr>
      <w:spacing w:before="0"/>
      <w:jc w:val="right"/>
    </w:pPr>
    <w:rPr>
      <w:sz w:val="28"/>
    </w:rPr>
  </w:style>
  <w:style w:type="paragraph" w:customStyle="1" w:styleId="FooterSensitivity">
    <w:name w:val="Footer Sensitivity"/>
    <w:basedOn w:val="Normal"/>
    <w:rsid w:val="00797F7B"/>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0"/>
      </w:numPr>
    </w:pPr>
  </w:style>
  <w:style w:type="paragraph" w:customStyle="1" w:styleId="Tiret1">
    <w:name w:val="Tiret 1"/>
    <w:basedOn w:val="Point1"/>
    <w:pPr>
      <w:numPr>
        <w:numId w:val="21"/>
      </w:numPr>
    </w:pPr>
  </w:style>
  <w:style w:type="paragraph" w:customStyle="1" w:styleId="Tiret2">
    <w:name w:val="Tiret 2"/>
    <w:basedOn w:val="Point2"/>
    <w:pPr>
      <w:numPr>
        <w:numId w:val="22"/>
      </w:numPr>
    </w:pPr>
  </w:style>
  <w:style w:type="paragraph" w:customStyle="1" w:styleId="Tiret3">
    <w:name w:val="Tiret 3"/>
    <w:basedOn w:val="Point3"/>
    <w:pPr>
      <w:numPr>
        <w:numId w:val="23"/>
      </w:numPr>
    </w:pPr>
  </w:style>
  <w:style w:type="paragraph" w:customStyle="1" w:styleId="Tiret4">
    <w:name w:val="Tiret 4"/>
    <w:basedOn w:val="Point4"/>
    <w:pPr>
      <w:numPr>
        <w:numId w:val="24"/>
      </w:numPr>
    </w:pPr>
  </w:style>
  <w:style w:type="paragraph" w:customStyle="1" w:styleId="Tiret5">
    <w:name w:val="Tiret 5"/>
    <w:basedOn w:val="Point5"/>
    <w:pPr>
      <w:numPr>
        <w:numId w:val="25"/>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26"/>
      </w:numPr>
    </w:pPr>
  </w:style>
  <w:style w:type="paragraph" w:customStyle="1" w:styleId="NumPar2">
    <w:name w:val="NumPar 2"/>
    <w:basedOn w:val="Normal"/>
    <w:next w:val="Text1"/>
    <w:pPr>
      <w:numPr>
        <w:ilvl w:val="1"/>
        <w:numId w:val="26"/>
      </w:numPr>
    </w:pPr>
  </w:style>
  <w:style w:type="paragraph" w:customStyle="1" w:styleId="NumPar3">
    <w:name w:val="NumPar 3"/>
    <w:basedOn w:val="Normal"/>
    <w:next w:val="Text1"/>
    <w:pPr>
      <w:numPr>
        <w:ilvl w:val="2"/>
        <w:numId w:val="26"/>
      </w:numPr>
    </w:pPr>
  </w:style>
  <w:style w:type="paragraph" w:customStyle="1" w:styleId="NumPar4">
    <w:name w:val="NumPar 4"/>
    <w:basedOn w:val="Normal"/>
    <w:next w:val="Text1"/>
    <w:pPr>
      <w:numPr>
        <w:ilvl w:val="3"/>
        <w:numId w:val="26"/>
      </w:numPr>
    </w:pPr>
  </w:style>
  <w:style w:type="paragraph" w:customStyle="1" w:styleId="NumPar5">
    <w:name w:val="NumPar 5"/>
    <w:basedOn w:val="Normal"/>
    <w:next w:val="Text2"/>
    <w:pPr>
      <w:numPr>
        <w:ilvl w:val="4"/>
        <w:numId w:val="26"/>
      </w:numPr>
    </w:pPr>
  </w:style>
  <w:style w:type="paragraph" w:customStyle="1" w:styleId="NumPar6">
    <w:name w:val="NumPar 6"/>
    <w:basedOn w:val="Normal"/>
    <w:next w:val="Text2"/>
    <w:pPr>
      <w:numPr>
        <w:ilvl w:val="5"/>
        <w:numId w:val="26"/>
      </w:numPr>
    </w:pPr>
  </w:style>
  <w:style w:type="paragraph" w:customStyle="1" w:styleId="NumPar7">
    <w:name w:val="NumPar 7"/>
    <w:basedOn w:val="Normal"/>
    <w:next w:val="Text2"/>
    <w:pPr>
      <w:numPr>
        <w:ilvl w:val="6"/>
        <w:numId w:val="26"/>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28"/>
      </w:numPr>
    </w:pPr>
  </w:style>
  <w:style w:type="paragraph" w:customStyle="1" w:styleId="Point1number">
    <w:name w:val="Point 1 (number)"/>
    <w:basedOn w:val="Normal"/>
    <w:pPr>
      <w:numPr>
        <w:ilvl w:val="2"/>
        <w:numId w:val="28"/>
      </w:numPr>
    </w:pPr>
  </w:style>
  <w:style w:type="paragraph" w:customStyle="1" w:styleId="Point2number">
    <w:name w:val="Point 2 (number)"/>
    <w:basedOn w:val="Normal"/>
    <w:pPr>
      <w:numPr>
        <w:ilvl w:val="4"/>
        <w:numId w:val="28"/>
      </w:numPr>
    </w:pPr>
  </w:style>
  <w:style w:type="paragraph" w:customStyle="1" w:styleId="Point3number">
    <w:name w:val="Point 3 (number)"/>
    <w:basedOn w:val="Normal"/>
    <w:pPr>
      <w:numPr>
        <w:ilvl w:val="6"/>
        <w:numId w:val="28"/>
      </w:numPr>
    </w:pPr>
  </w:style>
  <w:style w:type="paragraph" w:customStyle="1" w:styleId="Point0letter">
    <w:name w:val="Point 0 (letter)"/>
    <w:basedOn w:val="Normal"/>
    <w:pPr>
      <w:numPr>
        <w:ilvl w:val="1"/>
        <w:numId w:val="28"/>
      </w:numPr>
    </w:pPr>
  </w:style>
  <w:style w:type="paragraph" w:customStyle="1" w:styleId="Point1letter">
    <w:name w:val="Point 1 (letter)"/>
    <w:basedOn w:val="Normal"/>
    <w:pPr>
      <w:numPr>
        <w:ilvl w:val="3"/>
        <w:numId w:val="28"/>
      </w:numPr>
    </w:pPr>
  </w:style>
  <w:style w:type="paragraph" w:customStyle="1" w:styleId="Point2letter">
    <w:name w:val="Point 2 (letter)"/>
    <w:basedOn w:val="Normal"/>
    <w:pPr>
      <w:numPr>
        <w:ilvl w:val="5"/>
        <w:numId w:val="28"/>
      </w:numPr>
    </w:pPr>
  </w:style>
  <w:style w:type="paragraph" w:customStyle="1" w:styleId="Point3letter">
    <w:name w:val="Point 3 (letter)"/>
    <w:basedOn w:val="Normal"/>
    <w:pPr>
      <w:numPr>
        <w:ilvl w:val="7"/>
        <w:numId w:val="28"/>
      </w:numPr>
    </w:pPr>
  </w:style>
  <w:style w:type="paragraph" w:customStyle="1" w:styleId="Point4letter">
    <w:name w:val="Point 4 (letter)"/>
    <w:basedOn w:val="Normal"/>
    <w:pPr>
      <w:numPr>
        <w:ilvl w:val="8"/>
        <w:numId w:val="28"/>
      </w:numPr>
    </w:pPr>
  </w:style>
  <w:style w:type="paragraph" w:customStyle="1" w:styleId="Bullet0">
    <w:name w:val="Bullet 0"/>
    <w:basedOn w:val="Normal"/>
    <w:pPr>
      <w:numPr>
        <w:numId w:val="29"/>
      </w:numPr>
    </w:pPr>
  </w:style>
  <w:style w:type="paragraph" w:customStyle="1" w:styleId="Bullet1">
    <w:name w:val="Bullet 1"/>
    <w:basedOn w:val="Normal"/>
    <w:pPr>
      <w:numPr>
        <w:numId w:val="30"/>
      </w:numPr>
    </w:pPr>
  </w:style>
  <w:style w:type="paragraph" w:customStyle="1" w:styleId="Bullet2">
    <w:name w:val="Bullet 2"/>
    <w:basedOn w:val="Normal"/>
    <w:pPr>
      <w:numPr>
        <w:numId w:val="31"/>
      </w:numPr>
    </w:pPr>
  </w:style>
  <w:style w:type="paragraph" w:customStyle="1" w:styleId="Bullet3">
    <w:name w:val="Bullet 3"/>
    <w:basedOn w:val="Normal"/>
    <w:pPr>
      <w:numPr>
        <w:numId w:val="32"/>
      </w:numPr>
    </w:pPr>
  </w:style>
  <w:style w:type="paragraph" w:customStyle="1" w:styleId="Bullet4">
    <w:name w:val="Bullet 4"/>
    <w:basedOn w:val="Normal"/>
    <w:pPr>
      <w:numPr>
        <w:numId w:val="33"/>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4"/>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797F7B"/>
    <w:pPr>
      <w:tabs>
        <w:tab w:val="center" w:pos="4535"/>
        <w:tab w:val="right" w:pos="9071"/>
      </w:tabs>
      <w:spacing w:before="0"/>
    </w:pPr>
  </w:style>
  <w:style w:type="paragraph" w:customStyle="1" w:styleId="HeaderLandscape">
    <w:name w:val="HeaderLandscape"/>
    <w:basedOn w:val="Normal"/>
    <w:rsid w:val="00797F7B"/>
    <w:pPr>
      <w:tabs>
        <w:tab w:val="center" w:pos="7285"/>
        <w:tab w:val="right" w:pos="14003"/>
      </w:tabs>
      <w:spacing w:before="0"/>
    </w:pPr>
  </w:style>
  <w:style w:type="paragraph" w:styleId="Footer">
    <w:name w:val="footer"/>
    <w:basedOn w:val="Normal"/>
    <w:link w:val="FooterChar"/>
    <w:uiPriority w:val="99"/>
    <w:unhideWhenUsed/>
    <w:rsid w:val="00797F7B"/>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797F7B"/>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2.xml"/></Relationships>
</file>

<file path=word/_rels/footnotes.xml.rels><?xml version="1.0" encoding="UTF-8" standalone="yes"?>
<Relationships xmlns="http://schemas.openxmlformats.org/package/2006/relationships"><Relationship Id="rId1" Type="http://schemas.openxmlformats.org/officeDocument/2006/relationships/hyperlink" Target="https://www.consilium.europa.eu/en/meetings/european-council/2025/06/26/"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38CC439-5107-4740-B9F6-5018139533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28</TotalTime>
  <Pages>8</Pages>
  <Words>2514</Words>
  <Characters>14330</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16811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41</cp:revision>
  <dcterms:created xsi:type="dcterms:W3CDTF">2026-02-10T08:09:00Z</dcterms:created>
  <dcterms:modified xsi:type="dcterms:W3CDTF">2026-02-19T07:33:00Z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COM/PL/ORG/NOEEA</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9.2, Build 20250828</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SG-001</vt:lpwstr>
  </property>
  <property fmtid="{D5CDD505-2E9C-101B-9397-08002B2CF9AE}" pid="10" name="MSIP_Label_6bd9ddd1-4d20-43f6-abfa-fc3c07406f94_Enabled">
    <vt:lpwstr>true</vt:lpwstr>
  </property>
  <property fmtid="{D5CDD505-2E9C-101B-9397-08002B2CF9AE}" pid="11" name="MSIP_Label_6bd9ddd1-4d20-43f6-abfa-fc3c07406f94_SetDate">
    <vt:lpwstr>2026-02-09T13:15:56Z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e56fa035-2da9-4239-92a3-04c4a308768b</vt:lpwstr>
  </property>
  <property fmtid="{D5CDD505-2E9C-101B-9397-08002B2CF9AE}" pid="16" name="MSIP_Label_6bd9ddd1-4d20-43f6-abfa-fc3c07406f94_ContentBits">
    <vt:lpwstr>0</vt:lpwstr>
  </property>
  <property fmtid="{D5CDD505-2E9C-101B-9397-08002B2CF9AE}" pid="17" name="MSIP_Label_6bd9ddd1-4d20-43f6-abfa-fc3c07406f94_Tag">
    <vt:lpwstr>10, 3, 0, 1</vt:lpwstr>
  </property>
  <property fmtid="{D5CDD505-2E9C-101B-9397-08002B2CF9AE}" pid="18" name="DQCStatus">
    <vt:lpwstr>Green (DQC version 03)</vt:lpwstr>
  </property>
</Properties>
</file>