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9505A" w14:textId="5BB7C10A" w:rsidR="0097358D" w:rsidRDefault="00540B44" w:rsidP="00540B44">
      <w:pPr>
        <w:pStyle w:val="Pagedecouverture"/>
        <w:rPr>
          <w:noProof/>
        </w:rPr>
      </w:pPr>
      <w:r>
        <w:rPr>
          <w:noProof/>
        </w:rPr>
        <w:pict w14:anchorId="3C625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C2231D-0777-4A78-B899-DB9E7D18CBEE" style="width:455.25pt;height:381.75pt">
            <v:imagedata r:id="rId11" o:title=""/>
          </v:shape>
        </w:pict>
      </w:r>
    </w:p>
    <w:p w14:paraId="6B4B77E0" w14:textId="59EF2AA2" w:rsidR="007D31BF" w:rsidRPr="007D31BF" w:rsidRDefault="007D31BF" w:rsidP="007D31BF">
      <w:pPr>
        <w:pStyle w:val="Pagedecouverture"/>
        <w:rPr>
          <w:noProof/>
        </w:rPr>
        <w:sectPr w:rsidR="007D31BF" w:rsidRPr="007D31BF" w:rsidSect="00540B4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A96F9A" w14:textId="26B2DE90" w:rsidR="003C332A" w:rsidRPr="005179F2" w:rsidRDefault="003C332A" w:rsidP="004A4B17">
      <w:pPr>
        <w:pStyle w:val="Annexetitre"/>
        <w:rPr>
          <w:noProof/>
        </w:rPr>
      </w:pPr>
      <w:bookmarkStart w:id="0" w:name="_GoBack"/>
      <w:bookmarkEnd w:id="0"/>
      <w:r w:rsidRPr="005179F2">
        <w:rPr>
          <w:noProof/>
        </w:rPr>
        <w:lastRenderedPageBreak/>
        <w:t>ANEXĂ</w:t>
      </w:r>
    </w:p>
    <w:p w14:paraId="3C2E9812" w14:textId="77777777" w:rsidR="00131EDA" w:rsidRPr="005179F2" w:rsidRDefault="00131EDA" w:rsidP="00131EDA">
      <w:pPr>
        <w:pStyle w:val="ManualHeading1"/>
        <w:rPr>
          <w:noProof/>
        </w:rPr>
      </w:pPr>
      <w:r w:rsidRPr="005179F2">
        <w:rPr>
          <w:noProof/>
        </w:rPr>
        <w:t xml:space="preserve">A. NATURA ACORDURILOR ȘI DOMENIUL DE APLICARE AL ACESTORA  </w:t>
      </w:r>
    </w:p>
    <w:p w14:paraId="628CAF9F" w14:textId="2CFEACA1" w:rsidR="00131EDA" w:rsidRPr="007D31BF" w:rsidRDefault="00131EDA" w:rsidP="00131EDA">
      <w:pPr>
        <w:spacing w:after="0"/>
        <w:rPr>
          <w:rStyle w:val="CommentReference"/>
          <w:noProof/>
          <w:szCs w:val="24"/>
        </w:rPr>
      </w:pPr>
      <w:r w:rsidRPr="007D31BF">
        <w:rPr>
          <w:noProof/>
        </w:rPr>
        <w:t>Prezentele directive de negociere sunt menite să ghideze Comisia în negocierile care vizează încheierea a șase acorduri bilaterale de roaming între UE și, respectiv, Republica Albania, Bosnia și Herțegovina, Kosovo</w:t>
      </w:r>
      <w:r w:rsidRPr="007D31BF">
        <w:rPr>
          <w:rStyle w:val="FootnoteReference"/>
          <w:rFonts w:eastAsia="Arial Unicode MS"/>
          <w:noProof/>
          <w:szCs w:val="24"/>
        </w:rPr>
        <w:footnoteReference w:customMarkFollows="1" w:id="2"/>
        <w:t>*</w:t>
      </w:r>
      <w:r w:rsidRPr="007D31BF">
        <w:rPr>
          <w:noProof/>
        </w:rPr>
        <w:t>, Muntenegru, Republica Macedonia de Nord și Republica Serbia (denumite în continuare „WB</w:t>
      </w:r>
      <w:r w:rsidRPr="005179F2">
        <w:rPr>
          <w:noProof/>
        </w:rPr>
        <w:t>6</w:t>
      </w:r>
      <w:r w:rsidRPr="007D31BF">
        <w:rPr>
          <w:noProof/>
        </w:rPr>
        <w:t>”), care ar oferi cadrul pentru integrarea acestor țări în zona UE în care se aplică roamingul la prețurile de pe piața națională.</w:t>
      </w:r>
    </w:p>
    <w:p w14:paraId="4A3A52BC" w14:textId="428BED48" w:rsidR="00131EDA" w:rsidRPr="007D31BF" w:rsidRDefault="00131EDA" w:rsidP="59F0A968">
      <w:pPr>
        <w:spacing w:after="0"/>
        <w:rPr>
          <w:rFonts w:eastAsia="Times New Roman"/>
          <w:noProof/>
        </w:rPr>
      </w:pPr>
      <w:r w:rsidRPr="007D31BF">
        <w:rPr>
          <w:noProof/>
        </w:rPr>
        <w:t>Relația UE cu WB</w:t>
      </w:r>
      <w:r w:rsidRPr="005179F2">
        <w:rPr>
          <w:noProof/>
        </w:rPr>
        <w:t>6</w:t>
      </w:r>
      <w:r w:rsidRPr="007D31BF">
        <w:rPr>
          <w:noProof/>
        </w:rPr>
        <w:t xml:space="preserve"> este reglementată în prezent de acordurile de stabilizare și de asociere (ASA) încheiate cu fiecare dintre țările respective în parte. ASA se axează pe realizarea stabilizării în regiune și pe pregătirea pentru o posibilă aderare viitoare. Acordurile sus</w:t>
      </w:r>
      <w:r w:rsidR="005179F2">
        <w:rPr>
          <w:noProof/>
        </w:rPr>
        <w:t>­</w:t>
      </w:r>
      <w:r w:rsidRPr="007D31BF">
        <w:rPr>
          <w:noProof/>
        </w:rPr>
        <w:t>menționate prevăd alinierea progresivă a legislației fiecărui partener din cadrul WB</w:t>
      </w:r>
      <w:r w:rsidRPr="005179F2">
        <w:rPr>
          <w:noProof/>
        </w:rPr>
        <w:t>6</w:t>
      </w:r>
      <w:r w:rsidRPr="007D31BF">
        <w:rPr>
          <w:noProof/>
        </w:rPr>
        <w:t xml:space="preserve"> la acquis-ul UE și liberalizarea schimburilor comerciale dintre UE și WB</w:t>
      </w:r>
      <w:r w:rsidRPr="005179F2">
        <w:rPr>
          <w:noProof/>
        </w:rPr>
        <w:t>6</w:t>
      </w:r>
      <w:r w:rsidRPr="007D31BF">
        <w:rPr>
          <w:noProof/>
        </w:rPr>
        <w:t>. Aceste demersuri prevăd consolidarea cooperării în domeniul serviciilor de comunicații electronice și alinierea WB</w:t>
      </w:r>
      <w:r w:rsidRPr="005179F2">
        <w:rPr>
          <w:noProof/>
        </w:rPr>
        <w:t>6</w:t>
      </w:r>
      <w:r w:rsidRPr="007D31BF">
        <w:rPr>
          <w:noProof/>
        </w:rPr>
        <w:t xml:space="preserve"> la acquis-ul UE. Chiar dacă obiectivele și angajamentele asumate în temeiul ASA rămân relevante, acestea trebuie să fie completate cu un cadru juridic care să permită îndeplinirea obiectivelor mai ample de liberalizare și integrarea Republicii Albania, a Bosniei și Herțegovinei, a Kosovo, a Muntenegrului, a Republicii Macedonia de Nord și a Republicii Serbia în spațiul UE în care se aplică roamingul la prețurile de pe piața națională. Un astfel de cadru nu este prevăzut în ASA în forma lor actuală. </w:t>
      </w:r>
    </w:p>
    <w:p w14:paraId="3A84C652" w14:textId="1F1E6454" w:rsidR="00131EDA" w:rsidRPr="007D31BF" w:rsidRDefault="00131EDA" w:rsidP="00131EDA">
      <w:pPr>
        <w:spacing w:after="0"/>
        <w:rPr>
          <w:rFonts w:eastAsia="Times New Roman"/>
          <w:noProof/>
          <w:szCs w:val="24"/>
        </w:rPr>
      </w:pPr>
      <w:r w:rsidRPr="007D31BF">
        <w:rPr>
          <w:noProof/>
        </w:rPr>
        <w:t>În concordanță cu procesul de aderare, cu obiectivele planului de creștere și cu integrarea treptată pe piața internă, UE oferă posibilitatea de a negocia acorduri cu fiecare dintre partenerii WB</w:t>
      </w:r>
      <w:r w:rsidRPr="005179F2">
        <w:rPr>
          <w:noProof/>
        </w:rPr>
        <w:t>6</w:t>
      </w:r>
      <w:r w:rsidRPr="007D31BF">
        <w:rPr>
          <w:noProof/>
        </w:rPr>
        <w:t xml:space="preserve"> în sectorul roamingului în rețelele publice de comunicații mobile. Acordurile sectoriale bilaterale recomandate s-ar baza pe ASA existente cu Republica Albania, Bosnia și Herțegovina, Kosovo, Muntenegru, Republica Macedonia de Nord și Republica Serbia, urmând să le completeze. </w:t>
      </w:r>
    </w:p>
    <w:p w14:paraId="12B91155" w14:textId="6D056BBB" w:rsidR="00131EDA" w:rsidRPr="007D31BF" w:rsidRDefault="0019116A" w:rsidP="00131EDA">
      <w:pPr>
        <w:rPr>
          <w:rFonts w:eastAsia="Times New Roman"/>
          <w:noProof/>
          <w:szCs w:val="24"/>
        </w:rPr>
      </w:pPr>
      <w:r w:rsidRPr="007D31BF">
        <w:rPr>
          <w:noProof/>
        </w:rPr>
        <w:t xml:space="preserve">Partenerii </w:t>
      </w:r>
      <w:bookmarkStart w:id="1" w:name="_Hlk216424047"/>
      <w:r w:rsidRPr="007D31BF">
        <w:rPr>
          <w:noProof/>
        </w:rPr>
        <w:t>care demonstrează în mod clar că sunt ferm angajați pe calea aderării și că înregistrează progrese în direcția îndeplinirii condițiilor necesare</w:t>
      </w:r>
      <w:bookmarkEnd w:id="1"/>
      <w:r w:rsidRPr="007D31BF">
        <w:rPr>
          <w:noProof/>
        </w:rPr>
        <w:t xml:space="preserve"> vor primi o ofertă privind încheierea unui acord bilateral. Respectarea deplină a acquis-ului UE în materie de roaming este o condiție prealabilă pentru accesul la zona UE în care se aplică roamingul la prețurile de pe piața națională. </w:t>
      </w:r>
    </w:p>
    <w:p w14:paraId="535B8C55" w14:textId="7F4A6B24" w:rsidR="00AE5C2A" w:rsidRPr="007D31BF" w:rsidRDefault="00AE5C2A" w:rsidP="00131EDA">
      <w:pPr>
        <w:rPr>
          <w:rFonts w:eastAsia="Times New Roman"/>
          <w:noProof/>
          <w:szCs w:val="24"/>
        </w:rPr>
      </w:pPr>
      <w:r w:rsidRPr="007D31BF">
        <w:rPr>
          <w:noProof/>
        </w:rPr>
        <w:t xml:space="preserve">Principiile democratice, drepturile omului și libertățile fundamentale, precum și respectarea statului de drept sunt elemente esențiale ale acordurilor. </w:t>
      </w:r>
    </w:p>
    <w:p w14:paraId="1C0C2CF0" w14:textId="5C028AEE" w:rsidR="0002085D" w:rsidRPr="007D31BF" w:rsidRDefault="00A558A0" w:rsidP="0002233D">
      <w:pPr>
        <w:rPr>
          <w:rFonts w:eastAsia="Times New Roman"/>
          <w:noProof/>
          <w:szCs w:val="24"/>
        </w:rPr>
      </w:pPr>
      <w:r w:rsidRPr="007D31BF">
        <w:rPr>
          <w:noProof/>
        </w:rPr>
        <w:t xml:space="preserve">Comisia menționează că politica externă și de securitate comună (PESC) și respectarea statului de drept sunt domenii deosebit de importante pentru procesul de extindere.  </w:t>
      </w:r>
    </w:p>
    <w:p w14:paraId="60DA9FAD" w14:textId="08DD2433" w:rsidR="00131EDA" w:rsidRPr="005179F2" w:rsidRDefault="00131EDA" w:rsidP="00131EDA">
      <w:pPr>
        <w:pStyle w:val="ManualHeading1"/>
        <w:rPr>
          <w:noProof/>
        </w:rPr>
      </w:pPr>
      <w:r w:rsidRPr="005179F2">
        <w:rPr>
          <w:noProof/>
        </w:rPr>
        <w:t xml:space="preserve">B. CONȚINUTUL RECOMANDAT AL ACORDURILOR </w:t>
      </w:r>
    </w:p>
    <w:p w14:paraId="3E2C99B9" w14:textId="77777777" w:rsidR="00131EDA" w:rsidRPr="007D31BF" w:rsidRDefault="00131EDA" w:rsidP="00131EDA">
      <w:pPr>
        <w:shd w:val="clear" w:color="auto" w:fill="FFFFFF" w:themeFill="background1"/>
        <w:spacing w:after="0"/>
        <w:rPr>
          <w:rFonts w:eastAsia="Times New Roman"/>
          <w:noProof/>
          <w:szCs w:val="24"/>
        </w:rPr>
      </w:pPr>
    </w:p>
    <w:p w14:paraId="50121AEF" w14:textId="77777777" w:rsidR="00131EDA" w:rsidRPr="005179F2" w:rsidRDefault="00131EDA" w:rsidP="00131EDA">
      <w:pPr>
        <w:pStyle w:val="ManualHeading2"/>
        <w:rPr>
          <w:noProof/>
        </w:rPr>
      </w:pPr>
      <w:r w:rsidRPr="005179F2">
        <w:rPr>
          <w:noProof/>
        </w:rPr>
        <w:t xml:space="preserve">Obiective și domeniu de aplicare </w:t>
      </w:r>
    </w:p>
    <w:p w14:paraId="61A01CA9" w14:textId="70582706" w:rsidR="00131EDA" w:rsidRPr="007D31BF" w:rsidRDefault="00131EDA" w:rsidP="00131EDA">
      <w:pPr>
        <w:spacing w:after="0"/>
        <w:rPr>
          <w:rFonts w:eastAsia="Times New Roman"/>
          <w:noProof/>
          <w:szCs w:val="24"/>
        </w:rPr>
      </w:pPr>
      <w:r w:rsidRPr="007D31BF">
        <w:rPr>
          <w:noProof/>
        </w:rPr>
        <w:t>Scopul acordurilor sectoriale va consta în garantarea faptului că utilizatorii rețelelor publice de comunicații mobile care călătoresc între oricare dintre țările partenere WB</w:t>
      </w:r>
      <w:r w:rsidRPr="005179F2">
        <w:rPr>
          <w:noProof/>
        </w:rPr>
        <w:t>6</w:t>
      </w:r>
      <w:r w:rsidRPr="007D31BF">
        <w:rPr>
          <w:noProof/>
        </w:rPr>
        <w:t xml:space="preserve"> și UE nu plătesc prețuri excesive pentru serviciile de roaming. Acest lucru se va realiza prin deschiderea reciprocă a pieței serviciilor de roaming în condițiile stabilite de normele UE privind serviciile de roaming.</w:t>
      </w:r>
    </w:p>
    <w:p w14:paraId="5678776E" w14:textId="39232A6E" w:rsidR="00131EDA" w:rsidRPr="007D31BF" w:rsidRDefault="00131EDA" w:rsidP="00131EDA">
      <w:pPr>
        <w:spacing w:after="0"/>
        <w:rPr>
          <w:rFonts w:eastAsia="Times New Roman"/>
          <w:noProof/>
          <w:szCs w:val="24"/>
        </w:rPr>
      </w:pPr>
      <w:r w:rsidRPr="007D31BF">
        <w:rPr>
          <w:noProof/>
        </w:rPr>
        <w:t>Acordurile vor prevedea cadrul și condițiile pentru deschiderea reciprocă a piețelor părților în ceea ce privește sectorul roamingului în rețelele publice de comunicații mobile. Deschiderea va fi condiționată în special de punerea în aplicare deplină de către partenerii WB</w:t>
      </w:r>
      <w:r w:rsidRPr="005179F2">
        <w:rPr>
          <w:noProof/>
        </w:rPr>
        <w:t>6</w:t>
      </w:r>
      <w:r w:rsidRPr="007D31BF">
        <w:rPr>
          <w:noProof/>
        </w:rPr>
        <w:t xml:space="preserve"> a acquis-ului UE în materie de roaming, ceea ce va trebui să fie confirmat printr-o evaluare pozitivă cuprinzătoare de către Uniune, care ar urma să fie efectuată de Comisie. Odată ce un anumit partener WB</w:t>
      </w:r>
      <w:r w:rsidRPr="005179F2">
        <w:rPr>
          <w:noProof/>
        </w:rPr>
        <w:t>6</w:t>
      </w:r>
      <w:r w:rsidRPr="007D31BF">
        <w:rPr>
          <w:noProof/>
        </w:rPr>
        <w:t xml:space="preserve"> a făcut obiectul unei evaluări pozitive, organismul comun responsabil instituit în temeiul acordului va fi abilitat să decidă cu privire la deschiderea reciprocă. </w:t>
      </w:r>
    </w:p>
    <w:p w14:paraId="668A9059" w14:textId="77777777" w:rsidR="00131EDA" w:rsidRPr="005179F2" w:rsidRDefault="00131EDA" w:rsidP="00131EDA">
      <w:pPr>
        <w:rPr>
          <w:rFonts w:eastAsia="Times New Roman"/>
          <w:b/>
          <w:bCs/>
          <w:noProof/>
          <w:szCs w:val="24"/>
        </w:rPr>
      </w:pPr>
    </w:p>
    <w:p w14:paraId="6CD09AEB" w14:textId="77777777" w:rsidR="00131EDA" w:rsidRPr="005179F2" w:rsidRDefault="00131EDA" w:rsidP="00131EDA">
      <w:pPr>
        <w:rPr>
          <w:rFonts w:eastAsia="Times New Roman"/>
          <w:b/>
          <w:bCs/>
          <w:noProof/>
          <w:szCs w:val="24"/>
        </w:rPr>
      </w:pPr>
      <w:r w:rsidRPr="005179F2">
        <w:rPr>
          <w:b/>
          <w:noProof/>
        </w:rPr>
        <w:t>Alinierea reglementărilor la acquis-ul UE în materie de roaming</w:t>
      </w:r>
      <w:r w:rsidRPr="005179F2">
        <w:rPr>
          <w:b/>
          <w:i/>
          <w:noProof/>
        </w:rPr>
        <w:t xml:space="preserve"> </w:t>
      </w:r>
    </w:p>
    <w:p w14:paraId="19D41B7D" w14:textId="2653E67D" w:rsidR="00131EDA" w:rsidRPr="007D31BF" w:rsidRDefault="00131EDA" w:rsidP="00131EDA">
      <w:pPr>
        <w:spacing w:after="0"/>
        <w:rPr>
          <w:rFonts w:eastAsia="Times New Roman"/>
          <w:noProof/>
          <w:szCs w:val="24"/>
        </w:rPr>
      </w:pPr>
      <w:r w:rsidRPr="007D31BF">
        <w:rPr>
          <w:noProof/>
        </w:rPr>
        <w:t xml:space="preserve">Dispozițiile aplicabile ale acquis-ului Uniunii în materie de roaming și orice adaptări orizontale sau specifice ale acestuia vor fi enumerate într-o anexă la acordurile respective. Acordurile vor conține procedura de modificare a listei aferente acquis-ului aplicabil în materie de roaming și normele de încorporare și de punere în aplicare a actelor relevante noi sau modificate ale UE. </w:t>
      </w:r>
    </w:p>
    <w:p w14:paraId="792F5676" w14:textId="5E8B0667" w:rsidR="00131EDA" w:rsidRPr="007D31BF" w:rsidRDefault="00131EDA" w:rsidP="00131EDA">
      <w:pPr>
        <w:rPr>
          <w:rFonts w:eastAsia="Times New Roman"/>
          <w:noProof/>
          <w:szCs w:val="24"/>
        </w:rPr>
      </w:pPr>
      <w:r w:rsidRPr="007D31BF">
        <w:rPr>
          <w:noProof/>
        </w:rPr>
        <w:t>Acordurile vor include obligația, pentru partenerii WB</w:t>
      </w:r>
      <w:r w:rsidRPr="005179F2">
        <w:rPr>
          <w:noProof/>
        </w:rPr>
        <w:t>6</w:t>
      </w:r>
      <w:r w:rsidRPr="007D31BF">
        <w:rPr>
          <w:noProof/>
        </w:rPr>
        <w:t>, de a adopta integral și, respectiv, de a pune în aplicare integral și deplin acquis-ul UE în materie de roaming înainte de (ca o condiție prealabilă pentru) extinderea zonei de roaming a UE, precum și obligația de a menține alinierea dinamică la acquis-ul UE în materie de roaming pe măsură ce acesta evoluează în viitor, în urma deschiderii reciproce a piețelor. Acordurile vor include criteriile și procedura pentru evaluarea cuprinzătoare a stadiului punerii în aplicare a acquis-ului UE în materie de roaming înaintea adoptării unei eventuale decizii de către un organism comun în temeiul acordului de deschidere reciprocă a piețelor în ceea ce privește sectorul roamingului.</w:t>
      </w:r>
    </w:p>
    <w:p w14:paraId="42316764" w14:textId="2E9FD308" w:rsidR="00131EDA" w:rsidRPr="005179F2" w:rsidRDefault="00131EDA" w:rsidP="00131EDA">
      <w:pPr>
        <w:rPr>
          <w:rFonts w:eastAsia="Times New Roman"/>
          <w:b/>
          <w:bCs/>
          <w:noProof/>
          <w:szCs w:val="24"/>
        </w:rPr>
      </w:pPr>
      <w:r w:rsidRPr="007D31BF">
        <w:rPr>
          <w:noProof/>
        </w:rPr>
        <w:t>Acordurile vor include criteriile și procedura pentru monitorizarea și evaluarea continuă a punerii în aplicare a acquis-ului UE în materie de roaming, precum și posibilitatea, condițiile și procedura prin care Uniunea va fi în măsură să suspende beneficiile care decurg din acordurile privind serviciile de roaming în cazul nerespectării de către un partener WB</w:t>
      </w:r>
      <w:r w:rsidRPr="005179F2">
        <w:rPr>
          <w:noProof/>
        </w:rPr>
        <w:t>6</w:t>
      </w:r>
      <w:r w:rsidRPr="007D31BF">
        <w:rPr>
          <w:noProof/>
        </w:rPr>
        <w:t xml:space="preserve"> a obligațiilor de aliniere a reglementărilor. </w:t>
      </w:r>
    </w:p>
    <w:p w14:paraId="3C734DF3" w14:textId="77777777" w:rsidR="00131EDA" w:rsidRPr="005179F2" w:rsidRDefault="00131EDA" w:rsidP="00131EDA">
      <w:pPr>
        <w:rPr>
          <w:rFonts w:eastAsia="Times New Roman"/>
          <w:b/>
          <w:bCs/>
          <w:noProof/>
          <w:szCs w:val="24"/>
        </w:rPr>
      </w:pPr>
    </w:p>
    <w:p w14:paraId="2E8244AF" w14:textId="77777777" w:rsidR="00131EDA" w:rsidRPr="005179F2" w:rsidRDefault="00131EDA" w:rsidP="00131EDA">
      <w:pPr>
        <w:rPr>
          <w:rFonts w:eastAsia="Times New Roman"/>
          <w:b/>
          <w:bCs/>
          <w:noProof/>
          <w:szCs w:val="24"/>
        </w:rPr>
      </w:pPr>
      <w:r w:rsidRPr="005179F2">
        <w:rPr>
          <w:b/>
          <w:noProof/>
        </w:rPr>
        <w:t>Asigurarea respectării legislației</w:t>
      </w:r>
    </w:p>
    <w:p w14:paraId="18312422" w14:textId="15EB7185" w:rsidR="004A5594" w:rsidRPr="007D31BF" w:rsidRDefault="00131EDA" w:rsidP="00131EDA">
      <w:pPr>
        <w:rPr>
          <w:rFonts w:eastAsia="Times New Roman"/>
          <w:noProof/>
          <w:szCs w:val="24"/>
        </w:rPr>
      </w:pPr>
      <w:r w:rsidRPr="007D31BF">
        <w:rPr>
          <w:noProof/>
        </w:rPr>
        <w:t>Acordurile vor prevedea, de asemenea, un cadru instituțional și măsuri de salvgardare inspirate din tratatele UE pentru a proteja autonomia și interpretarea uniformă a acquis-ului UE în materie de roaming și pentru a permite Uniunii să reacționeze cu eficacitate în caz de neconformitate. Voința partenerilor WB</w:t>
      </w:r>
      <w:r w:rsidRPr="005179F2">
        <w:rPr>
          <w:noProof/>
        </w:rPr>
        <w:t>6</w:t>
      </w:r>
      <w:r w:rsidRPr="007D31BF">
        <w:rPr>
          <w:noProof/>
        </w:rPr>
        <w:t xml:space="preserve"> de a încorpora principalele mecanisme de drept al UE în ordinile lor juridice și disponibilitatea lor de a face acest demers le vor permite să demonstreze că sunt gata să își asume responsabilitățile care decurg din statutul de membru al UE. </w:t>
      </w:r>
    </w:p>
    <w:p w14:paraId="5691CC82" w14:textId="4369B336" w:rsidR="00131EDA" w:rsidRPr="007D31BF" w:rsidRDefault="00464F4D" w:rsidP="00131EDA">
      <w:pPr>
        <w:rPr>
          <w:rFonts w:eastAsia="Times New Roman"/>
          <w:noProof/>
          <w:szCs w:val="24"/>
        </w:rPr>
      </w:pPr>
      <w:r w:rsidRPr="007D31BF">
        <w:rPr>
          <w:noProof/>
        </w:rPr>
        <w:t>Fiecare dintre partenerii WB</w:t>
      </w:r>
      <w:r w:rsidRPr="005179F2">
        <w:rPr>
          <w:noProof/>
        </w:rPr>
        <w:t>6</w:t>
      </w:r>
      <w:r w:rsidRPr="007D31BF">
        <w:rPr>
          <w:noProof/>
        </w:rPr>
        <w:t xml:space="preserve"> va trebui să se asigure că actele juridice ale UE specificate în acorduri au aceleași efecte juridice ca cele pe care le produc în ordinea juridică a unui stat membru, astfel cum se prevede la articolul </w:t>
      </w:r>
      <w:r w:rsidRPr="005179F2">
        <w:rPr>
          <w:noProof/>
        </w:rPr>
        <w:t>288</w:t>
      </w:r>
      <w:r w:rsidRPr="007D31BF">
        <w:rPr>
          <w:noProof/>
        </w:rPr>
        <w:t xml:space="preserve"> din TFUE și în jurisprudența Curții de Justiție. În cazul în care actele respective creează drepturi și obligații pe care persoanele fizice le pot invoca în fața instanțelor naționale ale unui stat membru fără a fi necesară punerea în aplicare ulterioară de către respectivul stat membru, astfel de dispoziții vor trebui, de asemenea, să creeze drepturi și obligații pe care persoanele fizice le pot invoca în fața instanțelor naționale ale fiecăruia dintre partenerii Uniunii fără a fi necesare măsuri ulterioare de punere în aplicare. Mai mult, chestiunile referitoare la actele UE specificate în acorduri vor fi de competența exclusivă a Curții de Justiție a Uniunii Europene. </w:t>
      </w:r>
    </w:p>
    <w:p w14:paraId="325F7663" w14:textId="49B668E3" w:rsidR="00131EDA" w:rsidRPr="007D31BF" w:rsidRDefault="00A12031" w:rsidP="00131EDA">
      <w:pPr>
        <w:rPr>
          <w:rFonts w:eastAsia="Times New Roman"/>
          <w:noProof/>
          <w:szCs w:val="24"/>
        </w:rPr>
      </w:pPr>
      <w:r w:rsidRPr="007D31BF">
        <w:rPr>
          <w:noProof/>
        </w:rPr>
        <w:t>Acordurile vor cuprinde un mecanism fiabil pentru a se asigura că actele juridice de modificare a acquis-ului UE în materie de roaming sunt încorporate pe parcurs în acord, asigurând astfel un cadru juridic comun în orice moment; Curtea de Justiție a Uniunii Europene este autoritatea supremă care are competența de a interpreta acordurile respective și de a formula interpretări pentru instanțele naționale din cadrul WB</w:t>
      </w:r>
      <w:r w:rsidRPr="005179F2">
        <w:rPr>
          <w:noProof/>
        </w:rPr>
        <w:t>6</w:t>
      </w:r>
      <w:r w:rsidRPr="007D31BF">
        <w:rPr>
          <w:noProof/>
        </w:rPr>
        <w:t>, la cererea acestora. Curtea de Justiție a Uniunii Europene va avea competența exclusivă de a verifica legalitatea deciziilor luate de instituțiile UE în temeiul acordurilor respective.</w:t>
      </w:r>
    </w:p>
    <w:p w14:paraId="134D81AB" w14:textId="77777777" w:rsidR="00131EDA" w:rsidRPr="005179F2" w:rsidRDefault="00131EDA" w:rsidP="00131EDA">
      <w:pPr>
        <w:rPr>
          <w:rFonts w:eastAsia="Times New Roman"/>
          <w:b/>
          <w:bCs/>
          <w:noProof/>
          <w:szCs w:val="24"/>
        </w:rPr>
      </w:pPr>
    </w:p>
    <w:p w14:paraId="1F743E76" w14:textId="77777777" w:rsidR="00131EDA" w:rsidRPr="005179F2" w:rsidRDefault="00131EDA" w:rsidP="00131EDA">
      <w:pPr>
        <w:rPr>
          <w:rFonts w:eastAsia="Times New Roman"/>
          <w:b/>
          <w:bCs/>
          <w:noProof/>
          <w:szCs w:val="24"/>
        </w:rPr>
      </w:pPr>
      <w:r w:rsidRPr="005179F2">
        <w:rPr>
          <w:b/>
          <w:noProof/>
        </w:rPr>
        <w:t xml:space="preserve">Interpretare </w:t>
      </w:r>
    </w:p>
    <w:p w14:paraId="498CF754" w14:textId="1242177C" w:rsidR="00131EDA" w:rsidRPr="007D31BF" w:rsidRDefault="00131EDA" w:rsidP="00131EDA">
      <w:pPr>
        <w:rPr>
          <w:rFonts w:eastAsia="Times New Roman"/>
          <w:noProof/>
          <w:szCs w:val="24"/>
        </w:rPr>
      </w:pPr>
      <w:r w:rsidRPr="007D31BF">
        <w:rPr>
          <w:noProof/>
        </w:rPr>
        <w:t xml:space="preserve">Acordurile și acquis-ul UE în materie de roaming vor fi interpretate în ceea ce privește punerea lor în aplicare și aplicarea lor în concordanță cu hotărârile și deciziile Curții de Justiție.  </w:t>
      </w:r>
    </w:p>
    <w:p w14:paraId="3FF92FC7" w14:textId="4469C71C" w:rsidR="00131EDA" w:rsidRPr="007D31BF" w:rsidRDefault="00131EDA" w:rsidP="00131EDA">
      <w:pPr>
        <w:spacing w:after="0"/>
        <w:rPr>
          <w:rFonts w:eastAsia="Times New Roman"/>
          <w:noProof/>
          <w:szCs w:val="24"/>
        </w:rPr>
      </w:pPr>
      <w:r w:rsidRPr="007D31BF">
        <w:rPr>
          <w:noProof/>
        </w:rPr>
        <w:t>În plus, în cazul în care se ridică o problemă de interpretare în fața unei instanțe naționale a unui partener WB</w:t>
      </w:r>
      <w:r w:rsidRPr="005179F2">
        <w:rPr>
          <w:noProof/>
        </w:rPr>
        <w:t>6</w:t>
      </w:r>
      <w:r w:rsidRPr="007D31BF">
        <w:rPr>
          <w:noProof/>
        </w:rPr>
        <w:t xml:space="preserve"> cu privire la acordurile sau </w:t>
      </w:r>
      <w:r w:rsidRPr="005179F2">
        <w:rPr>
          <w:i/>
          <w:noProof/>
        </w:rPr>
        <w:t>actele naționale</w:t>
      </w:r>
      <w:r w:rsidRPr="007D31BF">
        <w:rPr>
          <w:noProof/>
        </w:rPr>
        <w:t xml:space="preserve"> adoptate în temeiul acestora care sunt identice în esență cu normele corespunzătoare din TFUE sau cu actele adoptate în temeiul TFUE, instanța națională va avea posibilitatea de a solicita Curții de Justiție să se pronunțe cu privire la acea chestiune. În cazul în care instanța națională este o instanță ale cărei hotărâri nu pot face obiectul vreunei căi de atac în dreptul intern, aceasta va trebui să sesizeze Curtea de Justiție.</w:t>
      </w:r>
    </w:p>
    <w:p w14:paraId="55AAAC19" w14:textId="77777777" w:rsidR="00131EDA" w:rsidRPr="005179F2" w:rsidRDefault="00131EDA" w:rsidP="00131EDA">
      <w:pPr>
        <w:rPr>
          <w:rFonts w:eastAsia="Times New Roman"/>
          <w:b/>
          <w:bCs/>
          <w:noProof/>
          <w:szCs w:val="24"/>
        </w:rPr>
      </w:pPr>
    </w:p>
    <w:p w14:paraId="0F992DE0" w14:textId="77777777" w:rsidR="00131EDA" w:rsidRPr="005179F2" w:rsidRDefault="00131EDA" w:rsidP="00131EDA">
      <w:pPr>
        <w:rPr>
          <w:rFonts w:eastAsia="Times New Roman"/>
          <w:b/>
          <w:bCs/>
          <w:noProof/>
          <w:szCs w:val="24"/>
        </w:rPr>
      </w:pPr>
      <w:r w:rsidRPr="005179F2">
        <w:rPr>
          <w:b/>
          <w:noProof/>
        </w:rPr>
        <w:t>Cadrul instituțional</w:t>
      </w:r>
    </w:p>
    <w:p w14:paraId="0281A858" w14:textId="4E680D7F" w:rsidR="00131EDA" w:rsidRPr="007D31BF" w:rsidRDefault="00975089" w:rsidP="2FA43655">
      <w:pPr>
        <w:spacing w:after="0"/>
        <w:rPr>
          <w:rFonts w:eastAsia="Times New Roman"/>
          <w:noProof/>
        </w:rPr>
      </w:pPr>
      <w:r w:rsidRPr="007D31BF">
        <w:rPr>
          <w:noProof/>
        </w:rPr>
        <w:t>Fără a aduce atingere implicării Comisiei și a Curții de Justiție, administrarea acordurilor recomandate se va încadra, în măsura posibilului, în sfera de competență a Comitetului de stabilizare și de asociere instituit de Consiliul de stabilizare și de asociere al ASA, format din reprezentanți ai UE și ai WB</w:t>
      </w:r>
      <w:r w:rsidRPr="005179F2">
        <w:rPr>
          <w:noProof/>
        </w:rPr>
        <w:t>6</w:t>
      </w:r>
      <w:r w:rsidRPr="007D31BF">
        <w:rPr>
          <w:noProof/>
        </w:rPr>
        <w:t xml:space="preserve">. </w:t>
      </w:r>
    </w:p>
    <w:p w14:paraId="4323F3C3" w14:textId="77777777" w:rsidR="00131EDA" w:rsidRPr="005179F2" w:rsidRDefault="00131EDA" w:rsidP="00131EDA">
      <w:pPr>
        <w:rPr>
          <w:rFonts w:eastAsia="Times New Roman"/>
          <w:b/>
          <w:bCs/>
          <w:noProof/>
          <w:szCs w:val="24"/>
        </w:rPr>
      </w:pPr>
    </w:p>
    <w:p w14:paraId="554B57BB" w14:textId="77777777" w:rsidR="00131EDA" w:rsidRPr="005179F2" w:rsidRDefault="00131EDA" w:rsidP="00131EDA">
      <w:pPr>
        <w:rPr>
          <w:rFonts w:eastAsia="Times New Roman"/>
          <w:b/>
          <w:bCs/>
          <w:noProof/>
          <w:szCs w:val="24"/>
        </w:rPr>
      </w:pPr>
      <w:r w:rsidRPr="005179F2">
        <w:rPr>
          <w:b/>
          <w:noProof/>
        </w:rPr>
        <w:t xml:space="preserve">Soluționarea litigiilor </w:t>
      </w:r>
    </w:p>
    <w:p w14:paraId="46719440" w14:textId="1B4D943E" w:rsidR="00131EDA" w:rsidRPr="007D31BF" w:rsidRDefault="00131EDA" w:rsidP="2FA43655">
      <w:pPr>
        <w:spacing w:after="0"/>
        <w:rPr>
          <w:rFonts w:eastAsia="Times New Roman"/>
          <w:noProof/>
        </w:rPr>
      </w:pPr>
      <w:r w:rsidRPr="007D31BF">
        <w:rPr>
          <w:noProof/>
        </w:rPr>
        <w:t>Acordurile vor stabili procedura de soluționare a litigiilor dintre părți cu privire la aplicarea sau la interpretarea acordurilor. Comisia va avea posibilitatea de a iniția proceduri de constatare a neîndeplinirii obligațiilor, după modelul celor prevăzute la articolul </w:t>
      </w:r>
      <w:r w:rsidRPr="005179F2">
        <w:rPr>
          <w:noProof/>
        </w:rPr>
        <w:t>258</w:t>
      </w:r>
      <w:r w:rsidRPr="007D31BF">
        <w:rPr>
          <w:noProof/>
        </w:rPr>
        <w:t xml:space="preserve"> din TFUE. În mod similar, partenerii WB</w:t>
      </w:r>
      <w:r w:rsidRPr="005179F2">
        <w:rPr>
          <w:noProof/>
        </w:rPr>
        <w:t>6</w:t>
      </w:r>
      <w:r w:rsidRPr="007D31BF">
        <w:rPr>
          <w:noProof/>
        </w:rPr>
        <w:t xml:space="preserve"> vor putea sesiza Curtea de Justiție cu privire la un litigiu referitor la aplicarea sau la interpretarea acordului respectiv. Modalitățile prin care Curtea de Justiție se pronunță în ceea ce privește litigiile și chestiunile de interpretare cu privire la care este sesizată vor fi stabilite într-o anexă la acorduri.</w:t>
      </w:r>
    </w:p>
    <w:p w14:paraId="0E5123A2" w14:textId="77777777" w:rsidR="00131EDA" w:rsidRPr="005179F2" w:rsidRDefault="00131EDA" w:rsidP="00131EDA">
      <w:pPr>
        <w:rPr>
          <w:rFonts w:eastAsia="Times New Roman"/>
          <w:b/>
          <w:bCs/>
          <w:noProof/>
          <w:szCs w:val="24"/>
        </w:rPr>
      </w:pPr>
    </w:p>
    <w:p w14:paraId="59D0C329" w14:textId="77777777" w:rsidR="00131EDA" w:rsidRPr="005179F2" w:rsidRDefault="00131EDA" w:rsidP="00131EDA">
      <w:pPr>
        <w:rPr>
          <w:rFonts w:eastAsia="Times New Roman"/>
          <w:b/>
          <w:bCs/>
          <w:noProof/>
          <w:szCs w:val="24"/>
        </w:rPr>
      </w:pPr>
      <w:r w:rsidRPr="005179F2">
        <w:rPr>
          <w:b/>
          <w:noProof/>
        </w:rPr>
        <w:t>Măsuri de salvgardare</w:t>
      </w:r>
    </w:p>
    <w:p w14:paraId="38DBD669" w14:textId="6330D37E" w:rsidR="00131EDA" w:rsidRPr="007D31BF" w:rsidRDefault="00F23758" w:rsidP="00131EDA">
      <w:pPr>
        <w:rPr>
          <w:rFonts w:eastAsia="Times New Roman"/>
          <w:noProof/>
          <w:szCs w:val="24"/>
        </w:rPr>
      </w:pPr>
      <w:r w:rsidRPr="007D31BF">
        <w:rPr>
          <w:noProof/>
        </w:rPr>
        <w:t>În cazul în care unul dintre partenerii WB</w:t>
      </w:r>
      <w:r w:rsidRPr="005179F2">
        <w:rPr>
          <w:noProof/>
        </w:rPr>
        <w:t>6</w:t>
      </w:r>
      <w:r w:rsidRPr="007D31BF">
        <w:rPr>
          <w:noProof/>
        </w:rPr>
        <w:t xml:space="preserve"> nu respectă o hotărâre a Curții de Justiție, Comisia va fi abilitată să suspende părți ale acordului fără alte formalități.</w:t>
      </w:r>
    </w:p>
    <w:p w14:paraId="11E7038A" w14:textId="77777777" w:rsidR="00D77662" w:rsidRPr="005179F2" w:rsidRDefault="00D77662" w:rsidP="00131EDA">
      <w:pPr>
        <w:rPr>
          <w:rFonts w:eastAsia="Times New Roman"/>
          <w:b/>
          <w:bCs/>
          <w:noProof/>
          <w:szCs w:val="24"/>
        </w:rPr>
      </w:pPr>
    </w:p>
    <w:p w14:paraId="64BD3DCE" w14:textId="6A7126B6" w:rsidR="00131EDA" w:rsidRPr="005179F2" w:rsidRDefault="00131EDA" w:rsidP="005179F2">
      <w:pPr>
        <w:keepNext/>
        <w:rPr>
          <w:rFonts w:eastAsia="Times New Roman"/>
          <w:b/>
          <w:bCs/>
          <w:noProof/>
          <w:szCs w:val="24"/>
        </w:rPr>
      </w:pPr>
      <w:r w:rsidRPr="005179F2">
        <w:rPr>
          <w:b/>
          <w:noProof/>
        </w:rPr>
        <w:t>Raportul cu alte acorduri</w:t>
      </w:r>
    </w:p>
    <w:p w14:paraId="4AF8E280" w14:textId="16D3222F" w:rsidR="00131EDA" w:rsidRPr="007D31BF" w:rsidRDefault="00131EDA" w:rsidP="00131EDA">
      <w:pPr>
        <w:spacing w:after="0"/>
        <w:rPr>
          <w:rFonts w:eastAsia="Times New Roman"/>
          <w:noProof/>
          <w:szCs w:val="24"/>
        </w:rPr>
      </w:pPr>
      <w:r w:rsidRPr="007D31BF">
        <w:rPr>
          <w:noProof/>
        </w:rPr>
        <w:t xml:space="preserve">Acordurile recomandate vor deveni parte integrantă a relațiilor globale dintre Uniune și Republica Albania, Bosnia și Herțegovina, Kosovo, Republica Macedonia de Nord, Muntenegru și Republica Serbia, astfel cum au fost stabilite prin acordurile lor de stabilizare și de asociere corespunzătoare, și ar trebui să facă parte dintr-un cadru instituțional comun. Acestea vor constitui acorduri specifice care vor pune în aplicare dispozițiile comerciale aferente ASA și, împreună cu acordul de liber schimb respectiv, vor alcătui o zonă de liber schimb în conformitate cu articolul V din GATS. </w:t>
      </w:r>
    </w:p>
    <w:p w14:paraId="40E99B04" w14:textId="77777777" w:rsidR="00E62296" w:rsidRPr="005179F2" w:rsidRDefault="00E62296" w:rsidP="00131EDA">
      <w:pPr>
        <w:rPr>
          <w:rFonts w:eastAsia="Times New Roman"/>
          <w:b/>
          <w:bCs/>
          <w:noProof/>
          <w:szCs w:val="24"/>
        </w:rPr>
      </w:pPr>
    </w:p>
    <w:p w14:paraId="6FF40380" w14:textId="05D11399" w:rsidR="00131EDA" w:rsidRPr="005179F2" w:rsidRDefault="00131EDA" w:rsidP="00131EDA">
      <w:pPr>
        <w:rPr>
          <w:rFonts w:eastAsia="Times New Roman"/>
          <w:b/>
          <w:bCs/>
          <w:noProof/>
          <w:szCs w:val="24"/>
        </w:rPr>
      </w:pPr>
      <w:r w:rsidRPr="005179F2">
        <w:rPr>
          <w:b/>
          <w:noProof/>
        </w:rPr>
        <w:t>Denunțarea acordurilor</w:t>
      </w:r>
    </w:p>
    <w:p w14:paraId="71291D95" w14:textId="47AB8D03" w:rsidR="0002085D" w:rsidRPr="007D31BF" w:rsidRDefault="001632D5" w:rsidP="0002085D">
      <w:pPr>
        <w:rPr>
          <w:rFonts w:eastAsia="Times New Roman"/>
          <w:noProof/>
          <w:szCs w:val="24"/>
        </w:rPr>
      </w:pPr>
      <w:bookmarkStart w:id="2" w:name="_Hlk216260136"/>
      <w:r w:rsidRPr="007D31BF">
        <w:rPr>
          <w:noProof/>
        </w:rPr>
        <w:t>Acordurile se vor încheia pe o perioadă nedeterminată și vor prevedea condițiile și procedurile în temeiul cărora Uniunea poate suspenda, integral sau parțial, aplicarea acordurilor, precum și procedura și perioadele de preaviz pentru denunțarea acordurilor.</w:t>
      </w:r>
      <w:r w:rsidRPr="005179F2">
        <w:rPr>
          <w:i/>
          <w:noProof/>
        </w:rPr>
        <w:t xml:space="preserve"> </w:t>
      </w:r>
    </w:p>
    <w:bookmarkEnd w:id="2"/>
    <w:p w14:paraId="03B5F13A" w14:textId="77777777" w:rsidR="00D51DE8" w:rsidRPr="007D31BF" w:rsidRDefault="00D51DE8" w:rsidP="2FA43655">
      <w:pPr>
        <w:rPr>
          <w:rFonts w:eastAsia="Times New Roman"/>
          <w:noProof/>
          <w:szCs w:val="24"/>
        </w:rPr>
      </w:pPr>
    </w:p>
    <w:p w14:paraId="055A6913" w14:textId="77777777" w:rsidR="00131EDA" w:rsidRPr="007D31BF" w:rsidRDefault="00131EDA" w:rsidP="00131EDA">
      <w:pPr>
        <w:keepNext/>
        <w:keepLines/>
        <w:rPr>
          <w:noProof/>
        </w:rPr>
      </w:pPr>
      <w:r w:rsidRPr="007D31BF">
        <w:rPr>
          <w:noProof/>
          <w:color w:val="000000"/>
        </w:rPr>
        <w:t xml:space="preserve">Prezenta decizie se adresează Comisiei. </w:t>
      </w:r>
    </w:p>
    <w:p w14:paraId="787DAE14" w14:textId="77777777" w:rsidR="00131EDA" w:rsidRPr="007D31BF" w:rsidRDefault="00131EDA" w:rsidP="00131EDA">
      <w:pPr>
        <w:pStyle w:val="Fait"/>
        <w:rPr>
          <w:noProof/>
        </w:rPr>
      </w:pPr>
    </w:p>
    <w:p w14:paraId="088C2D9B" w14:textId="77777777" w:rsidR="00131EDA" w:rsidRPr="005179F2" w:rsidRDefault="00131EDA" w:rsidP="00131EDA">
      <w:pPr>
        <w:pStyle w:val="Institutionquisigne"/>
        <w:rPr>
          <w:noProof/>
        </w:rPr>
      </w:pPr>
      <w:r w:rsidRPr="005179F2">
        <w:rPr>
          <w:noProof/>
        </w:rPr>
        <w:tab/>
        <w:t>Pentru Consiliu</w:t>
      </w:r>
    </w:p>
    <w:p w14:paraId="04BE3C00" w14:textId="77777777" w:rsidR="00131EDA" w:rsidRPr="005179F2" w:rsidRDefault="00131EDA" w:rsidP="00131EDA">
      <w:pPr>
        <w:pStyle w:val="Personnequisigne"/>
        <w:rPr>
          <w:noProof/>
        </w:rPr>
      </w:pPr>
      <w:r w:rsidRPr="005179F2">
        <w:rPr>
          <w:noProof/>
        </w:rPr>
        <w:tab/>
        <w:t>Președintele</w:t>
      </w:r>
    </w:p>
    <w:p w14:paraId="1F2B1C1C" w14:textId="77777777" w:rsidR="00905D22" w:rsidRPr="007D31BF" w:rsidRDefault="00905D22" w:rsidP="003C332A">
      <w:pPr>
        <w:rPr>
          <w:noProof/>
        </w:rPr>
      </w:pPr>
    </w:p>
    <w:sectPr w:rsidR="00905D22" w:rsidRPr="007D31BF" w:rsidSect="00540B4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628F9" w14:textId="77777777" w:rsidR="00360AAB" w:rsidRDefault="00360AAB" w:rsidP="003C332A">
      <w:pPr>
        <w:spacing w:before="0" w:after="0"/>
      </w:pPr>
      <w:r>
        <w:separator/>
      </w:r>
    </w:p>
  </w:endnote>
  <w:endnote w:type="continuationSeparator" w:id="0">
    <w:p w14:paraId="120F95B7" w14:textId="77777777" w:rsidR="00360AAB" w:rsidRDefault="00360AAB" w:rsidP="003C332A">
      <w:pPr>
        <w:spacing w:before="0" w:after="0"/>
      </w:pPr>
      <w:r>
        <w:continuationSeparator/>
      </w:r>
    </w:p>
  </w:endnote>
  <w:endnote w:type="continuationNotice" w:id="1">
    <w:p w14:paraId="47D54617" w14:textId="77777777" w:rsidR="00360AAB" w:rsidRDefault="00360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138B" w14:textId="354247FB" w:rsidR="00540B44" w:rsidRPr="00540B44" w:rsidRDefault="00540B44" w:rsidP="00540B44">
    <w:pPr>
      <w:pStyle w:val="Footer"/>
      <w:rPr>
        <w:rFonts w:ascii="Arial" w:hAnsi="Arial" w:cs="Arial"/>
        <w:b/>
        <w:sz w:val="48"/>
      </w:rPr>
    </w:pPr>
    <w:r w:rsidRPr="00540B44">
      <w:rPr>
        <w:rFonts w:ascii="Arial" w:hAnsi="Arial" w:cs="Arial"/>
        <w:b/>
        <w:sz w:val="48"/>
      </w:rPr>
      <w:t>RO</w:t>
    </w:r>
    <w:r w:rsidRPr="00540B44">
      <w:rPr>
        <w:rFonts w:ascii="Arial" w:hAnsi="Arial" w:cs="Arial"/>
        <w:b/>
        <w:sz w:val="48"/>
      </w:rPr>
      <w:tab/>
    </w:r>
    <w:r w:rsidRPr="00540B44">
      <w:rPr>
        <w:rFonts w:ascii="Arial" w:hAnsi="Arial" w:cs="Arial"/>
        <w:b/>
        <w:sz w:val="48"/>
      </w:rPr>
      <w:tab/>
    </w:r>
    <w:r w:rsidRPr="00540B44">
      <w:tab/>
    </w:r>
    <w:r w:rsidRPr="00540B4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61DF" w14:textId="5CCA0359" w:rsidR="00540B44" w:rsidRPr="00540B44" w:rsidRDefault="00540B44" w:rsidP="00540B44">
    <w:pPr>
      <w:pStyle w:val="Footer"/>
      <w:rPr>
        <w:rFonts w:ascii="Arial" w:hAnsi="Arial" w:cs="Arial"/>
        <w:b/>
        <w:sz w:val="48"/>
      </w:rPr>
    </w:pPr>
    <w:r w:rsidRPr="00540B44">
      <w:rPr>
        <w:rFonts w:ascii="Arial" w:hAnsi="Arial" w:cs="Arial"/>
        <w:b/>
        <w:sz w:val="48"/>
      </w:rPr>
      <w:t>RO</w:t>
    </w:r>
    <w:r w:rsidRPr="00540B44">
      <w:rPr>
        <w:rFonts w:ascii="Arial" w:hAnsi="Arial" w:cs="Arial"/>
        <w:b/>
        <w:sz w:val="48"/>
      </w:rPr>
      <w:tab/>
    </w:r>
    <w:r w:rsidRPr="00540B44">
      <w:rPr>
        <w:rFonts w:ascii="Arial" w:hAnsi="Arial" w:cs="Arial"/>
        <w:b/>
        <w:sz w:val="48"/>
      </w:rPr>
      <w:tab/>
    </w:r>
    <w:r w:rsidRPr="00540B44">
      <w:tab/>
    </w:r>
    <w:r w:rsidRPr="00540B4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9E01E" w14:textId="77777777" w:rsidR="00540B44" w:rsidRPr="00540B44" w:rsidRDefault="00540B44" w:rsidP="00540B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B9842" w14:textId="77777777" w:rsidR="00540B44" w:rsidRDefault="00540B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CE2F" w14:textId="796B071F" w:rsidR="00540B44" w:rsidRPr="00540B44" w:rsidRDefault="00540B44" w:rsidP="00540B44">
    <w:pPr>
      <w:pStyle w:val="Footer"/>
      <w:rPr>
        <w:rFonts w:ascii="Arial" w:hAnsi="Arial" w:cs="Arial"/>
        <w:b/>
        <w:sz w:val="48"/>
      </w:rPr>
    </w:pPr>
    <w:r w:rsidRPr="00540B44">
      <w:rPr>
        <w:rFonts w:ascii="Arial" w:hAnsi="Arial" w:cs="Arial"/>
        <w:b/>
        <w:sz w:val="48"/>
      </w:rPr>
      <w:t>RO</w:t>
    </w:r>
    <w:r w:rsidRPr="00540B4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40B44">
      <w:tab/>
    </w:r>
    <w:r w:rsidRPr="00540B4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D070" w14:textId="77777777" w:rsidR="00540B44" w:rsidRDefault="00540B44" w:rsidP="00540B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F2570" w14:textId="77777777" w:rsidR="00360AAB" w:rsidRDefault="00360AAB" w:rsidP="003C332A">
      <w:pPr>
        <w:spacing w:before="0" w:after="0"/>
      </w:pPr>
      <w:r>
        <w:separator/>
      </w:r>
    </w:p>
  </w:footnote>
  <w:footnote w:type="continuationSeparator" w:id="0">
    <w:p w14:paraId="2AA49DCA" w14:textId="77777777" w:rsidR="00360AAB" w:rsidRDefault="00360AAB" w:rsidP="003C332A">
      <w:pPr>
        <w:spacing w:before="0" w:after="0"/>
      </w:pPr>
      <w:r>
        <w:continuationSeparator/>
      </w:r>
    </w:p>
  </w:footnote>
  <w:footnote w:type="continuationNotice" w:id="1">
    <w:p w14:paraId="01DEB9CB" w14:textId="77777777" w:rsidR="00360AAB" w:rsidRDefault="00360AAB">
      <w:pPr>
        <w:spacing w:before="0" w:after="0"/>
      </w:pPr>
    </w:p>
  </w:footnote>
  <w:footnote w:id="2">
    <w:p w14:paraId="6AE04815" w14:textId="0C556373" w:rsidR="00BF46B3" w:rsidRDefault="00BF46B3">
      <w:pPr>
        <w:pStyle w:val="FootnoteText"/>
      </w:pPr>
      <w:r>
        <w:rPr>
          <w:rStyle w:val="FootnoteReference"/>
        </w:rPr>
        <w:t>*</w:t>
      </w:r>
      <w:r>
        <w:tab/>
        <w:t xml:space="preserve">Această denumire nu aduce atingere pozițiilor privind statutul și este conformă cu RCSONU </w:t>
      </w:r>
      <w:r w:rsidRPr="005179F2">
        <w:t>1244</w:t>
      </w:r>
      <w:r>
        <w:t>/</w:t>
      </w:r>
      <w:r w:rsidRPr="005179F2">
        <w:t>1999</w:t>
      </w:r>
      <w:r>
        <w:t>, precum și cu Avizul CIJ privind Declarația de independență a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3942" w14:textId="77777777" w:rsidR="00540B44" w:rsidRPr="00540B44" w:rsidRDefault="00540B44" w:rsidP="00540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B9800" w14:textId="77777777" w:rsidR="00540B44" w:rsidRPr="00540B44" w:rsidRDefault="00540B44" w:rsidP="00540B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BE5B6" w14:textId="77777777" w:rsidR="00540B44" w:rsidRPr="00540B44" w:rsidRDefault="00540B44" w:rsidP="00540B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21C8" w14:textId="77777777" w:rsidR="00540B44" w:rsidRDefault="00540B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BA598" w14:textId="77777777" w:rsidR="00540B44" w:rsidRDefault="00540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526A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9CFB5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D5A75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5E9A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31: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6AC2231D-0777-4A78-B899-DB9E7D18CBEE"/>
    <w:docVar w:name="LW_COVERPAGE_TYPE" w:val="1"/>
    <w:docVar w:name="LW_CreatedUtc" w:val="2025-09-12T13:51:56.5721181Z"/>
    <w:docVar w:name="LW_CROSSREFERENCE" w:val="&lt;UNUSED&gt;"/>
    <w:docVar w:name="LW_DocType" w:val="ANNEX"/>
    <w:docVar w:name="LW_EMISSION" w:val="25.2.2026"/>
    <w:docVar w:name="LW_EMISSION_ISODATE" w:val="2026-02-2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începerii negocierilor referitoare la acorduri individuale între Uniunea European\u259? \u537?i Republica Albania, Bosnia \u537?i Her\u539?egovina, Kosovo, Muntenegru, Republica Macedonia de Nord \u537?i Republica Serbia privind roamingul în re\u539?elele publice de comunica\u539?ii mobile"/>
    <w:docVar w:name="LW_OBJETACTEPRINCIPAL.CP" w:val="de autorizare a începerii negocierilor referitoare la acorduri individuale între Uniunea European\u259? \u537?i Republica Albania, Bosnia \u537?i Her\u539?egovina, Kosovo, Muntenegru, Republica Macedonia de Nord \u537?i Republica Serbia privind roamingul în re\u539?elele publice de comunica\u539?ii mobile"/>
    <w:docVar w:name="LW_PART_NBR" w:val="1"/>
    <w:docVar w:name="LW_PART_NBR_TOTAL" w:val="1"/>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4.5.0; LW 9.2, Build 20251112"/>
  </w:docVars>
  <w:rsids>
    <w:rsidRoot w:val="003C332A"/>
    <w:rsid w:val="00000314"/>
    <w:rsid w:val="0002085D"/>
    <w:rsid w:val="000214A4"/>
    <w:rsid w:val="0002233D"/>
    <w:rsid w:val="00026884"/>
    <w:rsid w:val="00051B5B"/>
    <w:rsid w:val="00054556"/>
    <w:rsid w:val="00057D4C"/>
    <w:rsid w:val="000600D5"/>
    <w:rsid w:val="00062026"/>
    <w:rsid w:val="00064A75"/>
    <w:rsid w:val="00064DAB"/>
    <w:rsid w:val="00074F9E"/>
    <w:rsid w:val="00090796"/>
    <w:rsid w:val="000933A2"/>
    <w:rsid w:val="000A0712"/>
    <w:rsid w:val="000A2D34"/>
    <w:rsid w:val="000A66F0"/>
    <w:rsid w:val="000D51DE"/>
    <w:rsid w:val="000D6242"/>
    <w:rsid w:val="000E5947"/>
    <w:rsid w:val="000E5BC1"/>
    <w:rsid w:val="00100969"/>
    <w:rsid w:val="00110FD3"/>
    <w:rsid w:val="00113B47"/>
    <w:rsid w:val="00122BDE"/>
    <w:rsid w:val="00123007"/>
    <w:rsid w:val="00125BD1"/>
    <w:rsid w:val="00131EDA"/>
    <w:rsid w:val="001327C7"/>
    <w:rsid w:val="00136534"/>
    <w:rsid w:val="00136535"/>
    <w:rsid w:val="00151764"/>
    <w:rsid w:val="00151C1B"/>
    <w:rsid w:val="00162699"/>
    <w:rsid w:val="001632D5"/>
    <w:rsid w:val="00163ABF"/>
    <w:rsid w:val="001658C1"/>
    <w:rsid w:val="00165C4F"/>
    <w:rsid w:val="00167852"/>
    <w:rsid w:val="00171B25"/>
    <w:rsid w:val="00174FF0"/>
    <w:rsid w:val="00176159"/>
    <w:rsid w:val="00181729"/>
    <w:rsid w:val="00185AB5"/>
    <w:rsid w:val="001868FE"/>
    <w:rsid w:val="0019116A"/>
    <w:rsid w:val="001B0C6D"/>
    <w:rsid w:val="001B5B42"/>
    <w:rsid w:val="001C0E15"/>
    <w:rsid w:val="001C4601"/>
    <w:rsid w:val="001E29D0"/>
    <w:rsid w:val="001E38FC"/>
    <w:rsid w:val="001E7518"/>
    <w:rsid w:val="001F343E"/>
    <w:rsid w:val="00205AA0"/>
    <w:rsid w:val="00211A1C"/>
    <w:rsid w:val="00232B9C"/>
    <w:rsid w:val="002331F7"/>
    <w:rsid w:val="00235F4B"/>
    <w:rsid w:val="00246FD4"/>
    <w:rsid w:val="002518E5"/>
    <w:rsid w:val="00256C81"/>
    <w:rsid w:val="00276761"/>
    <w:rsid w:val="00282F89"/>
    <w:rsid w:val="00283A84"/>
    <w:rsid w:val="00284595"/>
    <w:rsid w:val="00292866"/>
    <w:rsid w:val="00292B79"/>
    <w:rsid w:val="00294721"/>
    <w:rsid w:val="002A16BC"/>
    <w:rsid w:val="002A3852"/>
    <w:rsid w:val="002A5993"/>
    <w:rsid w:val="002B23E1"/>
    <w:rsid w:val="002C7C94"/>
    <w:rsid w:val="002D37F7"/>
    <w:rsid w:val="002E17CD"/>
    <w:rsid w:val="002E1B09"/>
    <w:rsid w:val="002E3116"/>
    <w:rsid w:val="002F499B"/>
    <w:rsid w:val="00305CA7"/>
    <w:rsid w:val="00306C79"/>
    <w:rsid w:val="0031047E"/>
    <w:rsid w:val="00337A4A"/>
    <w:rsid w:val="00345190"/>
    <w:rsid w:val="003455BA"/>
    <w:rsid w:val="00356A3C"/>
    <w:rsid w:val="00360212"/>
    <w:rsid w:val="00360AAB"/>
    <w:rsid w:val="00361150"/>
    <w:rsid w:val="003646DD"/>
    <w:rsid w:val="00377D22"/>
    <w:rsid w:val="00384A49"/>
    <w:rsid w:val="0038565F"/>
    <w:rsid w:val="003A01F1"/>
    <w:rsid w:val="003A3F9F"/>
    <w:rsid w:val="003A47C0"/>
    <w:rsid w:val="003B0AC4"/>
    <w:rsid w:val="003C2123"/>
    <w:rsid w:val="003C332A"/>
    <w:rsid w:val="003C7F95"/>
    <w:rsid w:val="003D4E45"/>
    <w:rsid w:val="003E0D3D"/>
    <w:rsid w:val="003E0DA1"/>
    <w:rsid w:val="003E12D9"/>
    <w:rsid w:val="003E34F8"/>
    <w:rsid w:val="003E3B0F"/>
    <w:rsid w:val="003E7BAC"/>
    <w:rsid w:val="00403F8A"/>
    <w:rsid w:val="00413499"/>
    <w:rsid w:val="00416093"/>
    <w:rsid w:val="00416189"/>
    <w:rsid w:val="00426F9E"/>
    <w:rsid w:val="0042790A"/>
    <w:rsid w:val="00432A5D"/>
    <w:rsid w:val="00454206"/>
    <w:rsid w:val="00464F4D"/>
    <w:rsid w:val="00471062"/>
    <w:rsid w:val="00487963"/>
    <w:rsid w:val="00490982"/>
    <w:rsid w:val="00491120"/>
    <w:rsid w:val="004915CF"/>
    <w:rsid w:val="00492EB7"/>
    <w:rsid w:val="004A2C26"/>
    <w:rsid w:val="004A4B17"/>
    <w:rsid w:val="004A5594"/>
    <w:rsid w:val="004A7C09"/>
    <w:rsid w:val="004B2DBD"/>
    <w:rsid w:val="004B3602"/>
    <w:rsid w:val="004B3CB5"/>
    <w:rsid w:val="004F407F"/>
    <w:rsid w:val="004F5045"/>
    <w:rsid w:val="004F64FB"/>
    <w:rsid w:val="0050440D"/>
    <w:rsid w:val="00514A77"/>
    <w:rsid w:val="005179F2"/>
    <w:rsid w:val="00527E41"/>
    <w:rsid w:val="005337A3"/>
    <w:rsid w:val="0053578A"/>
    <w:rsid w:val="00540B44"/>
    <w:rsid w:val="00543714"/>
    <w:rsid w:val="00554F95"/>
    <w:rsid w:val="0055701D"/>
    <w:rsid w:val="00562985"/>
    <w:rsid w:val="00566EF0"/>
    <w:rsid w:val="00571087"/>
    <w:rsid w:val="005714A1"/>
    <w:rsid w:val="00571545"/>
    <w:rsid w:val="00573AD7"/>
    <w:rsid w:val="00576D7C"/>
    <w:rsid w:val="00580792"/>
    <w:rsid w:val="005811A7"/>
    <w:rsid w:val="00591425"/>
    <w:rsid w:val="00596823"/>
    <w:rsid w:val="00597074"/>
    <w:rsid w:val="005A3769"/>
    <w:rsid w:val="005A5D22"/>
    <w:rsid w:val="005A6FD7"/>
    <w:rsid w:val="005B14D1"/>
    <w:rsid w:val="005B3E88"/>
    <w:rsid w:val="005B443A"/>
    <w:rsid w:val="005D212A"/>
    <w:rsid w:val="005D5062"/>
    <w:rsid w:val="005E228A"/>
    <w:rsid w:val="005E725A"/>
    <w:rsid w:val="005F31CB"/>
    <w:rsid w:val="006030AD"/>
    <w:rsid w:val="00615357"/>
    <w:rsid w:val="006266DF"/>
    <w:rsid w:val="00626E37"/>
    <w:rsid w:val="006314DF"/>
    <w:rsid w:val="006424CE"/>
    <w:rsid w:val="00642F02"/>
    <w:rsid w:val="00643BC3"/>
    <w:rsid w:val="0064739D"/>
    <w:rsid w:val="0064756D"/>
    <w:rsid w:val="006514BB"/>
    <w:rsid w:val="00660E7F"/>
    <w:rsid w:val="00666483"/>
    <w:rsid w:val="00670DE1"/>
    <w:rsid w:val="006730CE"/>
    <w:rsid w:val="0068060E"/>
    <w:rsid w:val="00682881"/>
    <w:rsid w:val="006925B3"/>
    <w:rsid w:val="0069432C"/>
    <w:rsid w:val="00694C71"/>
    <w:rsid w:val="00695B6F"/>
    <w:rsid w:val="00696325"/>
    <w:rsid w:val="006A6BCB"/>
    <w:rsid w:val="006B39DB"/>
    <w:rsid w:val="006B4BED"/>
    <w:rsid w:val="006D1307"/>
    <w:rsid w:val="006D735E"/>
    <w:rsid w:val="006D7C19"/>
    <w:rsid w:val="006F2C2E"/>
    <w:rsid w:val="00713FC8"/>
    <w:rsid w:val="00730260"/>
    <w:rsid w:val="007330C7"/>
    <w:rsid w:val="00733F5A"/>
    <w:rsid w:val="00736E86"/>
    <w:rsid w:val="00745083"/>
    <w:rsid w:val="00756E91"/>
    <w:rsid w:val="007610C3"/>
    <w:rsid w:val="0076118F"/>
    <w:rsid w:val="0076393F"/>
    <w:rsid w:val="007713D5"/>
    <w:rsid w:val="00775CF7"/>
    <w:rsid w:val="007828CF"/>
    <w:rsid w:val="007870CA"/>
    <w:rsid w:val="00792187"/>
    <w:rsid w:val="007A4ACD"/>
    <w:rsid w:val="007C0F29"/>
    <w:rsid w:val="007C77EB"/>
    <w:rsid w:val="007D31BF"/>
    <w:rsid w:val="007E5425"/>
    <w:rsid w:val="007F10BE"/>
    <w:rsid w:val="007F752F"/>
    <w:rsid w:val="00801AC9"/>
    <w:rsid w:val="00812847"/>
    <w:rsid w:val="00813877"/>
    <w:rsid w:val="00817FD3"/>
    <w:rsid w:val="00863548"/>
    <w:rsid w:val="0086366C"/>
    <w:rsid w:val="00864153"/>
    <w:rsid w:val="008676FF"/>
    <w:rsid w:val="00882645"/>
    <w:rsid w:val="0088386B"/>
    <w:rsid w:val="00885514"/>
    <w:rsid w:val="00895BD2"/>
    <w:rsid w:val="00896F8D"/>
    <w:rsid w:val="00897455"/>
    <w:rsid w:val="008A3BA0"/>
    <w:rsid w:val="008A55B4"/>
    <w:rsid w:val="008B14E4"/>
    <w:rsid w:val="008C338D"/>
    <w:rsid w:val="008D3CAD"/>
    <w:rsid w:val="008D6398"/>
    <w:rsid w:val="008E11A3"/>
    <w:rsid w:val="008F1D44"/>
    <w:rsid w:val="008F1F1D"/>
    <w:rsid w:val="008F2E04"/>
    <w:rsid w:val="008F5CE8"/>
    <w:rsid w:val="00905D22"/>
    <w:rsid w:val="0090787B"/>
    <w:rsid w:val="00907F85"/>
    <w:rsid w:val="009108AE"/>
    <w:rsid w:val="0091448C"/>
    <w:rsid w:val="009226B6"/>
    <w:rsid w:val="0092419A"/>
    <w:rsid w:val="0095618E"/>
    <w:rsid w:val="009615C9"/>
    <w:rsid w:val="00961AAA"/>
    <w:rsid w:val="009645DE"/>
    <w:rsid w:val="00972AE9"/>
    <w:rsid w:val="00972C71"/>
    <w:rsid w:val="0097358D"/>
    <w:rsid w:val="00974619"/>
    <w:rsid w:val="00975089"/>
    <w:rsid w:val="00975CAC"/>
    <w:rsid w:val="00980431"/>
    <w:rsid w:val="00982156"/>
    <w:rsid w:val="00982EC8"/>
    <w:rsid w:val="009864A9"/>
    <w:rsid w:val="009B6141"/>
    <w:rsid w:val="009C2B3C"/>
    <w:rsid w:val="009D3101"/>
    <w:rsid w:val="009D7503"/>
    <w:rsid w:val="009F366C"/>
    <w:rsid w:val="00A021E7"/>
    <w:rsid w:val="00A12031"/>
    <w:rsid w:val="00A227E8"/>
    <w:rsid w:val="00A41A1C"/>
    <w:rsid w:val="00A558A0"/>
    <w:rsid w:val="00A61657"/>
    <w:rsid w:val="00A6243B"/>
    <w:rsid w:val="00A64A34"/>
    <w:rsid w:val="00A71F6D"/>
    <w:rsid w:val="00A976E4"/>
    <w:rsid w:val="00AA2655"/>
    <w:rsid w:val="00AB1F5E"/>
    <w:rsid w:val="00AB2A5D"/>
    <w:rsid w:val="00AB50D8"/>
    <w:rsid w:val="00AC083D"/>
    <w:rsid w:val="00AD1C82"/>
    <w:rsid w:val="00AE5C2A"/>
    <w:rsid w:val="00B00793"/>
    <w:rsid w:val="00B00AC3"/>
    <w:rsid w:val="00B066EE"/>
    <w:rsid w:val="00B06E0B"/>
    <w:rsid w:val="00B10692"/>
    <w:rsid w:val="00B121AD"/>
    <w:rsid w:val="00B16AEE"/>
    <w:rsid w:val="00B202EE"/>
    <w:rsid w:val="00B23E54"/>
    <w:rsid w:val="00B24DA0"/>
    <w:rsid w:val="00B27348"/>
    <w:rsid w:val="00B47393"/>
    <w:rsid w:val="00B646A9"/>
    <w:rsid w:val="00B85C17"/>
    <w:rsid w:val="00B92F4E"/>
    <w:rsid w:val="00B94F93"/>
    <w:rsid w:val="00B9682B"/>
    <w:rsid w:val="00B96D8B"/>
    <w:rsid w:val="00BA235A"/>
    <w:rsid w:val="00BA4F3C"/>
    <w:rsid w:val="00BA6117"/>
    <w:rsid w:val="00BA6570"/>
    <w:rsid w:val="00BB2B82"/>
    <w:rsid w:val="00BB30BC"/>
    <w:rsid w:val="00BC29E6"/>
    <w:rsid w:val="00BF035A"/>
    <w:rsid w:val="00BF1713"/>
    <w:rsid w:val="00BF46B3"/>
    <w:rsid w:val="00BF781C"/>
    <w:rsid w:val="00C00212"/>
    <w:rsid w:val="00C108F7"/>
    <w:rsid w:val="00C151C7"/>
    <w:rsid w:val="00C23547"/>
    <w:rsid w:val="00C35646"/>
    <w:rsid w:val="00C43880"/>
    <w:rsid w:val="00C45BC9"/>
    <w:rsid w:val="00C4659E"/>
    <w:rsid w:val="00C53410"/>
    <w:rsid w:val="00C61AC3"/>
    <w:rsid w:val="00C6720E"/>
    <w:rsid w:val="00C70496"/>
    <w:rsid w:val="00C706DF"/>
    <w:rsid w:val="00C763A9"/>
    <w:rsid w:val="00C83306"/>
    <w:rsid w:val="00C953CA"/>
    <w:rsid w:val="00C97862"/>
    <w:rsid w:val="00CA02D0"/>
    <w:rsid w:val="00CA02D7"/>
    <w:rsid w:val="00CA2259"/>
    <w:rsid w:val="00CA8508"/>
    <w:rsid w:val="00CB1C64"/>
    <w:rsid w:val="00CC108A"/>
    <w:rsid w:val="00CC1997"/>
    <w:rsid w:val="00CC3715"/>
    <w:rsid w:val="00CD0288"/>
    <w:rsid w:val="00CD1C09"/>
    <w:rsid w:val="00CD7277"/>
    <w:rsid w:val="00CE0BC7"/>
    <w:rsid w:val="00CF61D2"/>
    <w:rsid w:val="00D0390A"/>
    <w:rsid w:val="00D14922"/>
    <w:rsid w:val="00D24692"/>
    <w:rsid w:val="00D2607E"/>
    <w:rsid w:val="00D30452"/>
    <w:rsid w:val="00D328C4"/>
    <w:rsid w:val="00D33986"/>
    <w:rsid w:val="00D51DE8"/>
    <w:rsid w:val="00D60DFA"/>
    <w:rsid w:val="00D66199"/>
    <w:rsid w:val="00D734D7"/>
    <w:rsid w:val="00D745A8"/>
    <w:rsid w:val="00D77662"/>
    <w:rsid w:val="00D804ED"/>
    <w:rsid w:val="00D84D26"/>
    <w:rsid w:val="00D95AF0"/>
    <w:rsid w:val="00DA0478"/>
    <w:rsid w:val="00DA2BE6"/>
    <w:rsid w:val="00DA48A9"/>
    <w:rsid w:val="00DA49E6"/>
    <w:rsid w:val="00DA5E5D"/>
    <w:rsid w:val="00DC1605"/>
    <w:rsid w:val="00DC1B14"/>
    <w:rsid w:val="00DD251A"/>
    <w:rsid w:val="00DD3593"/>
    <w:rsid w:val="00DD4169"/>
    <w:rsid w:val="00DD738B"/>
    <w:rsid w:val="00DD77CF"/>
    <w:rsid w:val="00DE2087"/>
    <w:rsid w:val="00DE58E6"/>
    <w:rsid w:val="00DE79CA"/>
    <w:rsid w:val="00DF47B8"/>
    <w:rsid w:val="00DF6473"/>
    <w:rsid w:val="00DF7321"/>
    <w:rsid w:val="00E05856"/>
    <w:rsid w:val="00E10AA2"/>
    <w:rsid w:val="00E11A2B"/>
    <w:rsid w:val="00E16ECD"/>
    <w:rsid w:val="00E3579A"/>
    <w:rsid w:val="00E44E99"/>
    <w:rsid w:val="00E60224"/>
    <w:rsid w:val="00E62296"/>
    <w:rsid w:val="00E72190"/>
    <w:rsid w:val="00E80DAF"/>
    <w:rsid w:val="00E861F3"/>
    <w:rsid w:val="00E92C46"/>
    <w:rsid w:val="00E93B1E"/>
    <w:rsid w:val="00E959F2"/>
    <w:rsid w:val="00EA7802"/>
    <w:rsid w:val="00EB6601"/>
    <w:rsid w:val="00EC14C2"/>
    <w:rsid w:val="00EC2162"/>
    <w:rsid w:val="00ED348A"/>
    <w:rsid w:val="00ED7D58"/>
    <w:rsid w:val="00EE671E"/>
    <w:rsid w:val="00EE7B63"/>
    <w:rsid w:val="00EF20A5"/>
    <w:rsid w:val="00EF4AD8"/>
    <w:rsid w:val="00EF737B"/>
    <w:rsid w:val="00F0168C"/>
    <w:rsid w:val="00F02921"/>
    <w:rsid w:val="00F07631"/>
    <w:rsid w:val="00F07874"/>
    <w:rsid w:val="00F14DC2"/>
    <w:rsid w:val="00F21A00"/>
    <w:rsid w:val="00F226A2"/>
    <w:rsid w:val="00F23758"/>
    <w:rsid w:val="00F309ED"/>
    <w:rsid w:val="00F31266"/>
    <w:rsid w:val="00F53F53"/>
    <w:rsid w:val="00F623B3"/>
    <w:rsid w:val="00F7024E"/>
    <w:rsid w:val="00F74170"/>
    <w:rsid w:val="00F767E7"/>
    <w:rsid w:val="00F7787A"/>
    <w:rsid w:val="00F77DED"/>
    <w:rsid w:val="00F82260"/>
    <w:rsid w:val="00F9183A"/>
    <w:rsid w:val="00FA6FA7"/>
    <w:rsid w:val="00FB3967"/>
    <w:rsid w:val="00FB6AC8"/>
    <w:rsid w:val="00FB7AE1"/>
    <w:rsid w:val="00FC1AF6"/>
    <w:rsid w:val="00FC4812"/>
    <w:rsid w:val="00FD2475"/>
    <w:rsid w:val="00FD26D5"/>
    <w:rsid w:val="00FD6DC1"/>
    <w:rsid w:val="00FD7A67"/>
    <w:rsid w:val="00FE0F44"/>
    <w:rsid w:val="00FE23D5"/>
    <w:rsid w:val="04450EB4"/>
    <w:rsid w:val="083A5CC5"/>
    <w:rsid w:val="1E0D3B69"/>
    <w:rsid w:val="2FA43655"/>
    <w:rsid w:val="3A812696"/>
    <w:rsid w:val="3DEB712D"/>
    <w:rsid w:val="3F4AF95E"/>
    <w:rsid w:val="4878241E"/>
    <w:rsid w:val="54C99F97"/>
    <w:rsid w:val="59F0A968"/>
    <w:rsid w:val="5A9968CE"/>
    <w:rsid w:val="5D2DC520"/>
    <w:rsid w:val="5F4FD47D"/>
    <w:rsid w:val="5F6E098E"/>
    <w:rsid w:val="6E23E62A"/>
    <w:rsid w:val="6E86096D"/>
    <w:rsid w:val="73731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B3824A"/>
  <w15:docId w15:val="{E5C0A8A7-795D-4CBF-8715-E550ACCC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EDA"/>
    <w:rPr>
      <w:sz w:val="16"/>
      <w:szCs w:val="16"/>
    </w:rPr>
  </w:style>
  <w:style w:type="character" w:styleId="Hyperlink">
    <w:name w:val="Hyperlink"/>
    <w:basedOn w:val="DefaultParagraphFont"/>
    <w:uiPriority w:val="99"/>
    <w:unhideWhenUsed/>
    <w:rsid w:val="00131EDA"/>
    <w:rPr>
      <w:color w:val="0000FF" w:themeColor="hyperlink"/>
      <w:u w:val="single"/>
    </w:rPr>
  </w:style>
  <w:style w:type="paragraph" w:styleId="CommentText">
    <w:name w:val="annotation text"/>
    <w:basedOn w:val="Normal"/>
    <w:link w:val="CommentTextChar"/>
    <w:uiPriority w:val="99"/>
    <w:unhideWhenUsed/>
    <w:rsid w:val="00131EDA"/>
    <w:rPr>
      <w:sz w:val="20"/>
      <w:szCs w:val="20"/>
    </w:rPr>
  </w:style>
  <w:style w:type="character" w:customStyle="1" w:styleId="CommentTextChar">
    <w:name w:val="Comment Text Char"/>
    <w:basedOn w:val="DefaultParagraphFont"/>
    <w:link w:val="CommentText"/>
    <w:uiPriority w:val="99"/>
    <w:rsid w:val="00131EDA"/>
    <w:rPr>
      <w:rFonts w:ascii="Times New Roman" w:hAnsi="Times New Roman" w:cs="Times New Roman"/>
      <w:sz w:val="20"/>
      <w:szCs w:val="20"/>
      <w:lang w:val="ro-RO"/>
    </w:rPr>
  </w:style>
  <w:style w:type="paragraph" w:styleId="ListBullet">
    <w:name w:val="List Bullet"/>
    <w:basedOn w:val="Normal"/>
    <w:uiPriority w:val="99"/>
    <w:semiHidden/>
    <w:unhideWhenUsed/>
    <w:rsid w:val="00BF46B3"/>
    <w:pPr>
      <w:numPr>
        <w:numId w:val="1"/>
      </w:numPr>
      <w:contextualSpacing/>
    </w:pPr>
  </w:style>
  <w:style w:type="paragraph" w:styleId="ListBullet2">
    <w:name w:val="List Bullet 2"/>
    <w:basedOn w:val="Normal"/>
    <w:uiPriority w:val="99"/>
    <w:semiHidden/>
    <w:unhideWhenUsed/>
    <w:rsid w:val="00BF46B3"/>
    <w:pPr>
      <w:numPr>
        <w:numId w:val="2"/>
      </w:numPr>
      <w:contextualSpacing/>
    </w:pPr>
  </w:style>
  <w:style w:type="paragraph" w:styleId="ListBullet3">
    <w:name w:val="List Bullet 3"/>
    <w:basedOn w:val="Normal"/>
    <w:uiPriority w:val="99"/>
    <w:semiHidden/>
    <w:unhideWhenUsed/>
    <w:rsid w:val="00BF46B3"/>
    <w:pPr>
      <w:numPr>
        <w:numId w:val="3"/>
      </w:numPr>
      <w:contextualSpacing/>
    </w:pPr>
  </w:style>
  <w:style w:type="paragraph" w:styleId="ListBullet4">
    <w:name w:val="List Bullet 4"/>
    <w:basedOn w:val="Normal"/>
    <w:uiPriority w:val="99"/>
    <w:semiHidden/>
    <w:unhideWhenUsed/>
    <w:rsid w:val="00BF46B3"/>
    <w:pPr>
      <w:numPr>
        <w:numId w:val="4"/>
      </w:numPr>
      <w:contextualSpacing/>
    </w:pPr>
  </w:style>
  <w:style w:type="paragraph" w:styleId="Revision">
    <w:name w:val="Revision"/>
    <w:hidden/>
    <w:uiPriority w:val="99"/>
    <w:semiHidden/>
    <w:rsid w:val="00DD77CF"/>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CD7277"/>
    <w:rPr>
      <w:b/>
      <w:bCs/>
    </w:rPr>
  </w:style>
  <w:style w:type="character" w:customStyle="1" w:styleId="CommentSubjectChar">
    <w:name w:val="Comment Subject Char"/>
    <w:basedOn w:val="CommentTextChar"/>
    <w:link w:val="CommentSubject"/>
    <w:uiPriority w:val="99"/>
    <w:semiHidden/>
    <w:rsid w:val="00CD7277"/>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D7277"/>
    <w:rPr>
      <w:color w:val="605E5C"/>
      <w:shd w:val="clear" w:color="auto" w:fill="E1DFDD"/>
    </w:rPr>
  </w:style>
  <w:style w:type="character" w:customStyle="1" w:styleId="HeaderChar">
    <w:name w:val="Header Char"/>
    <w:basedOn w:val="DefaultParagraphFont"/>
    <w:link w:val="Header"/>
    <w:uiPriority w:val="99"/>
    <w:rsid w:val="00540B44"/>
    <w:rPr>
      <w:rFonts w:ascii="Times New Roman" w:hAnsi="Times New Roman" w:cs="Times New Roman"/>
      <w:sz w:val="24"/>
      <w:lang w:val="ro-RO"/>
    </w:rPr>
  </w:style>
  <w:style w:type="character" w:customStyle="1" w:styleId="FooterChar">
    <w:name w:val="Footer Char"/>
    <w:basedOn w:val="DefaultParagraphFont"/>
    <w:link w:val="Footer"/>
    <w:uiPriority w:val="99"/>
    <w:rsid w:val="00540B4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40B4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40B44"/>
    <w:pPr>
      <w:spacing w:before="0"/>
      <w:jc w:val="right"/>
    </w:pPr>
    <w:rPr>
      <w:sz w:val="28"/>
    </w:rPr>
  </w:style>
  <w:style w:type="paragraph" w:customStyle="1" w:styleId="FooterSensitivity">
    <w:name w:val="Footer Sensitivity"/>
    <w:basedOn w:val="Normal"/>
    <w:rsid w:val="00540B4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40B44"/>
    <w:pPr>
      <w:tabs>
        <w:tab w:val="center" w:pos="4535"/>
        <w:tab w:val="right" w:pos="9071"/>
      </w:tabs>
      <w:spacing w:before="0"/>
    </w:pPr>
  </w:style>
  <w:style w:type="paragraph" w:customStyle="1" w:styleId="HeaderLandscape">
    <w:name w:val="HeaderLandscape"/>
    <w:basedOn w:val="Normal"/>
    <w:rsid w:val="00540B44"/>
    <w:pPr>
      <w:tabs>
        <w:tab w:val="center" w:pos="7285"/>
        <w:tab w:val="right" w:pos="14003"/>
      </w:tabs>
      <w:spacing w:before="0"/>
    </w:pPr>
  </w:style>
  <w:style w:type="paragraph" w:styleId="Footer">
    <w:name w:val="footer"/>
    <w:basedOn w:val="Normal"/>
    <w:link w:val="FooterChar"/>
    <w:uiPriority w:val="99"/>
    <w:unhideWhenUsed/>
    <w:rsid w:val="00540B4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40B4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4281">
      <w:bodyDiv w:val="1"/>
      <w:marLeft w:val="0"/>
      <w:marRight w:val="0"/>
      <w:marTop w:val="0"/>
      <w:marBottom w:val="0"/>
      <w:divBdr>
        <w:top w:val="none" w:sz="0" w:space="0" w:color="auto"/>
        <w:left w:val="none" w:sz="0" w:space="0" w:color="auto"/>
        <w:bottom w:val="none" w:sz="0" w:space="0" w:color="auto"/>
        <w:right w:val="none" w:sz="0" w:space="0" w:color="auto"/>
      </w:divBdr>
    </w:div>
    <w:div w:id="776601696">
      <w:bodyDiv w:val="1"/>
      <w:marLeft w:val="0"/>
      <w:marRight w:val="0"/>
      <w:marTop w:val="0"/>
      <w:marBottom w:val="0"/>
      <w:divBdr>
        <w:top w:val="none" w:sz="0" w:space="0" w:color="auto"/>
        <w:left w:val="none" w:sz="0" w:space="0" w:color="auto"/>
        <w:bottom w:val="none" w:sz="0" w:space="0" w:color="auto"/>
        <w:right w:val="none" w:sz="0" w:space="0" w:color="auto"/>
      </w:divBdr>
    </w:div>
    <w:div w:id="864636661">
      <w:bodyDiv w:val="1"/>
      <w:marLeft w:val="0"/>
      <w:marRight w:val="0"/>
      <w:marTop w:val="0"/>
      <w:marBottom w:val="0"/>
      <w:divBdr>
        <w:top w:val="none" w:sz="0" w:space="0" w:color="auto"/>
        <w:left w:val="none" w:sz="0" w:space="0" w:color="auto"/>
        <w:bottom w:val="none" w:sz="0" w:space="0" w:color="auto"/>
        <w:right w:val="none" w:sz="0" w:space="0" w:color="auto"/>
      </w:divBdr>
    </w:div>
    <w:div w:id="877277384">
      <w:bodyDiv w:val="1"/>
      <w:marLeft w:val="0"/>
      <w:marRight w:val="0"/>
      <w:marTop w:val="0"/>
      <w:marBottom w:val="0"/>
      <w:divBdr>
        <w:top w:val="none" w:sz="0" w:space="0" w:color="auto"/>
        <w:left w:val="none" w:sz="0" w:space="0" w:color="auto"/>
        <w:bottom w:val="none" w:sz="0" w:space="0" w:color="auto"/>
        <w:right w:val="none" w:sz="0" w:space="0" w:color="auto"/>
      </w:divBdr>
    </w:div>
    <w:div w:id="1115712416">
      <w:bodyDiv w:val="1"/>
      <w:marLeft w:val="0"/>
      <w:marRight w:val="0"/>
      <w:marTop w:val="0"/>
      <w:marBottom w:val="0"/>
      <w:divBdr>
        <w:top w:val="none" w:sz="0" w:space="0" w:color="auto"/>
        <w:left w:val="none" w:sz="0" w:space="0" w:color="auto"/>
        <w:bottom w:val="none" w:sz="0" w:space="0" w:color="auto"/>
        <w:right w:val="none" w:sz="0" w:space="0" w:color="auto"/>
      </w:divBdr>
    </w:div>
    <w:div w:id="1326200250">
      <w:bodyDiv w:val="1"/>
      <w:marLeft w:val="0"/>
      <w:marRight w:val="0"/>
      <w:marTop w:val="0"/>
      <w:marBottom w:val="0"/>
      <w:divBdr>
        <w:top w:val="none" w:sz="0" w:space="0" w:color="auto"/>
        <w:left w:val="none" w:sz="0" w:space="0" w:color="auto"/>
        <w:bottom w:val="none" w:sz="0" w:space="0" w:color="auto"/>
        <w:right w:val="none" w:sz="0" w:space="0" w:color="auto"/>
      </w:divBdr>
    </w:div>
    <w:div w:id="1403672863">
      <w:bodyDiv w:val="1"/>
      <w:marLeft w:val="0"/>
      <w:marRight w:val="0"/>
      <w:marTop w:val="0"/>
      <w:marBottom w:val="0"/>
      <w:divBdr>
        <w:top w:val="none" w:sz="0" w:space="0" w:color="auto"/>
        <w:left w:val="none" w:sz="0" w:space="0" w:color="auto"/>
        <w:bottom w:val="none" w:sz="0" w:space="0" w:color="auto"/>
        <w:right w:val="none" w:sz="0" w:space="0" w:color="auto"/>
      </w:divBdr>
    </w:div>
    <w:div w:id="173049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4" ma:contentTypeDescription="Create a new document." ma:contentTypeScope="" ma:versionID="dc75728e0962f9ef714c0b29af87a2b8">
  <xsd:schema xmlns:xsd="http://www.w3.org/2001/XMLSchema" xmlns:xs="http://www.w3.org/2001/XMLSchema" xmlns:p="http://schemas.microsoft.com/office/2006/metadata/properties" xmlns:ns2="7926876d-2117-47f5-bfa1-c39f0d9f996b" targetNamespace="http://schemas.microsoft.com/office/2006/metadata/properties" ma:root="true" ma:fieldsID="1c5581363471f40183e97a07ed46db5c" ns2:_="">
    <xsd:import namespace="7926876d-2117-47f5-bfa1-c39f0d9f9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3CBA-78AD-4859-BE46-CAA84832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839C2-92A5-4698-953D-D95EF55DD948}">
  <ds:schemaRefs>
    <ds:schemaRef ds:uri="http://schemas.microsoft.com/office/2006/metadata/properties"/>
    <ds:schemaRef ds:uri="http://schemas.microsoft.com/office/infopath/2007/PartnerControls"/>
    <ds:schemaRef ds:uri="b1a089e9-d5bb-46c7-8a06-6befa35c4139"/>
  </ds:schemaRefs>
</ds:datastoreItem>
</file>

<file path=customXml/itemProps3.xml><?xml version="1.0" encoding="utf-8"?>
<ds:datastoreItem xmlns:ds="http://schemas.openxmlformats.org/officeDocument/2006/customXml" ds:itemID="{501C3BF7-52AD-46FE-A7E4-D6D23DC9E158}">
  <ds:schemaRefs>
    <ds:schemaRef ds:uri="http://schemas.microsoft.com/sharepoint/v3/contenttype/forms"/>
  </ds:schemaRefs>
</ds:datastoreItem>
</file>

<file path=customXml/itemProps4.xml><?xml version="1.0" encoding="utf-8"?>
<ds:datastoreItem xmlns:ds="http://schemas.openxmlformats.org/officeDocument/2006/customXml" ds:itemID="{E3386826-C2E7-4411-A337-45ADA1D6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40</TotalTime>
  <Pages>5</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85</cp:revision>
  <dcterms:created xsi:type="dcterms:W3CDTF">2026-01-08T21:05:00Z</dcterms:created>
  <dcterms:modified xsi:type="dcterms:W3CDTF">2026-02-19T07:31:00Z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2025-09-12T14:10:01Z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5ea59afd-4cf0-4772-9d49-8e8f89e7d6a9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0x0101005E1A97F5DED2004E906E199DB8D805E7</vt:lpwstr>
  </property>
  <property fmtid="{D5CDD505-2E9C-101B-9397-08002B2CF9AE}" pid="22" name="DQCStatus">
    <vt:lpwstr>Green (DQC version 03)</vt:lpwstr>
  </property>
</Properties>
</file>