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B58" w:rsidRPr="00590EA6" w:rsidRDefault="00AF0B92" w:rsidP="00AF0B92">
      <w:pPr>
        <w:pStyle w:val="Pagedecouverture"/>
        <w:rPr>
          <w:noProof/>
        </w:rPr>
      </w:pPr>
      <w:bookmarkStart w:id="0" w:name="_Hlk21443760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8F2216D-BB82-4CB8-AC31-1859BDDF757A" style="width:455.25pt;height:357.75pt">
            <v:imagedata r:id="rId7" o:title=""/>
          </v:shape>
        </w:pict>
      </w:r>
    </w:p>
    <w:p w:rsidR="00B91B58" w:rsidRPr="00590EA6" w:rsidRDefault="00B91B58" w:rsidP="00B91B58">
      <w:pPr>
        <w:rPr>
          <w:noProof/>
        </w:rPr>
        <w:sectPr w:rsidR="00B91B58" w:rsidRPr="00590EA6" w:rsidSect="00AF0B92">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rsidR="00B91B58" w:rsidRPr="00590EA6" w:rsidRDefault="00B91B58" w:rsidP="00BB6B30">
      <w:pPr>
        <w:pStyle w:val="Exposdesmotifstitre"/>
        <w:rPr>
          <w:noProof/>
        </w:rPr>
      </w:pPr>
      <w:bookmarkStart w:id="1" w:name="_GoBack"/>
      <w:bookmarkEnd w:id="1"/>
      <w:r w:rsidRPr="00590EA6">
        <w:rPr>
          <w:noProof/>
        </w:rPr>
        <w:lastRenderedPageBreak/>
        <w:t>EXPLANATORY MEMORANDUM</w:t>
      </w:r>
    </w:p>
    <w:p w:rsidR="00B91B58" w:rsidRPr="00590EA6" w:rsidRDefault="006D40CF" w:rsidP="006D40CF">
      <w:pPr>
        <w:pStyle w:val="ManualHeading1"/>
        <w:rPr>
          <w:noProof/>
        </w:rPr>
      </w:pPr>
      <w:r w:rsidRPr="006D40CF">
        <w:rPr>
          <w:noProof/>
        </w:rPr>
        <w:t>1.</w:t>
      </w:r>
      <w:r w:rsidRPr="006D40CF">
        <w:rPr>
          <w:noProof/>
        </w:rPr>
        <w:tab/>
      </w:r>
      <w:r w:rsidR="00B91B58" w:rsidRPr="00590EA6">
        <w:rPr>
          <w:noProof/>
        </w:rPr>
        <w:t>Subject matter of the proposal</w:t>
      </w:r>
    </w:p>
    <w:p w:rsidR="00B91B58" w:rsidRPr="00590EA6" w:rsidRDefault="00B91B58" w:rsidP="00736AA9">
      <w:pPr>
        <w:rPr>
          <w:rFonts w:eastAsia="Arial Unicode MS"/>
          <w:noProof/>
        </w:rPr>
      </w:pPr>
      <w:r w:rsidRPr="00590EA6">
        <w:rPr>
          <w:rFonts w:eastAsia="Arial Unicode MS"/>
          <w:noProof/>
        </w:rPr>
        <w:t xml:space="preserve">This proposal concerns the </w:t>
      </w:r>
      <w:r w:rsidR="00324178">
        <w:rPr>
          <w:rFonts w:eastAsia="Arial Unicode MS"/>
          <w:noProof/>
        </w:rPr>
        <w:t>D</w:t>
      </w:r>
      <w:r w:rsidRPr="00590EA6">
        <w:rPr>
          <w:rFonts w:eastAsia="Arial Unicode MS"/>
          <w:noProof/>
        </w:rPr>
        <w:t>ecision establishing the position to be taken on behalf of the European Union in the Regional Steering Committee</w:t>
      </w:r>
      <w:r w:rsidR="004A3D4C">
        <w:rPr>
          <w:rFonts w:eastAsia="Arial Unicode MS"/>
          <w:noProof/>
        </w:rPr>
        <w:t>,</w:t>
      </w:r>
      <w:r w:rsidRPr="00590EA6">
        <w:rPr>
          <w:rFonts w:eastAsia="Arial Unicode MS"/>
          <w:noProof/>
        </w:rPr>
        <w:t xml:space="preserve"> set up under the Treaty establishing the Transport Community (‘the TCT’)</w:t>
      </w:r>
      <w:r w:rsidR="004A3D4C">
        <w:rPr>
          <w:rFonts w:eastAsia="Arial Unicode MS"/>
          <w:noProof/>
        </w:rPr>
        <w:t>,</w:t>
      </w:r>
      <w:r w:rsidRPr="00590EA6">
        <w:rPr>
          <w:rFonts w:eastAsia="Arial Unicode MS"/>
          <w:noProof/>
        </w:rPr>
        <w:t xml:space="preserve"> as regards </w:t>
      </w:r>
      <w:r w:rsidR="00425B98" w:rsidRPr="00590EA6">
        <w:rPr>
          <w:rFonts w:eastAsia="Arial Unicode MS"/>
          <w:noProof/>
        </w:rPr>
        <w:t>certain</w:t>
      </w:r>
      <w:r w:rsidRPr="00590EA6">
        <w:rPr>
          <w:rFonts w:eastAsia="Arial Unicode MS"/>
          <w:noProof/>
        </w:rPr>
        <w:t xml:space="preserve"> </w:t>
      </w:r>
      <w:r w:rsidR="008C049A">
        <w:rPr>
          <w:rFonts w:eastAsia="Arial Unicode MS"/>
          <w:noProof/>
        </w:rPr>
        <w:t>planned</w:t>
      </w:r>
      <w:r w:rsidR="008C049A" w:rsidRPr="00590EA6">
        <w:rPr>
          <w:rFonts w:eastAsia="Arial Unicode MS"/>
          <w:noProof/>
        </w:rPr>
        <w:t xml:space="preserve"> </w:t>
      </w:r>
      <w:r w:rsidRPr="00590EA6">
        <w:rPr>
          <w:rFonts w:eastAsia="Arial Unicode MS"/>
          <w:noProof/>
        </w:rPr>
        <w:t xml:space="preserve">changes to the rules on staff </w:t>
      </w:r>
      <w:r w:rsidR="00580E41" w:rsidRPr="00590EA6">
        <w:rPr>
          <w:rFonts w:eastAsia="Arial Unicode MS"/>
          <w:noProof/>
        </w:rPr>
        <w:t>salaries</w:t>
      </w:r>
      <w:r w:rsidRPr="00590EA6">
        <w:rPr>
          <w:rFonts w:eastAsia="Arial Unicode MS"/>
          <w:noProof/>
        </w:rPr>
        <w:t xml:space="preserve"> of the Transport Community Permanent Secretariat.</w:t>
      </w:r>
    </w:p>
    <w:p w:rsidR="00B91B58" w:rsidRPr="00590EA6" w:rsidRDefault="006D40CF" w:rsidP="006D40CF">
      <w:pPr>
        <w:pStyle w:val="ManualHeading1"/>
        <w:rPr>
          <w:noProof/>
        </w:rPr>
      </w:pPr>
      <w:r w:rsidRPr="006D40CF">
        <w:rPr>
          <w:noProof/>
        </w:rPr>
        <w:t>2.</w:t>
      </w:r>
      <w:r w:rsidRPr="006D40CF">
        <w:rPr>
          <w:noProof/>
        </w:rPr>
        <w:tab/>
      </w:r>
      <w:r w:rsidR="00B91B58" w:rsidRPr="00590EA6">
        <w:rPr>
          <w:noProof/>
        </w:rPr>
        <w:t>Context of the proposal</w:t>
      </w:r>
    </w:p>
    <w:p w:rsidR="00B91B58" w:rsidRPr="00590EA6" w:rsidRDefault="006D40CF" w:rsidP="006D40CF">
      <w:pPr>
        <w:pStyle w:val="ManualHeading2"/>
        <w:rPr>
          <w:noProof/>
        </w:rPr>
      </w:pPr>
      <w:r w:rsidRPr="006D40CF">
        <w:rPr>
          <w:noProof/>
        </w:rPr>
        <w:t>2.1.</w:t>
      </w:r>
      <w:r w:rsidRPr="006D40CF">
        <w:rPr>
          <w:noProof/>
        </w:rPr>
        <w:tab/>
      </w:r>
      <w:r w:rsidR="00B91B58" w:rsidRPr="00590EA6">
        <w:rPr>
          <w:noProof/>
        </w:rPr>
        <w:t>The Treaty establishing the Transport Community</w:t>
      </w:r>
    </w:p>
    <w:p w:rsidR="00B91B58" w:rsidRPr="00590EA6" w:rsidRDefault="00580E41" w:rsidP="00736AA9">
      <w:pPr>
        <w:rPr>
          <w:rFonts w:eastAsia="Arial Unicode MS"/>
          <w:noProof/>
        </w:rPr>
      </w:pPr>
      <w:r w:rsidRPr="00590EA6">
        <w:rPr>
          <w:rFonts w:eastAsia="Arial Unicode MS"/>
          <w:noProof/>
        </w:rPr>
        <w:t>On 1</w:t>
      </w:r>
      <w:r w:rsidR="00BA5254">
        <w:rPr>
          <w:rFonts w:eastAsia="Arial Unicode MS"/>
          <w:noProof/>
        </w:rPr>
        <w:t> </w:t>
      </w:r>
      <w:r w:rsidRPr="00590EA6">
        <w:rPr>
          <w:rFonts w:eastAsia="Arial Unicode MS"/>
          <w:noProof/>
        </w:rPr>
        <w:t>May 2019,</w:t>
      </w:r>
      <w:r w:rsidR="00B91B58" w:rsidRPr="00590EA6">
        <w:rPr>
          <w:noProof/>
        </w:rPr>
        <w:t xml:space="preserve"> the Republic of Albania, Bosnia and Herzegovina, the Republic of North Macedonia, Kosovo</w:t>
      </w:r>
      <w:r w:rsidR="00A33BBF" w:rsidRPr="00590EA6">
        <w:rPr>
          <w:rStyle w:val="FootnoteReference"/>
          <w:noProof/>
        </w:rPr>
        <w:footnoteReference w:customMarkFollows="1" w:id="1"/>
        <w:t>*</w:t>
      </w:r>
      <w:r w:rsidR="00B91B58" w:rsidRPr="00590EA6">
        <w:rPr>
          <w:noProof/>
        </w:rPr>
        <w:t>, Montenegro and the Republic of Serbia (</w:t>
      </w:r>
      <w:r w:rsidRPr="00590EA6">
        <w:rPr>
          <w:noProof/>
        </w:rPr>
        <w:t>‘</w:t>
      </w:r>
      <w:r w:rsidR="00B91B58" w:rsidRPr="00590EA6">
        <w:rPr>
          <w:noProof/>
        </w:rPr>
        <w:t xml:space="preserve">the </w:t>
      </w:r>
      <w:r w:rsidR="00B91B58" w:rsidRPr="00590EA6">
        <w:rPr>
          <w:noProof/>
          <w:lang w:eastAsia="en-GB"/>
        </w:rPr>
        <w:t>South East European Parties</w:t>
      </w:r>
      <w:r w:rsidRPr="00590EA6">
        <w:rPr>
          <w:noProof/>
          <w:lang w:eastAsia="en-GB"/>
        </w:rPr>
        <w:t>’</w:t>
      </w:r>
      <w:r w:rsidR="00B91B58" w:rsidRPr="00590EA6">
        <w:rPr>
          <w:noProof/>
        </w:rPr>
        <w:t>)</w:t>
      </w:r>
      <w:r w:rsidRPr="00590EA6">
        <w:rPr>
          <w:noProof/>
        </w:rPr>
        <w:t xml:space="preserve"> ratified the TCT</w:t>
      </w:r>
      <w:r w:rsidR="00B91B58" w:rsidRPr="00590EA6">
        <w:rPr>
          <w:noProof/>
        </w:rPr>
        <w:t xml:space="preserve">. </w:t>
      </w:r>
      <w:r w:rsidRPr="00590EA6">
        <w:rPr>
          <w:noProof/>
        </w:rPr>
        <w:t>The European Union is a party to the TCT, having adopted</w:t>
      </w:r>
      <w:r w:rsidR="005D6AC9">
        <w:rPr>
          <w:noProof/>
        </w:rPr>
        <w:t>,</w:t>
      </w:r>
      <w:r w:rsidRPr="00590EA6">
        <w:rPr>
          <w:noProof/>
        </w:rPr>
        <w:t xml:space="preserve"> on 4 March 2019</w:t>
      </w:r>
      <w:r w:rsidR="005D6AC9">
        <w:rPr>
          <w:noProof/>
        </w:rPr>
        <w:t>,</w:t>
      </w:r>
      <w:r w:rsidRPr="00590EA6">
        <w:rPr>
          <w:noProof/>
        </w:rPr>
        <w:t xml:space="preserve"> a Council Decision on the conclusion of the Treaty establishing the Transport Community</w:t>
      </w:r>
      <w:r w:rsidRPr="00590EA6">
        <w:rPr>
          <w:rStyle w:val="FootnoteReference"/>
          <w:noProof/>
        </w:rPr>
        <w:footnoteReference w:id="2"/>
      </w:r>
      <w:r w:rsidRPr="00590EA6">
        <w:rPr>
          <w:noProof/>
        </w:rPr>
        <w:t>. The TCT</w:t>
      </w:r>
      <w:r w:rsidR="00B91B58" w:rsidRPr="00590EA6">
        <w:rPr>
          <w:noProof/>
        </w:rPr>
        <w:t xml:space="preserve"> entered into force on 1 May 2019.</w:t>
      </w:r>
    </w:p>
    <w:p w:rsidR="00B91B58" w:rsidRPr="00590EA6" w:rsidRDefault="006D40CF" w:rsidP="006D40CF">
      <w:pPr>
        <w:pStyle w:val="ManualHeading2"/>
        <w:rPr>
          <w:noProof/>
        </w:rPr>
      </w:pPr>
      <w:r w:rsidRPr="006D40CF">
        <w:rPr>
          <w:noProof/>
        </w:rPr>
        <w:t>2.2.</w:t>
      </w:r>
      <w:r w:rsidRPr="006D40CF">
        <w:rPr>
          <w:noProof/>
        </w:rPr>
        <w:tab/>
      </w:r>
      <w:r w:rsidR="00B91B58" w:rsidRPr="00590EA6">
        <w:rPr>
          <w:noProof/>
        </w:rPr>
        <w:t>The Regional Steering Committee</w:t>
      </w:r>
    </w:p>
    <w:p w:rsidR="00B91B58" w:rsidRPr="00590EA6" w:rsidRDefault="00B91B58" w:rsidP="00B91B58">
      <w:pPr>
        <w:pBdr>
          <w:top w:val="nil"/>
          <w:left w:val="nil"/>
          <w:bottom w:val="nil"/>
          <w:right w:val="nil"/>
          <w:between w:val="nil"/>
          <w:bar w:val="nil"/>
        </w:pBdr>
        <w:spacing w:before="0" w:after="240"/>
        <w:rPr>
          <w:noProof/>
        </w:rPr>
      </w:pPr>
      <w:r w:rsidRPr="00590EA6">
        <w:rPr>
          <w:noProof/>
        </w:rPr>
        <w:t xml:space="preserve">The Regional Steering Committee </w:t>
      </w:r>
      <w:r w:rsidR="00133873">
        <w:rPr>
          <w:noProof/>
        </w:rPr>
        <w:t>was</w:t>
      </w:r>
      <w:r w:rsidR="00133873" w:rsidRPr="00590EA6">
        <w:rPr>
          <w:noProof/>
        </w:rPr>
        <w:t xml:space="preserve"> </w:t>
      </w:r>
      <w:r w:rsidRPr="00590EA6">
        <w:rPr>
          <w:noProof/>
        </w:rPr>
        <w:t>established by Article</w:t>
      </w:r>
      <w:r w:rsidR="00590EA6">
        <w:rPr>
          <w:noProof/>
        </w:rPr>
        <w:t> </w:t>
      </w:r>
      <w:r w:rsidRPr="00590EA6">
        <w:rPr>
          <w:noProof/>
        </w:rPr>
        <w:t>24 of the TCT</w:t>
      </w:r>
      <w:r w:rsidR="004A3D4C">
        <w:rPr>
          <w:noProof/>
        </w:rPr>
        <w:t>. It is</w:t>
      </w:r>
      <w:r w:rsidRPr="00590EA6">
        <w:rPr>
          <w:noProof/>
        </w:rPr>
        <w:t xml:space="preserve"> responsible for the administration of the TCT and </w:t>
      </w:r>
      <w:r w:rsidR="00133873">
        <w:rPr>
          <w:noProof/>
        </w:rPr>
        <w:t>for</w:t>
      </w:r>
      <w:r w:rsidR="004A3D4C">
        <w:rPr>
          <w:noProof/>
        </w:rPr>
        <w:t xml:space="preserve"> </w:t>
      </w:r>
      <w:r w:rsidRPr="00590EA6">
        <w:rPr>
          <w:noProof/>
        </w:rPr>
        <w:t>ensur</w:t>
      </w:r>
      <w:r w:rsidR="009378E9">
        <w:rPr>
          <w:noProof/>
        </w:rPr>
        <w:t>ing</w:t>
      </w:r>
      <w:r w:rsidRPr="00590EA6">
        <w:rPr>
          <w:noProof/>
        </w:rPr>
        <w:t xml:space="preserve"> its proper implementation. For this purpose, it makes recommendations and takes decisions in the cases provided for in the TCT. Notably, the Regional Steering Committee:</w:t>
      </w:r>
    </w:p>
    <w:p w:rsidR="00B91B58" w:rsidRPr="00590EA6" w:rsidRDefault="00B91B58" w:rsidP="00B91B58">
      <w:pPr>
        <w:spacing w:before="0" w:after="200" w:line="276" w:lineRule="auto"/>
        <w:jc w:val="left"/>
        <w:rPr>
          <w:noProof/>
        </w:rPr>
      </w:pPr>
      <w:r w:rsidRPr="00590EA6">
        <w:rPr>
          <w:noProof/>
        </w:rPr>
        <w:t>(a) prepares the work of the Ministerial Council</w:t>
      </w:r>
      <w:r w:rsidR="00133873">
        <w:rPr>
          <w:noProof/>
        </w:rPr>
        <w:t>;</w:t>
      </w:r>
    </w:p>
    <w:p w:rsidR="00B91B58" w:rsidRPr="00590EA6" w:rsidRDefault="00B91B58" w:rsidP="00B91B58">
      <w:pPr>
        <w:spacing w:before="0" w:after="200" w:line="276" w:lineRule="auto"/>
        <w:jc w:val="left"/>
        <w:rPr>
          <w:noProof/>
        </w:rPr>
      </w:pPr>
      <w:r w:rsidRPr="00590EA6">
        <w:rPr>
          <w:noProof/>
        </w:rPr>
        <w:t>(b) decides on the establishment of technical committees</w:t>
      </w:r>
      <w:r w:rsidR="00133873">
        <w:rPr>
          <w:noProof/>
        </w:rPr>
        <w:t>;</w:t>
      </w:r>
    </w:p>
    <w:p w:rsidR="00B91B58" w:rsidRPr="00590EA6" w:rsidRDefault="00B91B58" w:rsidP="00B91B58">
      <w:pPr>
        <w:spacing w:before="0" w:after="200" w:line="276" w:lineRule="auto"/>
        <w:jc w:val="left"/>
        <w:rPr>
          <w:noProof/>
        </w:rPr>
      </w:pPr>
      <w:r w:rsidRPr="00590EA6">
        <w:rPr>
          <w:noProof/>
        </w:rPr>
        <w:t>(c) makes recommendations and takes decisions in accordance with the TCT</w:t>
      </w:r>
      <w:r w:rsidR="00133873">
        <w:rPr>
          <w:noProof/>
        </w:rPr>
        <w:t>;</w:t>
      </w:r>
    </w:p>
    <w:p w:rsidR="00B91B58" w:rsidRPr="00590EA6" w:rsidRDefault="00B91B58" w:rsidP="00B91B58">
      <w:pPr>
        <w:spacing w:before="0" w:after="200" w:line="276" w:lineRule="auto"/>
        <w:jc w:val="left"/>
        <w:rPr>
          <w:noProof/>
        </w:rPr>
      </w:pPr>
      <w:r w:rsidRPr="00590EA6">
        <w:rPr>
          <w:noProof/>
        </w:rPr>
        <w:t xml:space="preserve">(d) as regards newly adopted </w:t>
      </w:r>
      <w:r w:rsidR="00BC5809">
        <w:rPr>
          <w:noProof/>
        </w:rPr>
        <w:t>Union</w:t>
      </w:r>
      <w:r w:rsidR="00BC5809" w:rsidRPr="00590EA6">
        <w:rPr>
          <w:noProof/>
        </w:rPr>
        <w:t xml:space="preserve"> </w:t>
      </w:r>
      <w:r w:rsidRPr="00590EA6">
        <w:rPr>
          <w:noProof/>
        </w:rPr>
        <w:t xml:space="preserve">acts, takes appropriate action, notably </w:t>
      </w:r>
      <w:r w:rsidR="00133873">
        <w:rPr>
          <w:noProof/>
        </w:rPr>
        <w:t>by revising</w:t>
      </w:r>
      <w:r w:rsidRPr="00590EA6">
        <w:rPr>
          <w:noProof/>
        </w:rPr>
        <w:t xml:space="preserve"> Annex</w:t>
      </w:r>
      <w:r w:rsidR="005D6AC9">
        <w:rPr>
          <w:noProof/>
        </w:rPr>
        <w:t> </w:t>
      </w:r>
      <w:r w:rsidRPr="00590EA6">
        <w:rPr>
          <w:noProof/>
        </w:rPr>
        <w:t>I to the TCT</w:t>
      </w:r>
      <w:r w:rsidR="00133873">
        <w:rPr>
          <w:noProof/>
        </w:rPr>
        <w:t>;</w:t>
      </w:r>
    </w:p>
    <w:p w:rsidR="00B91B58" w:rsidRPr="00590EA6" w:rsidRDefault="00B91B58" w:rsidP="00B91B58">
      <w:pPr>
        <w:spacing w:before="0" w:after="200" w:line="276" w:lineRule="auto"/>
        <w:jc w:val="left"/>
        <w:rPr>
          <w:noProof/>
        </w:rPr>
      </w:pPr>
      <w:r w:rsidRPr="00590EA6">
        <w:rPr>
          <w:noProof/>
        </w:rPr>
        <w:t>(e) appoints the Director of the Permanent Secretariat after consulting the Ministerial Council</w:t>
      </w:r>
      <w:r w:rsidR="00133873">
        <w:rPr>
          <w:noProof/>
        </w:rPr>
        <w:t>;</w:t>
      </w:r>
    </w:p>
    <w:p w:rsidR="00B91B58" w:rsidRPr="00590EA6" w:rsidRDefault="00B91B58" w:rsidP="00B91B58">
      <w:pPr>
        <w:spacing w:before="0" w:after="200" w:line="276" w:lineRule="auto"/>
        <w:jc w:val="left"/>
        <w:rPr>
          <w:noProof/>
        </w:rPr>
      </w:pPr>
      <w:r w:rsidRPr="00590EA6">
        <w:rPr>
          <w:noProof/>
        </w:rPr>
        <w:t>(f) may appoint one or more Deputy Directors of the Permanent Secretariat</w:t>
      </w:r>
      <w:r w:rsidR="00133873">
        <w:rPr>
          <w:noProof/>
        </w:rPr>
        <w:t>;</w:t>
      </w:r>
    </w:p>
    <w:p w:rsidR="00B91B58" w:rsidRPr="00590EA6" w:rsidRDefault="00B91B58" w:rsidP="00B91B58">
      <w:pPr>
        <w:spacing w:before="0" w:after="200" w:line="276" w:lineRule="auto"/>
        <w:jc w:val="left"/>
        <w:rPr>
          <w:noProof/>
        </w:rPr>
      </w:pPr>
      <w:r w:rsidRPr="00590EA6">
        <w:rPr>
          <w:noProof/>
        </w:rPr>
        <w:t xml:space="preserve">(g) lays down </w:t>
      </w:r>
      <w:r w:rsidR="00BC5809">
        <w:rPr>
          <w:noProof/>
        </w:rPr>
        <w:t xml:space="preserve">the </w:t>
      </w:r>
      <w:r w:rsidRPr="00590EA6">
        <w:rPr>
          <w:noProof/>
        </w:rPr>
        <w:t>rules of the Permanent Secretariat</w:t>
      </w:r>
      <w:r w:rsidR="00133873">
        <w:rPr>
          <w:noProof/>
        </w:rPr>
        <w:t>;</w:t>
      </w:r>
    </w:p>
    <w:p w:rsidR="00B91B58" w:rsidRPr="00590EA6" w:rsidRDefault="00B91B58" w:rsidP="00B91B58">
      <w:pPr>
        <w:spacing w:before="0" w:after="200" w:line="276" w:lineRule="auto"/>
        <w:jc w:val="left"/>
        <w:rPr>
          <w:noProof/>
        </w:rPr>
      </w:pPr>
      <w:r w:rsidRPr="00590EA6">
        <w:rPr>
          <w:noProof/>
        </w:rPr>
        <w:t>(h) may review, by way of a decision, the level of budget contributions</w:t>
      </w:r>
      <w:r w:rsidR="00133873">
        <w:rPr>
          <w:noProof/>
        </w:rPr>
        <w:t>;</w:t>
      </w:r>
    </w:p>
    <w:p w:rsidR="00B91B58" w:rsidRPr="00590EA6" w:rsidRDefault="00B91B58" w:rsidP="00B91B58">
      <w:pPr>
        <w:spacing w:before="0" w:after="200" w:line="276" w:lineRule="auto"/>
        <w:jc w:val="left"/>
        <w:rPr>
          <w:noProof/>
        </w:rPr>
      </w:pPr>
      <w:r w:rsidRPr="00590EA6">
        <w:rPr>
          <w:noProof/>
        </w:rPr>
        <w:t>(i) adopts the annual budget of the TCT</w:t>
      </w:r>
      <w:r w:rsidR="00133873">
        <w:rPr>
          <w:noProof/>
        </w:rPr>
        <w:t>;</w:t>
      </w:r>
    </w:p>
    <w:p w:rsidR="00B91B58" w:rsidRPr="00590EA6" w:rsidRDefault="00B91B58" w:rsidP="00B91B58">
      <w:pPr>
        <w:spacing w:before="0" w:after="200" w:line="276" w:lineRule="auto"/>
        <w:jc w:val="left"/>
        <w:rPr>
          <w:noProof/>
        </w:rPr>
      </w:pPr>
      <w:r w:rsidRPr="00590EA6">
        <w:rPr>
          <w:noProof/>
        </w:rPr>
        <w:t>(j) adopts decision</w:t>
      </w:r>
      <w:r w:rsidR="00BC5809">
        <w:rPr>
          <w:noProof/>
        </w:rPr>
        <w:t>s</w:t>
      </w:r>
      <w:r w:rsidRPr="00590EA6">
        <w:rPr>
          <w:noProof/>
        </w:rPr>
        <w:t xml:space="preserve"> </w:t>
      </w:r>
      <w:r w:rsidR="00BC5809">
        <w:rPr>
          <w:noProof/>
        </w:rPr>
        <w:t>laying down</w:t>
      </w:r>
      <w:r w:rsidR="00BC5809" w:rsidRPr="00590EA6">
        <w:rPr>
          <w:noProof/>
        </w:rPr>
        <w:t xml:space="preserve"> </w:t>
      </w:r>
      <w:r w:rsidRPr="00590EA6">
        <w:rPr>
          <w:noProof/>
        </w:rPr>
        <w:t>the procedure</w:t>
      </w:r>
      <w:r w:rsidR="00BC5809">
        <w:rPr>
          <w:noProof/>
        </w:rPr>
        <w:t>s</w:t>
      </w:r>
      <w:r w:rsidRPr="00590EA6">
        <w:rPr>
          <w:noProof/>
        </w:rPr>
        <w:t xml:space="preserve"> for implement</w:t>
      </w:r>
      <w:r w:rsidR="00BC5809">
        <w:rPr>
          <w:noProof/>
        </w:rPr>
        <w:t>ing</w:t>
      </w:r>
      <w:r w:rsidRPr="00590EA6">
        <w:rPr>
          <w:noProof/>
        </w:rPr>
        <w:t xml:space="preserve"> the budget, for presenting and auditing accounts</w:t>
      </w:r>
      <w:r w:rsidR="00BC5809">
        <w:rPr>
          <w:noProof/>
        </w:rPr>
        <w:t>,</w:t>
      </w:r>
      <w:r w:rsidRPr="00590EA6">
        <w:rPr>
          <w:noProof/>
        </w:rPr>
        <w:t xml:space="preserve"> and for </w:t>
      </w:r>
      <w:r w:rsidR="00BC5809">
        <w:rPr>
          <w:noProof/>
        </w:rPr>
        <w:t xml:space="preserve">carrying out </w:t>
      </w:r>
      <w:r w:rsidRPr="00590EA6">
        <w:rPr>
          <w:noProof/>
        </w:rPr>
        <w:t>inspection</w:t>
      </w:r>
      <w:r w:rsidR="00BC5809">
        <w:rPr>
          <w:noProof/>
        </w:rPr>
        <w:t>s</w:t>
      </w:r>
      <w:r w:rsidR="00133873">
        <w:rPr>
          <w:noProof/>
        </w:rPr>
        <w:t>;</w:t>
      </w:r>
    </w:p>
    <w:p w:rsidR="00B91B58" w:rsidRPr="00590EA6" w:rsidRDefault="00B91B58" w:rsidP="00B91B58">
      <w:pPr>
        <w:spacing w:before="0" w:after="200" w:line="276" w:lineRule="auto"/>
        <w:jc w:val="left"/>
        <w:rPr>
          <w:noProof/>
        </w:rPr>
      </w:pPr>
      <w:r w:rsidRPr="00590EA6">
        <w:rPr>
          <w:noProof/>
        </w:rPr>
        <w:t>(k) takes decisions on disputes brought by the Contracting Parties</w:t>
      </w:r>
      <w:r w:rsidR="00133873">
        <w:rPr>
          <w:noProof/>
        </w:rPr>
        <w:t>;</w:t>
      </w:r>
    </w:p>
    <w:p w:rsidR="00B91B58" w:rsidRPr="00590EA6" w:rsidRDefault="00B91B58" w:rsidP="00B91B58">
      <w:pPr>
        <w:spacing w:before="0" w:after="200" w:line="276" w:lineRule="auto"/>
        <w:jc w:val="left"/>
        <w:rPr>
          <w:noProof/>
        </w:rPr>
      </w:pPr>
      <w:r w:rsidRPr="00590EA6">
        <w:rPr>
          <w:noProof/>
        </w:rPr>
        <w:t xml:space="preserve">(l) adopts general principles </w:t>
      </w:r>
      <w:r w:rsidR="00BC5809">
        <w:rPr>
          <w:noProof/>
        </w:rPr>
        <w:t>on</w:t>
      </w:r>
      <w:r w:rsidRPr="00590EA6">
        <w:rPr>
          <w:noProof/>
        </w:rPr>
        <w:t xml:space="preserve"> access</w:t>
      </w:r>
      <w:r w:rsidR="00BC5809">
        <w:rPr>
          <w:noProof/>
        </w:rPr>
        <w:t>ing</w:t>
      </w:r>
      <w:r w:rsidRPr="00590EA6">
        <w:rPr>
          <w:noProof/>
        </w:rPr>
        <w:t xml:space="preserve"> documents held by bodies established by, or under, the TCT</w:t>
      </w:r>
      <w:r w:rsidR="00133873">
        <w:rPr>
          <w:noProof/>
        </w:rPr>
        <w:t>;</w:t>
      </w:r>
    </w:p>
    <w:p w:rsidR="00B91B58" w:rsidRPr="00590EA6" w:rsidRDefault="00B91B58" w:rsidP="00B91B58">
      <w:pPr>
        <w:rPr>
          <w:noProof/>
        </w:rPr>
      </w:pPr>
      <w:r w:rsidRPr="00590EA6">
        <w:rPr>
          <w:noProof/>
        </w:rPr>
        <w:t>(m) adopts annual reports on implement</w:t>
      </w:r>
      <w:r w:rsidR="00BC5809">
        <w:rPr>
          <w:noProof/>
        </w:rPr>
        <w:t>ing</w:t>
      </w:r>
      <w:r w:rsidRPr="00590EA6">
        <w:rPr>
          <w:noProof/>
        </w:rPr>
        <w:t xml:space="preserve"> the Comprehensive Network</w:t>
      </w:r>
      <w:r w:rsidR="005D6AC9" w:rsidRPr="005D6AC9">
        <w:rPr>
          <w:noProof/>
        </w:rPr>
        <w:t xml:space="preserve"> </w:t>
      </w:r>
      <w:r w:rsidR="005D6AC9">
        <w:rPr>
          <w:noProof/>
        </w:rPr>
        <w:t>for</w:t>
      </w:r>
      <w:r w:rsidR="005D6AC9" w:rsidRPr="00590EA6">
        <w:rPr>
          <w:noProof/>
        </w:rPr>
        <w:t xml:space="preserve"> the attention of the Ministerial Council</w:t>
      </w:r>
      <w:r w:rsidR="00133873">
        <w:rPr>
          <w:noProof/>
        </w:rPr>
        <w:t>;</w:t>
      </w:r>
      <w:r w:rsidRPr="00590EA6">
        <w:rPr>
          <w:noProof/>
        </w:rPr>
        <w:t xml:space="preserve"> </w:t>
      </w:r>
    </w:p>
    <w:p w:rsidR="00B91B58" w:rsidRPr="00590EA6" w:rsidRDefault="00B91B58" w:rsidP="00B91B58">
      <w:pPr>
        <w:rPr>
          <w:noProof/>
        </w:rPr>
      </w:pPr>
      <w:r w:rsidRPr="00590EA6">
        <w:rPr>
          <w:noProof/>
        </w:rPr>
        <w:t>(n) establishes time limits and ways for the South East European Parties</w:t>
      </w:r>
      <w:r w:rsidR="00BC5809">
        <w:rPr>
          <w:noProof/>
        </w:rPr>
        <w:t xml:space="preserve"> to </w:t>
      </w:r>
      <w:r w:rsidR="00CC2FF1">
        <w:rPr>
          <w:noProof/>
        </w:rPr>
        <w:t>transpose</w:t>
      </w:r>
      <w:r w:rsidR="00CC2FF1" w:rsidRPr="00590EA6">
        <w:rPr>
          <w:noProof/>
        </w:rPr>
        <w:t xml:space="preserve"> certain Union acts</w:t>
      </w:r>
      <w:r w:rsidRPr="00590EA6">
        <w:rPr>
          <w:noProof/>
        </w:rPr>
        <w:t>.</w:t>
      </w:r>
    </w:p>
    <w:p w:rsidR="00B91B58" w:rsidRPr="00590EA6" w:rsidRDefault="00B91B58" w:rsidP="00736AA9">
      <w:pPr>
        <w:rPr>
          <w:rFonts w:eastAsia="Arial Unicode MS"/>
          <w:noProof/>
        </w:rPr>
      </w:pPr>
      <w:r w:rsidRPr="00590EA6">
        <w:rPr>
          <w:noProof/>
        </w:rPr>
        <w:t xml:space="preserve">The Regional Steering Committee consists of one representative and one alternate representative of each Contracting Party. </w:t>
      </w:r>
      <w:r w:rsidR="008C049A">
        <w:rPr>
          <w:noProof/>
        </w:rPr>
        <w:t>Any</w:t>
      </w:r>
      <w:r w:rsidRPr="00590EA6">
        <w:rPr>
          <w:noProof/>
        </w:rPr>
        <w:t xml:space="preserve"> EU Member State</w:t>
      </w:r>
      <w:r w:rsidR="008C049A">
        <w:rPr>
          <w:noProof/>
        </w:rPr>
        <w:t xml:space="preserve"> may participate as an observer</w:t>
      </w:r>
      <w:r w:rsidRPr="00590EA6">
        <w:rPr>
          <w:noProof/>
        </w:rPr>
        <w:t>. The Regional Steering Committee acts by unanimity</w:t>
      </w:r>
      <w:r w:rsidRPr="00590EA6">
        <w:rPr>
          <w:rFonts w:eastAsia="Arial Unicode MS"/>
          <w:noProof/>
        </w:rPr>
        <w:t>.</w:t>
      </w:r>
    </w:p>
    <w:p w:rsidR="00B91B58" w:rsidRPr="00590EA6" w:rsidRDefault="006D40CF" w:rsidP="006D40CF">
      <w:pPr>
        <w:pStyle w:val="ManualHeading2"/>
        <w:rPr>
          <w:noProof/>
        </w:rPr>
      </w:pPr>
      <w:r w:rsidRPr="006D40CF">
        <w:rPr>
          <w:noProof/>
        </w:rPr>
        <w:t>2.3.</w:t>
      </w:r>
      <w:r w:rsidRPr="006D40CF">
        <w:rPr>
          <w:noProof/>
        </w:rPr>
        <w:tab/>
      </w:r>
      <w:r w:rsidR="00B91B58" w:rsidRPr="00590EA6">
        <w:rPr>
          <w:noProof/>
        </w:rPr>
        <w:t xml:space="preserve">The </w:t>
      </w:r>
      <w:r w:rsidR="008C049A">
        <w:rPr>
          <w:noProof/>
        </w:rPr>
        <w:t>planned</w:t>
      </w:r>
      <w:r w:rsidR="008C049A" w:rsidRPr="00590EA6">
        <w:rPr>
          <w:noProof/>
        </w:rPr>
        <w:t xml:space="preserve"> </w:t>
      </w:r>
      <w:r w:rsidR="00B91B58" w:rsidRPr="00590EA6">
        <w:rPr>
          <w:noProof/>
        </w:rPr>
        <w:t>act of the Regional Steering Committee</w:t>
      </w:r>
    </w:p>
    <w:p w:rsidR="00B91B58" w:rsidRPr="00590EA6" w:rsidRDefault="00AF1AFF" w:rsidP="00B91B58">
      <w:pPr>
        <w:rPr>
          <w:rFonts w:eastAsia="Arial Unicode MS"/>
          <w:noProof/>
        </w:rPr>
      </w:pPr>
      <w:r w:rsidRPr="00093D21">
        <w:rPr>
          <w:rFonts w:eastAsia="Arial Unicode MS"/>
          <w:noProof/>
        </w:rPr>
        <w:t xml:space="preserve">Through </w:t>
      </w:r>
      <w:r w:rsidR="00564793" w:rsidRPr="00093D21">
        <w:rPr>
          <w:rFonts w:eastAsia="Arial Unicode MS"/>
          <w:noProof/>
        </w:rPr>
        <w:t xml:space="preserve">a </w:t>
      </w:r>
      <w:r w:rsidRPr="00093D21">
        <w:rPr>
          <w:rFonts w:eastAsia="Arial Unicode MS"/>
          <w:noProof/>
        </w:rPr>
        <w:t>written</w:t>
      </w:r>
      <w:r w:rsidR="00564793" w:rsidRPr="00093D21">
        <w:rPr>
          <w:rFonts w:eastAsia="Arial Unicode MS"/>
          <w:noProof/>
        </w:rPr>
        <w:t xml:space="preserve"> adoption</w:t>
      </w:r>
      <w:r w:rsidRPr="00093D21">
        <w:rPr>
          <w:rFonts w:eastAsia="Arial Unicode MS"/>
          <w:noProof/>
        </w:rPr>
        <w:t xml:space="preserve"> procedure</w:t>
      </w:r>
      <w:r w:rsidR="008340BD" w:rsidRPr="00093D21">
        <w:rPr>
          <w:rFonts w:eastAsia="Arial Unicode MS"/>
          <w:noProof/>
        </w:rPr>
        <w:t xml:space="preserve"> planned for January 2026</w:t>
      </w:r>
      <w:r w:rsidR="00B91B58" w:rsidRPr="00093D21">
        <w:rPr>
          <w:rFonts w:eastAsia="Arial Unicode MS"/>
          <w:noProof/>
        </w:rPr>
        <w:t>, the</w:t>
      </w:r>
      <w:r w:rsidR="00B91B58" w:rsidRPr="00590EA6">
        <w:rPr>
          <w:rFonts w:eastAsia="Arial Unicode MS"/>
          <w:noProof/>
        </w:rPr>
        <w:t xml:space="preserve"> Regional Steering Committee is to adopt a decision amending the rules on </w:t>
      </w:r>
      <w:r w:rsidR="00CD052F" w:rsidRPr="00590EA6">
        <w:rPr>
          <w:rFonts w:eastAsia="Arial Unicode MS"/>
          <w:noProof/>
        </w:rPr>
        <w:t>staff salaries of the</w:t>
      </w:r>
      <w:r w:rsidR="00B91B58" w:rsidRPr="00590EA6">
        <w:rPr>
          <w:rFonts w:eastAsia="Arial Unicode MS"/>
          <w:noProof/>
        </w:rPr>
        <w:t xml:space="preserve"> Transport Community Permanent Secretariat</w:t>
      </w:r>
      <w:r w:rsidR="00CC2FF1">
        <w:rPr>
          <w:rFonts w:eastAsia="Arial Unicode MS"/>
          <w:noProof/>
        </w:rPr>
        <w:t xml:space="preserve"> </w:t>
      </w:r>
      <w:r w:rsidR="00CC2FF1" w:rsidRPr="00590EA6">
        <w:rPr>
          <w:rFonts w:eastAsia="Arial Unicode MS"/>
          <w:noProof/>
        </w:rPr>
        <w:t xml:space="preserve">(‘the </w:t>
      </w:r>
      <w:r w:rsidR="00CC2FF1">
        <w:rPr>
          <w:rFonts w:eastAsia="Arial Unicode MS"/>
          <w:noProof/>
        </w:rPr>
        <w:t>planned</w:t>
      </w:r>
      <w:r w:rsidR="00CC2FF1" w:rsidRPr="00590EA6">
        <w:rPr>
          <w:rFonts w:eastAsia="Arial Unicode MS"/>
          <w:noProof/>
        </w:rPr>
        <w:t xml:space="preserve"> act’)</w:t>
      </w:r>
      <w:r w:rsidR="00CC2FF1">
        <w:rPr>
          <w:rFonts w:eastAsia="Arial Unicode MS"/>
          <w:noProof/>
        </w:rPr>
        <w:t>. Th</w:t>
      </w:r>
      <w:r w:rsidR="005D6AC9">
        <w:rPr>
          <w:rFonts w:eastAsia="Arial Unicode MS"/>
          <w:noProof/>
        </w:rPr>
        <w:t>ose</w:t>
      </w:r>
      <w:r w:rsidR="00CC2FF1">
        <w:rPr>
          <w:rFonts w:eastAsia="Arial Unicode MS"/>
          <w:noProof/>
        </w:rPr>
        <w:t xml:space="preserve"> rules are</w:t>
      </w:r>
      <w:r w:rsidR="007F5627" w:rsidRPr="00590EA6">
        <w:rPr>
          <w:rFonts w:eastAsia="Arial Unicode MS"/>
          <w:noProof/>
        </w:rPr>
        <w:t xml:space="preserve"> laid down in the Staff Regulations of the Transport Community</w:t>
      </w:r>
      <w:r w:rsidR="007F5627" w:rsidRPr="00590EA6">
        <w:rPr>
          <w:rStyle w:val="FootnoteReference"/>
          <w:rFonts w:eastAsia="Arial Unicode MS"/>
          <w:noProof/>
        </w:rPr>
        <w:footnoteReference w:id="3"/>
      </w:r>
      <w:r w:rsidR="00B91B58" w:rsidRPr="00590EA6">
        <w:rPr>
          <w:rFonts w:eastAsia="Arial Unicode MS"/>
          <w:noProof/>
        </w:rPr>
        <w:t>.</w:t>
      </w:r>
    </w:p>
    <w:p w:rsidR="00B91B58" w:rsidRDefault="00B91B58" w:rsidP="00DD044E">
      <w:pPr>
        <w:rPr>
          <w:rFonts w:eastAsia="Arial Unicode MS"/>
          <w:noProof/>
        </w:rPr>
      </w:pPr>
      <w:r w:rsidRPr="00590EA6">
        <w:rPr>
          <w:rFonts w:eastAsia="Arial Unicode MS"/>
          <w:noProof/>
        </w:rPr>
        <w:t xml:space="preserve">The purpose of the </w:t>
      </w:r>
      <w:r w:rsidR="008C049A">
        <w:rPr>
          <w:rFonts w:eastAsia="Arial Unicode MS"/>
          <w:noProof/>
        </w:rPr>
        <w:t>planned</w:t>
      </w:r>
      <w:r w:rsidR="008C049A" w:rsidRPr="00590EA6">
        <w:rPr>
          <w:rFonts w:eastAsia="Arial Unicode MS"/>
          <w:noProof/>
        </w:rPr>
        <w:t xml:space="preserve"> </w:t>
      </w:r>
      <w:r w:rsidRPr="00590EA6">
        <w:rPr>
          <w:rFonts w:eastAsia="Arial Unicode MS"/>
          <w:noProof/>
        </w:rPr>
        <w:t xml:space="preserve">act is to </w:t>
      </w:r>
      <w:r w:rsidR="00BA5254">
        <w:rPr>
          <w:rFonts w:eastAsia="Arial Unicode MS"/>
          <w:noProof/>
        </w:rPr>
        <w:t>apply</w:t>
      </w:r>
      <w:r w:rsidR="00BA5254" w:rsidRPr="00590EA6">
        <w:rPr>
          <w:rFonts w:eastAsia="Arial Unicode MS"/>
          <w:noProof/>
        </w:rPr>
        <w:t xml:space="preserve"> </w:t>
      </w:r>
      <w:r w:rsidR="002743B4" w:rsidRPr="00590EA6">
        <w:rPr>
          <w:rFonts w:eastAsia="Arial Unicode MS"/>
          <w:noProof/>
        </w:rPr>
        <w:t xml:space="preserve">a one-time salary adjustment of +20% to the </w:t>
      </w:r>
      <w:r w:rsidR="00CF6E74" w:rsidRPr="00590EA6">
        <w:rPr>
          <w:rFonts w:eastAsia="Arial Unicode MS"/>
          <w:noProof/>
        </w:rPr>
        <w:t xml:space="preserve">salary </w:t>
      </w:r>
      <w:r w:rsidR="00B15850" w:rsidRPr="00590EA6">
        <w:rPr>
          <w:rFonts w:eastAsia="Arial Unicode MS"/>
          <w:noProof/>
        </w:rPr>
        <w:t>grid</w:t>
      </w:r>
      <w:r w:rsidR="00966526" w:rsidRPr="00590EA6">
        <w:rPr>
          <w:rFonts w:eastAsia="Arial Unicode MS"/>
          <w:noProof/>
        </w:rPr>
        <w:t xml:space="preserve"> </w:t>
      </w:r>
      <w:r w:rsidR="008C049A">
        <w:rPr>
          <w:rFonts w:eastAsia="Arial Unicode MS"/>
          <w:noProof/>
        </w:rPr>
        <w:t>for</w:t>
      </w:r>
      <w:r w:rsidR="008C049A" w:rsidRPr="00590EA6">
        <w:rPr>
          <w:rFonts w:eastAsia="Arial Unicode MS"/>
          <w:noProof/>
        </w:rPr>
        <w:t xml:space="preserve"> </w:t>
      </w:r>
      <w:r w:rsidR="00966526" w:rsidRPr="00590EA6">
        <w:rPr>
          <w:rFonts w:eastAsia="Arial Unicode MS"/>
          <w:noProof/>
        </w:rPr>
        <w:t>the staff of the Permanent Secretariat</w:t>
      </w:r>
      <w:r w:rsidR="00523601">
        <w:rPr>
          <w:rFonts w:eastAsia="Arial Unicode MS"/>
          <w:noProof/>
        </w:rPr>
        <w:t xml:space="preserve"> u</w:t>
      </w:r>
      <w:r w:rsidR="00523601" w:rsidRPr="00287109">
        <w:rPr>
          <w:rFonts w:eastAsia="Arial Unicode MS"/>
          <w:noProof/>
        </w:rPr>
        <w:t xml:space="preserve">pon the date of application of </w:t>
      </w:r>
      <w:r w:rsidR="00523601">
        <w:rPr>
          <w:rFonts w:eastAsia="Arial Unicode MS"/>
          <w:noProof/>
        </w:rPr>
        <w:t>the</w:t>
      </w:r>
      <w:r w:rsidR="00523601" w:rsidRPr="00287109">
        <w:rPr>
          <w:rFonts w:eastAsia="Arial Unicode MS"/>
          <w:noProof/>
        </w:rPr>
        <w:t xml:space="preserve"> decision</w:t>
      </w:r>
      <w:r w:rsidR="00CC2FF1">
        <w:rPr>
          <w:rFonts w:eastAsia="Arial Unicode MS"/>
          <w:noProof/>
        </w:rPr>
        <w:t>. The grid is</w:t>
      </w:r>
      <w:r w:rsidR="00966526" w:rsidRPr="00590EA6">
        <w:rPr>
          <w:rFonts w:eastAsia="Arial Unicode MS"/>
          <w:noProof/>
        </w:rPr>
        <w:t xml:space="preserve"> </w:t>
      </w:r>
      <w:r w:rsidR="00A334F3" w:rsidRPr="00590EA6">
        <w:rPr>
          <w:rFonts w:eastAsia="Arial Unicode MS"/>
          <w:noProof/>
        </w:rPr>
        <w:t>set out</w:t>
      </w:r>
      <w:r w:rsidR="00966526" w:rsidRPr="00590EA6">
        <w:rPr>
          <w:rFonts w:eastAsia="Arial Unicode MS"/>
          <w:noProof/>
        </w:rPr>
        <w:t xml:space="preserve"> in </w:t>
      </w:r>
      <w:r w:rsidR="00AB24B2" w:rsidRPr="00590EA6">
        <w:rPr>
          <w:rFonts w:eastAsia="Arial Unicode MS"/>
          <w:noProof/>
        </w:rPr>
        <w:t xml:space="preserve">Annex II </w:t>
      </w:r>
      <w:r w:rsidR="008C049A">
        <w:rPr>
          <w:rFonts w:eastAsia="Arial Unicode MS"/>
          <w:noProof/>
        </w:rPr>
        <w:t>to</w:t>
      </w:r>
      <w:r w:rsidR="008C049A" w:rsidRPr="00590EA6">
        <w:rPr>
          <w:rFonts w:eastAsia="Arial Unicode MS"/>
          <w:noProof/>
        </w:rPr>
        <w:t xml:space="preserve"> </w:t>
      </w:r>
      <w:r w:rsidR="00AB24B2" w:rsidRPr="00590EA6">
        <w:rPr>
          <w:rFonts w:eastAsia="Arial Unicode MS"/>
          <w:noProof/>
        </w:rPr>
        <w:t xml:space="preserve">Decision </w:t>
      </w:r>
      <w:r w:rsidR="00305010">
        <w:rPr>
          <w:rFonts w:eastAsia="Arial Unicode MS"/>
          <w:noProof/>
        </w:rPr>
        <w:t>No </w:t>
      </w:r>
      <w:r w:rsidR="00AB24B2" w:rsidRPr="00590EA6">
        <w:rPr>
          <w:rFonts w:eastAsia="Arial Unicode MS"/>
          <w:noProof/>
        </w:rPr>
        <w:t>2019/3 of the Regional Steering Committee</w:t>
      </w:r>
      <w:r w:rsidR="007F5627" w:rsidRPr="00590EA6">
        <w:rPr>
          <w:rFonts w:eastAsia="Arial Unicode MS"/>
          <w:noProof/>
        </w:rPr>
        <w:t xml:space="preserve"> of 5</w:t>
      </w:r>
      <w:r w:rsidR="00590EA6">
        <w:rPr>
          <w:rFonts w:eastAsia="Arial Unicode MS"/>
          <w:noProof/>
        </w:rPr>
        <w:t> </w:t>
      </w:r>
      <w:r w:rsidR="007F5627" w:rsidRPr="00590EA6">
        <w:rPr>
          <w:rFonts w:eastAsia="Arial Unicode MS"/>
          <w:noProof/>
        </w:rPr>
        <w:t>June 2019</w:t>
      </w:r>
      <w:r w:rsidR="00AB24B2" w:rsidRPr="00590EA6">
        <w:rPr>
          <w:rFonts w:eastAsia="Arial Unicode MS"/>
          <w:noProof/>
        </w:rPr>
        <w:t xml:space="preserve">, </w:t>
      </w:r>
      <w:r w:rsidR="005D6AC9">
        <w:rPr>
          <w:rFonts w:eastAsia="Arial Unicode MS"/>
          <w:noProof/>
        </w:rPr>
        <w:t xml:space="preserve">which </w:t>
      </w:r>
      <w:r w:rsidR="00AB24B2" w:rsidRPr="00590EA6">
        <w:rPr>
          <w:rFonts w:eastAsia="Arial Unicode MS"/>
          <w:noProof/>
        </w:rPr>
        <w:t>lay</w:t>
      </w:r>
      <w:r w:rsidR="005D6AC9">
        <w:rPr>
          <w:rFonts w:eastAsia="Arial Unicode MS"/>
          <w:noProof/>
        </w:rPr>
        <w:t>s</w:t>
      </w:r>
      <w:r w:rsidR="00AB24B2" w:rsidRPr="00590EA6">
        <w:rPr>
          <w:rFonts w:eastAsia="Arial Unicode MS"/>
          <w:noProof/>
        </w:rPr>
        <w:t xml:space="preserve"> down the Staff Regulations of the Transport Community</w:t>
      </w:r>
      <w:r w:rsidR="003309E6" w:rsidRPr="00590EA6">
        <w:rPr>
          <w:rFonts w:eastAsia="Arial Unicode MS"/>
          <w:noProof/>
        </w:rPr>
        <w:t xml:space="preserve">. Furthermore, the </w:t>
      </w:r>
      <w:r w:rsidR="008C049A">
        <w:rPr>
          <w:rFonts w:eastAsia="Arial Unicode MS"/>
          <w:noProof/>
        </w:rPr>
        <w:t>planned</w:t>
      </w:r>
      <w:r w:rsidR="008C049A" w:rsidRPr="00590EA6">
        <w:rPr>
          <w:rFonts w:eastAsia="Arial Unicode MS"/>
          <w:noProof/>
        </w:rPr>
        <w:t xml:space="preserve"> </w:t>
      </w:r>
      <w:r w:rsidR="003309E6" w:rsidRPr="00590EA6">
        <w:rPr>
          <w:rFonts w:eastAsia="Arial Unicode MS"/>
          <w:noProof/>
        </w:rPr>
        <w:t>act</w:t>
      </w:r>
      <w:r w:rsidR="006A71DC" w:rsidRPr="00590EA6">
        <w:rPr>
          <w:rFonts w:eastAsia="Arial Unicode MS"/>
          <w:noProof/>
        </w:rPr>
        <w:t xml:space="preserve"> aims to</w:t>
      </w:r>
      <w:r w:rsidR="00EB1DDD" w:rsidRPr="00590EA6">
        <w:rPr>
          <w:rFonts w:eastAsia="Arial Unicode MS"/>
          <w:noProof/>
        </w:rPr>
        <w:t xml:space="preserve"> update the salaries of the staff of the Permanent Secretariat</w:t>
      </w:r>
      <w:r w:rsidR="000C714D">
        <w:rPr>
          <w:rFonts w:eastAsia="Arial Unicode MS"/>
          <w:noProof/>
        </w:rPr>
        <w:t xml:space="preserve">, which are based on the salary grid, </w:t>
      </w:r>
      <w:r w:rsidR="00EB1DDD" w:rsidRPr="00590EA6">
        <w:rPr>
          <w:rFonts w:eastAsia="Arial Unicode MS"/>
          <w:noProof/>
        </w:rPr>
        <w:t>accordingly. It also seeks to</w:t>
      </w:r>
      <w:r w:rsidR="006A71DC" w:rsidRPr="00590EA6">
        <w:rPr>
          <w:rFonts w:eastAsia="Arial Unicode MS"/>
          <w:noProof/>
        </w:rPr>
        <w:t xml:space="preserve"> introduce</w:t>
      </w:r>
      <w:r w:rsidR="00445AC7">
        <w:rPr>
          <w:rFonts w:eastAsia="Arial Unicode MS"/>
          <w:noProof/>
        </w:rPr>
        <w:t xml:space="preserve">, as of 1 January 2027, </w:t>
      </w:r>
      <w:r w:rsidR="006A71DC" w:rsidRPr="00590EA6">
        <w:rPr>
          <w:rFonts w:eastAsia="Arial Unicode MS"/>
          <w:noProof/>
        </w:rPr>
        <w:t xml:space="preserve">a mechanism for </w:t>
      </w:r>
      <w:r w:rsidR="005D6AC9">
        <w:rPr>
          <w:rFonts w:eastAsia="Arial Unicode MS"/>
          <w:noProof/>
        </w:rPr>
        <w:t xml:space="preserve">the </w:t>
      </w:r>
      <w:r w:rsidR="006A71DC" w:rsidRPr="00590EA6">
        <w:rPr>
          <w:rFonts w:eastAsia="Arial Unicode MS"/>
          <w:noProof/>
        </w:rPr>
        <w:t>annual indexation of the staff</w:t>
      </w:r>
      <w:r w:rsidR="00CE3F9C" w:rsidRPr="00590EA6">
        <w:rPr>
          <w:rFonts w:eastAsia="Arial Unicode MS"/>
          <w:noProof/>
        </w:rPr>
        <w:t xml:space="preserve"> salaries</w:t>
      </w:r>
      <w:r w:rsidR="006A71DC" w:rsidRPr="00590EA6">
        <w:rPr>
          <w:rFonts w:eastAsia="Arial Unicode MS"/>
          <w:noProof/>
        </w:rPr>
        <w:t xml:space="preserve"> of the Permanent Secretariat</w:t>
      </w:r>
      <w:r w:rsidR="007F5627" w:rsidRPr="00590EA6">
        <w:rPr>
          <w:rFonts w:eastAsia="Arial Unicode MS"/>
          <w:noProof/>
        </w:rPr>
        <w:t>,</w:t>
      </w:r>
      <w:r w:rsidR="006A71DC" w:rsidRPr="00590EA6">
        <w:rPr>
          <w:rFonts w:eastAsia="Arial Unicode MS"/>
          <w:noProof/>
        </w:rPr>
        <w:t xml:space="preserve"> </w:t>
      </w:r>
      <w:r w:rsidR="00DD044E" w:rsidRPr="00590EA6">
        <w:rPr>
          <w:rFonts w:eastAsia="Arial Unicode MS"/>
          <w:noProof/>
        </w:rPr>
        <w:t>in accordance with the annual Consumer Price Index (CPI)</w:t>
      </w:r>
      <w:r w:rsidR="008C049A">
        <w:rPr>
          <w:rFonts w:eastAsia="Arial Unicode MS"/>
          <w:noProof/>
        </w:rPr>
        <w:t>,</w:t>
      </w:r>
      <w:r w:rsidR="00DD044E" w:rsidRPr="00590EA6">
        <w:rPr>
          <w:rFonts w:eastAsia="Arial Unicode MS"/>
          <w:noProof/>
        </w:rPr>
        <w:t xml:space="preserve"> as published by the relevant statistical authority of the Republic of Serbia.</w:t>
      </w:r>
    </w:p>
    <w:p w:rsidR="002D0C5E" w:rsidRDefault="002D0C5E" w:rsidP="00736AA9">
      <w:pPr>
        <w:rPr>
          <w:rFonts w:eastAsia="Arial Unicode MS"/>
          <w:noProof/>
        </w:rPr>
      </w:pPr>
      <w:r w:rsidRPr="00164BA2">
        <w:rPr>
          <w:rFonts w:eastAsia="Arial Unicode MS"/>
          <w:noProof/>
        </w:rPr>
        <w:t xml:space="preserve">Preliminary discussions among the Contracting Parties on the planned act envisaged that salary indexation would apply from 1 January 2026. However, delays in reaching agreement on a proposal to be submitted for </w:t>
      </w:r>
      <w:r w:rsidR="006070D3">
        <w:rPr>
          <w:rFonts w:eastAsia="Arial Unicode MS"/>
          <w:noProof/>
        </w:rPr>
        <w:t xml:space="preserve">potential </w:t>
      </w:r>
      <w:r w:rsidRPr="00164BA2">
        <w:rPr>
          <w:rFonts w:eastAsia="Arial Unicode MS"/>
          <w:noProof/>
        </w:rPr>
        <w:t xml:space="preserve">adoption mean that the written </w:t>
      </w:r>
      <w:r>
        <w:rPr>
          <w:rFonts w:eastAsia="Arial Unicode MS"/>
          <w:noProof/>
        </w:rPr>
        <w:t xml:space="preserve">adoption </w:t>
      </w:r>
      <w:r w:rsidRPr="00164BA2">
        <w:rPr>
          <w:rFonts w:eastAsia="Arial Unicode MS"/>
          <w:noProof/>
        </w:rPr>
        <w:t xml:space="preserve">procedure </w:t>
      </w:r>
      <w:r>
        <w:rPr>
          <w:rFonts w:eastAsia="Arial Unicode MS"/>
          <w:noProof/>
        </w:rPr>
        <w:t xml:space="preserve">of the Regional Steering Committee </w:t>
      </w:r>
      <w:r w:rsidRPr="00164BA2">
        <w:rPr>
          <w:rFonts w:eastAsia="Arial Unicode MS"/>
          <w:noProof/>
        </w:rPr>
        <w:t>can only be launched in January 2026. Nevertheless, in order to remain consistent with the preliminary discussions, and to ensure that the annual salary indexation aligns with the annual adoption cycle of the Transport Community budget, it is appropriate to provide for the retroactive application of the envisaged decision as of 1 January 2026</w:t>
      </w:r>
      <w:r>
        <w:rPr>
          <w:rFonts w:eastAsia="Arial Unicode MS"/>
          <w:noProof/>
        </w:rPr>
        <w:t>.</w:t>
      </w:r>
    </w:p>
    <w:p w:rsidR="00B91B58" w:rsidRPr="00590EA6" w:rsidRDefault="00B91B58" w:rsidP="00736AA9">
      <w:pPr>
        <w:rPr>
          <w:rFonts w:eastAsia="Arial Unicode MS"/>
          <w:noProof/>
        </w:rPr>
      </w:pPr>
      <w:r w:rsidRPr="00590EA6">
        <w:rPr>
          <w:rFonts w:eastAsia="Arial Unicode MS"/>
          <w:noProof/>
        </w:rPr>
        <w:t xml:space="preserve">The </w:t>
      </w:r>
      <w:r w:rsidR="00BA5D3A">
        <w:rPr>
          <w:rFonts w:eastAsia="Arial Unicode MS"/>
          <w:noProof/>
        </w:rPr>
        <w:t>planned</w:t>
      </w:r>
      <w:r w:rsidR="00BA5D3A" w:rsidRPr="00590EA6">
        <w:rPr>
          <w:rFonts w:eastAsia="Arial Unicode MS"/>
          <w:noProof/>
        </w:rPr>
        <w:t xml:space="preserve"> </w:t>
      </w:r>
      <w:r w:rsidRPr="00590EA6">
        <w:rPr>
          <w:rFonts w:eastAsia="Arial Unicode MS"/>
          <w:noProof/>
        </w:rPr>
        <w:t>act will become binding on the parties in accordance with Article</w:t>
      </w:r>
      <w:r w:rsidR="00590EA6">
        <w:rPr>
          <w:rFonts w:eastAsia="Arial Unicode MS"/>
          <w:noProof/>
        </w:rPr>
        <w:t> </w:t>
      </w:r>
      <w:r w:rsidR="00B94F7E" w:rsidRPr="00590EA6">
        <w:rPr>
          <w:rFonts w:eastAsia="Arial Unicode MS"/>
          <w:noProof/>
        </w:rPr>
        <w:t>25</w:t>
      </w:r>
      <w:r w:rsidR="008B7A10" w:rsidRPr="00590EA6">
        <w:rPr>
          <w:rFonts w:eastAsia="Arial Unicode MS"/>
          <w:noProof/>
        </w:rPr>
        <w:t>(1)</w:t>
      </w:r>
      <w:r w:rsidRPr="00590EA6">
        <w:rPr>
          <w:rFonts w:eastAsia="Arial Unicode MS"/>
          <w:noProof/>
        </w:rPr>
        <w:t xml:space="preserve"> of the </w:t>
      </w:r>
      <w:r w:rsidR="00B94F7E" w:rsidRPr="00590EA6">
        <w:rPr>
          <w:rFonts w:eastAsia="Arial Unicode MS"/>
          <w:noProof/>
        </w:rPr>
        <w:t>TCT</w:t>
      </w:r>
      <w:r w:rsidRPr="00590EA6">
        <w:rPr>
          <w:rFonts w:eastAsia="Arial Unicode MS"/>
          <w:noProof/>
        </w:rPr>
        <w:t>, which provides</w:t>
      </w:r>
      <w:r w:rsidR="008C049A">
        <w:rPr>
          <w:rFonts w:eastAsia="Arial Unicode MS"/>
          <w:noProof/>
        </w:rPr>
        <w:t xml:space="preserve"> that</w:t>
      </w:r>
      <w:r w:rsidRPr="00590EA6">
        <w:rPr>
          <w:rFonts w:eastAsia="Arial Unicode MS"/>
          <w:noProof/>
        </w:rPr>
        <w:t>: ‘</w:t>
      </w:r>
      <w:r w:rsidR="00B94F7E" w:rsidRPr="00590EA6">
        <w:rPr>
          <w:rFonts w:eastAsia="Arial Unicode MS"/>
          <w:noProof/>
        </w:rPr>
        <w:t>A decision of the Regional Steering Committee shall be binding upon the Contracting Parties</w:t>
      </w:r>
      <w:r w:rsidR="007F5627" w:rsidRPr="00590EA6">
        <w:rPr>
          <w:rFonts w:eastAsia="Arial Unicode MS"/>
          <w:noProof/>
        </w:rPr>
        <w:t xml:space="preserve"> (…)</w:t>
      </w:r>
      <w:r w:rsidRPr="00590EA6">
        <w:rPr>
          <w:rFonts w:eastAsia="Arial Unicode MS"/>
          <w:noProof/>
        </w:rPr>
        <w:t>’</w:t>
      </w:r>
      <w:r w:rsidRPr="00590EA6">
        <w:rPr>
          <w:noProof/>
        </w:rPr>
        <w:t>.</w:t>
      </w:r>
    </w:p>
    <w:p w:rsidR="00B91B58" w:rsidRPr="00590EA6" w:rsidRDefault="006D40CF" w:rsidP="006D40CF">
      <w:pPr>
        <w:pStyle w:val="ManualHeading1"/>
        <w:rPr>
          <w:noProof/>
        </w:rPr>
      </w:pPr>
      <w:r w:rsidRPr="006D40CF">
        <w:rPr>
          <w:noProof/>
        </w:rPr>
        <w:t>3.</w:t>
      </w:r>
      <w:r w:rsidRPr="006D40CF">
        <w:rPr>
          <w:noProof/>
        </w:rPr>
        <w:tab/>
      </w:r>
      <w:r w:rsidR="00B91B58" w:rsidRPr="00590EA6">
        <w:rPr>
          <w:noProof/>
        </w:rPr>
        <w:t>Position to be taken on the Union</w:t>
      </w:r>
      <w:r w:rsidR="007F5627" w:rsidRPr="00590EA6">
        <w:rPr>
          <w:noProof/>
        </w:rPr>
        <w:t>’</w:t>
      </w:r>
      <w:r w:rsidR="00B91B58" w:rsidRPr="00590EA6">
        <w:rPr>
          <w:noProof/>
        </w:rPr>
        <w:t>s behalf</w:t>
      </w:r>
    </w:p>
    <w:p w:rsidR="009F7B31" w:rsidRPr="00590EA6" w:rsidRDefault="00CD74EA" w:rsidP="00D054AA">
      <w:pPr>
        <w:rPr>
          <w:noProof/>
        </w:rPr>
      </w:pPr>
      <w:r w:rsidRPr="00590EA6">
        <w:rPr>
          <w:noProof/>
        </w:rPr>
        <w:t xml:space="preserve">Annex II </w:t>
      </w:r>
      <w:r w:rsidR="008C049A">
        <w:rPr>
          <w:noProof/>
        </w:rPr>
        <w:t>to</w:t>
      </w:r>
      <w:r w:rsidR="008C049A" w:rsidRPr="00590EA6">
        <w:rPr>
          <w:noProof/>
        </w:rPr>
        <w:t xml:space="preserve"> </w:t>
      </w:r>
      <w:r w:rsidRPr="00590EA6">
        <w:rPr>
          <w:noProof/>
        </w:rPr>
        <w:t xml:space="preserve">Decision </w:t>
      </w:r>
      <w:r w:rsidR="00305010">
        <w:rPr>
          <w:noProof/>
        </w:rPr>
        <w:t>No </w:t>
      </w:r>
      <w:r w:rsidRPr="00590EA6">
        <w:rPr>
          <w:noProof/>
        </w:rPr>
        <w:t>2019/3 of the Regional Steering Committee</w:t>
      </w:r>
      <w:r w:rsidR="00644E82" w:rsidRPr="00590EA6">
        <w:rPr>
          <w:noProof/>
        </w:rPr>
        <w:t xml:space="preserve"> sets out the Staff Regulations of the Transport Community</w:t>
      </w:r>
      <w:r w:rsidR="00305010">
        <w:rPr>
          <w:noProof/>
        </w:rPr>
        <w:t>. It</w:t>
      </w:r>
      <w:r w:rsidR="00644E82" w:rsidRPr="00590EA6">
        <w:rPr>
          <w:noProof/>
        </w:rPr>
        <w:t xml:space="preserve"> </w:t>
      </w:r>
      <w:r w:rsidRPr="00590EA6">
        <w:rPr>
          <w:noProof/>
        </w:rPr>
        <w:t xml:space="preserve">states in Section 9.1 that the salary scale corresponding to the classification of posts in the </w:t>
      </w:r>
      <w:r w:rsidR="006F79DB" w:rsidRPr="00590EA6">
        <w:rPr>
          <w:noProof/>
        </w:rPr>
        <w:t xml:space="preserve">Permanent </w:t>
      </w:r>
      <w:r w:rsidRPr="00590EA6">
        <w:rPr>
          <w:noProof/>
        </w:rPr>
        <w:t>Secretariat</w:t>
      </w:r>
      <w:r w:rsidR="00D665D1">
        <w:rPr>
          <w:noProof/>
        </w:rPr>
        <w:t>,</w:t>
      </w:r>
      <w:r w:rsidRPr="00590EA6">
        <w:rPr>
          <w:noProof/>
        </w:rPr>
        <w:t xml:space="preserve"> </w:t>
      </w:r>
      <w:r w:rsidR="00D665D1">
        <w:rPr>
          <w:noProof/>
        </w:rPr>
        <w:t xml:space="preserve">which is </w:t>
      </w:r>
      <w:r w:rsidRPr="00590EA6">
        <w:rPr>
          <w:noProof/>
        </w:rPr>
        <w:t>provided in the Appendix to th</w:t>
      </w:r>
      <w:r w:rsidR="00976213" w:rsidRPr="00590EA6">
        <w:rPr>
          <w:noProof/>
        </w:rPr>
        <w:t>os</w:t>
      </w:r>
      <w:r w:rsidRPr="00590EA6">
        <w:rPr>
          <w:noProof/>
        </w:rPr>
        <w:t>e Staff Regulations</w:t>
      </w:r>
      <w:r w:rsidR="00D665D1">
        <w:rPr>
          <w:noProof/>
        </w:rPr>
        <w:t>,</w:t>
      </w:r>
      <w:r w:rsidRPr="00590EA6">
        <w:rPr>
          <w:noProof/>
        </w:rPr>
        <w:t xml:space="preserve"> </w:t>
      </w:r>
      <w:r w:rsidR="008C049A">
        <w:rPr>
          <w:noProof/>
        </w:rPr>
        <w:t>is to</w:t>
      </w:r>
      <w:r w:rsidR="008C049A" w:rsidRPr="00590EA6">
        <w:rPr>
          <w:noProof/>
        </w:rPr>
        <w:t xml:space="preserve"> </w:t>
      </w:r>
      <w:r w:rsidRPr="00590EA6">
        <w:rPr>
          <w:noProof/>
        </w:rPr>
        <w:t xml:space="preserve">be regularly reviewed by the </w:t>
      </w:r>
      <w:r w:rsidR="00D054AA" w:rsidRPr="00590EA6">
        <w:rPr>
          <w:noProof/>
        </w:rPr>
        <w:t xml:space="preserve">Regional </w:t>
      </w:r>
      <w:r w:rsidRPr="00590EA6">
        <w:rPr>
          <w:noProof/>
        </w:rPr>
        <w:t>Steering Committee</w:t>
      </w:r>
      <w:r w:rsidR="00305010">
        <w:rPr>
          <w:noProof/>
        </w:rPr>
        <w:t>. This is</w:t>
      </w:r>
      <w:r w:rsidRPr="00590EA6">
        <w:rPr>
          <w:noProof/>
        </w:rPr>
        <w:t xml:space="preserve"> to ensure that </w:t>
      </w:r>
      <w:r w:rsidR="00BD05D6">
        <w:rPr>
          <w:noProof/>
        </w:rPr>
        <w:t>salaries</w:t>
      </w:r>
      <w:r w:rsidR="00BD05D6" w:rsidRPr="00590EA6">
        <w:rPr>
          <w:noProof/>
        </w:rPr>
        <w:t xml:space="preserve"> </w:t>
      </w:r>
      <w:r w:rsidRPr="00590EA6">
        <w:rPr>
          <w:noProof/>
        </w:rPr>
        <w:t>remain competitive and in line with the requirements of the Secretariat.</w:t>
      </w:r>
      <w:r w:rsidR="00D054AA" w:rsidRPr="00590EA6">
        <w:rPr>
          <w:noProof/>
        </w:rPr>
        <w:t xml:space="preserve"> </w:t>
      </w:r>
      <w:r w:rsidR="00D219A9" w:rsidRPr="00590EA6">
        <w:rPr>
          <w:noProof/>
        </w:rPr>
        <w:t>However</w:t>
      </w:r>
      <w:r w:rsidR="00D054AA" w:rsidRPr="00590EA6">
        <w:rPr>
          <w:noProof/>
        </w:rPr>
        <w:t xml:space="preserve">, </w:t>
      </w:r>
      <w:r w:rsidR="00D219A9" w:rsidRPr="00590EA6">
        <w:rPr>
          <w:noProof/>
        </w:rPr>
        <w:t xml:space="preserve">the Staff Regulations do not </w:t>
      </w:r>
      <w:r w:rsidR="00305010">
        <w:rPr>
          <w:noProof/>
        </w:rPr>
        <w:t>set out</w:t>
      </w:r>
      <w:r w:rsidR="00305010" w:rsidRPr="00590EA6">
        <w:rPr>
          <w:noProof/>
        </w:rPr>
        <w:t xml:space="preserve"> </w:t>
      </w:r>
      <w:r w:rsidR="00D219A9" w:rsidRPr="00590EA6">
        <w:rPr>
          <w:noProof/>
        </w:rPr>
        <w:t>a mechanism for annual</w:t>
      </w:r>
      <w:r w:rsidR="00305010">
        <w:rPr>
          <w:noProof/>
        </w:rPr>
        <w:t>ly</w:t>
      </w:r>
      <w:r w:rsidR="00D219A9" w:rsidRPr="00590EA6">
        <w:rPr>
          <w:noProof/>
        </w:rPr>
        <w:t xml:space="preserve"> adjust</w:t>
      </w:r>
      <w:r w:rsidR="00305010">
        <w:rPr>
          <w:noProof/>
        </w:rPr>
        <w:t>ing</w:t>
      </w:r>
      <w:r w:rsidR="00D219A9" w:rsidRPr="00590EA6">
        <w:rPr>
          <w:noProof/>
        </w:rPr>
        <w:t xml:space="preserve"> staff salaries in line with inflation. As a result, the salary grid has remained unchanged since its adoption in June 2019. This has substantial</w:t>
      </w:r>
      <w:r w:rsidR="00305010">
        <w:rPr>
          <w:noProof/>
        </w:rPr>
        <w:t>ly</w:t>
      </w:r>
      <w:r w:rsidR="00D219A9" w:rsidRPr="00590EA6">
        <w:rPr>
          <w:noProof/>
        </w:rPr>
        <w:t xml:space="preserve"> ero</w:t>
      </w:r>
      <w:r w:rsidR="00305010">
        <w:rPr>
          <w:noProof/>
        </w:rPr>
        <w:t>ded</w:t>
      </w:r>
      <w:r w:rsidR="00D219A9" w:rsidRPr="00590EA6">
        <w:rPr>
          <w:noProof/>
        </w:rPr>
        <w:t xml:space="preserve"> the purchasing power of the staff of the Permanent Secretariat.</w:t>
      </w:r>
    </w:p>
    <w:p w:rsidR="00E254D0" w:rsidRPr="00590EA6" w:rsidRDefault="005521DF" w:rsidP="00D054AA">
      <w:pPr>
        <w:rPr>
          <w:noProof/>
        </w:rPr>
      </w:pPr>
      <w:r w:rsidRPr="00590EA6">
        <w:rPr>
          <w:noProof/>
        </w:rPr>
        <w:t>As a result, the Permanent Secretariat has emphasi</w:t>
      </w:r>
      <w:r w:rsidR="00590EA6">
        <w:rPr>
          <w:noProof/>
        </w:rPr>
        <w:t>s</w:t>
      </w:r>
      <w:r w:rsidRPr="00590EA6">
        <w:rPr>
          <w:noProof/>
        </w:rPr>
        <w:t>ed that the competitiveness of the salary scale has significantly declined. This has already contributed to a noticeable decrease in the number of applications for open positions, as well as increased staff turnover.</w:t>
      </w:r>
    </w:p>
    <w:p w:rsidR="00B91B58" w:rsidRPr="00590EA6" w:rsidRDefault="009378E9" w:rsidP="00373FA5">
      <w:pPr>
        <w:rPr>
          <w:noProof/>
        </w:rPr>
      </w:pPr>
      <w:r>
        <w:rPr>
          <w:noProof/>
        </w:rPr>
        <w:t>T</w:t>
      </w:r>
      <w:r w:rsidR="00402DE1" w:rsidRPr="00590EA6">
        <w:rPr>
          <w:noProof/>
        </w:rPr>
        <w:t>he Regional Steering Committee therefore</w:t>
      </w:r>
      <w:r>
        <w:rPr>
          <w:noProof/>
        </w:rPr>
        <w:t xml:space="preserve"> needs to adopt the planned act</w:t>
      </w:r>
      <w:r w:rsidR="00402DE1" w:rsidRPr="00590EA6">
        <w:rPr>
          <w:noProof/>
        </w:rPr>
        <w:t xml:space="preserve"> </w:t>
      </w:r>
      <w:r w:rsidR="00976213" w:rsidRPr="00590EA6">
        <w:rPr>
          <w:noProof/>
        </w:rPr>
        <w:t xml:space="preserve">to ensure that the salary </w:t>
      </w:r>
      <w:r w:rsidR="00C70D00" w:rsidRPr="00590EA6">
        <w:rPr>
          <w:noProof/>
        </w:rPr>
        <w:t>grid</w:t>
      </w:r>
      <w:r w:rsidR="00976213" w:rsidRPr="00590EA6">
        <w:rPr>
          <w:noProof/>
        </w:rPr>
        <w:t xml:space="preserve"> of the Permanent Secretariat remains competitive, and thus to ensure</w:t>
      </w:r>
      <w:r w:rsidR="00402DE1" w:rsidRPr="00590EA6">
        <w:rPr>
          <w:noProof/>
        </w:rPr>
        <w:t xml:space="preserve"> the proper functioning of the Permanent Secretariat. As the Union is a party to the TCT, it is necessary to establish a Union position on the </w:t>
      </w:r>
      <w:r>
        <w:rPr>
          <w:noProof/>
        </w:rPr>
        <w:t>planned</w:t>
      </w:r>
      <w:r w:rsidRPr="00590EA6">
        <w:rPr>
          <w:noProof/>
        </w:rPr>
        <w:t xml:space="preserve"> </w:t>
      </w:r>
      <w:r w:rsidR="002B28D7" w:rsidRPr="00590EA6">
        <w:rPr>
          <w:noProof/>
        </w:rPr>
        <w:t>act</w:t>
      </w:r>
      <w:r w:rsidR="00402DE1" w:rsidRPr="00590EA6">
        <w:rPr>
          <w:noProof/>
        </w:rPr>
        <w:t>.</w:t>
      </w:r>
    </w:p>
    <w:p w:rsidR="00B91B58" w:rsidRPr="00590EA6" w:rsidRDefault="006D40CF" w:rsidP="006D40CF">
      <w:pPr>
        <w:pStyle w:val="ManualHeading1"/>
        <w:rPr>
          <w:noProof/>
        </w:rPr>
      </w:pPr>
      <w:r w:rsidRPr="006D40CF">
        <w:rPr>
          <w:noProof/>
        </w:rPr>
        <w:t>4.</w:t>
      </w:r>
      <w:r w:rsidRPr="006D40CF">
        <w:rPr>
          <w:noProof/>
        </w:rPr>
        <w:tab/>
      </w:r>
      <w:r w:rsidR="00B91B58" w:rsidRPr="00590EA6">
        <w:rPr>
          <w:noProof/>
        </w:rPr>
        <w:t>Legal basis</w:t>
      </w:r>
    </w:p>
    <w:p w:rsidR="00B91B58" w:rsidRPr="00590EA6" w:rsidRDefault="006D40CF" w:rsidP="006D40CF">
      <w:pPr>
        <w:pStyle w:val="ManualHeading2"/>
        <w:rPr>
          <w:noProof/>
        </w:rPr>
      </w:pPr>
      <w:r w:rsidRPr="006D40CF">
        <w:rPr>
          <w:noProof/>
        </w:rPr>
        <w:t>4.1.</w:t>
      </w:r>
      <w:r w:rsidRPr="006D40CF">
        <w:rPr>
          <w:noProof/>
        </w:rPr>
        <w:tab/>
      </w:r>
      <w:r w:rsidR="00B91B58" w:rsidRPr="00590EA6">
        <w:rPr>
          <w:noProof/>
        </w:rPr>
        <w:t>Procedural legal basis</w:t>
      </w:r>
    </w:p>
    <w:p w:rsidR="00B91B58" w:rsidRPr="00590EA6" w:rsidRDefault="006D40CF" w:rsidP="006D40CF">
      <w:pPr>
        <w:pStyle w:val="ManualHeading3"/>
        <w:rPr>
          <w:noProof/>
        </w:rPr>
      </w:pPr>
      <w:r w:rsidRPr="006D40CF">
        <w:rPr>
          <w:noProof/>
        </w:rPr>
        <w:t>4.1.1.</w:t>
      </w:r>
      <w:r w:rsidRPr="006D40CF">
        <w:rPr>
          <w:noProof/>
        </w:rPr>
        <w:tab/>
      </w:r>
      <w:r w:rsidR="00B91B58" w:rsidRPr="00590EA6">
        <w:rPr>
          <w:noProof/>
        </w:rPr>
        <w:t>Principles</w:t>
      </w:r>
    </w:p>
    <w:p w:rsidR="00B91B58" w:rsidRPr="00590EA6" w:rsidRDefault="00B91B58" w:rsidP="00736AA9">
      <w:pPr>
        <w:rPr>
          <w:noProof/>
        </w:rPr>
      </w:pPr>
      <w:r w:rsidRPr="00590EA6">
        <w:rPr>
          <w:noProof/>
        </w:rPr>
        <w:t>Article</w:t>
      </w:r>
      <w:r w:rsidR="00590EA6">
        <w:rPr>
          <w:noProof/>
        </w:rPr>
        <w:t> </w:t>
      </w:r>
      <w:r w:rsidRPr="00590EA6">
        <w:rPr>
          <w:noProof/>
        </w:rPr>
        <w:t xml:space="preserve">218(9) of the Treaty on the Functioning of the European Union (TFEU) provides for </w:t>
      </w:r>
      <w:r w:rsidR="00976213" w:rsidRPr="00590EA6">
        <w:rPr>
          <w:noProof/>
        </w:rPr>
        <w:t xml:space="preserve">Council </w:t>
      </w:r>
      <w:r w:rsidRPr="00590EA6">
        <w:rPr>
          <w:noProof/>
        </w:rPr>
        <w:t>decisions establishing ‘</w:t>
      </w:r>
      <w:r w:rsidRPr="00590EA6">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590EA6">
        <w:rPr>
          <w:noProof/>
        </w:rPr>
        <w:t>’</w:t>
      </w:r>
      <w:r w:rsidR="00A94645">
        <w:rPr>
          <w:noProof/>
        </w:rPr>
        <w:t>.</w:t>
      </w:r>
    </w:p>
    <w:p w:rsidR="00B91B58" w:rsidRPr="00590EA6" w:rsidRDefault="00B91B58" w:rsidP="00736AA9">
      <w:pPr>
        <w:rPr>
          <w:noProof/>
        </w:rPr>
      </w:pPr>
      <w:r w:rsidRPr="00590EA6">
        <w:rPr>
          <w:noProof/>
        </w:rPr>
        <w:t>The concept of ‘</w:t>
      </w:r>
      <w:r w:rsidRPr="00590EA6">
        <w:rPr>
          <w:i/>
          <w:noProof/>
        </w:rPr>
        <w:t>acts having legal effects</w:t>
      </w:r>
      <w:r w:rsidRPr="00590EA6">
        <w:rPr>
          <w:noProof/>
        </w:rPr>
        <w:t>’ includes acts that have legal effects by virtue of the rules of international law governing the body in question. It also includes instruments that do not have a binding effect under international law, but that are ‘</w:t>
      </w:r>
      <w:r w:rsidRPr="00590EA6">
        <w:rPr>
          <w:i/>
          <w:noProof/>
        </w:rPr>
        <w:t>capable of decisively influencing the content of the legislation adopted by the EU legislature</w:t>
      </w:r>
      <w:r w:rsidRPr="00590EA6">
        <w:rPr>
          <w:noProof/>
        </w:rPr>
        <w:t>’</w:t>
      </w:r>
      <w:r w:rsidRPr="00590EA6">
        <w:rPr>
          <w:rStyle w:val="FootnoteReference"/>
          <w:noProof/>
        </w:rPr>
        <w:footnoteReference w:id="4"/>
      </w:r>
      <w:r w:rsidRPr="00590EA6">
        <w:rPr>
          <w:noProof/>
        </w:rPr>
        <w:t>.</w:t>
      </w:r>
    </w:p>
    <w:p w:rsidR="00B91B58" w:rsidRPr="00590EA6" w:rsidRDefault="006D40CF" w:rsidP="006D40CF">
      <w:pPr>
        <w:pStyle w:val="ManualHeading3"/>
        <w:rPr>
          <w:noProof/>
        </w:rPr>
      </w:pPr>
      <w:r w:rsidRPr="006D40CF">
        <w:rPr>
          <w:noProof/>
        </w:rPr>
        <w:t>4.1.2.</w:t>
      </w:r>
      <w:r w:rsidRPr="006D40CF">
        <w:rPr>
          <w:noProof/>
        </w:rPr>
        <w:tab/>
      </w:r>
      <w:r w:rsidR="00B91B58" w:rsidRPr="00590EA6">
        <w:rPr>
          <w:noProof/>
        </w:rPr>
        <w:t>Application to the present case</w:t>
      </w:r>
    </w:p>
    <w:p w:rsidR="00403048" w:rsidRPr="00590EA6" w:rsidRDefault="00403048" w:rsidP="00403048">
      <w:pPr>
        <w:rPr>
          <w:noProof/>
        </w:rPr>
      </w:pPr>
      <w:r w:rsidRPr="00590EA6">
        <w:rPr>
          <w:noProof/>
        </w:rPr>
        <w:t>The Regional Steering Committee is a body set up by an agreement, namely the TCT.</w:t>
      </w:r>
    </w:p>
    <w:p w:rsidR="007614DB" w:rsidRPr="00590EA6" w:rsidRDefault="00403048" w:rsidP="00403048">
      <w:pPr>
        <w:rPr>
          <w:noProof/>
        </w:rPr>
      </w:pPr>
      <w:r w:rsidRPr="00590EA6">
        <w:rPr>
          <w:noProof/>
        </w:rPr>
        <w:t>The Regional Steering Committee is empowered to lay down rules of the Permanent Secretariat in accordance with Article</w:t>
      </w:r>
      <w:r w:rsidR="00590EA6">
        <w:rPr>
          <w:noProof/>
        </w:rPr>
        <w:t> </w:t>
      </w:r>
      <w:r w:rsidRPr="00590EA6">
        <w:rPr>
          <w:noProof/>
        </w:rPr>
        <w:t>30 of the TCT. Moreover, under Article</w:t>
      </w:r>
      <w:r w:rsidR="00590EA6">
        <w:rPr>
          <w:noProof/>
        </w:rPr>
        <w:t> </w:t>
      </w:r>
      <w:r w:rsidRPr="00590EA6">
        <w:rPr>
          <w:noProof/>
        </w:rPr>
        <w:t>24(1) of the TCT, the Regional Steering Committee is tasked with the administration of th</w:t>
      </w:r>
      <w:r w:rsidR="00D665D1">
        <w:rPr>
          <w:noProof/>
        </w:rPr>
        <w:t>at</w:t>
      </w:r>
      <w:r w:rsidRPr="00590EA6">
        <w:rPr>
          <w:noProof/>
        </w:rPr>
        <w:t xml:space="preserve"> Treaty and ensuring its proper implementation. Lastly, under Article</w:t>
      </w:r>
      <w:r w:rsidR="00590EA6">
        <w:rPr>
          <w:noProof/>
        </w:rPr>
        <w:t> </w:t>
      </w:r>
      <w:r w:rsidRPr="00590EA6">
        <w:rPr>
          <w:noProof/>
        </w:rPr>
        <w:t>35 of the TCT, the Regional Steering Committee is empowered to adopt the budget and the related financial governing rules. Pursuant to Article</w:t>
      </w:r>
      <w:r w:rsidR="00590EA6">
        <w:rPr>
          <w:noProof/>
        </w:rPr>
        <w:t> </w:t>
      </w:r>
      <w:r w:rsidRPr="00590EA6">
        <w:rPr>
          <w:noProof/>
        </w:rPr>
        <w:t xml:space="preserve">25(1) of the TCT, decisions of the Regional Steering Committee </w:t>
      </w:r>
      <w:r w:rsidR="009378E9">
        <w:rPr>
          <w:noProof/>
        </w:rPr>
        <w:t>are</w:t>
      </w:r>
      <w:r w:rsidRPr="00590EA6">
        <w:rPr>
          <w:noProof/>
        </w:rPr>
        <w:t xml:space="preserve"> binding on the Contracting Parties. Consequently, the act which the Regional Steering Committee is called upon to adopt constitutes an act having legal effects</w:t>
      </w:r>
      <w:r w:rsidR="007614DB" w:rsidRPr="00590EA6">
        <w:rPr>
          <w:noProof/>
        </w:rPr>
        <w:t>.</w:t>
      </w:r>
    </w:p>
    <w:p w:rsidR="00B91B58" w:rsidRPr="00590EA6" w:rsidRDefault="00B91B58" w:rsidP="00736AA9">
      <w:pPr>
        <w:rPr>
          <w:noProof/>
        </w:rPr>
      </w:pPr>
      <w:r w:rsidRPr="00590EA6">
        <w:rPr>
          <w:noProof/>
        </w:rPr>
        <w:t xml:space="preserve">The </w:t>
      </w:r>
      <w:r w:rsidR="009378E9">
        <w:rPr>
          <w:noProof/>
        </w:rPr>
        <w:t>planned</w:t>
      </w:r>
      <w:r w:rsidR="009378E9" w:rsidRPr="00590EA6">
        <w:rPr>
          <w:noProof/>
        </w:rPr>
        <w:t xml:space="preserve"> </w:t>
      </w:r>
      <w:r w:rsidRPr="00590EA6">
        <w:rPr>
          <w:noProof/>
        </w:rPr>
        <w:t xml:space="preserve">act does not supplement or amend the institutional framework of the </w:t>
      </w:r>
      <w:r w:rsidR="00976213" w:rsidRPr="00590EA6">
        <w:rPr>
          <w:noProof/>
        </w:rPr>
        <w:t>TCT</w:t>
      </w:r>
      <w:r w:rsidRPr="00590EA6">
        <w:rPr>
          <w:noProof/>
        </w:rPr>
        <w:t>.</w:t>
      </w:r>
    </w:p>
    <w:p w:rsidR="00B91B58" w:rsidRPr="00590EA6" w:rsidRDefault="00B91B58" w:rsidP="00736AA9">
      <w:pPr>
        <w:rPr>
          <w:noProof/>
        </w:rPr>
      </w:pPr>
      <w:r w:rsidRPr="00590EA6">
        <w:rPr>
          <w:noProof/>
        </w:rPr>
        <w:t>Therefore, the procedural legal basis for the proposed decision is Article</w:t>
      </w:r>
      <w:r w:rsidR="00590EA6">
        <w:rPr>
          <w:noProof/>
        </w:rPr>
        <w:t> </w:t>
      </w:r>
      <w:r w:rsidRPr="00590EA6">
        <w:rPr>
          <w:noProof/>
        </w:rPr>
        <w:t>218(9) TFEU.</w:t>
      </w:r>
    </w:p>
    <w:p w:rsidR="00B91B58" w:rsidRPr="00590EA6" w:rsidRDefault="006D40CF" w:rsidP="006D40CF">
      <w:pPr>
        <w:pStyle w:val="ManualHeading2"/>
        <w:rPr>
          <w:noProof/>
        </w:rPr>
      </w:pPr>
      <w:r w:rsidRPr="006D40CF">
        <w:rPr>
          <w:noProof/>
        </w:rPr>
        <w:t>4.2.</w:t>
      </w:r>
      <w:r w:rsidRPr="006D40CF">
        <w:rPr>
          <w:noProof/>
        </w:rPr>
        <w:tab/>
      </w:r>
      <w:r w:rsidR="00B91B58" w:rsidRPr="00590EA6">
        <w:rPr>
          <w:noProof/>
        </w:rPr>
        <w:t>Substantive legal basis</w:t>
      </w:r>
    </w:p>
    <w:p w:rsidR="00B91B58" w:rsidRPr="00590EA6" w:rsidRDefault="006D40CF" w:rsidP="006D40CF">
      <w:pPr>
        <w:pStyle w:val="ManualHeading3"/>
        <w:rPr>
          <w:noProof/>
        </w:rPr>
      </w:pPr>
      <w:r w:rsidRPr="006D40CF">
        <w:rPr>
          <w:noProof/>
        </w:rPr>
        <w:t>4.2.1.</w:t>
      </w:r>
      <w:r w:rsidRPr="006D40CF">
        <w:rPr>
          <w:noProof/>
        </w:rPr>
        <w:tab/>
      </w:r>
      <w:r w:rsidR="00B91B58" w:rsidRPr="00590EA6">
        <w:rPr>
          <w:noProof/>
        </w:rPr>
        <w:t>Principles</w:t>
      </w:r>
    </w:p>
    <w:p w:rsidR="00B91B58" w:rsidRPr="00590EA6" w:rsidRDefault="00B91B58" w:rsidP="00736AA9">
      <w:pPr>
        <w:rPr>
          <w:noProof/>
        </w:rPr>
      </w:pPr>
      <w:r w:rsidRPr="00590EA6">
        <w:rPr>
          <w:noProof/>
        </w:rPr>
        <w:t>The substantive legal basis for a decision under Article</w:t>
      </w:r>
      <w:r w:rsidR="00590EA6">
        <w:rPr>
          <w:noProof/>
        </w:rPr>
        <w:t> </w:t>
      </w:r>
      <w:r w:rsidRPr="00590EA6">
        <w:rPr>
          <w:noProof/>
        </w:rPr>
        <w:t xml:space="preserve">218(9) TFEU depends primarily on the objective and content of the </w:t>
      </w:r>
      <w:r w:rsidR="009378E9">
        <w:rPr>
          <w:noProof/>
        </w:rPr>
        <w:t>planned</w:t>
      </w:r>
      <w:r w:rsidR="009378E9" w:rsidRPr="00590EA6">
        <w:rPr>
          <w:noProof/>
        </w:rPr>
        <w:t xml:space="preserve"> </w:t>
      </w:r>
      <w:r w:rsidRPr="00590EA6">
        <w:rPr>
          <w:noProof/>
        </w:rPr>
        <w:t>act in respect of which a position is taken on the Union</w:t>
      </w:r>
      <w:r w:rsidR="00590EA6">
        <w:rPr>
          <w:noProof/>
        </w:rPr>
        <w:t>’</w:t>
      </w:r>
      <w:r w:rsidRPr="00590EA6">
        <w:rPr>
          <w:noProof/>
        </w:rPr>
        <w:t xml:space="preserve">s behalf. If the </w:t>
      </w:r>
      <w:r w:rsidR="00BA5D3A">
        <w:rPr>
          <w:noProof/>
        </w:rPr>
        <w:t>planned</w:t>
      </w:r>
      <w:r w:rsidR="00BA5D3A" w:rsidRPr="00590EA6">
        <w:rPr>
          <w:noProof/>
        </w:rPr>
        <w:t xml:space="preserve"> </w:t>
      </w:r>
      <w:r w:rsidRPr="00590EA6">
        <w:rPr>
          <w:noProof/>
        </w:rPr>
        <w:t>act pursues two aims or has two components and if one of those aims or components is identifiable as the main one, whereas the other is merely incidental, the decision under Article</w:t>
      </w:r>
      <w:r w:rsidR="00590EA6">
        <w:rPr>
          <w:noProof/>
        </w:rPr>
        <w:t> </w:t>
      </w:r>
      <w:r w:rsidRPr="00590EA6">
        <w:rPr>
          <w:noProof/>
        </w:rPr>
        <w:t>218(9) TFEU must be founded on a single substantive legal basis, namely that required by the main or predominant aim or component.</w:t>
      </w:r>
    </w:p>
    <w:p w:rsidR="00B91B58" w:rsidRPr="00590EA6" w:rsidRDefault="00B91B58" w:rsidP="00736AA9">
      <w:pPr>
        <w:rPr>
          <w:noProof/>
        </w:rPr>
      </w:pPr>
      <w:r w:rsidRPr="00590EA6">
        <w:rPr>
          <w:noProof/>
        </w:rPr>
        <w:t xml:space="preserve">With regard to a </w:t>
      </w:r>
      <w:r w:rsidR="00BA5D3A">
        <w:rPr>
          <w:noProof/>
        </w:rPr>
        <w:t>planned</w:t>
      </w:r>
      <w:r w:rsidR="00BA5D3A" w:rsidRPr="00590EA6">
        <w:rPr>
          <w:noProof/>
        </w:rPr>
        <w:t xml:space="preserve"> </w:t>
      </w:r>
      <w:r w:rsidRPr="00590EA6">
        <w:rPr>
          <w:noProof/>
        </w:rPr>
        <w:t>act that simultaneously pursues a number of objectives, or that has several components, which are inseparably linked without one being incidental to the other, the substantive legal basis of a decision under Article</w:t>
      </w:r>
      <w:r w:rsidR="00590EA6">
        <w:rPr>
          <w:noProof/>
        </w:rPr>
        <w:t> </w:t>
      </w:r>
      <w:r w:rsidRPr="00590EA6">
        <w:rPr>
          <w:noProof/>
        </w:rPr>
        <w:t>218(9) TFEU will have to include, exceptionally, the various corresponding legal bases.</w:t>
      </w:r>
    </w:p>
    <w:p w:rsidR="00B91B58" w:rsidRPr="00590EA6" w:rsidRDefault="006D40CF" w:rsidP="006D40CF">
      <w:pPr>
        <w:pStyle w:val="ManualHeading3"/>
        <w:rPr>
          <w:noProof/>
        </w:rPr>
      </w:pPr>
      <w:r w:rsidRPr="006D40CF">
        <w:rPr>
          <w:noProof/>
        </w:rPr>
        <w:t>4.2.2.</w:t>
      </w:r>
      <w:r w:rsidRPr="006D40CF">
        <w:rPr>
          <w:noProof/>
        </w:rPr>
        <w:tab/>
      </w:r>
      <w:r w:rsidR="00B91B58" w:rsidRPr="00590EA6">
        <w:rPr>
          <w:noProof/>
        </w:rPr>
        <w:t>Application to the present case</w:t>
      </w:r>
    </w:p>
    <w:p w:rsidR="00251930" w:rsidRPr="00590EA6" w:rsidRDefault="00251930" w:rsidP="00251930">
      <w:pPr>
        <w:rPr>
          <w:noProof/>
        </w:rPr>
      </w:pPr>
      <w:r w:rsidRPr="00590EA6">
        <w:rPr>
          <w:noProof/>
        </w:rPr>
        <w:t xml:space="preserve">The </w:t>
      </w:r>
      <w:r w:rsidR="00BA5D3A">
        <w:rPr>
          <w:noProof/>
        </w:rPr>
        <w:t>planned</w:t>
      </w:r>
      <w:r w:rsidR="00BA5D3A" w:rsidRPr="00590EA6">
        <w:rPr>
          <w:noProof/>
        </w:rPr>
        <w:t xml:space="preserve"> </w:t>
      </w:r>
      <w:r w:rsidRPr="00590EA6">
        <w:rPr>
          <w:noProof/>
        </w:rPr>
        <w:t xml:space="preserve">act is necessary for the proper functioning of the TCT. </w:t>
      </w:r>
      <w:r w:rsidR="009378E9">
        <w:rPr>
          <w:noProof/>
        </w:rPr>
        <w:t>T</w:t>
      </w:r>
      <w:r w:rsidRPr="00590EA6">
        <w:rPr>
          <w:noProof/>
        </w:rPr>
        <w:t>he TCT pursues objectives and has components in the areas of road, rail and inland waterways transport, which are modes covered by Article</w:t>
      </w:r>
      <w:r w:rsidR="00590EA6">
        <w:rPr>
          <w:noProof/>
        </w:rPr>
        <w:t> </w:t>
      </w:r>
      <w:r w:rsidRPr="00590EA6">
        <w:rPr>
          <w:noProof/>
        </w:rPr>
        <w:t>91 TFEU</w:t>
      </w:r>
      <w:r w:rsidR="009378E9">
        <w:rPr>
          <w:noProof/>
        </w:rPr>
        <w:t>,</w:t>
      </w:r>
      <w:r w:rsidRPr="00590EA6">
        <w:rPr>
          <w:noProof/>
        </w:rPr>
        <w:t xml:space="preserve"> as well as in the area of sea transport, a mode covered by Article</w:t>
      </w:r>
      <w:r w:rsidR="00590EA6">
        <w:rPr>
          <w:noProof/>
        </w:rPr>
        <w:t> </w:t>
      </w:r>
      <w:r w:rsidRPr="00590EA6">
        <w:rPr>
          <w:noProof/>
        </w:rPr>
        <w:t xml:space="preserve">100(2) TFEU. Because of its horizontal nature, the </w:t>
      </w:r>
      <w:r w:rsidR="00BA5D3A">
        <w:rPr>
          <w:noProof/>
        </w:rPr>
        <w:t>planned</w:t>
      </w:r>
      <w:r w:rsidR="00BA5D3A" w:rsidRPr="00590EA6">
        <w:rPr>
          <w:noProof/>
        </w:rPr>
        <w:t xml:space="preserve"> </w:t>
      </w:r>
      <w:r w:rsidRPr="00590EA6">
        <w:rPr>
          <w:noProof/>
        </w:rPr>
        <w:t xml:space="preserve">act pertains to all these </w:t>
      </w:r>
      <w:r w:rsidR="00BA5254">
        <w:rPr>
          <w:noProof/>
        </w:rPr>
        <w:t>aspects</w:t>
      </w:r>
      <w:r w:rsidRPr="00590EA6">
        <w:rPr>
          <w:noProof/>
        </w:rPr>
        <w:t>.</w:t>
      </w:r>
    </w:p>
    <w:p w:rsidR="00B91B58" w:rsidRPr="00590EA6" w:rsidRDefault="00251930" w:rsidP="00736AA9">
      <w:pPr>
        <w:rPr>
          <w:noProof/>
        </w:rPr>
      </w:pPr>
      <w:r w:rsidRPr="00590EA6">
        <w:rPr>
          <w:noProof/>
        </w:rPr>
        <w:t>Therefore, the substantive legal basis of the proposed decision comprises the following provisions: Articles 91 and 100(2) TFEU.</w:t>
      </w:r>
    </w:p>
    <w:p w:rsidR="00B91B58" w:rsidRPr="00590EA6" w:rsidRDefault="006D40CF" w:rsidP="006D40CF">
      <w:pPr>
        <w:pStyle w:val="ManualHeading2"/>
        <w:rPr>
          <w:noProof/>
        </w:rPr>
      </w:pPr>
      <w:r w:rsidRPr="006D40CF">
        <w:rPr>
          <w:noProof/>
        </w:rPr>
        <w:t>4.3.</w:t>
      </w:r>
      <w:r w:rsidRPr="006D40CF">
        <w:rPr>
          <w:noProof/>
        </w:rPr>
        <w:tab/>
      </w:r>
      <w:r w:rsidR="00B91B58" w:rsidRPr="00590EA6">
        <w:rPr>
          <w:noProof/>
        </w:rPr>
        <w:t>Conclusion</w:t>
      </w:r>
    </w:p>
    <w:p w:rsidR="00B91B58" w:rsidRPr="00590EA6" w:rsidRDefault="00B91B58" w:rsidP="00736AA9">
      <w:pPr>
        <w:rPr>
          <w:noProof/>
        </w:rPr>
      </w:pPr>
      <w:r w:rsidRPr="00590EA6">
        <w:rPr>
          <w:noProof/>
        </w:rPr>
        <w:t>The legal basis of the proposed decision should be</w:t>
      </w:r>
      <w:r w:rsidR="00935D7D" w:rsidRPr="00590EA6">
        <w:rPr>
          <w:noProof/>
        </w:rPr>
        <w:t xml:space="preserve"> Articles 91 and 100(2) TFEU</w:t>
      </w:r>
      <w:r w:rsidRPr="00590EA6">
        <w:rPr>
          <w:noProof/>
        </w:rPr>
        <w:t>, in conjunction with Article</w:t>
      </w:r>
      <w:r w:rsidR="00590EA6">
        <w:rPr>
          <w:noProof/>
        </w:rPr>
        <w:t> </w:t>
      </w:r>
      <w:r w:rsidRPr="00590EA6">
        <w:rPr>
          <w:noProof/>
        </w:rPr>
        <w:t>218(9) TFEU.</w:t>
      </w:r>
    </w:p>
    <w:p w:rsidR="00326414" w:rsidRPr="00590EA6" w:rsidRDefault="00326414" w:rsidP="00FD40BA">
      <w:pPr>
        <w:rPr>
          <w:noProof/>
        </w:rPr>
      </w:pPr>
    </w:p>
    <w:p w:rsidR="00326414" w:rsidRPr="00590EA6" w:rsidRDefault="00326414" w:rsidP="00326414">
      <w:pPr>
        <w:pStyle w:val="ManualHeading1"/>
        <w:rPr>
          <w:noProof/>
        </w:rPr>
      </w:pPr>
      <w:r w:rsidRPr="00590EA6">
        <w:rPr>
          <w:noProof/>
        </w:rPr>
        <w:t>5.</w:t>
      </w:r>
      <w:r w:rsidRPr="00590EA6">
        <w:rPr>
          <w:noProof/>
        </w:rPr>
        <w:tab/>
        <w:t xml:space="preserve">Publication of the </w:t>
      </w:r>
      <w:r w:rsidR="00BA5D3A">
        <w:rPr>
          <w:noProof/>
        </w:rPr>
        <w:t>planned</w:t>
      </w:r>
      <w:r w:rsidR="00BA5D3A" w:rsidRPr="00590EA6">
        <w:rPr>
          <w:noProof/>
        </w:rPr>
        <w:t xml:space="preserve"> </w:t>
      </w:r>
      <w:r w:rsidRPr="00590EA6">
        <w:rPr>
          <w:noProof/>
        </w:rPr>
        <w:t>act</w:t>
      </w:r>
    </w:p>
    <w:p w:rsidR="00326414" w:rsidRPr="00590EA6" w:rsidRDefault="00326414" w:rsidP="00326414">
      <w:pPr>
        <w:pStyle w:val="Body"/>
        <w:rPr>
          <w:noProof/>
          <w:lang w:val="en-GB"/>
        </w:rPr>
      </w:pPr>
      <w:r w:rsidRPr="00590EA6">
        <w:rPr>
          <w:rFonts w:eastAsia="Arial Unicode MS" w:cs="Arial Unicode MS"/>
          <w:noProof/>
          <w:lang w:val="en-GB"/>
        </w:rPr>
        <w:t>In accordance with Article</w:t>
      </w:r>
      <w:r w:rsidR="00590EA6">
        <w:rPr>
          <w:rFonts w:eastAsia="Arial Unicode MS" w:cs="Arial Unicode MS"/>
          <w:noProof/>
          <w:lang w:val="en-GB"/>
        </w:rPr>
        <w:t> </w:t>
      </w:r>
      <w:r w:rsidRPr="00590EA6">
        <w:rPr>
          <w:rFonts w:eastAsia="Arial Unicode MS" w:cs="Arial Unicode MS"/>
          <w:noProof/>
          <w:lang w:val="en-GB"/>
        </w:rPr>
        <w:t>25(2) of the T</w:t>
      </w:r>
      <w:r w:rsidR="00437C2D">
        <w:rPr>
          <w:rFonts w:eastAsia="Arial Unicode MS" w:cs="Arial Unicode MS"/>
          <w:noProof/>
          <w:lang w:val="en-GB"/>
        </w:rPr>
        <w:t>CT</w:t>
      </w:r>
      <w:r w:rsidRPr="00590EA6">
        <w:rPr>
          <w:rFonts w:eastAsia="Arial Unicode MS" w:cs="Arial Unicode MS"/>
          <w:noProof/>
          <w:lang w:val="en-GB"/>
        </w:rPr>
        <w:t xml:space="preserve">, the decisions of the Regional Steering Committee </w:t>
      </w:r>
      <w:r w:rsidR="00BA5D3A">
        <w:rPr>
          <w:rFonts w:eastAsia="Arial Unicode MS" w:cs="Arial Unicode MS"/>
          <w:noProof/>
          <w:lang w:val="en-GB"/>
        </w:rPr>
        <w:t>are</w:t>
      </w:r>
      <w:r w:rsidR="009378E9">
        <w:rPr>
          <w:rFonts w:eastAsia="Arial Unicode MS" w:cs="Arial Unicode MS"/>
          <w:noProof/>
          <w:lang w:val="en-GB"/>
        </w:rPr>
        <w:t xml:space="preserve"> to</w:t>
      </w:r>
      <w:r w:rsidR="009378E9" w:rsidRPr="00590EA6">
        <w:rPr>
          <w:rFonts w:eastAsia="Arial Unicode MS" w:cs="Arial Unicode MS"/>
          <w:noProof/>
          <w:lang w:val="en-GB"/>
        </w:rPr>
        <w:t xml:space="preserve"> </w:t>
      </w:r>
      <w:r w:rsidRPr="00590EA6">
        <w:rPr>
          <w:rFonts w:eastAsia="Arial Unicode MS" w:cs="Arial Unicode MS"/>
          <w:noProof/>
          <w:lang w:val="en-GB"/>
        </w:rPr>
        <w:t xml:space="preserve">be published in the </w:t>
      </w:r>
      <w:r w:rsidRPr="00EC2559">
        <w:rPr>
          <w:rFonts w:eastAsia="Arial Unicode MS" w:cs="Arial Unicode MS"/>
          <w:i/>
          <w:iCs/>
          <w:noProof/>
          <w:lang w:val="en-GB"/>
        </w:rPr>
        <w:t>Official Journal of the European Union</w:t>
      </w:r>
      <w:r w:rsidRPr="00590EA6">
        <w:rPr>
          <w:rFonts w:eastAsia="Arial Unicode MS" w:cs="Arial Unicode MS"/>
          <w:noProof/>
          <w:lang w:val="en-GB"/>
        </w:rPr>
        <w:t>.</w:t>
      </w:r>
    </w:p>
    <w:p w:rsidR="00326414" w:rsidRPr="00590EA6" w:rsidRDefault="00326414" w:rsidP="00FD40BA">
      <w:pPr>
        <w:rPr>
          <w:noProof/>
        </w:rPr>
        <w:sectPr w:rsidR="00326414" w:rsidRPr="00590EA6" w:rsidSect="00AF0B9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E350D9" w:rsidRDefault="00417EB3">
      <w:pPr>
        <w:pStyle w:val="Rfrenceinterinstitutionnelle"/>
        <w:rPr>
          <w:noProof/>
        </w:rPr>
      </w:pPr>
      <w:r>
        <w:rPr>
          <w:noProof/>
        </w:rPr>
        <w:t>2026/0003 (NLE)</w:t>
      </w:r>
    </w:p>
    <w:p w:rsidR="00B91B58" w:rsidRPr="00590EA6" w:rsidRDefault="00404AD2" w:rsidP="00404AD2">
      <w:pPr>
        <w:pStyle w:val="Statut"/>
        <w:rPr>
          <w:noProof/>
        </w:rPr>
      </w:pPr>
      <w:r w:rsidRPr="00590EA6">
        <w:rPr>
          <w:noProof/>
        </w:rPr>
        <w:t>Proposal for a</w:t>
      </w:r>
    </w:p>
    <w:p w:rsidR="00B91B58" w:rsidRPr="00590EA6" w:rsidRDefault="00404AD2" w:rsidP="00404AD2">
      <w:pPr>
        <w:pStyle w:val="Typedudocument"/>
        <w:rPr>
          <w:noProof/>
        </w:rPr>
      </w:pPr>
      <w:r w:rsidRPr="00590EA6">
        <w:rPr>
          <w:noProof/>
        </w:rPr>
        <w:t>COUNCIL DECISION</w:t>
      </w:r>
    </w:p>
    <w:p w:rsidR="00B91B58" w:rsidRPr="00590EA6" w:rsidRDefault="00404AD2" w:rsidP="00404AD2">
      <w:pPr>
        <w:pStyle w:val="Titreobjet"/>
        <w:rPr>
          <w:noProof/>
        </w:rPr>
      </w:pPr>
      <w:r w:rsidRPr="00590EA6">
        <w:rPr>
          <w:noProof/>
        </w:rPr>
        <w:t>on the position to be taken on behalf of the European Union in the Regional Steering Committee of the Transport Community as regards certain changes to the rules on staff salaries of the Transport Community Permanent Secretariat</w:t>
      </w:r>
    </w:p>
    <w:p w:rsidR="00B91B58" w:rsidRPr="00590EA6" w:rsidRDefault="00B91B58" w:rsidP="00BE7CB9">
      <w:pPr>
        <w:pStyle w:val="Institutionquiagit"/>
        <w:rPr>
          <w:noProof/>
        </w:rPr>
      </w:pPr>
      <w:r w:rsidRPr="00590EA6">
        <w:rPr>
          <w:noProof/>
        </w:rPr>
        <w:t>THE COUNCIL OF THE EUROPEAN UNION,</w:t>
      </w:r>
    </w:p>
    <w:p w:rsidR="00B91B58" w:rsidRPr="00590EA6" w:rsidRDefault="00B91B58" w:rsidP="00BE7CB9">
      <w:pPr>
        <w:rPr>
          <w:noProof/>
        </w:rPr>
      </w:pPr>
      <w:r w:rsidRPr="00590EA6">
        <w:rPr>
          <w:noProof/>
        </w:rPr>
        <w:t xml:space="preserve">Having regard to the Treaty on the Functioning of the European Union, and in particular </w:t>
      </w:r>
      <w:r w:rsidR="00DB21AB" w:rsidRPr="00590EA6">
        <w:rPr>
          <w:noProof/>
        </w:rPr>
        <w:t>Article</w:t>
      </w:r>
      <w:r w:rsidR="00590EA6">
        <w:rPr>
          <w:noProof/>
        </w:rPr>
        <w:t> </w:t>
      </w:r>
      <w:r w:rsidR="00DB21AB" w:rsidRPr="00590EA6">
        <w:rPr>
          <w:noProof/>
        </w:rPr>
        <w:t>91 and Article</w:t>
      </w:r>
      <w:r w:rsidR="00590EA6">
        <w:rPr>
          <w:noProof/>
        </w:rPr>
        <w:t> </w:t>
      </w:r>
      <w:r w:rsidR="00DB21AB" w:rsidRPr="00590EA6">
        <w:rPr>
          <w:noProof/>
        </w:rPr>
        <w:t>100(2)</w:t>
      </w:r>
      <w:r w:rsidRPr="00590EA6">
        <w:rPr>
          <w:noProof/>
        </w:rPr>
        <w:t>, in conjunction with Article</w:t>
      </w:r>
      <w:r w:rsidR="00590EA6">
        <w:rPr>
          <w:noProof/>
        </w:rPr>
        <w:t> </w:t>
      </w:r>
      <w:r w:rsidRPr="00590EA6">
        <w:rPr>
          <w:noProof/>
        </w:rPr>
        <w:t>218(9) thereof,</w:t>
      </w:r>
    </w:p>
    <w:p w:rsidR="00B91B58" w:rsidRPr="00590EA6" w:rsidRDefault="00B91B58" w:rsidP="00BE7CB9">
      <w:pPr>
        <w:rPr>
          <w:noProof/>
        </w:rPr>
      </w:pPr>
      <w:r w:rsidRPr="00590EA6">
        <w:rPr>
          <w:noProof/>
        </w:rPr>
        <w:t>Having regard to the proposal from the European Commission,</w:t>
      </w:r>
    </w:p>
    <w:p w:rsidR="00B91B58" w:rsidRPr="00590EA6" w:rsidRDefault="00B91B58" w:rsidP="00BE7CB9">
      <w:pPr>
        <w:rPr>
          <w:noProof/>
        </w:rPr>
      </w:pPr>
      <w:r w:rsidRPr="00590EA6">
        <w:rPr>
          <w:noProof/>
        </w:rPr>
        <w:t>Whereas:</w:t>
      </w:r>
    </w:p>
    <w:p w:rsidR="0035313F" w:rsidRPr="00590EA6" w:rsidRDefault="006D40CF" w:rsidP="006D40CF">
      <w:pPr>
        <w:pStyle w:val="ManualConsidrant"/>
        <w:rPr>
          <w:noProof/>
        </w:rPr>
      </w:pPr>
      <w:r w:rsidRPr="006D40CF">
        <w:rPr>
          <w:noProof/>
        </w:rPr>
        <w:t>(1)</w:t>
      </w:r>
      <w:r w:rsidRPr="006D40CF">
        <w:rPr>
          <w:noProof/>
        </w:rPr>
        <w:tab/>
      </w:r>
      <w:r w:rsidR="0035313F" w:rsidRPr="00590EA6">
        <w:rPr>
          <w:noProof/>
        </w:rPr>
        <w:t>The Treaty establishing the Transport Community (</w:t>
      </w:r>
      <w:r w:rsidR="00326414" w:rsidRPr="00590EA6">
        <w:rPr>
          <w:noProof/>
        </w:rPr>
        <w:t>‘</w:t>
      </w:r>
      <w:r w:rsidR="0035313F" w:rsidRPr="00590EA6">
        <w:rPr>
          <w:noProof/>
        </w:rPr>
        <w:t>the TCT</w:t>
      </w:r>
      <w:r w:rsidR="00326414" w:rsidRPr="00590EA6">
        <w:rPr>
          <w:noProof/>
        </w:rPr>
        <w:t>’</w:t>
      </w:r>
      <w:r w:rsidR="0035313F" w:rsidRPr="00590EA6">
        <w:rPr>
          <w:noProof/>
        </w:rPr>
        <w:t xml:space="preserve">) was </w:t>
      </w:r>
      <w:r w:rsidR="008F4DA7" w:rsidRPr="00590EA6">
        <w:rPr>
          <w:noProof/>
        </w:rPr>
        <w:t xml:space="preserve">approved on behalf of the Union </w:t>
      </w:r>
      <w:r w:rsidR="00326414" w:rsidRPr="00590EA6">
        <w:rPr>
          <w:noProof/>
        </w:rPr>
        <w:t xml:space="preserve">by means of Council Decision (EU) </w:t>
      </w:r>
      <w:r w:rsidR="008F4DA7" w:rsidRPr="00590EA6">
        <w:rPr>
          <w:noProof/>
        </w:rPr>
        <w:t>2019</w:t>
      </w:r>
      <w:r w:rsidR="00326414" w:rsidRPr="00590EA6">
        <w:rPr>
          <w:noProof/>
        </w:rPr>
        <w:t>/392</w:t>
      </w:r>
      <w:r w:rsidR="008F4DA7" w:rsidRPr="00590EA6">
        <w:rPr>
          <w:rStyle w:val="FootnoteReference"/>
          <w:noProof/>
        </w:rPr>
        <w:footnoteReference w:id="5"/>
      </w:r>
      <w:r w:rsidR="008F4DA7" w:rsidRPr="00590EA6">
        <w:rPr>
          <w:noProof/>
        </w:rPr>
        <w:t xml:space="preserve"> and entered into force on 1</w:t>
      </w:r>
      <w:r w:rsidR="00590EA6">
        <w:rPr>
          <w:noProof/>
        </w:rPr>
        <w:t> </w:t>
      </w:r>
      <w:r w:rsidR="008F4DA7" w:rsidRPr="00590EA6">
        <w:rPr>
          <w:noProof/>
        </w:rPr>
        <w:t>May 2019.</w:t>
      </w:r>
    </w:p>
    <w:p w:rsidR="008F4DA7" w:rsidRPr="00590EA6" w:rsidRDefault="006D40CF" w:rsidP="006D40CF">
      <w:pPr>
        <w:pStyle w:val="ManualConsidrant"/>
        <w:rPr>
          <w:noProof/>
        </w:rPr>
      </w:pPr>
      <w:r w:rsidRPr="006D40CF">
        <w:rPr>
          <w:noProof/>
        </w:rPr>
        <w:t>(2)</w:t>
      </w:r>
      <w:r w:rsidRPr="006D40CF">
        <w:rPr>
          <w:noProof/>
        </w:rPr>
        <w:tab/>
      </w:r>
      <w:r w:rsidR="00DA718B" w:rsidRPr="00590EA6">
        <w:rPr>
          <w:noProof/>
        </w:rPr>
        <w:t>The Regional Steering Committee was established by the TCT for the administration and proper implementation of the TCT.</w:t>
      </w:r>
    </w:p>
    <w:p w:rsidR="00DA718B" w:rsidRPr="00590EA6" w:rsidRDefault="006D40CF" w:rsidP="006D40CF">
      <w:pPr>
        <w:pStyle w:val="ManualConsidrant"/>
        <w:rPr>
          <w:noProof/>
        </w:rPr>
      </w:pPr>
      <w:r w:rsidRPr="006D40CF">
        <w:rPr>
          <w:noProof/>
        </w:rPr>
        <w:t>(3)</w:t>
      </w:r>
      <w:r w:rsidRPr="006D40CF">
        <w:rPr>
          <w:noProof/>
        </w:rPr>
        <w:tab/>
      </w:r>
      <w:r w:rsidR="00853030" w:rsidRPr="00590EA6">
        <w:rPr>
          <w:noProof/>
        </w:rPr>
        <w:t>Pursuant to Article</w:t>
      </w:r>
      <w:r w:rsidR="00590EA6">
        <w:rPr>
          <w:noProof/>
        </w:rPr>
        <w:t> </w:t>
      </w:r>
      <w:r w:rsidR="00853030" w:rsidRPr="00590EA6">
        <w:rPr>
          <w:noProof/>
        </w:rPr>
        <w:t xml:space="preserve">30 of the TCT, the Regional Steering Committee is </w:t>
      </w:r>
      <w:r w:rsidR="00437C2D">
        <w:rPr>
          <w:noProof/>
        </w:rPr>
        <w:t>empowered</w:t>
      </w:r>
      <w:r w:rsidR="00437C2D" w:rsidRPr="00590EA6">
        <w:rPr>
          <w:noProof/>
        </w:rPr>
        <w:t xml:space="preserve"> </w:t>
      </w:r>
      <w:r w:rsidR="00853030" w:rsidRPr="00590EA6">
        <w:rPr>
          <w:noProof/>
        </w:rPr>
        <w:t xml:space="preserve">to adopt decisions on </w:t>
      </w:r>
      <w:r w:rsidR="00437C2D">
        <w:rPr>
          <w:noProof/>
        </w:rPr>
        <w:t xml:space="preserve">the </w:t>
      </w:r>
      <w:r w:rsidR="00853030" w:rsidRPr="00590EA6">
        <w:rPr>
          <w:noProof/>
        </w:rPr>
        <w:t>rules of the Permanent Secretariat.</w:t>
      </w:r>
      <w:r w:rsidR="00D81BBD" w:rsidRPr="00590EA6">
        <w:rPr>
          <w:noProof/>
        </w:rPr>
        <w:t xml:space="preserve"> Moreover, under Article</w:t>
      </w:r>
      <w:r w:rsidR="00590EA6">
        <w:rPr>
          <w:noProof/>
        </w:rPr>
        <w:t> </w:t>
      </w:r>
      <w:r w:rsidR="00D81BBD" w:rsidRPr="00590EA6">
        <w:rPr>
          <w:noProof/>
        </w:rPr>
        <w:t xml:space="preserve">24(1) of the TCT, the Regional Steering Committee is tasked with the administration of </w:t>
      </w:r>
      <w:r w:rsidR="006C5792" w:rsidRPr="00590EA6">
        <w:rPr>
          <w:noProof/>
        </w:rPr>
        <w:t>the</w:t>
      </w:r>
      <w:r w:rsidR="00D81BBD" w:rsidRPr="00590EA6">
        <w:rPr>
          <w:noProof/>
        </w:rPr>
        <w:t xml:space="preserve"> Treaty and with ensuring its proper implementation. Lastly, under Article</w:t>
      </w:r>
      <w:r w:rsidR="00590EA6">
        <w:rPr>
          <w:noProof/>
        </w:rPr>
        <w:t> </w:t>
      </w:r>
      <w:r w:rsidR="00D81BBD" w:rsidRPr="00590EA6">
        <w:rPr>
          <w:noProof/>
        </w:rPr>
        <w:t>35 of the TCT, the Regional Steering Committee is empowered to adopt the budget and the related financial governing rules.</w:t>
      </w:r>
    </w:p>
    <w:p w:rsidR="00853030" w:rsidRDefault="006D40CF" w:rsidP="006D40CF">
      <w:pPr>
        <w:pStyle w:val="ManualConsidrant"/>
        <w:rPr>
          <w:noProof/>
        </w:rPr>
      </w:pPr>
      <w:r w:rsidRPr="006D40CF">
        <w:rPr>
          <w:noProof/>
        </w:rPr>
        <w:t>(4)</w:t>
      </w:r>
      <w:r w:rsidRPr="006D40CF">
        <w:rPr>
          <w:noProof/>
        </w:rPr>
        <w:tab/>
      </w:r>
      <w:r w:rsidR="001356D0" w:rsidRPr="00093D21">
        <w:rPr>
          <w:noProof/>
        </w:rPr>
        <w:t>The Regional Steering Committee</w:t>
      </w:r>
      <w:r w:rsidR="00403048" w:rsidRPr="00093D21">
        <w:rPr>
          <w:noProof/>
        </w:rPr>
        <w:t xml:space="preserve">, </w:t>
      </w:r>
      <w:r w:rsidR="001F2753" w:rsidRPr="00093D21">
        <w:rPr>
          <w:noProof/>
        </w:rPr>
        <w:t xml:space="preserve">through </w:t>
      </w:r>
      <w:r w:rsidR="001F2753">
        <w:rPr>
          <w:noProof/>
        </w:rPr>
        <w:t xml:space="preserve">a </w:t>
      </w:r>
      <w:r w:rsidR="001F2753" w:rsidRPr="00093D21">
        <w:rPr>
          <w:noProof/>
        </w:rPr>
        <w:t>written</w:t>
      </w:r>
      <w:r w:rsidR="001F2753">
        <w:rPr>
          <w:noProof/>
        </w:rPr>
        <w:t xml:space="preserve"> adoption</w:t>
      </w:r>
      <w:r w:rsidR="001F2753" w:rsidRPr="00093D21">
        <w:rPr>
          <w:noProof/>
        </w:rPr>
        <w:t xml:space="preserve"> procedure planned for January 2026</w:t>
      </w:r>
      <w:r w:rsidR="00403048" w:rsidRPr="00093D21">
        <w:rPr>
          <w:noProof/>
        </w:rPr>
        <w:t>,</w:t>
      </w:r>
      <w:r w:rsidR="001356D0" w:rsidRPr="00093D21">
        <w:rPr>
          <w:noProof/>
        </w:rPr>
        <w:t xml:space="preserve"> </w:t>
      </w:r>
      <w:r w:rsidR="009378E9" w:rsidRPr="00093D21">
        <w:rPr>
          <w:noProof/>
        </w:rPr>
        <w:t>plans</w:t>
      </w:r>
      <w:r w:rsidR="001356D0" w:rsidRPr="00093D21">
        <w:rPr>
          <w:noProof/>
        </w:rPr>
        <w:t xml:space="preserve"> to adopt a decision </w:t>
      </w:r>
      <w:r w:rsidR="00D07A2E" w:rsidRPr="00093D21">
        <w:rPr>
          <w:noProof/>
        </w:rPr>
        <w:t>amending the rules on staff salaries of the Transport Community</w:t>
      </w:r>
      <w:r w:rsidR="00D07A2E" w:rsidRPr="00590EA6">
        <w:rPr>
          <w:noProof/>
        </w:rPr>
        <w:t xml:space="preserve"> Permanent Secretariat, </w:t>
      </w:r>
      <w:r w:rsidR="00437C2D">
        <w:rPr>
          <w:noProof/>
        </w:rPr>
        <w:t xml:space="preserve">which are </w:t>
      </w:r>
      <w:r w:rsidR="00D07A2E" w:rsidRPr="00590EA6">
        <w:rPr>
          <w:noProof/>
        </w:rPr>
        <w:t>laid down in the Staff Regulations of the Transport Community</w:t>
      </w:r>
      <w:r w:rsidR="001356D0" w:rsidRPr="00590EA6">
        <w:rPr>
          <w:noProof/>
        </w:rPr>
        <w:t>.</w:t>
      </w:r>
    </w:p>
    <w:p w:rsidR="000258D2" w:rsidRPr="00590EA6" w:rsidRDefault="006D40CF" w:rsidP="006D40CF">
      <w:pPr>
        <w:pStyle w:val="ManualConsidrant"/>
        <w:rPr>
          <w:noProof/>
        </w:rPr>
      </w:pPr>
      <w:r w:rsidRPr="006D40CF">
        <w:rPr>
          <w:noProof/>
        </w:rPr>
        <w:t>(5)</w:t>
      </w:r>
      <w:r w:rsidRPr="006D40CF">
        <w:rPr>
          <w:noProof/>
        </w:rPr>
        <w:tab/>
      </w:r>
      <w:r w:rsidR="000258D2">
        <w:rPr>
          <w:noProof/>
        </w:rPr>
        <w:t>I</w:t>
      </w:r>
      <w:r w:rsidR="000258D2" w:rsidRPr="000258D2">
        <w:rPr>
          <w:noProof/>
        </w:rPr>
        <w:t>n order to remain consistent with preliminary discussions</w:t>
      </w:r>
      <w:r w:rsidR="000258D2">
        <w:rPr>
          <w:noProof/>
        </w:rPr>
        <w:t xml:space="preserve"> among the Contracting Parties</w:t>
      </w:r>
      <w:r w:rsidR="0047038E">
        <w:rPr>
          <w:noProof/>
        </w:rPr>
        <w:t xml:space="preserve"> on the planned act</w:t>
      </w:r>
      <w:r w:rsidR="000258D2" w:rsidRPr="000258D2">
        <w:rPr>
          <w:noProof/>
        </w:rPr>
        <w:t>, and to ensure that the annual salary indexation aligns with the annual adoption cycle of the Transport Community budget, it is appropriate to provide for the retroactive application of the envisaged decision as of 1 January 2026</w:t>
      </w:r>
    </w:p>
    <w:p w:rsidR="00331FE6" w:rsidRPr="00590EA6" w:rsidRDefault="006D40CF" w:rsidP="006D40CF">
      <w:pPr>
        <w:pStyle w:val="ManualConsidrant"/>
        <w:rPr>
          <w:noProof/>
        </w:rPr>
      </w:pPr>
      <w:r w:rsidRPr="006D40CF">
        <w:rPr>
          <w:noProof/>
        </w:rPr>
        <w:t>(6)</w:t>
      </w:r>
      <w:r w:rsidRPr="006D40CF">
        <w:rPr>
          <w:noProof/>
        </w:rPr>
        <w:tab/>
      </w:r>
      <w:r w:rsidR="00331FE6" w:rsidRPr="00590EA6">
        <w:rPr>
          <w:noProof/>
        </w:rPr>
        <w:t xml:space="preserve">The </w:t>
      </w:r>
      <w:r w:rsidR="009378E9">
        <w:rPr>
          <w:noProof/>
        </w:rPr>
        <w:t>planned</w:t>
      </w:r>
      <w:r w:rsidR="009378E9" w:rsidRPr="00590EA6">
        <w:rPr>
          <w:noProof/>
        </w:rPr>
        <w:t xml:space="preserve"> </w:t>
      </w:r>
      <w:r w:rsidR="00331FE6" w:rsidRPr="00590EA6">
        <w:rPr>
          <w:noProof/>
        </w:rPr>
        <w:t>act of the Regional Steering Committee will have legal effects.</w:t>
      </w:r>
    </w:p>
    <w:p w:rsidR="00B91B58" w:rsidRPr="00590EA6" w:rsidRDefault="006D40CF" w:rsidP="006D40CF">
      <w:pPr>
        <w:pStyle w:val="ManualConsidrant"/>
        <w:rPr>
          <w:noProof/>
        </w:rPr>
      </w:pPr>
      <w:r w:rsidRPr="006D40CF">
        <w:rPr>
          <w:noProof/>
        </w:rPr>
        <w:t>(7)</w:t>
      </w:r>
      <w:r w:rsidRPr="006D40CF">
        <w:rPr>
          <w:noProof/>
        </w:rPr>
        <w:tab/>
      </w:r>
      <w:r w:rsidR="00E9661A" w:rsidRPr="00590EA6">
        <w:rPr>
          <w:noProof/>
        </w:rPr>
        <w:t>It is therefore necessary to establish the position to be taken on behalf of the Union in the Regional Steering Committee with regard to adopti</w:t>
      </w:r>
      <w:r w:rsidR="009378E9">
        <w:rPr>
          <w:noProof/>
        </w:rPr>
        <w:t>ng</w:t>
      </w:r>
      <w:r w:rsidR="00E9661A" w:rsidRPr="00590EA6">
        <w:rPr>
          <w:noProof/>
        </w:rPr>
        <w:t xml:space="preserve"> the above</w:t>
      </w:r>
      <w:r w:rsidR="00BA5254">
        <w:rPr>
          <w:noProof/>
        </w:rPr>
        <w:t>-mentioned</w:t>
      </w:r>
      <w:r w:rsidR="00E9661A" w:rsidRPr="00590EA6">
        <w:rPr>
          <w:noProof/>
        </w:rPr>
        <w:t xml:space="preserve"> decision</w:t>
      </w:r>
      <w:r w:rsidR="00A540EE" w:rsidRPr="00590EA6">
        <w:rPr>
          <w:noProof/>
        </w:rPr>
        <w:t>.</w:t>
      </w:r>
    </w:p>
    <w:p w:rsidR="00E9661A" w:rsidRPr="00590EA6" w:rsidRDefault="006D40CF" w:rsidP="006D40CF">
      <w:pPr>
        <w:pStyle w:val="ManualConsidrant"/>
        <w:rPr>
          <w:noProof/>
        </w:rPr>
      </w:pPr>
      <w:r w:rsidRPr="006D40CF">
        <w:rPr>
          <w:noProof/>
        </w:rPr>
        <w:t>(8)</w:t>
      </w:r>
      <w:r w:rsidRPr="006D40CF">
        <w:rPr>
          <w:noProof/>
        </w:rPr>
        <w:tab/>
      </w:r>
      <w:r w:rsidR="00E9661A" w:rsidRPr="00590EA6">
        <w:rPr>
          <w:noProof/>
        </w:rPr>
        <w:t>Support</w:t>
      </w:r>
      <w:r w:rsidR="009378E9">
        <w:rPr>
          <w:noProof/>
        </w:rPr>
        <w:t>ing</w:t>
      </w:r>
      <w:r w:rsidR="007B7679" w:rsidRPr="00590EA6">
        <w:rPr>
          <w:noProof/>
        </w:rPr>
        <w:t xml:space="preserve"> the adoption of the draft decision attached to this Decision is justified,</w:t>
      </w:r>
      <w:r w:rsidR="00C70D00" w:rsidRPr="00590EA6">
        <w:rPr>
          <w:noProof/>
        </w:rPr>
        <w:t xml:space="preserve"> as it will</w:t>
      </w:r>
      <w:r w:rsidR="007B7679" w:rsidRPr="00590EA6">
        <w:rPr>
          <w:noProof/>
        </w:rPr>
        <w:t xml:space="preserve"> ensure that the </w:t>
      </w:r>
      <w:r w:rsidR="007A6A4E" w:rsidRPr="00590EA6">
        <w:rPr>
          <w:noProof/>
        </w:rPr>
        <w:t>salaries</w:t>
      </w:r>
      <w:r w:rsidR="007B7679" w:rsidRPr="00590EA6">
        <w:rPr>
          <w:noProof/>
        </w:rPr>
        <w:t xml:space="preserve"> of the</w:t>
      </w:r>
      <w:r w:rsidR="007A6A4E" w:rsidRPr="00590EA6">
        <w:rPr>
          <w:noProof/>
        </w:rPr>
        <w:t xml:space="preserve"> staff members of the</w:t>
      </w:r>
      <w:r w:rsidR="007B7679" w:rsidRPr="00590EA6">
        <w:rPr>
          <w:noProof/>
        </w:rPr>
        <w:t xml:space="preserve"> Permanent Secretariat remain competitive, which is necessary for the continued proper functioning of the Permanent Secretariat</w:t>
      </w:r>
      <w:r w:rsidR="009378E9">
        <w:rPr>
          <w:noProof/>
        </w:rPr>
        <w:t>,</w:t>
      </w:r>
    </w:p>
    <w:p w:rsidR="00B91B58" w:rsidRPr="00590EA6" w:rsidRDefault="00B91B58" w:rsidP="00BE7CB9">
      <w:pPr>
        <w:pStyle w:val="Formuledadoption"/>
        <w:rPr>
          <w:noProof/>
        </w:rPr>
      </w:pPr>
      <w:r w:rsidRPr="00590EA6">
        <w:rPr>
          <w:noProof/>
        </w:rPr>
        <w:t>HAS ADOPTED THIS DECISION:</w:t>
      </w:r>
    </w:p>
    <w:p w:rsidR="00B91B58" w:rsidRPr="00590EA6" w:rsidRDefault="00B91B58" w:rsidP="00BE7CB9">
      <w:pPr>
        <w:pStyle w:val="Titrearticle"/>
        <w:rPr>
          <w:noProof/>
        </w:rPr>
      </w:pPr>
      <w:r w:rsidRPr="00590EA6">
        <w:rPr>
          <w:noProof/>
        </w:rPr>
        <w:t>Article 1</w:t>
      </w:r>
    </w:p>
    <w:p w:rsidR="001A359B" w:rsidRPr="00590EA6" w:rsidRDefault="00B91B58" w:rsidP="001A359B">
      <w:pPr>
        <w:rPr>
          <w:noProof/>
        </w:rPr>
      </w:pPr>
      <w:r w:rsidRPr="00093D21">
        <w:rPr>
          <w:noProof/>
        </w:rPr>
        <w:t>The position to be taken on the Union</w:t>
      </w:r>
      <w:r w:rsidR="00326414" w:rsidRPr="00093D21">
        <w:rPr>
          <w:noProof/>
        </w:rPr>
        <w:t>’</w:t>
      </w:r>
      <w:r w:rsidRPr="00093D21">
        <w:rPr>
          <w:noProof/>
        </w:rPr>
        <w:t xml:space="preserve">s behalf </w:t>
      </w:r>
      <w:r w:rsidR="001F2753" w:rsidRPr="00093D21">
        <w:rPr>
          <w:noProof/>
        </w:rPr>
        <w:t>in the written adoption procedure</w:t>
      </w:r>
      <w:r w:rsidR="001F2753">
        <w:rPr>
          <w:noProof/>
        </w:rPr>
        <w:t xml:space="preserve"> </w:t>
      </w:r>
      <w:r w:rsidR="001F2753" w:rsidRPr="001F2753">
        <w:rPr>
          <w:noProof/>
        </w:rPr>
        <w:t xml:space="preserve">of the </w:t>
      </w:r>
      <w:r w:rsidR="002B2F17" w:rsidRPr="00093D21">
        <w:rPr>
          <w:noProof/>
        </w:rPr>
        <w:t>Transport Community’s Regional Steering Committee</w:t>
      </w:r>
      <w:r w:rsidR="001F2753" w:rsidRPr="00093D21">
        <w:rPr>
          <w:noProof/>
        </w:rPr>
        <w:t>, planned for January 2026,</w:t>
      </w:r>
      <w:r w:rsidR="001F2753">
        <w:rPr>
          <w:noProof/>
        </w:rPr>
        <w:t xml:space="preserve"> as </w:t>
      </w:r>
      <w:r w:rsidR="00BA5254">
        <w:rPr>
          <w:noProof/>
        </w:rPr>
        <w:t>regards amending</w:t>
      </w:r>
      <w:r w:rsidR="001A359B" w:rsidRPr="00590EA6">
        <w:rPr>
          <w:noProof/>
        </w:rPr>
        <w:t xml:space="preserve"> </w:t>
      </w:r>
      <w:r w:rsidR="00A00C0D" w:rsidRPr="00590EA6">
        <w:rPr>
          <w:rFonts w:eastAsia="Arial Unicode MS"/>
          <w:noProof/>
        </w:rPr>
        <w:t>the rules on staff salaries of the Transport Community Permanent Secretariat, laid down in the Staff Regulations of the Transport Community,</w:t>
      </w:r>
      <w:r w:rsidR="001A359B" w:rsidRPr="00590EA6">
        <w:rPr>
          <w:noProof/>
        </w:rPr>
        <w:t xml:space="preserve"> shall be based on the draft decision of the Regional Steering Committee attached to this Decision.</w:t>
      </w:r>
    </w:p>
    <w:p w:rsidR="007933A1" w:rsidRPr="00590EA6" w:rsidRDefault="007933A1" w:rsidP="007933A1">
      <w:pPr>
        <w:pStyle w:val="Titrearticle"/>
        <w:rPr>
          <w:noProof/>
        </w:rPr>
      </w:pPr>
      <w:r w:rsidRPr="00590EA6">
        <w:rPr>
          <w:noProof/>
        </w:rPr>
        <w:t>Article 2</w:t>
      </w:r>
    </w:p>
    <w:p w:rsidR="007933A1" w:rsidRPr="00590EA6" w:rsidRDefault="007933A1" w:rsidP="007933A1">
      <w:pPr>
        <w:rPr>
          <w:i/>
          <w:noProof/>
        </w:rPr>
      </w:pPr>
      <w:r w:rsidRPr="00590EA6">
        <w:rPr>
          <w:noProof/>
        </w:rPr>
        <w:t>Minor technical changes to the position set out in Article</w:t>
      </w:r>
      <w:r w:rsidR="00590EA6">
        <w:rPr>
          <w:noProof/>
        </w:rPr>
        <w:t> </w:t>
      </w:r>
      <w:r w:rsidRPr="00590EA6">
        <w:rPr>
          <w:noProof/>
        </w:rPr>
        <w:t>1 may be agreed upon without further decision by the Council.</w:t>
      </w:r>
    </w:p>
    <w:p w:rsidR="007933A1" w:rsidRPr="00590EA6" w:rsidRDefault="007933A1" w:rsidP="003C1F37">
      <w:pPr>
        <w:pStyle w:val="Titrearticle"/>
        <w:rPr>
          <w:noProof/>
        </w:rPr>
      </w:pPr>
      <w:r w:rsidRPr="00590EA6">
        <w:rPr>
          <w:noProof/>
        </w:rPr>
        <w:t>Article 3</w:t>
      </w:r>
    </w:p>
    <w:p w:rsidR="00B91B58" w:rsidRPr="00590EA6" w:rsidRDefault="007933A1" w:rsidP="007933A1">
      <w:pPr>
        <w:rPr>
          <w:noProof/>
        </w:rPr>
      </w:pPr>
      <w:r w:rsidRPr="00590EA6">
        <w:rPr>
          <w:noProof/>
        </w:rPr>
        <w:t>This Decision shall enter into force on the date of its adoption</w:t>
      </w:r>
      <w:r w:rsidR="00B91B58" w:rsidRPr="00590EA6">
        <w:rPr>
          <w:noProof/>
        </w:rPr>
        <w:t>.</w:t>
      </w:r>
    </w:p>
    <w:p w:rsidR="00B91B58" w:rsidRPr="00590EA6" w:rsidRDefault="00404AD2" w:rsidP="003C1F37">
      <w:pPr>
        <w:pStyle w:val="Fait"/>
        <w:rPr>
          <w:noProof/>
        </w:rPr>
      </w:pPr>
      <w:r>
        <w:rPr>
          <w:noProof/>
        </w:rPr>
        <w:t>Done at Brussels,</w:t>
      </w:r>
    </w:p>
    <w:p w:rsidR="00B91B58" w:rsidRPr="00590EA6" w:rsidRDefault="00B91B58" w:rsidP="003C1F37">
      <w:pPr>
        <w:pStyle w:val="Institutionquisigne"/>
        <w:rPr>
          <w:noProof/>
        </w:rPr>
      </w:pPr>
      <w:r w:rsidRPr="00590EA6">
        <w:rPr>
          <w:noProof/>
        </w:rPr>
        <w:tab/>
        <w:t>For the Council</w:t>
      </w:r>
    </w:p>
    <w:p w:rsidR="00B91B58" w:rsidRPr="00590EA6" w:rsidRDefault="00B91B58" w:rsidP="00B91B58">
      <w:pPr>
        <w:pStyle w:val="Personnequisigne"/>
        <w:rPr>
          <w:noProof/>
        </w:rPr>
      </w:pPr>
      <w:r w:rsidRPr="00590EA6">
        <w:rPr>
          <w:noProof/>
        </w:rPr>
        <w:tab/>
        <w:t>The President</w:t>
      </w:r>
      <w:bookmarkEnd w:id="0"/>
    </w:p>
    <w:sectPr w:rsidR="00B91B58" w:rsidRPr="00590EA6" w:rsidSect="00AF0B9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191" w:rsidRPr="00590EA6" w:rsidRDefault="00152191" w:rsidP="00B91B58">
      <w:pPr>
        <w:spacing w:before="0" w:after="0"/>
      </w:pPr>
      <w:r w:rsidRPr="00590EA6">
        <w:separator/>
      </w:r>
    </w:p>
  </w:endnote>
  <w:endnote w:type="continuationSeparator" w:id="0">
    <w:p w:rsidR="00152191" w:rsidRPr="00590EA6" w:rsidRDefault="00152191" w:rsidP="00B91B58">
      <w:pPr>
        <w:spacing w:before="0" w:after="0"/>
      </w:pPr>
      <w:r w:rsidRPr="00590E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Pr="00AF0B92" w:rsidRDefault="00AF0B92" w:rsidP="00AF0B92">
    <w:pPr>
      <w:pStyle w:val="Footer"/>
      <w:rPr>
        <w:rFonts w:ascii="Arial" w:hAnsi="Arial" w:cs="Arial"/>
        <w:b/>
        <w:sz w:val="48"/>
      </w:rPr>
    </w:pPr>
    <w:r w:rsidRPr="00AF0B92">
      <w:rPr>
        <w:rFonts w:ascii="Arial" w:hAnsi="Arial" w:cs="Arial"/>
        <w:b/>
        <w:sz w:val="48"/>
      </w:rPr>
      <w:t>EN</w:t>
    </w:r>
    <w:r w:rsidRPr="00AF0B92">
      <w:rPr>
        <w:rFonts w:ascii="Arial" w:hAnsi="Arial" w:cs="Arial"/>
        <w:b/>
        <w:sz w:val="48"/>
      </w:rPr>
      <w:tab/>
    </w:r>
    <w:r w:rsidRPr="00AF0B92">
      <w:rPr>
        <w:rFonts w:ascii="Arial" w:hAnsi="Arial" w:cs="Arial"/>
        <w:b/>
        <w:sz w:val="48"/>
      </w:rPr>
      <w:tab/>
    </w:r>
    <w:r w:rsidRPr="00AF0B92">
      <w:tab/>
    </w:r>
    <w:r w:rsidRPr="00AF0B9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Pr="00AF0B92" w:rsidRDefault="00AF0B92" w:rsidP="00AF0B92">
    <w:pPr>
      <w:pStyle w:val="Footer"/>
      <w:rPr>
        <w:rFonts w:ascii="Arial" w:hAnsi="Arial" w:cs="Arial"/>
        <w:b/>
        <w:sz w:val="48"/>
      </w:rPr>
    </w:pPr>
    <w:r w:rsidRPr="00AF0B92">
      <w:rPr>
        <w:rFonts w:ascii="Arial" w:hAnsi="Arial" w:cs="Arial"/>
        <w:b/>
        <w:sz w:val="48"/>
      </w:rPr>
      <w:t>EN</w:t>
    </w:r>
    <w:r w:rsidRPr="00AF0B92">
      <w:rPr>
        <w:rFonts w:ascii="Arial" w:hAnsi="Arial" w:cs="Arial"/>
        <w:b/>
        <w:sz w:val="48"/>
      </w:rPr>
      <w:tab/>
    </w:r>
    <w:r w:rsidRPr="00AF0B92">
      <w:rPr>
        <w:rFonts w:ascii="Arial" w:hAnsi="Arial" w:cs="Arial"/>
        <w:b/>
        <w:sz w:val="48"/>
      </w:rPr>
      <w:tab/>
    </w:r>
    <w:r w:rsidRPr="00AF0B92">
      <w:tab/>
    </w:r>
    <w:r w:rsidRPr="00AF0B9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Pr="00AF0B92" w:rsidRDefault="00AF0B92" w:rsidP="00AF0B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Default="00AF0B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Pr="00AF0B92" w:rsidRDefault="00AF0B92" w:rsidP="00AF0B92">
    <w:pPr>
      <w:pStyle w:val="Footer"/>
      <w:rPr>
        <w:rFonts w:ascii="Arial" w:hAnsi="Arial" w:cs="Arial"/>
        <w:b/>
        <w:sz w:val="48"/>
      </w:rPr>
    </w:pPr>
    <w:r w:rsidRPr="00AF0B92">
      <w:rPr>
        <w:rFonts w:ascii="Arial" w:hAnsi="Arial" w:cs="Arial"/>
        <w:b/>
        <w:sz w:val="48"/>
      </w:rPr>
      <w:t>EN</w:t>
    </w:r>
    <w:r w:rsidRPr="00AF0B92">
      <w:rPr>
        <w:rFonts w:ascii="Arial" w:hAnsi="Arial" w:cs="Arial"/>
        <w:b/>
        <w:sz w:val="48"/>
      </w:rPr>
      <w:tab/>
    </w:r>
    <w:r>
      <w:fldChar w:fldCharType="begin"/>
    </w:r>
    <w:r>
      <w:instrText xml:space="preserve"> PAGE  \* MERGEFORMAT </w:instrText>
    </w:r>
    <w:r>
      <w:fldChar w:fldCharType="separate"/>
    </w:r>
    <w:r w:rsidR="003C1F37">
      <w:rPr>
        <w:noProof/>
      </w:rPr>
      <w:t>6</w:t>
    </w:r>
    <w:r>
      <w:fldChar w:fldCharType="end"/>
    </w:r>
    <w:r>
      <w:tab/>
    </w:r>
    <w:r w:rsidRPr="00AF0B92">
      <w:tab/>
    </w:r>
    <w:r w:rsidRPr="00AF0B92">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Default="00AF0B92" w:rsidP="00AF0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191" w:rsidRPr="00590EA6" w:rsidRDefault="00152191" w:rsidP="00B91B58">
      <w:pPr>
        <w:spacing w:before="0" w:after="0"/>
      </w:pPr>
      <w:r w:rsidRPr="00590EA6">
        <w:separator/>
      </w:r>
    </w:p>
  </w:footnote>
  <w:footnote w:type="continuationSeparator" w:id="0">
    <w:p w:rsidR="00152191" w:rsidRPr="00590EA6" w:rsidRDefault="00152191" w:rsidP="00B91B58">
      <w:pPr>
        <w:spacing w:before="0" w:after="0"/>
      </w:pPr>
      <w:r w:rsidRPr="00590EA6">
        <w:continuationSeparator/>
      </w:r>
    </w:p>
  </w:footnote>
  <w:footnote w:id="1">
    <w:p w:rsidR="00A33BBF" w:rsidRPr="00590EA6" w:rsidRDefault="00A33BBF">
      <w:pPr>
        <w:pStyle w:val="FootnoteText"/>
      </w:pPr>
      <w:r w:rsidRPr="00590EA6">
        <w:rPr>
          <w:rStyle w:val="FootnoteReference"/>
        </w:rPr>
        <w:t>*</w:t>
      </w:r>
      <w:r w:rsidRPr="00590EA6">
        <w:tab/>
        <w:t>This designation is without prejudice to positions on status, and is in line with UNSCR 1244 (1999) and the ICJ Opinion on the Kosovo declaration of independence.</w:t>
      </w:r>
    </w:p>
  </w:footnote>
  <w:footnote w:id="2">
    <w:p w:rsidR="00580E41" w:rsidRPr="00590EA6" w:rsidRDefault="00580E41">
      <w:pPr>
        <w:pStyle w:val="FootnoteText"/>
      </w:pPr>
      <w:r w:rsidRPr="00590EA6">
        <w:rPr>
          <w:rStyle w:val="FootnoteReference"/>
        </w:rPr>
        <w:footnoteRef/>
      </w:r>
      <w:r w:rsidR="00A33BBF" w:rsidRPr="00590EA6">
        <w:tab/>
      </w:r>
      <w:r w:rsidRPr="00590EA6">
        <w:t>Council Decision (EU) 2019/392 of 4</w:t>
      </w:r>
      <w:r w:rsidR="00590EA6">
        <w:t> </w:t>
      </w:r>
      <w:r w:rsidRPr="00590EA6">
        <w:t>March 2019 on the conclusion, on behalf of the European Union, of the Treaty establishing the Transport Community (OJ L 71, 13.3.2019, p.</w:t>
      </w:r>
      <w:r w:rsidR="00590EA6">
        <w:t> </w:t>
      </w:r>
      <w:r w:rsidRPr="00590EA6">
        <w:t>1), ELI: </w:t>
      </w:r>
      <w:hyperlink r:id="rId1" w:tooltip="Gives access to this document through its ELI URI." w:history="1">
        <w:r w:rsidRPr="00590EA6">
          <w:rPr>
            <w:rStyle w:val="Hyperlink"/>
          </w:rPr>
          <w:t>http://data.europa.eu/eli/dec/2019/392/oj</w:t>
        </w:r>
      </w:hyperlink>
      <w:r w:rsidRPr="00590EA6">
        <w:t>).</w:t>
      </w:r>
    </w:p>
  </w:footnote>
  <w:footnote w:id="3">
    <w:p w:rsidR="007F5627" w:rsidRPr="00590EA6" w:rsidRDefault="007F5627">
      <w:pPr>
        <w:pStyle w:val="FootnoteText"/>
      </w:pPr>
      <w:r w:rsidRPr="00590EA6">
        <w:rPr>
          <w:rStyle w:val="FootnoteReference"/>
        </w:rPr>
        <w:footnoteRef/>
      </w:r>
      <w:r w:rsidR="00A33BBF" w:rsidRPr="00590EA6">
        <w:tab/>
      </w:r>
      <w:r w:rsidRPr="00590EA6">
        <w:t xml:space="preserve">Adopted pursuant to Annex II </w:t>
      </w:r>
      <w:r w:rsidR="00305010">
        <w:t>to</w:t>
      </w:r>
      <w:r w:rsidR="00305010" w:rsidRPr="00590EA6">
        <w:t xml:space="preserve"> </w:t>
      </w:r>
      <w:r w:rsidRPr="00590EA6">
        <w:t>Decision No</w:t>
      </w:r>
      <w:r w:rsidR="00590EA6">
        <w:t> </w:t>
      </w:r>
      <w:r w:rsidRPr="00590EA6">
        <w:t>2019/3 of the Regional Steering Committee of 5</w:t>
      </w:r>
      <w:r w:rsidR="00590EA6">
        <w:t> </w:t>
      </w:r>
      <w:r w:rsidRPr="00590EA6">
        <w:t>June 2019.</w:t>
      </w:r>
    </w:p>
  </w:footnote>
  <w:footnote w:id="4">
    <w:p w:rsidR="00B91B58" w:rsidRPr="00590EA6" w:rsidRDefault="00B91B58" w:rsidP="00736AA9">
      <w:pPr>
        <w:pStyle w:val="FootnoteText"/>
      </w:pPr>
      <w:r w:rsidRPr="00590EA6">
        <w:rPr>
          <w:rStyle w:val="FootnoteReference"/>
        </w:rPr>
        <w:footnoteRef/>
      </w:r>
      <w:r w:rsidRPr="00590EA6">
        <w:tab/>
        <w:t>Judgment of the Court of Justice of 7</w:t>
      </w:r>
      <w:r w:rsidR="00590EA6">
        <w:t> </w:t>
      </w:r>
      <w:r w:rsidRPr="00590EA6">
        <w:t xml:space="preserve">October 2014, </w:t>
      </w:r>
      <w:r w:rsidRPr="00F10054">
        <w:rPr>
          <w:i/>
          <w:iCs/>
        </w:rPr>
        <w:t>Germany</w:t>
      </w:r>
      <w:r w:rsidRPr="00590EA6">
        <w:t xml:space="preserve"> v </w:t>
      </w:r>
      <w:r w:rsidRPr="00F10054">
        <w:rPr>
          <w:i/>
          <w:iCs/>
        </w:rPr>
        <w:t>Council</w:t>
      </w:r>
      <w:r w:rsidRPr="00590EA6">
        <w:t>, C-399/12, ECLI:EU:C:2014:2258, paragraphs 61 to 64.</w:t>
      </w:r>
    </w:p>
  </w:footnote>
  <w:footnote w:id="5">
    <w:p w:rsidR="008F4DA7" w:rsidRPr="00590EA6" w:rsidRDefault="008F4DA7" w:rsidP="008F4DA7">
      <w:pPr>
        <w:pStyle w:val="FootnoteText"/>
      </w:pPr>
      <w:r w:rsidRPr="00590EA6">
        <w:rPr>
          <w:rStyle w:val="FootnoteReference"/>
        </w:rPr>
        <w:footnoteRef/>
      </w:r>
      <w:r w:rsidRPr="00590EA6">
        <w:tab/>
        <w:t>Council Decision (EU) 2019/392 of 4</w:t>
      </w:r>
      <w:r w:rsidR="00590EA6">
        <w:t> </w:t>
      </w:r>
      <w:r w:rsidRPr="00590EA6">
        <w:t>March 2019 on the conclusion, on behalf of the European Union, of the Treaty establishing the Transport Community (OJ L 71, 13.3.2019, p.</w:t>
      </w:r>
      <w:r w:rsidR="00590EA6">
        <w:t> </w:t>
      </w:r>
      <w:r w:rsidRPr="00590EA6">
        <w:t>1</w:t>
      </w:r>
      <w:r w:rsidR="00326414" w:rsidRPr="00590EA6">
        <w:t>, ELI: </w:t>
      </w:r>
      <w:hyperlink r:id="rId2" w:tooltip="Gives access to this document through its ELI URI." w:history="1">
        <w:r w:rsidR="00326414" w:rsidRPr="00590EA6">
          <w:rPr>
            <w:rStyle w:val="Hyperlink"/>
          </w:rPr>
          <w:t>http://data.europa.eu/eli/dec/2019/392/oj</w:t>
        </w:r>
      </w:hyperlink>
      <w:r w:rsidRPr="00590EA6">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Pr="00AF0B92" w:rsidRDefault="00AF0B92" w:rsidP="00AF0B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Pr="00AF0B92" w:rsidRDefault="00AF0B92" w:rsidP="00AF0B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Pr="00AF0B92" w:rsidRDefault="00AF0B92" w:rsidP="00AF0B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Default="00AF0B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B92" w:rsidRDefault="00AF0B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5DC571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0C0DB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340D0B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AE6323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0:14: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8F2216D-BB82-4CB8-AC31-1859BDDF757A"/>
    <w:docVar w:name="LW_COVERPAGE_TYPE" w:val="1"/>
    <w:docVar w:name="LW_CreatedUtc" w:val="2025-07-02T08:06:30.4299734Z"/>
    <w:docVar w:name="LW_CROSSREFERENCE" w:val="&lt;UNUSED&gt;"/>
    <w:docVar w:name="LW_DocType" w:val="COM"/>
    <w:docVar w:name="LW_EMISSION" w:val="15.1.2026"/>
    <w:docVar w:name="LW_EMISSION_ISODATE" w:val="2026-01-15"/>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03"/>
    <w:docVar w:name="LW_REF.II.NEW.CP_YEAR" w:val="2026"/>
    <w:docVar w:name="LW_REF.INST.NEW" w:val="COM"/>
    <w:docVar w:name="LW_REF.INST.NEW_ADOPTED" w:val="final"/>
    <w:docVar w:name="LW_REF.INST.NEW_TEXT" w:val="(2026) 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Regional Steering Committee of the Transport Community as regards certain changes to the rules on staff salaries of the Transport Community Permanent Secretariat"/>
    <w:docVar w:name="LW_TYPE.DOC.CP" w:val="COUNCIL DECISION"/>
    <w:docVar w:name="LwApiVersions" w:val="LW4CoDe 1.24.5.0; LW 9.2, Build 20251112"/>
  </w:docVars>
  <w:rsids>
    <w:rsidRoot w:val="00B91B58"/>
    <w:rsid w:val="00003F1C"/>
    <w:rsid w:val="000068A5"/>
    <w:rsid w:val="00012157"/>
    <w:rsid w:val="00024428"/>
    <w:rsid w:val="000258D2"/>
    <w:rsid w:val="00033191"/>
    <w:rsid w:val="00037B31"/>
    <w:rsid w:val="00043093"/>
    <w:rsid w:val="000432CE"/>
    <w:rsid w:val="00064FAC"/>
    <w:rsid w:val="00073D06"/>
    <w:rsid w:val="00093D21"/>
    <w:rsid w:val="000979CF"/>
    <w:rsid w:val="000A19DE"/>
    <w:rsid w:val="000C0A9A"/>
    <w:rsid w:val="000C714D"/>
    <w:rsid w:val="000E471C"/>
    <w:rsid w:val="000E60DF"/>
    <w:rsid w:val="001065F5"/>
    <w:rsid w:val="00121FCF"/>
    <w:rsid w:val="001238EF"/>
    <w:rsid w:val="00132A31"/>
    <w:rsid w:val="00133873"/>
    <w:rsid w:val="001356D0"/>
    <w:rsid w:val="00152191"/>
    <w:rsid w:val="0015249B"/>
    <w:rsid w:val="00153958"/>
    <w:rsid w:val="00155001"/>
    <w:rsid w:val="00155B6C"/>
    <w:rsid w:val="001570E2"/>
    <w:rsid w:val="001621FB"/>
    <w:rsid w:val="00164BA2"/>
    <w:rsid w:val="001864EA"/>
    <w:rsid w:val="0019105B"/>
    <w:rsid w:val="00197613"/>
    <w:rsid w:val="001A359B"/>
    <w:rsid w:val="001A5B19"/>
    <w:rsid w:val="001B26AA"/>
    <w:rsid w:val="001C492A"/>
    <w:rsid w:val="001F202D"/>
    <w:rsid w:val="001F2753"/>
    <w:rsid w:val="001F754A"/>
    <w:rsid w:val="00233DC7"/>
    <w:rsid w:val="00246FCE"/>
    <w:rsid w:val="00247779"/>
    <w:rsid w:val="00250677"/>
    <w:rsid w:val="00251930"/>
    <w:rsid w:val="00255D80"/>
    <w:rsid w:val="002564DA"/>
    <w:rsid w:val="00256628"/>
    <w:rsid w:val="00261427"/>
    <w:rsid w:val="002743B4"/>
    <w:rsid w:val="00280A14"/>
    <w:rsid w:val="0028442C"/>
    <w:rsid w:val="00285BEE"/>
    <w:rsid w:val="00287109"/>
    <w:rsid w:val="0029533F"/>
    <w:rsid w:val="002B28D7"/>
    <w:rsid w:val="002B2F17"/>
    <w:rsid w:val="002B30AF"/>
    <w:rsid w:val="002C471E"/>
    <w:rsid w:val="002D0C5E"/>
    <w:rsid w:val="002E2825"/>
    <w:rsid w:val="002E6E60"/>
    <w:rsid w:val="002F7E2B"/>
    <w:rsid w:val="00305010"/>
    <w:rsid w:val="0030588F"/>
    <w:rsid w:val="00315A9A"/>
    <w:rsid w:val="00324178"/>
    <w:rsid w:val="00326414"/>
    <w:rsid w:val="00330992"/>
    <w:rsid w:val="003309E6"/>
    <w:rsid w:val="00331FE6"/>
    <w:rsid w:val="003333D1"/>
    <w:rsid w:val="0033344A"/>
    <w:rsid w:val="00342BCA"/>
    <w:rsid w:val="0035313F"/>
    <w:rsid w:val="00373FA5"/>
    <w:rsid w:val="00384429"/>
    <w:rsid w:val="003C1F37"/>
    <w:rsid w:val="003D20AC"/>
    <w:rsid w:val="003D20E3"/>
    <w:rsid w:val="003D4304"/>
    <w:rsid w:val="003D5931"/>
    <w:rsid w:val="003F0446"/>
    <w:rsid w:val="00402DE1"/>
    <w:rsid w:val="00403048"/>
    <w:rsid w:val="00404AD2"/>
    <w:rsid w:val="00417534"/>
    <w:rsid w:val="00417EB3"/>
    <w:rsid w:val="00425B98"/>
    <w:rsid w:val="0042648E"/>
    <w:rsid w:val="00426637"/>
    <w:rsid w:val="00436F6E"/>
    <w:rsid w:val="00437C2D"/>
    <w:rsid w:val="00437C9C"/>
    <w:rsid w:val="00445AC7"/>
    <w:rsid w:val="004503BC"/>
    <w:rsid w:val="00466C42"/>
    <w:rsid w:val="0047038E"/>
    <w:rsid w:val="00475336"/>
    <w:rsid w:val="0047554F"/>
    <w:rsid w:val="004916C1"/>
    <w:rsid w:val="004936D2"/>
    <w:rsid w:val="00497574"/>
    <w:rsid w:val="004A1578"/>
    <w:rsid w:val="004A3D4C"/>
    <w:rsid w:val="004B5DC7"/>
    <w:rsid w:val="004C636C"/>
    <w:rsid w:val="004D0909"/>
    <w:rsid w:val="004D094B"/>
    <w:rsid w:val="004D4C40"/>
    <w:rsid w:val="004D51A1"/>
    <w:rsid w:val="004D748D"/>
    <w:rsid w:val="004E0878"/>
    <w:rsid w:val="004E50E3"/>
    <w:rsid w:val="005113DD"/>
    <w:rsid w:val="00516ED7"/>
    <w:rsid w:val="00523601"/>
    <w:rsid w:val="00537AB1"/>
    <w:rsid w:val="005521DF"/>
    <w:rsid w:val="005543E8"/>
    <w:rsid w:val="005552DF"/>
    <w:rsid w:val="005611D6"/>
    <w:rsid w:val="00564793"/>
    <w:rsid w:val="00580E41"/>
    <w:rsid w:val="00581785"/>
    <w:rsid w:val="00590919"/>
    <w:rsid w:val="00590EA6"/>
    <w:rsid w:val="00595BCE"/>
    <w:rsid w:val="005A0A45"/>
    <w:rsid w:val="005A3BEF"/>
    <w:rsid w:val="005B1EB6"/>
    <w:rsid w:val="005B2AB8"/>
    <w:rsid w:val="005D00D8"/>
    <w:rsid w:val="005D6AC9"/>
    <w:rsid w:val="005E3948"/>
    <w:rsid w:val="006070D3"/>
    <w:rsid w:val="00614582"/>
    <w:rsid w:val="00617DC1"/>
    <w:rsid w:val="006203B5"/>
    <w:rsid w:val="006207FE"/>
    <w:rsid w:val="00636EAE"/>
    <w:rsid w:val="006373C8"/>
    <w:rsid w:val="00644E82"/>
    <w:rsid w:val="0065544E"/>
    <w:rsid w:val="00666127"/>
    <w:rsid w:val="00671309"/>
    <w:rsid w:val="0068485C"/>
    <w:rsid w:val="006975E7"/>
    <w:rsid w:val="00697EC6"/>
    <w:rsid w:val="006A71DC"/>
    <w:rsid w:val="006B0F04"/>
    <w:rsid w:val="006C5792"/>
    <w:rsid w:val="006D40CF"/>
    <w:rsid w:val="006E5D0E"/>
    <w:rsid w:val="006F1D05"/>
    <w:rsid w:val="006F5795"/>
    <w:rsid w:val="006F5EBF"/>
    <w:rsid w:val="006F79DB"/>
    <w:rsid w:val="0070109F"/>
    <w:rsid w:val="00701A55"/>
    <w:rsid w:val="00712AA1"/>
    <w:rsid w:val="00734006"/>
    <w:rsid w:val="00736838"/>
    <w:rsid w:val="00741885"/>
    <w:rsid w:val="00751949"/>
    <w:rsid w:val="00757F1C"/>
    <w:rsid w:val="007614DB"/>
    <w:rsid w:val="007625A8"/>
    <w:rsid w:val="007669A6"/>
    <w:rsid w:val="00767653"/>
    <w:rsid w:val="00773331"/>
    <w:rsid w:val="00775071"/>
    <w:rsid w:val="00781B88"/>
    <w:rsid w:val="007857C6"/>
    <w:rsid w:val="007932EF"/>
    <w:rsid w:val="007933A1"/>
    <w:rsid w:val="0079499B"/>
    <w:rsid w:val="00796D22"/>
    <w:rsid w:val="007A6A4E"/>
    <w:rsid w:val="007B7679"/>
    <w:rsid w:val="007C5606"/>
    <w:rsid w:val="007D5C2E"/>
    <w:rsid w:val="007E05B0"/>
    <w:rsid w:val="007E0941"/>
    <w:rsid w:val="007F14EA"/>
    <w:rsid w:val="007F5627"/>
    <w:rsid w:val="007F75BF"/>
    <w:rsid w:val="007F7EBC"/>
    <w:rsid w:val="008110C8"/>
    <w:rsid w:val="008203D2"/>
    <w:rsid w:val="008340BD"/>
    <w:rsid w:val="008360D2"/>
    <w:rsid w:val="00836CB8"/>
    <w:rsid w:val="00837B73"/>
    <w:rsid w:val="00841DDE"/>
    <w:rsid w:val="008450F9"/>
    <w:rsid w:val="00847BA2"/>
    <w:rsid w:val="00853030"/>
    <w:rsid w:val="00853807"/>
    <w:rsid w:val="00874D22"/>
    <w:rsid w:val="00883DD1"/>
    <w:rsid w:val="00896819"/>
    <w:rsid w:val="008A2914"/>
    <w:rsid w:val="008A4F94"/>
    <w:rsid w:val="008A764E"/>
    <w:rsid w:val="008B289F"/>
    <w:rsid w:val="008B7A10"/>
    <w:rsid w:val="008C049A"/>
    <w:rsid w:val="008C1A19"/>
    <w:rsid w:val="008E058F"/>
    <w:rsid w:val="008E4D8E"/>
    <w:rsid w:val="008F4DA7"/>
    <w:rsid w:val="00905446"/>
    <w:rsid w:val="009123A5"/>
    <w:rsid w:val="0093429D"/>
    <w:rsid w:val="00935D7D"/>
    <w:rsid w:val="009378E9"/>
    <w:rsid w:val="00963717"/>
    <w:rsid w:val="00966526"/>
    <w:rsid w:val="00976213"/>
    <w:rsid w:val="00985A8C"/>
    <w:rsid w:val="009A74CE"/>
    <w:rsid w:val="009C2BED"/>
    <w:rsid w:val="009D37B5"/>
    <w:rsid w:val="009D49D8"/>
    <w:rsid w:val="009E01AA"/>
    <w:rsid w:val="009E1845"/>
    <w:rsid w:val="009E5CBC"/>
    <w:rsid w:val="009E7625"/>
    <w:rsid w:val="009F7B31"/>
    <w:rsid w:val="00A00C0D"/>
    <w:rsid w:val="00A1683B"/>
    <w:rsid w:val="00A17187"/>
    <w:rsid w:val="00A334F3"/>
    <w:rsid w:val="00A33BBF"/>
    <w:rsid w:val="00A345D8"/>
    <w:rsid w:val="00A540EE"/>
    <w:rsid w:val="00A54A0A"/>
    <w:rsid w:val="00A60808"/>
    <w:rsid w:val="00A709A9"/>
    <w:rsid w:val="00A73A79"/>
    <w:rsid w:val="00A76A65"/>
    <w:rsid w:val="00A94645"/>
    <w:rsid w:val="00AB107B"/>
    <w:rsid w:val="00AB24B2"/>
    <w:rsid w:val="00AD5944"/>
    <w:rsid w:val="00AD697D"/>
    <w:rsid w:val="00AD7CA6"/>
    <w:rsid w:val="00AE73ED"/>
    <w:rsid w:val="00AF0B92"/>
    <w:rsid w:val="00AF0E47"/>
    <w:rsid w:val="00AF1AFF"/>
    <w:rsid w:val="00B03FEE"/>
    <w:rsid w:val="00B15850"/>
    <w:rsid w:val="00B228F3"/>
    <w:rsid w:val="00B27A77"/>
    <w:rsid w:val="00B27B22"/>
    <w:rsid w:val="00B30D6F"/>
    <w:rsid w:val="00B358B6"/>
    <w:rsid w:val="00B4028E"/>
    <w:rsid w:val="00B47445"/>
    <w:rsid w:val="00B65229"/>
    <w:rsid w:val="00B7587B"/>
    <w:rsid w:val="00B91B58"/>
    <w:rsid w:val="00B94F01"/>
    <w:rsid w:val="00B94F7E"/>
    <w:rsid w:val="00BA17AB"/>
    <w:rsid w:val="00BA5254"/>
    <w:rsid w:val="00BA5D3A"/>
    <w:rsid w:val="00BB78C0"/>
    <w:rsid w:val="00BC313F"/>
    <w:rsid w:val="00BC339C"/>
    <w:rsid w:val="00BC5809"/>
    <w:rsid w:val="00BD05D6"/>
    <w:rsid w:val="00BF4966"/>
    <w:rsid w:val="00BF4CD6"/>
    <w:rsid w:val="00C12301"/>
    <w:rsid w:val="00C127BC"/>
    <w:rsid w:val="00C219D2"/>
    <w:rsid w:val="00C25A94"/>
    <w:rsid w:val="00C326A2"/>
    <w:rsid w:val="00C33641"/>
    <w:rsid w:val="00C42687"/>
    <w:rsid w:val="00C507A0"/>
    <w:rsid w:val="00C536AD"/>
    <w:rsid w:val="00C70D00"/>
    <w:rsid w:val="00C75E14"/>
    <w:rsid w:val="00CA31B3"/>
    <w:rsid w:val="00CB79A8"/>
    <w:rsid w:val="00CC2FF1"/>
    <w:rsid w:val="00CD052F"/>
    <w:rsid w:val="00CD74EA"/>
    <w:rsid w:val="00CE05CE"/>
    <w:rsid w:val="00CE326A"/>
    <w:rsid w:val="00CE3F9C"/>
    <w:rsid w:val="00CE5DAC"/>
    <w:rsid w:val="00CF6E74"/>
    <w:rsid w:val="00D01509"/>
    <w:rsid w:val="00D054AA"/>
    <w:rsid w:val="00D061F1"/>
    <w:rsid w:val="00D07A2E"/>
    <w:rsid w:val="00D20381"/>
    <w:rsid w:val="00D219A9"/>
    <w:rsid w:val="00D229A3"/>
    <w:rsid w:val="00D23C60"/>
    <w:rsid w:val="00D37F9B"/>
    <w:rsid w:val="00D56259"/>
    <w:rsid w:val="00D620A9"/>
    <w:rsid w:val="00D665D1"/>
    <w:rsid w:val="00D81BBD"/>
    <w:rsid w:val="00D870F2"/>
    <w:rsid w:val="00D9268E"/>
    <w:rsid w:val="00DA07F5"/>
    <w:rsid w:val="00DA718B"/>
    <w:rsid w:val="00DB21AB"/>
    <w:rsid w:val="00DC1451"/>
    <w:rsid w:val="00DD044E"/>
    <w:rsid w:val="00DF58D6"/>
    <w:rsid w:val="00E0529F"/>
    <w:rsid w:val="00E1154B"/>
    <w:rsid w:val="00E13313"/>
    <w:rsid w:val="00E163B6"/>
    <w:rsid w:val="00E254D0"/>
    <w:rsid w:val="00E25A13"/>
    <w:rsid w:val="00E350D9"/>
    <w:rsid w:val="00E43865"/>
    <w:rsid w:val="00E6043F"/>
    <w:rsid w:val="00E637B5"/>
    <w:rsid w:val="00E72A11"/>
    <w:rsid w:val="00E8618E"/>
    <w:rsid w:val="00E9510E"/>
    <w:rsid w:val="00E9661A"/>
    <w:rsid w:val="00E97264"/>
    <w:rsid w:val="00EA506B"/>
    <w:rsid w:val="00EB1DDD"/>
    <w:rsid w:val="00EB42EB"/>
    <w:rsid w:val="00EC2559"/>
    <w:rsid w:val="00EC65CB"/>
    <w:rsid w:val="00EE3307"/>
    <w:rsid w:val="00EE4A5D"/>
    <w:rsid w:val="00EF2794"/>
    <w:rsid w:val="00F06C05"/>
    <w:rsid w:val="00F10054"/>
    <w:rsid w:val="00F1126C"/>
    <w:rsid w:val="00F17E2D"/>
    <w:rsid w:val="00F242DD"/>
    <w:rsid w:val="00F37B57"/>
    <w:rsid w:val="00F4049B"/>
    <w:rsid w:val="00F40814"/>
    <w:rsid w:val="00F50780"/>
    <w:rsid w:val="00F64F82"/>
    <w:rsid w:val="00F75B34"/>
    <w:rsid w:val="00F82CC2"/>
    <w:rsid w:val="00F96EAA"/>
    <w:rsid w:val="00F97C02"/>
    <w:rsid w:val="00FA6866"/>
    <w:rsid w:val="00FC0AC4"/>
    <w:rsid w:val="00FC17BD"/>
    <w:rsid w:val="00FC38F8"/>
    <w:rsid w:val="00FC6D40"/>
    <w:rsid w:val="00FE0244"/>
    <w:rsid w:val="00FE43AC"/>
    <w:rsid w:val="00FE445D"/>
    <w:rsid w:val="00FF5B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91B58"/>
    <w:rPr>
      <w:color w:val="0000FF"/>
      <w:u w:val="single"/>
      <w:shd w:val="clear" w:color="auto" w:fill="auto"/>
    </w:rPr>
  </w:style>
  <w:style w:type="character" w:customStyle="1" w:styleId="UnresolvedMention">
    <w:name w:val="Unresolved Mention"/>
    <w:basedOn w:val="DefaultParagraphFont"/>
    <w:uiPriority w:val="99"/>
    <w:semiHidden/>
    <w:unhideWhenUsed/>
    <w:rsid w:val="00B94F7E"/>
    <w:rPr>
      <w:color w:val="605E5C"/>
      <w:shd w:val="clear" w:color="auto" w:fill="E1DFDD"/>
    </w:rPr>
  </w:style>
  <w:style w:type="paragraph" w:styleId="ListBullet">
    <w:name w:val="List Bullet"/>
    <w:basedOn w:val="Normal"/>
    <w:uiPriority w:val="99"/>
    <w:semiHidden/>
    <w:unhideWhenUsed/>
    <w:rsid w:val="00537AB1"/>
    <w:pPr>
      <w:numPr>
        <w:numId w:val="1"/>
      </w:numPr>
      <w:contextualSpacing/>
    </w:pPr>
  </w:style>
  <w:style w:type="paragraph" w:styleId="ListBullet2">
    <w:name w:val="List Bullet 2"/>
    <w:basedOn w:val="Normal"/>
    <w:uiPriority w:val="99"/>
    <w:semiHidden/>
    <w:unhideWhenUsed/>
    <w:rsid w:val="00537AB1"/>
    <w:pPr>
      <w:numPr>
        <w:numId w:val="2"/>
      </w:numPr>
      <w:contextualSpacing/>
    </w:pPr>
  </w:style>
  <w:style w:type="paragraph" w:styleId="ListBullet3">
    <w:name w:val="List Bullet 3"/>
    <w:basedOn w:val="Normal"/>
    <w:uiPriority w:val="99"/>
    <w:semiHidden/>
    <w:unhideWhenUsed/>
    <w:rsid w:val="00537AB1"/>
    <w:pPr>
      <w:numPr>
        <w:numId w:val="3"/>
      </w:numPr>
      <w:contextualSpacing/>
    </w:pPr>
  </w:style>
  <w:style w:type="paragraph" w:styleId="ListBullet4">
    <w:name w:val="List Bullet 4"/>
    <w:basedOn w:val="Normal"/>
    <w:uiPriority w:val="99"/>
    <w:semiHidden/>
    <w:unhideWhenUsed/>
    <w:rsid w:val="00537AB1"/>
    <w:pPr>
      <w:numPr>
        <w:numId w:val="4"/>
      </w:numPr>
      <w:contextualSpacing/>
    </w:pPr>
  </w:style>
  <w:style w:type="paragraph" w:styleId="Revision">
    <w:name w:val="Revision"/>
    <w:hidden/>
    <w:uiPriority w:val="99"/>
    <w:semiHidden/>
    <w:rsid w:val="00580E41"/>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976213"/>
    <w:rPr>
      <w:sz w:val="16"/>
      <w:szCs w:val="16"/>
    </w:rPr>
  </w:style>
  <w:style w:type="paragraph" w:styleId="CommentText">
    <w:name w:val="annotation text"/>
    <w:basedOn w:val="Normal"/>
    <w:link w:val="CommentTextChar"/>
    <w:uiPriority w:val="99"/>
    <w:unhideWhenUsed/>
    <w:rsid w:val="00976213"/>
    <w:rPr>
      <w:sz w:val="20"/>
      <w:szCs w:val="20"/>
    </w:rPr>
  </w:style>
  <w:style w:type="character" w:customStyle="1" w:styleId="CommentTextChar">
    <w:name w:val="Comment Text Char"/>
    <w:basedOn w:val="DefaultParagraphFont"/>
    <w:link w:val="CommentText"/>
    <w:uiPriority w:val="99"/>
    <w:rsid w:val="00976213"/>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76213"/>
    <w:rPr>
      <w:b/>
      <w:bCs/>
    </w:rPr>
  </w:style>
  <w:style w:type="character" w:customStyle="1" w:styleId="CommentSubjectChar">
    <w:name w:val="Comment Subject Char"/>
    <w:basedOn w:val="CommentTextChar"/>
    <w:link w:val="CommentSubject"/>
    <w:uiPriority w:val="99"/>
    <w:semiHidden/>
    <w:rsid w:val="00976213"/>
    <w:rPr>
      <w:rFonts w:ascii="Times New Roman" w:hAnsi="Times New Roman" w:cs="Times New Roman"/>
      <w:b/>
      <w:bCs/>
      <w:sz w:val="20"/>
      <w:szCs w:val="20"/>
      <w:lang w:val="en-GB"/>
    </w:rPr>
  </w:style>
  <w:style w:type="paragraph" w:customStyle="1" w:styleId="Body">
    <w:name w:val="Body"/>
    <w:rsid w:val="00326414"/>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val="fr-BE" w:eastAsia="fr-BE"/>
    </w:rPr>
  </w:style>
  <w:style w:type="character" w:customStyle="1" w:styleId="HeaderChar">
    <w:name w:val="Header Char"/>
    <w:basedOn w:val="DefaultParagraphFont"/>
    <w:link w:val="Header"/>
    <w:uiPriority w:val="99"/>
    <w:rsid w:val="00AF0B92"/>
    <w:rPr>
      <w:rFonts w:ascii="Times New Roman" w:hAnsi="Times New Roman" w:cs="Times New Roman"/>
      <w:sz w:val="24"/>
      <w:lang w:val="en-GB"/>
    </w:rPr>
  </w:style>
  <w:style w:type="character" w:customStyle="1" w:styleId="FooterChar">
    <w:name w:val="Footer Char"/>
    <w:basedOn w:val="DefaultParagraphFont"/>
    <w:link w:val="Footer"/>
    <w:uiPriority w:val="99"/>
    <w:rsid w:val="00AF0B9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F0B9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F0B92"/>
    <w:pPr>
      <w:spacing w:before="0"/>
      <w:jc w:val="right"/>
    </w:pPr>
    <w:rPr>
      <w:sz w:val="28"/>
    </w:rPr>
  </w:style>
  <w:style w:type="paragraph" w:customStyle="1" w:styleId="FooterSensitivity">
    <w:name w:val="Footer Sensitivity"/>
    <w:basedOn w:val="Normal"/>
    <w:rsid w:val="00AF0B9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F0B92"/>
    <w:pPr>
      <w:tabs>
        <w:tab w:val="center" w:pos="4535"/>
        <w:tab w:val="right" w:pos="9071"/>
      </w:tabs>
      <w:spacing w:before="0"/>
    </w:pPr>
  </w:style>
  <w:style w:type="paragraph" w:customStyle="1" w:styleId="HeaderLandscape">
    <w:name w:val="HeaderLandscape"/>
    <w:basedOn w:val="Normal"/>
    <w:rsid w:val="00AF0B92"/>
    <w:pPr>
      <w:tabs>
        <w:tab w:val="center" w:pos="7285"/>
        <w:tab w:val="right" w:pos="14003"/>
      </w:tabs>
      <w:spacing w:before="0"/>
    </w:pPr>
  </w:style>
  <w:style w:type="paragraph" w:styleId="Footer">
    <w:name w:val="footer"/>
    <w:basedOn w:val="Normal"/>
    <w:link w:val="FooterChar"/>
    <w:uiPriority w:val="99"/>
    <w:unhideWhenUsed/>
    <w:rsid w:val="00AF0B9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F0B9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19/392/oj" TargetMode="External"/><Relationship Id="rId1" Type="http://schemas.openxmlformats.org/officeDocument/2006/relationships/hyperlink" Target="http://data.europa.eu/eli/dec/2019/3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0</TotalTime>
  <Pages>7</Pages>
  <Words>1911</Words>
  <Characters>10897</Characters>
  <Application>Microsoft Office Word</Application>
  <DocSecurity>0</DocSecurity>
  <Lines>90</Lines>
  <Paragraphs>25</Paragraphs>
  <ScaleCrop>false</ScaleCrop>
  <Manager/>
  <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2025-11-21T13:52:00Z</dcterms:created>
  <dcterms:modified xsi:type="dcterms:W3CDTF">2026-01-15T09:14:00Z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2025-11-19T14:45:51Z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9acfa36c-c386-43c6-894f-211cf4612438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DQCStatus">
    <vt:lpwstr>Green (DQC version 03)</vt:lpwstr>
  </property>
</Properties>
</file>