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4EE0F" w14:textId="71819D0C" w:rsidR="00912B8C" w:rsidRPr="00291986" w:rsidRDefault="002B7DF6" w:rsidP="002B7DF6">
      <w:pPr>
        <w:pStyle w:val="Pagedecouverture"/>
        <w:rPr>
          <w:noProof/>
        </w:rPr>
      </w:pPr>
      <w:bookmarkStart w:id="0" w:name="_Hlk214448434"/>
      <w:r>
        <w:rPr>
          <w:noProof/>
        </w:rPr>
        <w:pict w14:anchorId="5FEA4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963A2B-3299-47E3-826C-7072E09BD992" style="width:455.25pt;height:368.25pt">
            <v:imagedata r:id="rId7" o:title=""/>
          </v:shape>
        </w:pict>
      </w:r>
    </w:p>
    <w:p w14:paraId="24DD8699" w14:textId="77777777" w:rsidR="00912B8C" w:rsidRPr="00291986" w:rsidRDefault="00912B8C" w:rsidP="00912B8C">
      <w:pPr>
        <w:rPr>
          <w:noProof/>
        </w:rPr>
        <w:sectPr w:rsidR="00912B8C" w:rsidRPr="00291986" w:rsidSect="002B7DF6">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8C0260C" w14:textId="6A9AA2FD" w:rsidR="00F5524A" w:rsidRPr="00291986" w:rsidRDefault="00F5524A" w:rsidP="00F5524A">
      <w:pPr>
        <w:pStyle w:val="Annexetitre"/>
        <w:rPr>
          <w:rStyle w:val="Marker"/>
          <w:noProof/>
        </w:rPr>
      </w:pPr>
      <w:bookmarkStart w:id="1" w:name="_GoBack"/>
      <w:bookmarkEnd w:id="1"/>
      <w:r w:rsidRPr="00291986">
        <w:rPr>
          <w:noProof/>
        </w:rPr>
        <w:lastRenderedPageBreak/>
        <w:t>ANNEX</w:t>
      </w:r>
    </w:p>
    <w:p w14:paraId="79FD2394" w14:textId="2D678CCD" w:rsidR="00081CEA" w:rsidRPr="00291986" w:rsidRDefault="00081CEA" w:rsidP="00081CEA">
      <w:pPr>
        <w:pStyle w:val="NormalWeb"/>
        <w:jc w:val="center"/>
        <w:rPr>
          <w:noProof/>
          <w:lang w:val="en-GB"/>
        </w:rPr>
      </w:pPr>
      <w:r w:rsidRPr="00291986">
        <w:rPr>
          <w:rStyle w:val="Strong"/>
          <w:rFonts w:eastAsiaTheme="majorEastAsia"/>
          <w:noProof/>
          <w:lang w:val="en-GB"/>
        </w:rPr>
        <w:t>DRAFT DECISION No</w:t>
      </w:r>
      <w:r w:rsidR="00291986">
        <w:rPr>
          <w:rStyle w:val="Strong"/>
          <w:rFonts w:eastAsiaTheme="majorEastAsia"/>
          <w:noProof/>
          <w:lang w:val="en-GB"/>
        </w:rPr>
        <w:t> </w:t>
      </w:r>
      <w:r w:rsidRPr="00291986">
        <w:rPr>
          <w:rStyle w:val="Strong"/>
          <w:rFonts w:eastAsiaTheme="majorEastAsia"/>
          <w:noProof/>
          <w:lang w:val="en-GB"/>
        </w:rPr>
        <w:t>202</w:t>
      </w:r>
      <w:r w:rsidR="0053275E">
        <w:rPr>
          <w:rStyle w:val="Strong"/>
          <w:rFonts w:eastAsiaTheme="majorEastAsia"/>
          <w:noProof/>
          <w:lang w:val="en-GB"/>
        </w:rPr>
        <w:t>6</w:t>
      </w:r>
      <w:r w:rsidRPr="00291986">
        <w:rPr>
          <w:rStyle w:val="Strong"/>
          <w:rFonts w:eastAsiaTheme="majorEastAsia"/>
          <w:noProof/>
          <w:lang w:val="en-GB"/>
        </w:rPr>
        <w:t>/…</w:t>
      </w:r>
    </w:p>
    <w:p w14:paraId="7F4AD514" w14:textId="386EDCF2" w:rsidR="00081CEA" w:rsidRPr="00291986" w:rsidRDefault="00081CEA" w:rsidP="00081CEA">
      <w:pPr>
        <w:pStyle w:val="NormalWeb"/>
        <w:jc w:val="center"/>
        <w:rPr>
          <w:rStyle w:val="Strong"/>
          <w:rFonts w:eastAsiaTheme="majorEastAsia"/>
          <w:noProof/>
          <w:lang w:val="en-GB"/>
        </w:rPr>
      </w:pPr>
      <w:r w:rsidRPr="00291986">
        <w:rPr>
          <w:rStyle w:val="Strong"/>
          <w:rFonts w:eastAsiaTheme="majorEastAsia"/>
          <w:noProof/>
          <w:lang w:val="en-GB"/>
        </w:rPr>
        <w:t>OF THE REGIONAL STEERING COMMITTEE</w:t>
      </w:r>
    </w:p>
    <w:p w14:paraId="74DD6B41" w14:textId="77777777" w:rsidR="00081CEA" w:rsidRPr="00291986" w:rsidRDefault="00081CEA" w:rsidP="00081CEA">
      <w:pPr>
        <w:pStyle w:val="NormalWeb"/>
        <w:jc w:val="center"/>
        <w:rPr>
          <w:noProof/>
          <w:lang w:val="en-GB"/>
        </w:rPr>
      </w:pPr>
      <w:r w:rsidRPr="00291986">
        <w:rPr>
          <w:rStyle w:val="Strong"/>
          <w:rFonts w:eastAsiaTheme="majorEastAsia"/>
          <w:noProof/>
          <w:lang w:val="en-GB"/>
        </w:rPr>
        <w:t>OF THE TRANSPORT COMMUNITY</w:t>
      </w:r>
    </w:p>
    <w:p w14:paraId="6D689AB7" w14:textId="6A1CFC22" w:rsidR="00081CEA" w:rsidRPr="00291986" w:rsidRDefault="00081CEA" w:rsidP="00081CEA">
      <w:pPr>
        <w:pStyle w:val="NormalWeb"/>
        <w:jc w:val="center"/>
        <w:rPr>
          <w:b/>
          <w:bCs/>
          <w:noProof/>
          <w:lang w:val="en-GB"/>
        </w:rPr>
      </w:pPr>
      <w:r w:rsidRPr="00291986">
        <w:rPr>
          <w:b/>
          <w:bCs/>
          <w:noProof/>
          <w:lang w:val="en-GB"/>
        </w:rPr>
        <w:t>of</w:t>
      </w:r>
      <w:r w:rsidR="00291986">
        <w:rPr>
          <w:b/>
          <w:bCs/>
          <w:noProof/>
          <w:lang w:val="en-GB"/>
        </w:rPr>
        <w:t> </w:t>
      </w:r>
      <w:r w:rsidRPr="00291986">
        <w:rPr>
          <w:b/>
          <w:bCs/>
          <w:noProof/>
          <w:lang w:val="en-GB"/>
        </w:rPr>
        <w:t>…</w:t>
      </w:r>
    </w:p>
    <w:p w14:paraId="6104534B" w14:textId="0106A8C0" w:rsidR="00081CEA" w:rsidRPr="00291986" w:rsidRDefault="00081CEA" w:rsidP="00081CEA">
      <w:pPr>
        <w:pStyle w:val="NormalWeb"/>
        <w:jc w:val="center"/>
        <w:rPr>
          <w:noProof/>
          <w:lang w:val="en-GB"/>
        </w:rPr>
      </w:pPr>
      <w:r w:rsidRPr="00291986">
        <w:rPr>
          <w:b/>
          <w:bCs/>
          <w:noProof/>
          <w:lang w:val="en-GB"/>
        </w:rPr>
        <w:t>a</w:t>
      </w:r>
      <w:r w:rsidRPr="00291986">
        <w:rPr>
          <w:rStyle w:val="Strong"/>
          <w:rFonts w:eastAsiaTheme="majorEastAsia"/>
          <w:noProof/>
          <w:lang w:val="en-GB"/>
        </w:rPr>
        <w:t xml:space="preserve">mending </w:t>
      </w:r>
      <w:r w:rsidRPr="00291986">
        <w:rPr>
          <w:rFonts w:eastAsiaTheme="majorEastAsia"/>
          <w:b/>
          <w:bCs/>
          <w:noProof/>
          <w:lang w:val="en-GB"/>
        </w:rPr>
        <w:t>Decision</w:t>
      </w:r>
      <w:r w:rsidR="00C73E06">
        <w:rPr>
          <w:rFonts w:eastAsiaTheme="majorEastAsia"/>
          <w:b/>
          <w:bCs/>
          <w:noProof/>
          <w:lang w:val="en-GB"/>
        </w:rPr>
        <w:t xml:space="preserve"> No</w:t>
      </w:r>
      <w:r w:rsidRPr="00291986">
        <w:rPr>
          <w:rFonts w:eastAsiaTheme="majorEastAsia"/>
          <w:b/>
          <w:bCs/>
          <w:noProof/>
          <w:lang w:val="en-GB"/>
        </w:rPr>
        <w:t xml:space="preserve"> 2019/3</w:t>
      </w:r>
      <w:r w:rsidRPr="00291986">
        <w:rPr>
          <w:rStyle w:val="Strong"/>
          <w:rFonts w:eastAsiaTheme="majorEastAsia"/>
          <w:noProof/>
          <w:lang w:val="en-GB"/>
        </w:rPr>
        <w:t xml:space="preserve"> of the Regional Steering Committee of</w:t>
      </w:r>
      <w:r w:rsidRPr="00291986">
        <w:rPr>
          <w:rFonts w:eastAsiaTheme="majorEastAsia"/>
          <w:b/>
          <w:bCs/>
          <w:noProof/>
          <w:lang w:val="en-GB"/>
        </w:rPr>
        <w:t xml:space="preserve"> the Transport Community of 5</w:t>
      </w:r>
      <w:r w:rsidR="00291986">
        <w:rPr>
          <w:rFonts w:eastAsiaTheme="majorEastAsia"/>
          <w:b/>
          <w:bCs/>
          <w:noProof/>
          <w:lang w:val="en-GB"/>
        </w:rPr>
        <w:t> </w:t>
      </w:r>
      <w:r w:rsidRPr="00291986">
        <w:rPr>
          <w:rFonts w:eastAsiaTheme="majorEastAsia"/>
          <w:b/>
          <w:bCs/>
          <w:noProof/>
          <w:lang w:val="en-GB"/>
        </w:rPr>
        <w:t>June 2019</w:t>
      </w:r>
    </w:p>
    <w:p w14:paraId="7DFC44FA" w14:textId="77777777" w:rsidR="00081CEA" w:rsidRPr="00291986" w:rsidRDefault="00081CEA" w:rsidP="00081CEA">
      <w:pPr>
        <w:pStyle w:val="NormalWeb"/>
        <w:jc w:val="both"/>
        <w:rPr>
          <w:noProof/>
          <w:lang w:val="en-GB"/>
        </w:rPr>
      </w:pPr>
      <w:r w:rsidRPr="00291986">
        <w:rPr>
          <w:noProof/>
          <w:lang w:val="en-GB"/>
        </w:rPr>
        <w:t>THE REGIONAL STEERING COMMITTEE OF THE TRANSPORT COMMUNITY,</w:t>
      </w:r>
    </w:p>
    <w:p w14:paraId="51EF17C4" w14:textId="3D4C3B7D" w:rsidR="00081CEA" w:rsidRPr="00291986" w:rsidRDefault="00081CEA" w:rsidP="00081CEA">
      <w:pPr>
        <w:pStyle w:val="NormalWeb"/>
        <w:jc w:val="both"/>
        <w:rPr>
          <w:noProof/>
          <w:lang w:val="en-GB"/>
        </w:rPr>
      </w:pPr>
      <w:r w:rsidRPr="00291986">
        <w:rPr>
          <w:noProof/>
          <w:lang w:val="en-GB"/>
        </w:rPr>
        <w:t>Having regard to the Treaty establishing the Transport Community, and in particular Article</w:t>
      </w:r>
      <w:r w:rsidR="00291986">
        <w:rPr>
          <w:noProof/>
          <w:lang w:val="en-GB"/>
        </w:rPr>
        <w:t> </w:t>
      </w:r>
      <w:r w:rsidRPr="00291986">
        <w:rPr>
          <w:noProof/>
          <w:lang w:val="en-GB"/>
        </w:rPr>
        <w:t>24(1) and Article</w:t>
      </w:r>
      <w:r w:rsidR="00291986">
        <w:rPr>
          <w:noProof/>
          <w:lang w:val="en-GB"/>
        </w:rPr>
        <w:t> </w:t>
      </w:r>
      <w:r w:rsidRPr="00291986">
        <w:rPr>
          <w:noProof/>
          <w:lang w:val="en-GB"/>
        </w:rPr>
        <w:t>30 thereof,</w:t>
      </w:r>
    </w:p>
    <w:p w14:paraId="5C6F983D" w14:textId="77777777" w:rsidR="00081CEA" w:rsidRPr="00291986" w:rsidRDefault="00081CEA" w:rsidP="00081CEA">
      <w:pPr>
        <w:pStyle w:val="NormalWeb"/>
        <w:jc w:val="both"/>
        <w:rPr>
          <w:noProof/>
          <w:lang w:val="en-GB"/>
        </w:rPr>
      </w:pPr>
      <w:r w:rsidRPr="00291986">
        <w:rPr>
          <w:noProof/>
          <w:lang w:val="en-GB"/>
        </w:rPr>
        <w:t>Whereas:</w:t>
      </w:r>
    </w:p>
    <w:p w14:paraId="4111E581" w14:textId="7983A69B" w:rsidR="00AD5FA3" w:rsidRDefault="00AD5FA3" w:rsidP="00AD5FA3">
      <w:pPr>
        <w:pStyle w:val="NormalWeb"/>
        <w:jc w:val="both"/>
        <w:rPr>
          <w:noProof/>
          <w:lang w:val="en-GB"/>
        </w:rPr>
      </w:pPr>
      <w:r w:rsidRPr="00291986">
        <w:rPr>
          <w:noProof/>
          <w:lang w:val="en-GB"/>
        </w:rPr>
        <w:t>(1) Annex</w:t>
      </w:r>
      <w:r>
        <w:rPr>
          <w:noProof/>
          <w:lang w:val="en-GB"/>
        </w:rPr>
        <w:t> </w:t>
      </w:r>
      <w:r w:rsidRPr="00291986">
        <w:rPr>
          <w:noProof/>
          <w:lang w:val="en-GB"/>
        </w:rPr>
        <w:t xml:space="preserve">II </w:t>
      </w:r>
      <w:r>
        <w:rPr>
          <w:noProof/>
          <w:lang w:val="en-GB"/>
        </w:rPr>
        <w:t>to</w:t>
      </w:r>
      <w:r w:rsidRPr="00291986">
        <w:rPr>
          <w:noProof/>
          <w:lang w:val="en-GB"/>
        </w:rPr>
        <w:t xml:space="preserve"> Decision </w:t>
      </w:r>
      <w:r>
        <w:rPr>
          <w:noProof/>
          <w:lang w:val="en-GB"/>
        </w:rPr>
        <w:t>No </w:t>
      </w:r>
      <w:r w:rsidRPr="00291986">
        <w:rPr>
          <w:noProof/>
          <w:lang w:val="en-GB"/>
        </w:rPr>
        <w:t>2019/3 of the Regional Steering Committee</w:t>
      </w:r>
      <w:r>
        <w:rPr>
          <w:noProof/>
          <w:lang w:val="en-GB"/>
        </w:rPr>
        <w:t xml:space="preserve"> lays</w:t>
      </w:r>
      <w:r w:rsidRPr="00291986">
        <w:rPr>
          <w:noProof/>
          <w:lang w:val="en-GB"/>
        </w:rPr>
        <w:t xml:space="preserve"> down the Staff Regulations of the Transport Community</w:t>
      </w:r>
      <w:r>
        <w:rPr>
          <w:noProof/>
          <w:lang w:val="en-GB"/>
        </w:rPr>
        <w:t>. The salary scale corresponding to the classification of posts in the Secretariat is set out in the Appendix to those Staff Regulations.</w:t>
      </w:r>
    </w:p>
    <w:p w14:paraId="37882CBD" w14:textId="5D9399BE" w:rsidR="00AD5FA3" w:rsidRPr="00291986" w:rsidRDefault="00AD5FA3" w:rsidP="00AD5FA3">
      <w:pPr>
        <w:pStyle w:val="NormalWeb"/>
        <w:jc w:val="both"/>
        <w:rPr>
          <w:noProof/>
          <w:lang w:val="en-GB"/>
        </w:rPr>
      </w:pPr>
      <w:r>
        <w:rPr>
          <w:noProof/>
          <w:lang w:val="en-GB"/>
        </w:rPr>
        <w:t xml:space="preserve">(2) </w:t>
      </w:r>
      <w:r w:rsidRPr="00291986">
        <w:rPr>
          <w:noProof/>
          <w:lang w:val="en-GB"/>
        </w:rPr>
        <w:t>Section 9.1</w:t>
      </w:r>
      <w:r>
        <w:rPr>
          <w:noProof/>
          <w:lang w:val="en-GB"/>
        </w:rPr>
        <w:t xml:space="preserve"> of Annex II to Decision No 2019/3 states</w:t>
      </w:r>
      <w:r w:rsidRPr="00291986">
        <w:rPr>
          <w:noProof/>
          <w:lang w:val="en-GB"/>
        </w:rPr>
        <w:t xml:space="preserve"> that the salary scale corresponding to the classification of posts in the Secretariat</w:t>
      </w:r>
      <w:r>
        <w:rPr>
          <w:noProof/>
          <w:lang w:val="en-GB"/>
        </w:rPr>
        <w:t xml:space="preserve"> should</w:t>
      </w:r>
      <w:r w:rsidRPr="00291986">
        <w:rPr>
          <w:noProof/>
          <w:lang w:val="en-GB"/>
        </w:rPr>
        <w:t xml:space="preserve"> be regularly reviewed by the Steering Committee to ensure that it remains competitive and in line with the requirements of the Secretariat</w:t>
      </w:r>
      <w:r>
        <w:rPr>
          <w:noProof/>
          <w:lang w:val="en-GB"/>
        </w:rPr>
        <w:t>.</w:t>
      </w:r>
    </w:p>
    <w:p w14:paraId="5E8F06DD" w14:textId="102FED31" w:rsidR="002D7C90" w:rsidRDefault="00AD5FA3" w:rsidP="00AD5FA3">
      <w:pPr>
        <w:pStyle w:val="NormalWeb"/>
        <w:jc w:val="both"/>
        <w:rPr>
          <w:noProof/>
          <w:lang w:val="en-GB"/>
        </w:rPr>
      </w:pPr>
      <w:r w:rsidRPr="00291986">
        <w:rPr>
          <w:noProof/>
          <w:lang w:val="en-GB"/>
        </w:rPr>
        <w:t>(</w:t>
      </w:r>
      <w:r>
        <w:rPr>
          <w:noProof/>
          <w:lang w:val="en-GB"/>
        </w:rPr>
        <w:t>3</w:t>
      </w:r>
      <w:r w:rsidRPr="00291986">
        <w:rPr>
          <w:noProof/>
          <w:lang w:val="en-GB"/>
        </w:rPr>
        <w:t>) The salary scale provided in the Appendix to the Staff Regulations has remained unchanged since its adoption in June 2019</w:t>
      </w:r>
      <w:r>
        <w:rPr>
          <w:noProof/>
          <w:lang w:val="en-GB"/>
        </w:rPr>
        <w:t>.</w:t>
      </w:r>
      <w:r w:rsidR="008C45E3">
        <w:rPr>
          <w:noProof/>
          <w:lang w:val="en-GB"/>
        </w:rPr>
        <w:t xml:space="preserve"> </w:t>
      </w:r>
      <w:r w:rsidR="002D7C90">
        <w:rPr>
          <w:noProof/>
          <w:lang w:val="en-GB"/>
        </w:rPr>
        <w:t xml:space="preserve">The </w:t>
      </w:r>
      <w:r w:rsidR="002D7C90" w:rsidRPr="002D7C90">
        <w:rPr>
          <w:noProof/>
          <w:lang w:val="en-GB"/>
        </w:rPr>
        <w:t xml:space="preserve">salaries of all staff members </w:t>
      </w:r>
      <w:r w:rsidR="002D7C90">
        <w:rPr>
          <w:noProof/>
          <w:lang w:val="en-GB"/>
        </w:rPr>
        <w:t>should therefore</w:t>
      </w:r>
      <w:r w:rsidR="002D7C90" w:rsidRPr="002D7C90">
        <w:rPr>
          <w:noProof/>
          <w:lang w:val="en-GB"/>
        </w:rPr>
        <w:t xml:space="preserve"> be increased by 20%</w:t>
      </w:r>
      <w:r w:rsidR="002D7C90">
        <w:rPr>
          <w:noProof/>
          <w:lang w:val="en-GB"/>
        </w:rPr>
        <w:t xml:space="preserve"> on 1 January 2026. </w:t>
      </w:r>
      <w:r w:rsidR="009A5A03">
        <w:rPr>
          <w:noProof/>
          <w:lang w:val="en-GB"/>
        </w:rPr>
        <w:t>T</w:t>
      </w:r>
      <w:r w:rsidR="002D7C90">
        <w:rPr>
          <w:noProof/>
          <w:lang w:val="en-GB"/>
        </w:rPr>
        <w:t xml:space="preserve">his increase should also be reflected in the </w:t>
      </w:r>
      <w:r w:rsidR="009A5A03">
        <w:rPr>
          <w:noProof/>
          <w:lang w:val="en-GB"/>
        </w:rPr>
        <w:t xml:space="preserve">table </w:t>
      </w:r>
      <w:r w:rsidR="002D7C90">
        <w:rPr>
          <w:noProof/>
          <w:lang w:val="en-GB"/>
        </w:rPr>
        <w:t>“</w:t>
      </w:r>
      <w:r w:rsidR="002D7C90" w:rsidRPr="002D7C90">
        <w:rPr>
          <w:noProof/>
          <w:lang w:val="en-GB"/>
        </w:rPr>
        <w:t>Indicative monthly salaries of staff members of the Secretariat</w:t>
      </w:r>
      <w:r w:rsidR="002D7C90">
        <w:rPr>
          <w:noProof/>
          <w:lang w:val="en-GB"/>
        </w:rPr>
        <w:t>”</w:t>
      </w:r>
      <w:r w:rsidR="002D7C90" w:rsidRPr="002D7C90">
        <w:rPr>
          <w:rFonts w:eastAsiaTheme="minorHAnsi"/>
          <w:noProof/>
          <w:szCs w:val="22"/>
          <w:lang w:val="en-GB"/>
        </w:rPr>
        <w:t xml:space="preserve"> </w:t>
      </w:r>
      <w:r w:rsidR="002D7C90">
        <w:rPr>
          <w:noProof/>
          <w:lang w:val="en-GB"/>
        </w:rPr>
        <w:t>of</w:t>
      </w:r>
      <w:r w:rsidR="002D7C90" w:rsidRPr="002D7C90">
        <w:rPr>
          <w:noProof/>
          <w:lang w:val="en-GB"/>
        </w:rPr>
        <w:t xml:space="preserve"> Appendix to Annex II to Decision No 2019/3 of the Regional Steering Committee</w:t>
      </w:r>
      <w:r w:rsidR="002D7C90">
        <w:rPr>
          <w:noProof/>
          <w:lang w:val="en-GB"/>
        </w:rPr>
        <w:t xml:space="preserve">. For the time after 2026, there should be </w:t>
      </w:r>
      <w:r w:rsidR="002D7C90" w:rsidRPr="002D7C90">
        <w:rPr>
          <w:noProof/>
          <w:lang w:val="en-GB"/>
        </w:rPr>
        <w:t>annual salary indexation</w:t>
      </w:r>
      <w:r w:rsidR="002D7C90">
        <w:rPr>
          <w:noProof/>
          <w:lang w:val="en-GB"/>
        </w:rPr>
        <w:t xml:space="preserve">, taking place for the first time on 1 January 2027. </w:t>
      </w:r>
    </w:p>
    <w:p w14:paraId="6CC5DD28" w14:textId="2F170E53" w:rsidR="00AD5FA3" w:rsidRPr="00291986" w:rsidRDefault="00AD5FA3" w:rsidP="00AD5FA3">
      <w:pPr>
        <w:pStyle w:val="NormalWeb"/>
        <w:jc w:val="both"/>
        <w:rPr>
          <w:noProof/>
          <w:lang w:val="en-GB"/>
        </w:rPr>
      </w:pPr>
      <w:r>
        <w:rPr>
          <w:noProof/>
          <w:lang w:val="en-GB"/>
        </w:rPr>
        <w:t>(4) T</w:t>
      </w:r>
      <w:r w:rsidRPr="00AD5FA3">
        <w:rPr>
          <w:noProof/>
          <w:lang w:val="en-GB"/>
        </w:rPr>
        <w:t>o ensure that the annual salary indexation aligns with the annual adoption cycle of the Transport Community budget, it is appropriate to provide for the retroactive application of the envisaged decision as of 1 January 2026</w:t>
      </w:r>
      <w:r>
        <w:rPr>
          <w:noProof/>
          <w:lang w:val="en-GB"/>
        </w:rPr>
        <w:t>,</w:t>
      </w:r>
    </w:p>
    <w:p w14:paraId="11C6432C" w14:textId="77777777" w:rsidR="00081CEA" w:rsidRPr="00291986" w:rsidRDefault="00081CEA" w:rsidP="00081CEA">
      <w:pPr>
        <w:pStyle w:val="NormalWeb"/>
        <w:jc w:val="both"/>
        <w:rPr>
          <w:noProof/>
          <w:lang w:val="en-GB"/>
        </w:rPr>
      </w:pPr>
      <w:r w:rsidRPr="00291986">
        <w:rPr>
          <w:noProof/>
          <w:lang w:val="en-GB"/>
        </w:rPr>
        <w:t>HAS ADOPTED THIS DECISION:</w:t>
      </w:r>
    </w:p>
    <w:p w14:paraId="7E0BB557" w14:textId="3751C742" w:rsidR="00081CEA" w:rsidRPr="00291986" w:rsidRDefault="00081CEA" w:rsidP="00081CEA">
      <w:pPr>
        <w:pStyle w:val="NormalWeb"/>
        <w:jc w:val="center"/>
        <w:rPr>
          <w:noProof/>
          <w:lang w:val="en-GB"/>
        </w:rPr>
      </w:pPr>
      <w:r w:rsidRPr="00291986">
        <w:rPr>
          <w:rStyle w:val="Strong"/>
          <w:rFonts w:eastAsiaTheme="majorEastAsia"/>
          <w:noProof/>
          <w:lang w:val="en-GB"/>
        </w:rPr>
        <w:t>Article</w:t>
      </w:r>
      <w:r w:rsidR="00291986">
        <w:rPr>
          <w:rStyle w:val="Strong"/>
          <w:rFonts w:eastAsiaTheme="majorEastAsia"/>
          <w:noProof/>
          <w:lang w:val="en-GB"/>
        </w:rPr>
        <w:t> </w:t>
      </w:r>
      <w:r w:rsidRPr="00291986">
        <w:rPr>
          <w:rStyle w:val="Strong"/>
          <w:rFonts w:eastAsiaTheme="majorEastAsia"/>
          <w:noProof/>
          <w:lang w:val="en-GB"/>
        </w:rPr>
        <w:t>1</w:t>
      </w:r>
    </w:p>
    <w:p w14:paraId="2238B9F3" w14:textId="7ED28D15" w:rsidR="00081CEA" w:rsidRPr="00291986" w:rsidRDefault="00081CEA" w:rsidP="00081CEA">
      <w:pPr>
        <w:pStyle w:val="NormalWeb"/>
        <w:jc w:val="both"/>
        <w:rPr>
          <w:noProof/>
          <w:lang w:val="en-GB"/>
        </w:rPr>
      </w:pPr>
      <w:r w:rsidRPr="00291986">
        <w:rPr>
          <w:noProof/>
          <w:lang w:val="en-GB"/>
        </w:rPr>
        <w:t>In Section 9.1 of Annex II to Decision No</w:t>
      </w:r>
      <w:r w:rsidR="00291986">
        <w:rPr>
          <w:noProof/>
          <w:lang w:val="en-GB"/>
        </w:rPr>
        <w:t> </w:t>
      </w:r>
      <w:r w:rsidRPr="00291986">
        <w:rPr>
          <w:noProof/>
          <w:lang w:val="en-GB"/>
        </w:rPr>
        <w:t>2019/3 of the Regional Steering Committee, the following points are added:</w:t>
      </w:r>
    </w:p>
    <w:p w14:paraId="7542761E" w14:textId="4656E3D9" w:rsidR="00081CEA" w:rsidRPr="00291986" w:rsidRDefault="00291986" w:rsidP="00081CEA">
      <w:pPr>
        <w:pStyle w:val="NormalWeb"/>
        <w:ind w:left="720"/>
        <w:jc w:val="both"/>
        <w:rPr>
          <w:noProof/>
          <w:lang w:val="en-GB"/>
        </w:rPr>
      </w:pPr>
      <w:r>
        <w:rPr>
          <w:noProof/>
          <w:lang w:val="en-GB"/>
        </w:rPr>
        <w:t>‘</w:t>
      </w:r>
      <w:r w:rsidR="00081CEA" w:rsidRPr="00291986">
        <w:rPr>
          <w:noProof/>
          <w:lang w:val="en-GB"/>
        </w:rPr>
        <w:t xml:space="preserve">(c) </w:t>
      </w:r>
      <w:r w:rsidR="002D7C90">
        <w:rPr>
          <w:noProof/>
          <w:lang w:val="en-GB"/>
        </w:rPr>
        <w:t>On</w:t>
      </w:r>
      <w:r w:rsidR="00081CEA" w:rsidRPr="00291986">
        <w:rPr>
          <w:noProof/>
          <w:lang w:val="en-GB"/>
        </w:rPr>
        <w:t xml:space="preserve"> 1</w:t>
      </w:r>
      <w:r>
        <w:rPr>
          <w:noProof/>
          <w:lang w:val="en-GB"/>
        </w:rPr>
        <w:t> </w:t>
      </w:r>
      <w:r w:rsidR="00081CEA" w:rsidRPr="00291986">
        <w:rPr>
          <w:noProof/>
          <w:lang w:val="en-GB"/>
        </w:rPr>
        <w:t>January 2027</w:t>
      </w:r>
      <w:r w:rsidR="002D7C90">
        <w:rPr>
          <w:noProof/>
          <w:lang w:val="en-GB"/>
        </w:rPr>
        <w:t xml:space="preserve"> and annually thereafter</w:t>
      </w:r>
      <w:r w:rsidR="00081CEA" w:rsidRPr="00291986">
        <w:rPr>
          <w:noProof/>
          <w:lang w:val="en-GB"/>
        </w:rPr>
        <w:t xml:space="preserve">, </w:t>
      </w:r>
      <w:r w:rsidR="00B159BC" w:rsidRPr="00291986">
        <w:rPr>
          <w:noProof/>
          <w:lang w:val="en-GB"/>
        </w:rPr>
        <w:t>the salary grid in the Appendix to Annex II to Decision No</w:t>
      </w:r>
      <w:r>
        <w:rPr>
          <w:noProof/>
          <w:lang w:val="en-GB"/>
        </w:rPr>
        <w:t> </w:t>
      </w:r>
      <w:r w:rsidR="00B159BC" w:rsidRPr="00291986">
        <w:rPr>
          <w:noProof/>
          <w:lang w:val="en-GB"/>
        </w:rPr>
        <w:t>2019/3</w:t>
      </w:r>
      <w:r w:rsidR="00081CEA" w:rsidRPr="00291986">
        <w:rPr>
          <w:noProof/>
          <w:lang w:val="en-GB"/>
        </w:rPr>
        <w:t xml:space="preserve"> shall be adjusted in accordance with the official annual Consumer Price Index (CPI)</w:t>
      </w:r>
      <w:r w:rsidR="00C73E06">
        <w:rPr>
          <w:noProof/>
          <w:lang w:val="en-GB"/>
        </w:rPr>
        <w:t>,</w:t>
      </w:r>
      <w:r w:rsidR="00081CEA" w:rsidRPr="00291986">
        <w:rPr>
          <w:noProof/>
          <w:lang w:val="en-GB"/>
        </w:rPr>
        <w:t xml:space="preserve"> as published by the relevant statistical authority of the Republic of Serbia for the previous year. </w:t>
      </w:r>
      <w:r w:rsidR="00B159BC" w:rsidRPr="00291986">
        <w:rPr>
          <w:noProof/>
          <w:lang w:val="en-GB"/>
        </w:rPr>
        <w:t xml:space="preserve">The salaries of </w:t>
      </w:r>
      <w:r w:rsidR="0026492D" w:rsidRPr="00291986">
        <w:rPr>
          <w:noProof/>
          <w:lang w:val="en-GB"/>
        </w:rPr>
        <w:t>all</w:t>
      </w:r>
      <w:r w:rsidR="00B159BC" w:rsidRPr="00291986">
        <w:rPr>
          <w:noProof/>
          <w:lang w:val="en-GB"/>
        </w:rPr>
        <w:t xml:space="preserve"> staff </w:t>
      </w:r>
      <w:r w:rsidR="0026492D" w:rsidRPr="00291986">
        <w:rPr>
          <w:noProof/>
          <w:lang w:val="en-GB"/>
        </w:rPr>
        <w:t>members</w:t>
      </w:r>
      <w:r w:rsidR="00B159BC" w:rsidRPr="00291986">
        <w:rPr>
          <w:noProof/>
          <w:lang w:val="en-GB"/>
        </w:rPr>
        <w:t xml:space="preserve"> shall be automatically revised </w:t>
      </w:r>
      <w:r w:rsidR="00AB4F85">
        <w:rPr>
          <w:noProof/>
          <w:lang w:val="en-GB"/>
        </w:rPr>
        <w:t>using</w:t>
      </w:r>
      <w:r w:rsidR="00B159BC" w:rsidRPr="00291986">
        <w:rPr>
          <w:noProof/>
          <w:lang w:val="en-GB"/>
        </w:rPr>
        <w:t xml:space="preserve"> the corresponding percentage. </w:t>
      </w:r>
      <w:r w:rsidR="00081CEA" w:rsidRPr="00291986">
        <w:rPr>
          <w:noProof/>
          <w:lang w:val="en-GB"/>
        </w:rPr>
        <w:t xml:space="preserve">The </w:t>
      </w:r>
      <w:bookmarkStart w:id="2" w:name="_Hlk215063253"/>
      <w:r w:rsidR="00081CEA" w:rsidRPr="00291986">
        <w:rPr>
          <w:noProof/>
          <w:lang w:val="en-GB"/>
        </w:rPr>
        <w:t xml:space="preserve">annual salary </w:t>
      </w:r>
      <w:r w:rsidR="00081CEA" w:rsidRPr="00291986">
        <w:rPr>
          <w:noProof/>
          <w:lang w:val="en-GB"/>
        </w:rPr>
        <w:lastRenderedPageBreak/>
        <w:t xml:space="preserve">indexation </w:t>
      </w:r>
      <w:bookmarkEnd w:id="2"/>
      <w:r w:rsidR="00081CEA" w:rsidRPr="00291986">
        <w:rPr>
          <w:noProof/>
          <w:lang w:val="en-GB"/>
        </w:rPr>
        <w:t>shall be implemented automatically unless otherwise determined by the Steering Committee based on exceptional economic circumstances.</w:t>
      </w:r>
      <w:r>
        <w:rPr>
          <w:noProof/>
          <w:lang w:val="en-GB"/>
        </w:rPr>
        <w:t>’</w:t>
      </w:r>
    </w:p>
    <w:p w14:paraId="11BA4ABF" w14:textId="1E0A7834" w:rsidR="00081CEA" w:rsidRPr="00291986" w:rsidRDefault="00081CEA" w:rsidP="00081CEA">
      <w:pPr>
        <w:pStyle w:val="NormalWeb"/>
        <w:jc w:val="center"/>
        <w:rPr>
          <w:rStyle w:val="Strong"/>
          <w:rFonts w:eastAsiaTheme="majorEastAsia"/>
          <w:noProof/>
          <w:lang w:val="en-GB"/>
        </w:rPr>
      </w:pPr>
      <w:r w:rsidRPr="00291986">
        <w:rPr>
          <w:rStyle w:val="Strong"/>
          <w:rFonts w:eastAsiaTheme="majorEastAsia"/>
          <w:noProof/>
          <w:lang w:val="en-GB"/>
        </w:rPr>
        <w:t>Article</w:t>
      </w:r>
      <w:r w:rsidR="00291986">
        <w:rPr>
          <w:rStyle w:val="Strong"/>
          <w:rFonts w:eastAsiaTheme="majorEastAsia"/>
          <w:noProof/>
          <w:lang w:val="en-GB"/>
        </w:rPr>
        <w:t> </w:t>
      </w:r>
      <w:r w:rsidRPr="00291986">
        <w:rPr>
          <w:rStyle w:val="Strong"/>
          <w:rFonts w:eastAsiaTheme="majorEastAsia"/>
          <w:noProof/>
          <w:lang w:val="en-GB"/>
        </w:rPr>
        <w:t>2</w:t>
      </w:r>
    </w:p>
    <w:p w14:paraId="32D23FF4" w14:textId="3FE50E8F" w:rsidR="00081CEA" w:rsidRPr="00291986" w:rsidRDefault="00081CEA" w:rsidP="00081CEA">
      <w:pPr>
        <w:pStyle w:val="NormalWeb"/>
        <w:rPr>
          <w:noProof/>
          <w:lang w:val="en-GB"/>
        </w:rPr>
      </w:pPr>
      <w:bookmarkStart w:id="3" w:name="_Hlk215063392"/>
      <w:r w:rsidRPr="00291986">
        <w:rPr>
          <w:noProof/>
          <w:lang w:val="en-GB"/>
        </w:rPr>
        <w:t>The Appendix to Annex II to Decision No</w:t>
      </w:r>
      <w:r w:rsidR="00291986">
        <w:rPr>
          <w:noProof/>
          <w:lang w:val="en-GB"/>
        </w:rPr>
        <w:t> </w:t>
      </w:r>
      <w:r w:rsidRPr="00291986">
        <w:rPr>
          <w:noProof/>
          <w:lang w:val="en-GB"/>
        </w:rPr>
        <w:t xml:space="preserve">2019/3 of the Regional Steering Committee </w:t>
      </w:r>
      <w:bookmarkEnd w:id="3"/>
      <w:r w:rsidRPr="00291986">
        <w:rPr>
          <w:noProof/>
          <w:lang w:val="en-GB"/>
        </w:rPr>
        <w:t>is replaced by the following:</w:t>
      </w:r>
    </w:p>
    <w:p w14:paraId="46EC40D1" w14:textId="186A0822" w:rsidR="00081CEA" w:rsidRPr="00291986" w:rsidRDefault="00291986" w:rsidP="00081CEA">
      <w:pPr>
        <w:spacing w:line="360" w:lineRule="auto"/>
        <w:jc w:val="center"/>
        <w:rPr>
          <w:rFonts w:eastAsia="Aptos"/>
          <w:noProof/>
          <w:szCs w:val="24"/>
        </w:rPr>
      </w:pPr>
      <w:r>
        <w:rPr>
          <w:rFonts w:eastAsia="Aptos"/>
          <w:noProof/>
        </w:rPr>
        <w:t>‘</w:t>
      </w:r>
      <w:bookmarkStart w:id="4" w:name="_Hlk215063365"/>
      <w:r w:rsidR="00081CEA" w:rsidRPr="00291986">
        <w:rPr>
          <w:rFonts w:eastAsia="Aptos"/>
          <w:noProof/>
          <w:szCs w:val="24"/>
        </w:rPr>
        <w:t>Indicative monthly salaries of staff members of the Secretariat</w:t>
      </w:r>
      <w:bookmarkEnd w:id="4"/>
    </w:p>
    <w:tbl>
      <w:tblPr>
        <w:tblStyle w:val="TableGrid"/>
        <w:tblW w:w="0" w:type="auto"/>
        <w:tblLook w:val="04A0" w:firstRow="1" w:lastRow="0" w:firstColumn="1" w:lastColumn="0" w:noHBand="0" w:noVBand="1"/>
      </w:tblPr>
      <w:tblGrid>
        <w:gridCol w:w="4670"/>
        <w:gridCol w:w="4619"/>
      </w:tblGrid>
      <w:tr w:rsidR="00081CEA" w:rsidRPr="00291986" w14:paraId="2F1DDFC2"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707F6F35" w14:textId="77777777" w:rsidR="00081CEA" w:rsidRPr="00291986" w:rsidRDefault="00081CEA" w:rsidP="00F52DF2">
            <w:pPr>
              <w:spacing w:before="60" w:after="60"/>
              <w:jc w:val="center"/>
              <w:rPr>
                <w:noProof/>
                <w:szCs w:val="24"/>
              </w:rPr>
            </w:pPr>
            <w:r w:rsidRPr="00291986">
              <w:rPr>
                <w:noProof/>
                <w:szCs w:val="24"/>
              </w:rPr>
              <w:t>Position</w:t>
            </w:r>
          </w:p>
        </w:tc>
        <w:tc>
          <w:tcPr>
            <w:tcW w:w="4815" w:type="dxa"/>
            <w:tcBorders>
              <w:top w:val="single" w:sz="4" w:space="0" w:color="auto"/>
              <w:left w:val="single" w:sz="4" w:space="0" w:color="auto"/>
              <w:bottom w:val="single" w:sz="4" w:space="0" w:color="auto"/>
              <w:right w:val="single" w:sz="4" w:space="0" w:color="auto"/>
            </w:tcBorders>
            <w:vAlign w:val="center"/>
            <w:hideMark/>
          </w:tcPr>
          <w:p w14:paraId="63DA49ED" w14:textId="637407F8" w:rsidR="00081CEA" w:rsidRPr="00291986" w:rsidRDefault="00081CEA" w:rsidP="00F52DF2">
            <w:pPr>
              <w:spacing w:before="60" w:after="60"/>
              <w:jc w:val="center"/>
              <w:rPr>
                <w:noProof/>
                <w:szCs w:val="24"/>
              </w:rPr>
            </w:pPr>
            <w:r w:rsidRPr="00291986">
              <w:rPr>
                <w:noProof/>
                <w:szCs w:val="24"/>
              </w:rPr>
              <w:t xml:space="preserve">Monthly salary in </w:t>
            </w:r>
            <w:r w:rsidR="00291986">
              <w:rPr>
                <w:noProof/>
                <w:szCs w:val="24"/>
              </w:rPr>
              <w:t>e</w:t>
            </w:r>
            <w:r w:rsidRPr="00291986">
              <w:rPr>
                <w:noProof/>
                <w:szCs w:val="24"/>
              </w:rPr>
              <w:t xml:space="preserve">uro </w:t>
            </w:r>
          </w:p>
          <w:p w14:paraId="4852E4BC" w14:textId="321758DA" w:rsidR="00081CEA" w:rsidRPr="00291986" w:rsidRDefault="00081CEA" w:rsidP="00F52DF2">
            <w:pPr>
              <w:spacing w:before="60" w:after="60"/>
              <w:jc w:val="center"/>
              <w:rPr>
                <w:noProof/>
                <w:szCs w:val="24"/>
              </w:rPr>
            </w:pPr>
            <w:r w:rsidRPr="00291986">
              <w:rPr>
                <w:noProof/>
                <w:szCs w:val="24"/>
              </w:rPr>
              <w:t>(min</w:t>
            </w:r>
            <w:r w:rsidR="00EB1E85">
              <w:rPr>
                <w:noProof/>
                <w:szCs w:val="24"/>
              </w:rPr>
              <w:t>.</w:t>
            </w:r>
            <w:r w:rsidRPr="00291986">
              <w:rPr>
                <w:noProof/>
                <w:szCs w:val="24"/>
              </w:rPr>
              <w:t>/max</w:t>
            </w:r>
            <w:r w:rsidR="00EB1E85">
              <w:rPr>
                <w:noProof/>
                <w:szCs w:val="24"/>
              </w:rPr>
              <w:t>.</w:t>
            </w:r>
            <w:r w:rsidRPr="00291986">
              <w:rPr>
                <w:noProof/>
                <w:szCs w:val="24"/>
              </w:rPr>
              <w:t>)</w:t>
            </w:r>
          </w:p>
        </w:tc>
      </w:tr>
      <w:tr w:rsidR="00081CEA" w:rsidRPr="00291986" w14:paraId="7A62557D"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281DD8B0" w14:textId="77777777" w:rsidR="00081CEA" w:rsidRPr="00291986" w:rsidRDefault="00081CEA" w:rsidP="00F1740A">
            <w:pPr>
              <w:numPr>
                <w:ilvl w:val="0"/>
                <w:numId w:val="9"/>
              </w:numPr>
              <w:spacing w:before="60" w:after="60"/>
              <w:contextualSpacing/>
              <w:jc w:val="left"/>
              <w:rPr>
                <w:noProof/>
                <w:szCs w:val="24"/>
              </w:rPr>
            </w:pPr>
            <w:r w:rsidRPr="00291986">
              <w:rPr>
                <w:noProof/>
                <w:szCs w:val="24"/>
              </w:rPr>
              <w:t>Director</w:t>
            </w:r>
          </w:p>
        </w:tc>
        <w:tc>
          <w:tcPr>
            <w:tcW w:w="4815" w:type="dxa"/>
            <w:tcBorders>
              <w:top w:val="single" w:sz="4" w:space="0" w:color="auto"/>
              <w:left w:val="single" w:sz="4" w:space="0" w:color="auto"/>
              <w:bottom w:val="single" w:sz="4" w:space="0" w:color="auto"/>
              <w:right w:val="single" w:sz="4" w:space="0" w:color="auto"/>
            </w:tcBorders>
            <w:vAlign w:val="center"/>
            <w:hideMark/>
          </w:tcPr>
          <w:p w14:paraId="1C0EAF28" w14:textId="679EEB40" w:rsidR="00081CEA" w:rsidRPr="00291986" w:rsidRDefault="00081CEA" w:rsidP="00F52DF2">
            <w:pPr>
              <w:spacing w:before="60" w:after="60"/>
              <w:jc w:val="center"/>
              <w:rPr>
                <w:noProof/>
                <w:szCs w:val="24"/>
              </w:rPr>
            </w:pPr>
            <w:r w:rsidRPr="00291986">
              <w:rPr>
                <w:noProof/>
                <w:szCs w:val="24"/>
              </w:rPr>
              <w:t>9</w:t>
            </w:r>
            <w:r w:rsidR="00291986">
              <w:rPr>
                <w:noProof/>
                <w:szCs w:val="24"/>
              </w:rPr>
              <w:t> </w:t>
            </w:r>
            <w:r w:rsidRPr="00291986">
              <w:rPr>
                <w:noProof/>
                <w:szCs w:val="24"/>
              </w:rPr>
              <w:t>600 - 12</w:t>
            </w:r>
            <w:r w:rsidR="00291986">
              <w:rPr>
                <w:noProof/>
                <w:szCs w:val="24"/>
              </w:rPr>
              <w:t> </w:t>
            </w:r>
            <w:r w:rsidRPr="00291986">
              <w:rPr>
                <w:noProof/>
                <w:szCs w:val="24"/>
              </w:rPr>
              <w:t>000</w:t>
            </w:r>
          </w:p>
        </w:tc>
      </w:tr>
      <w:tr w:rsidR="00081CEA" w:rsidRPr="00291986" w14:paraId="4E42D0FD"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297692F3" w14:textId="77777777" w:rsidR="00081CEA" w:rsidRPr="00291986" w:rsidRDefault="00081CEA" w:rsidP="00F1740A">
            <w:pPr>
              <w:numPr>
                <w:ilvl w:val="0"/>
                <w:numId w:val="9"/>
              </w:numPr>
              <w:spacing w:before="60" w:after="60"/>
              <w:contextualSpacing/>
              <w:jc w:val="left"/>
              <w:rPr>
                <w:noProof/>
                <w:szCs w:val="24"/>
              </w:rPr>
            </w:pPr>
            <w:r w:rsidRPr="00291986">
              <w:rPr>
                <w:noProof/>
                <w:szCs w:val="24"/>
              </w:rPr>
              <w:t>Deputy Director</w:t>
            </w:r>
          </w:p>
        </w:tc>
        <w:tc>
          <w:tcPr>
            <w:tcW w:w="4815" w:type="dxa"/>
            <w:tcBorders>
              <w:top w:val="single" w:sz="4" w:space="0" w:color="auto"/>
              <w:left w:val="single" w:sz="4" w:space="0" w:color="auto"/>
              <w:bottom w:val="single" w:sz="4" w:space="0" w:color="auto"/>
              <w:right w:val="single" w:sz="4" w:space="0" w:color="auto"/>
            </w:tcBorders>
            <w:vAlign w:val="center"/>
            <w:hideMark/>
          </w:tcPr>
          <w:p w14:paraId="44F0358A" w14:textId="168281F7" w:rsidR="00081CEA" w:rsidRPr="00291986" w:rsidRDefault="00081CEA" w:rsidP="00F52DF2">
            <w:pPr>
              <w:spacing w:before="60" w:after="60"/>
              <w:jc w:val="center"/>
              <w:rPr>
                <w:noProof/>
                <w:szCs w:val="24"/>
              </w:rPr>
            </w:pPr>
            <w:r w:rsidRPr="00291986">
              <w:rPr>
                <w:noProof/>
                <w:szCs w:val="24"/>
              </w:rPr>
              <w:t>7</w:t>
            </w:r>
            <w:r w:rsidR="00291986">
              <w:rPr>
                <w:noProof/>
                <w:szCs w:val="24"/>
              </w:rPr>
              <w:t> </w:t>
            </w:r>
            <w:r w:rsidRPr="00291986">
              <w:rPr>
                <w:noProof/>
                <w:szCs w:val="24"/>
              </w:rPr>
              <w:t>200 - 8</w:t>
            </w:r>
            <w:r w:rsidR="00291986">
              <w:rPr>
                <w:noProof/>
                <w:szCs w:val="24"/>
              </w:rPr>
              <w:t> </w:t>
            </w:r>
            <w:r w:rsidRPr="00291986">
              <w:rPr>
                <w:noProof/>
                <w:szCs w:val="24"/>
              </w:rPr>
              <w:t>400</w:t>
            </w:r>
          </w:p>
        </w:tc>
      </w:tr>
      <w:tr w:rsidR="00081CEA" w:rsidRPr="00291986" w14:paraId="3C9E3629"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74585C4A" w14:textId="77777777" w:rsidR="00081CEA" w:rsidRPr="00291986" w:rsidRDefault="00081CEA" w:rsidP="00F1740A">
            <w:pPr>
              <w:numPr>
                <w:ilvl w:val="0"/>
                <w:numId w:val="9"/>
              </w:numPr>
              <w:spacing w:before="60" w:after="60"/>
              <w:contextualSpacing/>
              <w:jc w:val="left"/>
              <w:rPr>
                <w:noProof/>
                <w:szCs w:val="24"/>
              </w:rPr>
            </w:pPr>
            <w:r w:rsidRPr="00291986">
              <w:rPr>
                <w:noProof/>
                <w:szCs w:val="24"/>
              </w:rPr>
              <w:t>Head of Division</w:t>
            </w:r>
          </w:p>
        </w:tc>
        <w:tc>
          <w:tcPr>
            <w:tcW w:w="4815" w:type="dxa"/>
            <w:tcBorders>
              <w:top w:val="single" w:sz="4" w:space="0" w:color="auto"/>
              <w:left w:val="single" w:sz="4" w:space="0" w:color="auto"/>
              <w:bottom w:val="single" w:sz="4" w:space="0" w:color="auto"/>
              <w:right w:val="single" w:sz="4" w:space="0" w:color="auto"/>
            </w:tcBorders>
            <w:vAlign w:val="center"/>
            <w:hideMark/>
          </w:tcPr>
          <w:p w14:paraId="7CD96FAD" w14:textId="72A335EB" w:rsidR="00081CEA" w:rsidRPr="00291986" w:rsidRDefault="00081CEA" w:rsidP="00F52DF2">
            <w:pPr>
              <w:spacing w:before="60" w:after="60"/>
              <w:jc w:val="center"/>
              <w:rPr>
                <w:noProof/>
                <w:szCs w:val="24"/>
              </w:rPr>
            </w:pPr>
            <w:r w:rsidRPr="00291986">
              <w:rPr>
                <w:noProof/>
                <w:szCs w:val="24"/>
              </w:rPr>
              <w:t>6</w:t>
            </w:r>
            <w:r w:rsidR="00291986">
              <w:rPr>
                <w:noProof/>
                <w:szCs w:val="24"/>
              </w:rPr>
              <w:t> </w:t>
            </w:r>
            <w:r w:rsidRPr="00291986">
              <w:rPr>
                <w:noProof/>
                <w:szCs w:val="24"/>
              </w:rPr>
              <w:t>600 - 7</w:t>
            </w:r>
            <w:r w:rsidR="00291986">
              <w:rPr>
                <w:noProof/>
                <w:szCs w:val="24"/>
              </w:rPr>
              <w:t> </w:t>
            </w:r>
            <w:r w:rsidRPr="00291986">
              <w:rPr>
                <w:noProof/>
                <w:szCs w:val="24"/>
              </w:rPr>
              <w:t>440</w:t>
            </w:r>
          </w:p>
        </w:tc>
      </w:tr>
      <w:tr w:rsidR="00081CEA" w:rsidRPr="00291986" w14:paraId="21C917E2"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1C90958B" w14:textId="77777777" w:rsidR="00081CEA" w:rsidRPr="00291986" w:rsidRDefault="00081CEA" w:rsidP="00F1740A">
            <w:pPr>
              <w:numPr>
                <w:ilvl w:val="0"/>
                <w:numId w:val="9"/>
              </w:numPr>
              <w:spacing w:before="60" w:after="60"/>
              <w:contextualSpacing/>
              <w:jc w:val="left"/>
              <w:rPr>
                <w:noProof/>
                <w:szCs w:val="24"/>
              </w:rPr>
            </w:pPr>
            <w:r w:rsidRPr="00291986">
              <w:rPr>
                <w:noProof/>
                <w:szCs w:val="24"/>
              </w:rPr>
              <w:t>Experts (Coordinators, Desk Officers, Officers)</w:t>
            </w:r>
          </w:p>
        </w:tc>
        <w:tc>
          <w:tcPr>
            <w:tcW w:w="4815" w:type="dxa"/>
            <w:tcBorders>
              <w:top w:val="single" w:sz="4" w:space="0" w:color="auto"/>
              <w:left w:val="single" w:sz="4" w:space="0" w:color="auto"/>
              <w:bottom w:val="single" w:sz="4" w:space="0" w:color="auto"/>
              <w:right w:val="single" w:sz="4" w:space="0" w:color="auto"/>
            </w:tcBorders>
            <w:vAlign w:val="center"/>
          </w:tcPr>
          <w:p w14:paraId="71C5B662" w14:textId="2E065AE0" w:rsidR="00081CEA" w:rsidRPr="00291986" w:rsidRDefault="00081CEA" w:rsidP="00F52DF2">
            <w:pPr>
              <w:spacing w:before="60" w:after="60"/>
              <w:jc w:val="center"/>
              <w:rPr>
                <w:noProof/>
                <w:szCs w:val="24"/>
              </w:rPr>
            </w:pPr>
            <w:r w:rsidRPr="00291986">
              <w:rPr>
                <w:noProof/>
                <w:szCs w:val="24"/>
              </w:rPr>
              <w:t>5</w:t>
            </w:r>
            <w:r w:rsidR="00291986">
              <w:rPr>
                <w:noProof/>
                <w:szCs w:val="24"/>
              </w:rPr>
              <w:t> </w:t>
            </w:r>
            <w:r w:rsidRPr="00291986">
              <w:rPr>
                <w:noProof/>
                <w:szCs w:val="24"/>
              </w:rPr>
              <w:t>400 - 6</w:t>
            </w:r>
            <w:r w:rsidR="00291986">
              <w:rPr>
                <w:noProof/>
                <w:szCs w:val="24"/>
              </w:rPr>
              <w:t> </w:t>
            </w:r>
            <w:r w:rsidRPr="00291986">
              <w:rPr>
                <w:noProof/>
                <w:szCs w:val="24"/>
              </w:rPr>
              <w:t>000</w:t>
            </w:r>
          </w:p>
          <w:p w14:paraId="48F2B2FB" w14:textId="77777777" w:rsidR="00081CEA" w:rsidRPr="00291986" w:rsidRDefault="00081CEA" w:rsidP="00F52DF2">
            <w:pPr>
              <w:spacing w:before="60" w:after="60"/>
              <w:jc w:val="center"/>
              <w:rPr>
                <w:noProof/>
                <w:szCs w:val="24"/>
              </w:rPr>
            </w:pPr>
          </w:p>
        </w:tc>
      </w:tr>
      <w:tr w:rsidR="00081CEA" w:rsidRPr="00291986" w14:paraId="0E7B57FC"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3AA604A1" w14:textId="77777777" w:rsidR="00081CEA" w:rsidRPr="00291986" w:rsidRDefault="00081CEA" w:rsidP="00F1740A">
            <w:pPr>
              <w:numPr>
                <w:ilvl w:val="0"/>
                <w:numId w:val="9"/>
              </w:numPr>
              <w:spacing w:before="60" w:after="60"/>
              <w:contextualSpacing/>
              <w:jc w:val="left"/>
              <w:rPr>
                <w:noProof/>
                <w:szCs w:val="24"/>
              </w:rPr>
            </w:pPr>
            <w:r w:rsidRPr="00291986">
              <w:rPr>
                <w:noProof/>
                <w:szCs w:val="24"/>
              </w:rPr>
              <w:t xml:space="preserve">Assistants </w:t>
            </w:r>
          </w:p>
        </w:tc>
        <w:tc>
          <w:tcPr>
            <w:tcW w:w="4815" w:type="dxa"/>
            <w:tcBorders>
              <w:top w:val="single" w:sz="4" w:space="0" w:color="auto"/>
              <w:left w:val="single" w:sz="4" w:space="0" w:color="auto"/>
              <w:bottom w:val="single" w:sz="4" w:space="0" w:color="auto"/>
              <w:right w:val="single" w:sz="4" w:space="0" w:color="auto"/>
            </w:tcBorders>
            <w:vAlign w:val="center"/>
            <w:hideMark/>
          </w:tcPr>
          <w:p w14:paraId="0E0C71ED" w14:textId="6D3A56C8" w:rsidR="00081CEA" w:rsidRPr="00291986" w:rsidRDefault="00081CEA" w:rsidP="00F52DF2">
            <w:pPr>
              <w:spacing w:before="60" w:after="60"/>
              <w:jc w:val="center"/>
              <w:rPr>
                <w:noProof/>
                <w:szCs w:val="24"/>
              </w:rPr>
            </w:pPr>
            <w:r w:rsidRPr="00291986">
              <w:rPr>
                <w:noProof/>
                <w:szCs w:val="24"/>
              </w:rPr>
              <w:t>2</w:t>
            </w:r>
            <w:r w:rsidR="00291986">
              <w:rPr>
                <w:noProof/>
                <w:szCs w:val="24"/>
              </w:rPr>
              <w:t> </w:t>
            </w:r>
            <w:r w:rsidRPr="00291986">
              <w:rPr>
                <w:noProof/>
                <w:szCs w:val="24"/>
              </w:rPr>
              <w:t>400 - 3</w:t>
            </w:r>
            <w:r w:rsidR="00291986">
              <w:rPr>
                <w:noProof/>
                <w:szCs w:val="24"/>
              </w:rPr>
              <w:t> </w:t>
            </w:r>
            <w:r w:rsidRPr="00291986">
              <w:rPr>
                <w:noProof/>
                <w:szCs w:val="24"/>
              </w:rPr>
              <w:t>000</w:t>
            </w:r>
          </w:p>
        </w:tc>
      </w:tr>
    </w:tbl>
    <w:p w14:paraId="1FB1EADC" w14:textId="06428C64" w:rsidR="00B159BC" w:rsidRPr="00291986" w:rsidRDefault="00291986" w:rsidP="00081CEA">
      <w:pPr>
        <w:spacing w:line="360" w:lineRule="auto"/>
        <w:rPr>
          <w:rFonts w:eastAsia="Aptos"/>
          <w:noProof/>
        </w:rPr>
      </w:pPr>
      <w:r>
        <w:rPr>
          <w:rFonts w:eastAsia="Aptos"/>
          <w:noProof/>
        </w:rPr>
        <w:t>’</w:t>
      </w:r>
    </w:p>
    <w:p w14:paraId="5EAF1597" w14:textId="4F41157E" w:rsidR="00B159BC" w:rsidRPr="00291986" w:rsidRDefault="00B159BC" w:rsidP="00B159BC">
      <w:pPr>
        <w:pStyle w:val="NormalWeb"/>
        <w:jc w:val="center"/>
        <w:rPr>
          <w:rStyle w:val="Strong"/>
          <w:rFonts w:eastAsiaTheme="majorEastAsia"/>
          <w:noProof/>
          <w:lang w:val="en-GB"/>
        </w:rPr>
      </w:pPr>
      <w:r w:rsidRPr="00291986">
        <w:rPr>
          <w:rStyle w:val="Strong"/>
          <w:rFonts w:eastAsiaTheme="majorEastAsia"/>
          <w:noProof/>
          <w:lang w:val="en-GB"/>
        </w:rPr>
        <w:t>Article</w:t>
      </w:r>
      <w:r w:rsidR="00291986">
        <w:rPr>
          <w:rStyle w:val="Strong"/>
          <w:rFonts w:eastAsiaTheme="majorEastAsia"/>
          <w:noProof/>
          <w:lang w:val="en-GB"/>
        </w:rPr>
        <w:t> </w:t>
      </w:r>
      <w:r w:rsidRPr="00291986">
        <w:rPr>
          <w:rStyle w:val="Strong"/>
          <w:rFonts w:eastAsiaTheme="majorEastAsia"/>
          <w:noProof/>
          <w:lang w:val="en-GB"/>
        </w:rPr>
        <w:t>3</w:t>
      </w:r>
    </w:p>
    <w:p w14:paraId="118B2A8B" w14:textId="2EC2091E" w:rsidR="00B159BC" w:rsidRPr="00291986" w:rsidRDefault="00C73E06" w:rsidP="00B159BC">
      <w:pPr>
        <w:spacing w:line="360" w:lineRule="auto"/>
        <w:rPr>
          <w:noProof/>
        </w:rPr>
      </w:pPr>
      <w:r>
        <w:rPr>
          <w:noProof/>
        </w:rPr>
        <w:t>O</w:t>
      </w:r>
      <w:r w:rsidR="00B159BC" w:rsidRPr="00291986">
        <w:rPr>
          <w:noProof/>
        </w:rPr>
        <w:t xml:space="preserve">n </w:t>
      </w:r>
      <w:r w:rsidR="009A5A03">
        <w:rPr>
          <w:noProof/>
        </w:rPr>
        <w:t>1 January 2026</w:t>
      </w:r>
      <w:r w:rsidR="00B159BC" w:rsidRPr="00291986">
        <w:rPr>
          <w:noProof/>
        </w:rPr>
        <w:t xml:space="preserve">, </w:t>
      </w:r>
      <w:bookmarkStart w:id="5" w:name="_Hlk215063184"/>
      <w:r w:rsidR="00B159BC" w:rsidRPr="00291986">
        <w:rPr>
          <w:noProof/>
        </w:rPr>
        <w:t xml:space="preserve">the salaries of all staff </w:t>
      </w:r>
      <w:r w:rsidR="00F54635" w:rsidRPr="00291986">
        <w:rPr>
          <w:noProof/>
        </w:rPr>
        <w:t>members</w:t>
      </w:r>
      <w:r w:rsidR="00B159BC" w:rsidRPr="00291986">
        <w:rPr>
          <w:noProof/>
        </w:rPr>
        <w:t xml:space="preserve"> shall be increased by 20%</w:t>
      </w:r>
      <w:bookmarkEnd w:id="5"/>
      <w:r w:rsidR="00A4693A">
        <w:rPr>
          <w:noProof/>
        </w:rPr>
        <w:t>.</w:t>
      </w:r>
    </w:p>
    <w:p w14:paraId="40ACF8A5" w14:textId="77777777" w:rsidR="00B159BC" w:rsidRPr="00291986" w:rsidRDefault="00B159BC" w:rsidP="00B159BC">
      <w:pPr>
        <w:spacing w:line="360" w:lineRule="auto"/>
        <w:rPr>
          <w:rStyle w:val="Strong"/>
          <w:rFonts w:eastAsia="Aptos"/>
          <w:noProof/>
        </w:rPr>
      </w:pPr>
    </w:p>
    <w:p w14:paraId="50280CF9" w14:textId="48139996" w:rsidR="00081CEA" w:rsidRPr="00291986" w:rsidRDefault="00081CEA" w:rsidP="00081CEA">
      <w:pPr>
        <w:pStyle w:val="NormalWeb"/>
        <w:jc w:val="center"/>
        <w:rPr>
          <w:noProof/>
          <w:lang w:val="en-GB"/>
        </w:rPr>
      </w:pPr>
      <w:r w:rsidRPr="00291986">
        <w:rPr>
          <w:rStyle w:val="Strong"/>
          <w:rFonts w:eastAsiaTheme="majorEastAsia"/>
          <w:noProof/>
          <w:lang w:val="en-GB"/>
        </w:rPr>
        <w:t>Article</w:t>
      </w:r>
      <w:r w:rsidR="00291986">
        <w:rPr>
          <w:rStyle w:val="Strong"/>
          <w:rFonts w:eastAsiaTheme="majorEastAsia"/>
          <w:noProof/>
          <w:lang w:val="en-GB"/>
        </w:rPr>
        <w:t> </w:t>
      </w:r>
      <w:r w:rsidR="00B159BC" w:rsidRPr="00291986">
        <w:rPr>
          <w:rStyle w:val="Strong"/>
          <w:rFonts w:eastAsiaTheme="majorEastAsia"/>
          <w:noProof/>
          <w:lang w:val="en-GB"/>
        </w:rPr>
        <w:t>4</w:t>
      </w:r>
    </w:p>
    <w:p w14:paraId="2B868EFD" w14:textId="48E489B8" w:rsidR="00081CEA" w:rsidRPr="00291986" w:rsidRDefault="00081CEA" w:rsidP="00081CEA">
      <w:pPr>
        <w:pStyle w:val="NormalWeb"/>
        <w:jc w:val="both"/>
        <w:rPr>
          <w:noProof/>
          <w:lang w:val="en-GB"/>
        </w:rPr>
      </w:pPr>
      <w:r w:rsidRPr="00291986">
        <w:rPr>
          <w:noProof/>
          <w:lang w:val="en-GB"/>
        </w:rPr>
        <w:t xml:space="preserve">This Decision shall enter into force on the day following </w:t>
      </w:r>
      <w:r w:rsidR="00277554" w:rsidRPr="00291986">
        <w:rPr>
          <w:noProof/>
          <w:lang w:val="en-GB"/>
        </w:rPr>
        <w:t xml:space="preserve">that of </w:t>
      </w:r>
      <w:r w:rsidRPr="00291986">
        <w:rPr>
          <w:noProof/>
          <w:lang w:val="en-GB"/>
        </w:rPr>
        <w:t>its adoption.</w:t>
      </w:r>
      <w:r w:rsidR="00277554" w:rsidRPr="00291986">
        <w:rPr>
          <w:noProof/>
          <w:lang w:val="en-GB"/>
        </w:rPr>
        <w:t xml:space="preserve"> It shall apply from 1</w:t>
      </w:r>
      <w:r w:rsidR="00291986">
        <w:rPr>
          <w:noProof/>
          <w:lang w:val="en-GB"/>
        </w:rPr>
        <w:t> </w:t>
      </w:r>
      <w:r w:rsidR="00277554" w:rsidRPr="00291986">
        <w:rPr>
          <w:noProof/>
          <w:lang w:val="en-GB"/>
        </w:rPr>
        <w:t>January 2026.</w:t>
      </w:r>
    </w:p>
    <w:p w14:paraId="64285447" w14:textId="69093C80" w:rsidR="00081CEA" w:rsidRPr="00291986" w:rsidRDefault="00081CEA" w:rsidP="00081CEA">
      <w:pPr>
        <w:pStyle w:val="NormalWeb"/>
        <w:jc w:val="both"/>
        <w:rPr>
          <w:noProof/>
          <w:lang w:val="en-GB"/>
        </w:rPr>
      </w:pPr>
      <w:r w:rsidRPr="00291986">
        <w:rPr>
          <w:noProof/>
          <w:lang w:val="en-GB"/>
        </w:rPr>
        <w:t>Done in [……], on [……] 202</w:t>
      </w:r>
      <w:r w:rsidR="009E270D">
        <w:rPr>
          <w:noProof/>
          <w:lang w:val="en-GB"/>
        </w:rPr>
        <w:t>6</w:t>
      </w:r>
    </w:p>
    <w:p w14:paraId="7A3615DC" w14:textId="77777777" w:rsidR="00081CEA" w:rsidRPr="00291986" w:rsidRDefault="00081CEA" w:rsidP="00081CEA">
      <w:pPr>
        <w:pStyle w:val="NormalWeb"/>
        <w:jc w:val="right"/>
        <w:rPr>
          <w:i/>
          <w:iCs/>
          <w:noProof/>
          <w:lang w:val="en-GB"/>
        </w:rPr>
      </w:pPr>
      <w:r w:rsidRPr="00291986">
        <w:rPr>
          <w:i/>
          <w:iCs/>
          <w:noProof/>
          <w:lang w:val="en-GB"/>
        </w:rPr>
        <w:t>For the Regional Steering Committee</w:t>
      </w:r>
    </w:p>
    <w:p w14:paraId="3F3388B5" w14:textId="72BDBAA0" w:rsidR="009F6C76" w:rsidRPr="00291986" w:rsidRDefault="00081CEA" w:rsidP="001A0ADD">
      <w:pPr>
        <w:pStyle w:val="NormalWeb"/>
        <w:jc w:val="right"/>
        <w:rPr>
          <w:i/>
          <w:iCs/>
          <w:noProof/>
          <w:lang w:val="en-GB"/>
        </w:rPr>
      </w:pPr>
      <w:r w:rsidRPr="00291986">
        <w:rPr>
          <w:i/>
          <w:iCs/>
          <w:noProof/>
          <w:lang w:val="en-GB"/>
        </w:rPr>
        <w:t>The President</w:t>
      </w:r>
    </w:p>
    <w:bookmarkEnd w:id="0"/>
    <w:p w14:paraId="2FF5C54F" w14:textId="506B4B45" w:rsidR="00905D22" w:rsidRPr="00291986" w:rsidRDefault="00905D22" w:rsidP="009F6C76">
      <w:pPr>
        <w:rPr>
          <w:noProof/>
        </w:rPr>
      </w:pPr>
    </w:p>
    <w:sectPr w:rsidR="00905D22" w:rsidRPr="00291986" w:rsidSect="002B7DF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5CFB8" w14:textId="77777777" w:rsidR="00437871" w:rsidRPr="00291986" w:rsidRDefault="00437871" w:rsidP="00912B8C">
      <w:pPr>
        <w:spacing w:before="0" w:after="0"/>
      </w:pPr>
      <w:r w:rsidRPr="00291986">
        <w:separator/>
      </w:r>
    </w:p>
  </w:endnote>
  <w:endnote w:type="continuationSeparator" w:id="0">
    <w:p w14:paraId="0E3F444F" w14:textId="77777777" w:rsidR="00437871" w:rsidRPr="00291986" w:rsidRDefault="00437871" w:rsidP="00912B8C">
      <w:pPr>
        <w:spacing w:before="0" w:after="0"/>
      </w:pPr>
      <w:r w:rsidRPr="002919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50061" w14:textId="548223A4" w:rsidR="002B7DF6" w:rsidRPr="002B7DF6" w:rsidRDefault="002B7DF6" w:rsidP="002B7DF6">
    <w:pPr>
      <w:pStyle w:val="Footer"/>
      <w:rPr>
        <w:rFonts w:ascii="Arial" w:hAnsi="Arial" w:cs="Arial"/>
        <w:b/>
        <w:sz w:val="48"/>
      </w:rPr>
    </w:pPr>
    <w:r w:rsidRPr="002B7DF6">
      <w:rPr>
        <w:rFonts w:ascii="Arial" w:hAnsi="Arial" w:cs="Arial"/>
        <w:b/>
        <w:sz w:val="48"/>
      </w:rPr>
      <w:t>EN</w:t>
    </w:r>
    <w:r w:rsidRPr="002B7DF6">
      <w:rPr>
        <w:rFonts w:ascii="Arial" w:hAnsi="Arial" w:cs="Arial"/>
        <w:b/>
        <w:sz w:val="48"/>
      </w:rPr>
      <w:tab/>
    </w:r>
    <w:r w:rsidRPr="002B7DF6">
      <w:rPr>
        <w:rFonts w:ascii="Arial" w:hAnsi="Arial" w:cs="Arial"/>
        <w:b/>
        <w:sz w:val="48"/>
      </w:rPr>
      <w:tab/>
    </w:r>
    <w:r w:rsidRPr="002B7DF6">
      <w:tab/>
    </w:r>
    <w:r w:rsidRPr="002B7DF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DC3CC" w14:textId="1F87DF58" w:rsidR="002B7DF6" w:rsidRPr="002B7DF6" w:rsidRDefault="002B7DF6" w:rsidP="002B7DF6">
    <w:pPr>
      <w:pStyle w:val="Footer"/>
      <w:rPr>
        <w:rFonts w:ascii="Arial" w:hAnsi="Arial" w:cs="Arial"/>
        <w:b/>
        <w:sz w:val="48"/>
      </w:rPr>
    </w:pPr>
    <w:r w:rsidRPr="002B7DF6">
      <w:rPr>
        <w:rFonts w:ascii="Arial" w:hAnsi="Arial" w:cs="Arial"/>
        <w:b/>
        <w:sz w:val="48"/>
      </w:rPr>
      <w:t>EN</w:t>
    </w:r>
    <w:r w:rsidRPr="002B7DF6">
      <w:rPr>
        <w:rFonts w:ascii="Arial" w:hAnsi="Arial" w:cs="Arial"/>
        <w:b/>
        <w:sz w:val="48"/>
      </w:rPr>
      <w:tab/>
    </w:r>
    <w:r w:rsidRPr="002B7DF6">
      <w:rPr>
        <w:rFonts w:ascii="Arial" w:hAnsi="Arial" w:cs="Arial"/>
        <w:b/>
        <w:sz w:val="48"/>
      </w:rPr>
      <w:tab/>
    </w:r>
    <w:r w:rsidRPr="002B7DF6">
      <w:tab/>
    </w:r>
    <w:r w:rsidRPr="002B7DF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6BB99" w14:textId="77777777" w:rsidR="002B7DF6" w:rsidRPr="002B7DF6" w:rsidRDefault="002B7DF6" w:rsidP="002B7D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C5D4A" w14:textId="77777777" w:rsidR="002B7DF6" w:rsidRDefault="002B7D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BE187" w14:textId="7844FBBF" w:rsidR="002B7DF6" w:rsidRPr="002B7DF6" w:rsidRDefault="002B7DF6" w:rsidP="002B7DF6">
    <w:pPr>
      <w:pStyle w:val="Footer"/>
      <w:rPr>
        <w:rFonts w:ascii="Arial" w:hAnsi="Arial" w:cs="Arial"/>
        <w:b/>
        <w:sz w:val="48"/>
      </w:rPr>
    </w:pPr>
    <w:r w:rsidRPr="002B7DF6">
      <w:rPr>
        <w:rFonts w:ascii="Arial" w:hAnsi="Arial" w:cs="Arial"/>
        <w:b/>
        <w:sz w:val="48"/>
      </w:rPr>
      <w:t>EN</w:t>
    </w:r>
    <w:r w:rsidRPr="002B7DF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B7DF6">
      <w:tab/>
    </w:r>
    <w:r w:rsidRPr="002B7DF6">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74105" w14:textId="77777777" w:rsidR="002B7DF6" w:rsidRDefault="002B7DF6" w:rsidP="002B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E2995" w14:textId="77777777" w:rsidR="00437871" w:rsidRPr="00291986" w:rsidRDefault="00437871" w:rsidP="00912B8C">
      <w:pPr>
        <w:spacing w:before="0" w:after="0"/>
      </w:pPr>
      <w:r w:rsidRPr="00291986">
        <w:separator/>
      </w:r>
    </w:p>
  </w:footnote>
  <w:footnote w:type="continuationSeparator" w:id="0">
    <w:p w14:paraId="0A4163A1" w14:textId="77777777" w:rsidR="00437871" w:rsidRPr="00291986" w:rsidRDefault="00437871" w:rsidP="00912B8C">
      <w:pPr>
        <w:spacing w:before="0" w:after="0"/>
      </w:pPr>
      <w:r w:rsidRPr="002919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E6AC2" w14:textId="77777777" w:rsidR="002B7DF6" w:rsidRPr="002B7DF6" w:rsidRDefault="002B7DF6" w:rsidP="002B7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3D958" w14:textId="77777777" w:rsidR="002B7DF6" w:rsidRPr="002B7DF6" w:rsidRDefault="002B7DF6" w:rsidP="002B7D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8D17A" w14:textId="77777777" w:rsidR="002B7DF6" w:rsidRPr="002B7DF6" w:rsidRDefault="002B7DF6" w:rsidP="002B7D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92340" w14:textId="77777777" w:rsidR="002B7DF6" w:rsidRDefault="002B7D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82029" w14:textId="77777777" w:rsidR="002B7DF6" w:rsidRDefault="002B7D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F3A98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DC01FC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0D0E5A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A5C129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1C00FA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341E3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09645E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B34DE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A2A6ED1"/>
    <w:multiLevelType w:val="hybridMultilevel"/>
    <w:tmpl w:val="7B3E6C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3"/>
  </w:num>
  <w:num w:numId="12">
    <w:abstractNumId w:val="22"/>
  </w:num>
  <w:num w:numId="13">
    <w:abstractNumId w:val="12"/>
  </w:num>
  <w:num w:numId="14">
    <w:abstractNumId w:val="14"/>
  </w:num>
  <w:num w:numId="15">
    <w:abstractNumId w:val="15"/>
  </w:num>
  <w:num w:numId="16">
    <w:abstractNumId w:val="10"/>
  </w:num>
  <w:num w:numId="17">
    <w:abstractNumId w:val="21"/>
  </w:num>
  <w:num w:numId="18">
    <w:abstractNumId w:val="9"/>
  </w:num>
  <w:num w:numId="19">
    <w:abstractNumId w:val="16"/>
  </w:num>
  <w:num w:numId="20">
    <w:abstractNumId w:val="18"/>
  </w:num>
  <w:num w:numId="21">
    <w:abstractNumId w:val="19"/>
  </w:num>
  <w:num w:numId="22">
    <w:abstractNumId w:val="11"/>
  </w:num>
  <w:num w:numId="23">
    <w:abstractNumId w:val="17"/>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0:17: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82963A2B-3299-47E3-826C-7072E09BD992"/>
    <w:docVar w:name="LW_COVERPAGE_TYPE" w:val="1"/>
    <w:docVar w:name="LW_CROSSREFERENCE" w:val="&lt;UNUSED&gt;"/>
    <w:docVar w:name="LW_DocType" w:val="ANNEX"/>
    <w:docVar w:name="LW_EMISSION" w:val="15.1.2026"/>
    <w:docVar w:name="LW_EMISSION_ISODATE" w:val="2026-01-15"/>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Regional Steering Committee of the Transport Community as regards certain changes to the rules on staff salaries of the Transport Community Permanent Secretariat"/>
    <w:docVar w:name="LW_OBJETACTEPRINCIPAL.CP" w:val="on the position to be taken on behalf of the European Union in the Regional Steering Committee of the Transport Community as regards certain changes to the rules on staff salaries of the Transport Community Permanent Secretariat"/>
    <w:docVar w:name="LW_PART_NBR" w:val="1"/>
    <w:docVar w:name="LW_PART_NBR_TOTAL" w:val="1"/>
    <w:docVar w:name="LW_REF.INST.NEW" w:val="COM"/>
    <w:docVar w:name="LW_REF.INST.NEW_ADOPTED" w:val="final"/>
    <w:docVar w:name="LW_REF.INST.NEW_TEXT" w:val="(2026) 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912B8C"/>
    <w:rsid w:val="00012157"/>
    <w:rsid w:val="0002325D"/>
    <w:rsid w:val="00070205"/>
    <w:rsid w:val="00076E5D"/>
    <w:rsid w:val="00081CEA"/>
    <w:rsid w:val="000A24AD"/>
    <w:rsid w:val="000A3E89"/>
    <w:rsid w:val="000B3D09"/>
    <w:rsid w:val="000B526D"/>
    <w:rsid w:val="000C6CA4"/>
    <w:rsid w:val="000D76A5"/>
    <w:rsid w:val="000F4E2D"/>
    <w:rsid w:val="000F761A"/>
    <w:rsid w:val="00123E58"/>
    <w:rsid w:val="00130A36"/>
    <w:rsid w:val="001365D0"/>
    <w:rsid w:val="00160D88"/>
    <w:rsid w:val="001614E5"/>
    <w:rsid w:val="00165C4F"/>
    <w:rsid w:val="00173771"/>
    <w:rsid w:val="00175DBA"/>
    <w:rsid w:val="00191527"/>
    <w:rsid w:val="0019528B"/>
    <w:rsid w:val="001A0ADD"/>
    <w:rsid w:val="001E0E08"/>
    <w:rsid w:val="001F154D"/>
    <w:rsid w:val="001F343E"/>
    <w:rsid w:val="00200B3A"/>
    <w:rsid w:val="00207E0F"/>
    <w:rsid w:val="00225D24"/>
    <w:rsid w:val="00244D51"/>
    <w:rsid w:val="00244D95"/>
    <w:rsid w:val="002622A4"/>
    <w:rsid w:val="00262573"/>
    <w:rsid w:val="0026492D"/>
    <w:rsid w:val="00272650"/>
    <w:rsid w:val="00277554"/>
    <w:rsid w:val="00291986"/>
    <w:rsid w:val="00293DFB"/>
    <w:rsid w:val="002B7DF6"/>
    <w:rsid w:val="002C0785"/>
    <w:rsid w:val="002C4D75"/>
    <w:rsid w:val="002D7C90"/>
    <w:rsid w:val="002E2CAD"/>
    <w:rsid w:val="002F3452"/>
    <w:rsid w:val="00303691"/>
    <w:rsid w:val="003352F6"/>
    <w:rsid w:val="00342C91"/>
    <w:rsid w:val="00353B24"/>
    <w:rsid w:val="00383236"/>
    <w:rsid w:val="003A5F7E"/>
    <w:rsid w:val="003B30D7"/>
    <w:rsid w:val="003B4BA4"/>
    <w:rsid w:val="003D20E3"/>
    <w:rsid w:val="003D5E60"/>
    <w:rsid w:val="003E07E3"/>
    <w:rsid w:val="003E4EC7"/>
    <w:rsid w:val="003E5283"/>
    <w:rsid w:val="003F1EDF"/>
    <w:rsid w:val="00415075"/>
    <w:rsid w:val="00421A73"/>
    <w:rsid w:val="004223A8"/>
    <w:rsid w:val="00437871"/>
    <w:rsid w:val="00440A20"/>
    <w:rsid w:val="00486F5E"/>
    <w:rsid w:val="00492EB7"/>
    <w:rsid w:val="004C094C"/>
    <w:rsid w:val="004C0CF9"/>
    <w:rsid w:val="004C43D4"/>
    <w:rsid w:val="00504E45"/>
    <w:rsid w:val="005158BA"/>
    <w:rsid w:val="005253E5"/>
    <w:rsid w:val="0053275E"/>
    <w:rsid w:val="00542FFE"/>
    <w:rsid w:val="00545A94"/>
    <w:rsid w:val="00566DA6"/>
    <w:rsid w:val="00587B39"/>
    <w:rsid w:val="00590ED8"/>
    <w:rsid w:val="005C53AC"/>
    <w:rsid w:val="005D2FEC"/>
    <w:rsid w:val="005D4080"/>
    <w:rsid w:val="005E078A"/>
    <w:rsid w:val="005F4FCE"/>
    <w:rsid w:val="005F58FB"/>
    <w:rsid w:val="00614582"/>
    <w:rsid w:val="00626E37"/>
    <w:rsid w:val="00635EB0"/>
    <w:rsid w:val="006451BA"/>
    <w:rsid w:val="00646B1D"/>
    <w:rsid w:val="00661A80"/>
    <w:rsid w:val="006657A5"/>
    <w:rsid w:val="006844D0"/>
    <w:rsid w:val="006918F2"/>
    <w:rsid w:val="006A30D7"/>
    <w:rsid w:val="006A6BCB"/>
    <w:rsid w:val="006B0F04"/>
    <w:rsid w:val="006B26E7"/>
    <w:rsid w:val="006C2DF8"/>
    <w:rsid w:val="006E2055"/>
    <w:rsid w:val="006E44BE"/>
    <w:rsid w:val="006F4CB8"/>
    <w:rsid w:val="006F76DF"/>
    <w:rsid w:val="00712CE0"/>
    <w:rsid w:val="00714B67"/>
    <w:rsid w:val="007314CA"/>
    <w:rsid w:val="007501F8"/>
    <w:rsid w:val="00757F1C"/>
    <w:rsid w:val="00760908"/>
    <w:rsid w:val="00767520"/>
    <w:rsid w:val="007906B8"/>
    <w:rsid w:val="00792B87"/>
    <w:rsid w:val="007A11C1"/>
    <w:rsid w:val="007E4316"/>
    <w:rsid w:val="00811A5F"/>
    <w:rsid w:val="00831721"/>
    <w:rsid w:val="00831FCD"/>
    <w:rsid w:val="00833A6F"/>
    <w:rsid w:val="00876108"/>
    <w:rsid w:val="00892524"/>
    <w:rsid w:val="008B29AA"/>
    <w:rsid w:val="008C320E"/>
    <w:rsid w:val="008C45E3"/>
    <w:rsid w:val="008D6398"/>
    <w:rsid w:val="008E1AF5"/>
    <w:rsid w:val="008F7B03"/>
    <w:rsid w:val="0090026F"/>
    <w:rsid w:val="00903C98"/>
    <w:rsid w:val="00905D22"/>
    <w:rsid w:val="00906FF3"/>
    <w:rsid w:val="00910CD8"/>
    <w:rsid w:val="00911701"/>
    <w:rsid w:val="00912B8C"/>
    <w:rsid w:val="009138AC"/>
    <w:rsid w:val="009249D3"/>
    <w:rsid w:val="00940F13"/>
    <w:rsid w:val="00953DEF"/>
    <w:rsid w:val="00976B41"/>
    <w:rsid w:val="00985303"/>
    <w:rsid w:val="009A5A03"/>
    <w:rsid w:val="009A74CE"/>
    <w:rsid w:val="009C725C"/>
    <w:rsid w:val="009E270D"/>
    <w:rsid w:val="009F6C76"/>
    <w:rsid w:val="00A06157"/>
    <w:rsid w:val="00A06488"/>
    <w:rsid w:val="00A14D48"/>
    <w:rsid w:val="00A21A0A"/>
    <w:rsid w:val="00A4693A"/>
    <w:rsid w:val="00A5772D"/>
    <w:rsid w:val="00A6243B"/>
    <w:rsid w:val="00A64AFF"/>
    <w:rsid w:val="00A71F6D"/>
    <w:rsid w:val="00A720B4"/>
    <w:rsid w:val="00A779BD"/>
    <w:rsid w:val="00A84798"/>
    <w:rsid w:val="00AA5857"/>
    <w:rsid w:val="00AB4F85"/>
    <w:rsid w:val="00AD5FA3"/>
    <w:rsid w:val="00AE66E2"/>
    <w:rsid w:val="00AE7CA2"/>
    <w:rsid w:val="00B1281D"/>
    <w:rsid w:val="00B140F0"/>
    <w:rsid w:val="00B159BC"/>
    <w:rsid w:val="00B47C14"/>
    <w:rsid w:val="00B66C0A"/>
    <w:rsid w:val="00B75F7D"/>
    <w:rsid w:val="00B8137F"/>
    <w:rsid w:val="00B977D0"/>
    <w:rsid w:val="00BA2B39"/>
    <w:rsid w:val="00BA4F3C"/>
    <w:rsid w:val="00BB088B"/>
    <w:rsid w:val="00BB30BC"/>
    <w:rsid w:val="00BF19B4"/>
    <w:rsid w:val="00BF3C1D"/>
    <w:rsid w:val="00BF6560"/>
    <w:rsid w:val="00C1609C"/>
    <w:rsid w:val="00C3639C"/>
    <w:rsid w:val="00C509E9"/>
    <w:rsid w:val="00C5324E"/>
    <w:rsid w:val="00C66234"/>
    <w:rsid w:val="00C73E06"/>
    <w:rsid w:val="00C810FE"/>
    <w:rsid w:val="00C83275"/>
    <w:rsid w:val="00C86004"/>
    <w:rsid w:val="00C953CA"/>
    <w:rsid w:val="00CB5217"/>
    <w:rsid w:val="00D05CE9"/>
    <w:rsid w:val="00D06067"/>
    <w:rsid w:val="00D22A60"/>
    <w:rsid w:val="00D328C4"/>
    <w:rsid w:val="00D33986"/>
    <w:rsid w:val="00D36F80"/>
    <w:rsid w:val="00D415F6"/>
    <w:rsid w:val="00D672B0"/>
    <w:rsid w:val="00D76211"/>
    <w:rsid w:val="00D8245D"/>
    <w:rsid w:val="00D958F5"/>
    <w:rsid w:val="00DB495A"/>
    <w:rsid w:val="00DE08F3"/>
    <w:rsid w:val="00DE36D2"/>
    <w:rsid w:val="00DE5FA9"/>
    <w:rsid w:val="00DE65BE"/>
    <w:rsid w:val="00E016DF"/>
    <w:rsid w:val="00E25EAA"/>
    <w:rsid w:val="00E43865"/>
    <w:rsid w:val="00E46FFF"/>
    <w:rsid w:val="00E505BC"/>
    <w:rsid w:val="00E61092"/>
    <w:rsid w:val="00E67E96"/>
    <w:rsid w:val="00E806DA"/>
    <w:rsid w:val="00E9427D"/>
    <w:rsid w:val="00E97264"/>
    <w:rsid w:val="00E97B73"/>
    <w:rsid w:val="00EB1E85"/>
    <w:rsid w:val="00EB4446"/>
    <w:rsid w:val="00EC7F3C"/>
    <w:rsid w:val="00ED5F2D"/>
    <w:rsid w:val="00ED6B0C"/>
    <w:rsid w:val="00F05863"/>
    <w:rsid w:val="00F05DE4"/>
    <w:rsid w:val="00F14BE3"/>
    <w:rsid w:val="00F1740A"/>
    <w:rsid w:val="00F54635"/>
    <w:rsid w:val="00F5524A"/>
    <w:rsid w:val="00F5689C"/>
    <w:rsid w:val="00F7024E"/>
    <w:rsid w:val="00F76DD2"/>
    <w:rsid w:val="00F80FD5"/>
    <w:rsid w:val="00F82260"/>
    <w:rsid w:val="00FB0C4C"/>
    <w:rsid w:val="00FC2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5A2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ED5F2D"/>
    <w:pPr>
      <w:numPr>
        <w:numId w:val="1"/>
      </w:numPr>
      <w:contextualSpacing/>
    </w:pPr>
  </w:style>
  <w:style w:type="paragraph" w:styleId="ListBullet2">
    <w:name w:val="List Bullet 2"/>
    <w:basedOn w:val="Normal"/>
    <w:uiPriority w:val="99"/>
    <w:semiHidden/>
    <w:unhideWhenUsed/>
    <w:rsid w:val="00ED5F2D"/>
    <w:pPr>
      <w:numPr>
        <w:numId w:val="2"/>
      </w:numPr>
      <w:contextualSpacing/>
    </w:pPr>
  </w:style>
  <w:style w:type="paragraph" w:styleId="ListBullet3">
    <w:name w:val="List Bullet 3"/>
    <w:basedOn w:val="Normal"/>
    <w:uiPriority w:val="99"/>
    <w:semiHidden/>
    <w:unhideWhenUsed/>
    <w:rsid w:val="00ED5F2D"/>
    <w:pPr>
      <w:numPr>
        <w:numId w:val="3"/>
      </w:numPr>
      <w:contextualSpacing/>
    </w:pPr>
  </w:style>
  <w:style w:type="paragraph" w:styleId="ListBullet4">
    <w:name w:val="List Bullet 4"/>
    <w:basedOn w:val="Normal"/>
    <w:uiPriority w:val="99"/>
    <w:semiHidden/>
    <w:unhideWhenUsed/>
    <w:rsid w:val="00ED5F2D"/>
    <w:pPr>
      <w:numPr>
        <w:numId w:val="4"/>
      </w:numPr>
      <w:contextualSpacing/>
    </w:pPr>
  </w:style>
  <w:style w:type="paragraph" w:styleId="Caption">
    <w:name w:val="caption"/>
    <w:basedOn w:val="Normal"/>
    <w:next w:val="Normal"/>
    <w:uiPriority w:val="35"/>
    <w:semiHidden/>
    <w:unhideWhenUsed/>
    <w:qFormat/>
    <w:rsid w:val="00646B1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46B1D"/>
    <w:pPr>
      <w:spacing w:after="0"/>
    </w:pPr>
  </w:style>
  <w:style w:type="paragraph" w:styleId="ListNumber">
    <w:name w:val="List Number"/>
    <w:basedOn w:val="Normal"/>
    <w:uiPriority w:val="99"/>
    <w:semiHidden/>
    <w:unhideWhenUsed/>
    <w:rsid w:val="00646B1D"/>
    <w:pPr>
      <w:numPr>
        <w:numId w:val="5"/>
      </w:numPr>
      <w:contextualSpacing/>
    </w:pPr>
  </w:style>
  <w:style w:type="paragraph" w:styleId="ListNumber2">
    <w:name w:val="List Number 2"/>
    <w:basedOn w:val="Normal"/>
    <w:uiPriority w:val="99"/>
    <w:semiHidden/>
    <w:unhideWhenUsed/>
    <w:rsid w:val="00646B1D"/>
    <w:pPr>
      <w:numPr>
        <w:numId w:val="6"/>
      </w:numPr>
      <w:contextualSpacing/>
    </w:pPr>
  </w:style>
  <w:style w:type="paragraph" w:styleId="ListNumber3">
    <w:name w:val="List Number 3"/>
    <w:basedOn w:val="Normal"/>
    <w:uiPriority w:val="99"/>
    <w:semiHidden/>
    <w:unhideWhenUsed/>
    <w:rsid w:val="00646B1D"/>
    <w:pPr>
      <w:numPr>
        <w:numId w:val="7"/>
      </w:numPr>
      <w:contextualSpacing/>
    </w:pPr>
  </w:style>
  <w:style w:type="paragraph" w:styleId="ListNumber4">
    <w:name w:val="List Number 4"/>
    <w:basedOn w:val="Normal"/>
    <w:uiPriority w:val="99"/>
    <w:semiHidden/>
    <w:unhideWhenUsed/>
    <w:rsid w:val="00646B1D"/>
    <w:pPr>
      <w:numPr>
        <w:numId w:val="8"/>
      </w:numPr>
      <w:contextualSpacing/>
    </w:pPr>
  </w:style>
  <w:style w:type="character" w:styleId="Hyperlink">
    <w:name w:val="Hyperlink"/>
    <w:basedOn w:val="DefaultParagraphFont"/>
    <w:uiPriority w:val="99"/>
    <w:unhideWhenUsed/>
    <w:rsid w:val="00130A36"/>
    <w:rPr>
      <w:color w:val="0000FF" w:themeColor="hyperlink"/>
      <w:u w:val="single"/>
    </w:rPr>
  </w:style>
  <w:style w:type="character" w:styleId="CommentReference">
    <w:name w:val="annotation reference"/>
    <w:basedOn w:val="DefaultParagraphFont"/>
    <w:uiPriority w:val="99"/>
    <w:semiHidden/>
    <w:unhideWhenUsed/>
    <w:rsid w:val="00130A3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60908"/>
    <w:rPr>
      <w:b/>
      <w:bCs/>
    </w:rPr>
  </w:style>
  <w:style w:type="character" w:customStyle="1" w:styleId="CommentSubjectChar">
    <w:name w:val="Comment Subject Char"/>
    <w:basedOn w:val="CommentTextChar"/>
    <w:link w:val="CommentSubject"/>
    <w:uiPriority w:val="99"/>
    <w:semiHidden/>
    <w:rsid w:val="0076090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760908"/>
    <w:rPr>
      <w:color w:val="605E5C"/>
      <w:shd w:val="clear" w:color="auto" w:fill="E1DFDD"/>
    </w:rPr>
  </w:style>
  <w:style w:type="paragraph" w:styleId="Revision">
    <w:name w:val="Revision"/>
    <w:hidden/>
    <w:uiPriority w:val="99"/>
    <w:semiHidden/>
    <w:rsid w:val="00760908"/>
    <w:pPr>
      <w:spacing w:after="0" w:line="240" w:lineRule="auto"/>
    </w:pPr>
    <w:rPr>
      <w:rFonts w:ascii="Times New Roman" w:hAnsi="Times New Roman" w:cs="Times New Roman"/>
      <w:sz w:val="24"/>
      <w:lang w:val="en-GB"/>
    </w:rPr>
  </w:style>
  <w:style w:type="paragraph" w:styleId="NormalWeb">
    <w:name w:val="Normal (Web)"/>
    <w:basedOn w:val="Normal"/>
    <w:uiPriority w:val="99"/>
    <w:unhideWhenUsed/>
    <w:rsid w:val="00911701"/>
    <w:pPr>
      <w:spacing w:before="100" w:beforeAutospacing="1" w:after="100" w:afterAutospacing="1"/>
      <w:jc w:val="left"/>
    </w:pPr>
    <w:rPr>
      <w:rFonts w:eastAsia="Times New Roman"/>
      <w:szCs w:val="24"/>
      <w:lang w:val="en-US"/>
    </w:rPr>
  </w:style>
  <w:style w:type="character" w:styleId="Strong">
    <w:name w:val="Strong"/>
    <w:basedOn w:val="DefaultParagraphFont"/>
    <w:uiPriority w:val="22"/>
    <w:qFormat/>
    <w:rsid w:val="00911701"/>
    <w:rPr>
      <w:b/>
      <w:bCs/>
    </w:rPr>
  </w:style>
  <w:style w:type="table" w:styleId="TableGrid">
    <w:name w:val="Table Grid"/>
    <w:basedOn w:val="TableNormal"/>
    <w:uiPriority w:val="39"/>
    <w:rsid w:val="00081CEA"/>
    <w:pPr>
      <w:spacing w:after="0" w:line="240" w:lineRule="auto"/>
    </w:pPr>
    <w:rPr>
      <w:rFonts w:ascii="Arial" w:eastAsia="Aptos" w:hAnsi="Arial" w:cs="Arial"/>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2B7DF6"/>
    <w:rPr>
      <w:rFonts w:ascii="Times New Roman" w:hAnsi="Times New Roman" w:cs="Times New Roman"/>
      <w:sz w:val="24"/>
      <w:lang w:val="en-GB"/>
    </w:rPr>
  </w:style>
  <w:style w:type="character" w:customStyle="1" w:styleId="FooterChar">
    <w:name w:val="Footer Char"/>
    <w:basedOn w:val="DefaultParagraphFont"/>
    <w:link w:val="Footer"/>
    <w:uiPriority w:val="99"/>
    <w:rsid w:val="002B7DF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B7DF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B7DF6"/>
    <w:pPr>
      <w:spacing w:before="0"/>
      <w:jc w:val="right"/>
    </w:pPr>
    <w:rPr>
      <w:sz w:val="28"/>
    </w:rPr>
  </w:style>
  <w:style w:type="paragraph" w:customStyle="1" w:styleId="FooterSensitivity">
    <w:name w:val="Footer Sensitivity"/>
    <w:basedOn w:val="Normal"/>
    <w:rsid w:val="002B7DF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B7DF6"/>
    <w:pPr>
      <w:tabs>
        <w:tab w:val="center" w:pos="4535"/>
        <w:tab w:val="right" w:pos="9071"/>
      </w:tabs>
      <w:spacing w:before="0"/>
    </w:pPr>
  </w:style>
  <w:style w:type="paragraph" w:customStyle="1" w:styleId="HeaderLandscape">
    <w:name w:val="HeaderLandscape"/>
    <w:basedOn w:val="Normal"/>
    <w:rsid w:val="002B7DF6"/>
    <w:pPr>
      <w:tabs>
        <w:tab w:val="center" w:pos="7285"/>
        <w:tab w:val="right" w:pos="14003"/>
      </w:tabs>
      <w:spacing w:before="0"/>
    </w:pPr>
  </w:style>
  <w:style w:type="paragraph" w:styleId="Footer">
    <w:name w:val="footer"/>
    <w:basedOn w:val="Normal"/>
    <w:link w:val="FooterChar"/>
    <w:uiPriority w:val="99"/>
    <w:unhideWhenUsed/>
    <w:rsid w:val="002B7DF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B7DF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3</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2025-11-28T07:22:00Z</dcterms:created>
  <dcterms:modified xsi:type="dcterms:W3CDTF">2026-01-15T09:17:00Z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2025-11-19T14:20:03Z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635a9be0-afd8-44a0-9a21-d0f9ac349244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ategory">
    <vt:lpwstr>COM/ANNEX</vt:lpwstr>
  </property>
  <property fmtid="{D5CDD505-2E9C-101B-9397-08002B2CF9AE}" pid="12" name="DQCStatus">
    <vt:lpwstr>Green (DQC version 03)</vt:lpwstr>
  </property>
</Properties>
</file>