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B58" w:rsidRPr="00F7372C" w:rsidRDefault="00527A36" w:rsidP="00527A36">
      <w:pPr>
        <w:pStyle w:val="Pagedecouverture"/>
        <w:rPr>
          <w:noProof/>
        </w:rPr>
      </w:pPr>
      <w:bookmarkStart w:id="0" w:name="_Hlk21443760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961722-07C8-41F4-9DCF-6FDDBD78A491" style="width:455.25pt;height:371.25pt">
            <v:imagedata r:id="rId7" o:title=""/>
          </v:shape>
        </w:pict>
      </w:r>
    </w:p>
    <w:p w:rsidR="00B91B58" w:rsidRPr="00F7372C" w:rsidRDefault="00B91B58" w:rsidP="00B91B58">
      <w:pPr>
        <w:rPr>
          <w:noProof/>
        </w:rPr>
        <w:sectPr w:rsidR="00B91B58" w:rsidRPr="00F7372C" w:rsidSect="00527A36">
          <w:footerReference w:type="even" r:id="rId8"/>
          <w:footerReference w:type="default" r:id="rId9"/>
          <w:pgSz w:w="11907" w:h="16839"/>
          <w:pgMar w:top="1134" w:right="1417" w:bottom="1134" w:left="1417" w:header="709" w:footer="709" w:gutter="0"/>
          <w:pgNumType w:start="0"/>
          <w:cols w:space="720"/>
          <w:docGrid w:linePitch="360"/>
        </w:sectPr>
      </w:pPr>
    </w:p>
    <w:p w:rsidR="00B91B58" w:rsidRPr="00F7372C" w:rsidRDefault="00B91B58" w:rsidP="00BB6B30">
      <w:pPr>
        <w:pStyle w:val="Exposdesmotifstitre"/>
        <w:rPr>
          <w:noProof/>
        </w:rPr>
      </w:pPr>
      <w:bookmarkStart w:id="1" w:name="_GoBack"/>
      <w:bookmarkEnd w:id="1"/>
      <w:r w:rsidRPr="00F7372C">
        <w:rPr>
          <w:noProof/>
        </w:rPr>
        <w:lastRenderedPageBreak/>
        <w:t>EXPUNERE DE MOTIVE</w:t>
      </w:r>
    </w:p>
    <w:p w:rsidR="00B91B58" w:rsidRPr="00F7372C" w:rsidRDefault="003159DC" w:rsidP="003159DC">
      <w:pPr>
        <w:pStyle w:val="ManualHeading1"/>
        <w:rPr>
          <w:rFonts w:eastAsia="Arial Unicode MS"/>
          <w:noProof/>
        </w:rPr>
      </w:pPr>
      <w:r w:rsidRPr="003159DC">
        <w:rPr>
          <w:noProof/>
        </w:rPr>
        <w:t>1.</w:t>
      </w:r>
      <w:r w:rsidRPr="003159DC">
        <w:rPr>
          <w:noProof/>
        </w:rPr>
        <w:tab/>
      </w:r>
      <w:r w:rsidR="00B91B58" w:rsidRPr="00F7372C">
        <w:rPr>
          <w:noProof/>
        </w:rPr>
        <w:t>Obiectul propunerii</w:t>
      </w:r>
    </w:p>
    <w:p w:rsidR="00B91B58" w:rsidRPr="00F7372C" w:rsidRDefault="00B91B58" w:rsidP="00736AA9">
      <w:pPr>
        <w:rPr>
          <w:rFonts w:eastAsia="Arial Unicode MS"/>
          <w:noProof/>
        </w:rPr>
      </w:pPr>
      <w:r w:rsidRPr="00F7372C">
        <w:rPr>
          <w:noProof/>
        </w:rPr>
        <w:t>Prezenta propunere vizează decizia de stabilire a poziției care urmează să fie adoptată în numele Uniunii Europene în cadrul Comitetului director regional înființat prin Tratatul de instituire a Comunității transporturilor („TCT”) în ceea ce privește anumite modificări preconizate ale normelor privind salariile personalului Secretariatului permanent al Comunității transporturilor.</w:t>
      </w:r>
    </w:p>
    <w:p w:rsidR="00B91B58" w:rsidRPr="00F7372C" w:rsidRDefault="003159DC" w:rsidP="003159DC">
      <w:pPr>
        <w:pStyle w:val="ManualHeading1"/>
        <w:rPr>
          <w:noProof/>
        </w:rPr>
      </w:pPr>
      <w:r w:rsidRPr="003159DC">
        <w:rPr>
          <w:noProof/>
        </w:rPr>
        <w:t>2.</w:t>
      </w:r>
      <w:r w:rsidRPr="003159DC">
        <w:rPr>
          <w:noProof/>
        </w:rPr>
        <w:tab/>
      </w:r>
      <w:r w:rsidR="00B91B58" w:rsidRPr="00F7372C">
        <w:rPr>
          <w:noProof/>
        </w:rPr>
        <w:t>Contextul propunerii</w:t>
      </w:r>
    </w:p>
    <w:p w:rsidR="00B91B58" w:rsidRPr="00F7372C" w:rsidRDefault="003159DC" w:rsidP="003159DC">
      <w:pPr>
        <w:pStyle w:val="ManualHeading2"/>
        <w:rPr>
          <w:noProof/>
        </w:rPr>
      </w:pPr>
      <w:r w:rsidRPr="003159DC">
        <w:rPr>
          <w:noProof/>
        </w:rPr>
        <w:t>2.1.</w:t>
      </w:r>
      <w:r w:rsidRPr="003159DC">
        <w:rPr>
          <w:noProof/>
        </w:rPr>
        <w:tab/>
      </w:r>
      <w:r w:rsidR="00B91B58" w:rsidRPr="00F7372C">
        <w:rPr>
          <w:noProof/>
        </w:rPr>
        <w:t>Tratatul de instituire a Comunității transporturilor</w:t>
      </w:r>
    </w:p>
    <w:p w:rsidR="00B91B58" w:rsidRPr="00F7372C" w:rsidRDefault="00580E41" w:rsidP="00736AA9">
      <w:pPr>
        <w:rPr>
          <w:rFonts w:eastAsia="Arial Unicode MS"/>
          <w:noProof/>
        </w:rPr>
      </w:pPr>
      <w:r w:rsidRPr="00F7372C">
        <w:rPr>
          <w:noProof/>
        </w:rPr>
        <w:t>La 1 mai 2019, Republica Albania, Bosnia și Herțegovina, Republica Macedonia de Nord, Kosovo</w:t>
      </w:r>
      <w:r w:rsidRPr="00F7372C">
        <w:rPr>
          <w:rStyle w:val="FootnoteReference"/>
          <w:noProof/>
        </w:rPr>
        <w:footnoteReference w:customMarkFollows="1" w:id="1"/>
        <w:t>*</w:t>
      </w:r>
      <w:r w:rsidRPr="00F7372C">
        <w:rPr>
          <w:noProof/>
        </w:rPr>
        <w:t>, Muntenegru și Republica Serbia („părțile din Europa de Sud-Est”) au ratificat TCT. Uniunea Europeană a devenit parte la TCT prin adoptarea, la 4 martie 2019, a unei decizii a Consiliului privind încheierea Tratatului de instituire a Comunității transporturilor</w:t>
      </w:r>
      <w:r w:rsidRPr="00F7372C">
        <w:rPr>
          <w:rStyle w:val="FootnoteReference"/>
          <w:noProof/>
        </w:rPr>
        <w:footnoteReference w:id="2"/>
      </w:r>
      <w:r w:rsidRPr="00F7372C">
        <w:rPr>
          <w:noProof/>
        </w:rPr>
        <w:t>. TCT a intrat în vigoare la 1 mai 2019.</w:t>
      </w:r>
    </w:p>
    <w:p w:rsidR="00B91B58" w:rsidRPr="00F7372C" w:rsidRDefault="003159DC" w:rsidP="003159DC">
      <w:pPr>
        <w:pStyle w:val="ManualHeading2"/>
        <w:rPr>
          <w:noProof/>
        </w:rPr>
      </w:pPr>
      <w:r w:rsidRPr="003159DC">
        <w:rPr>
          <w:noProof/>
        </w:rPr>
        <w:t>2.2.</w:t>
      </w:r>
      <w:r w:rsidRPr="003159DC">
        <w:rPr>
          <w:noProof/>
        </w:rPr>
        <w:tab/>
      </w:r>
      <w:r w:rsidR="00B91B58" w:rsidRPr="00F7372C">
        <w:rPr>
          <w:noProof/>
        </w:rPr>
        <w:t>Comitetul director regional</w:t>
      </w:r>
    </w:p>
    <w:p w:rsidR="00B91B58" w:rsidRPr="00F7372C" w:rsidRDefault="00B91B58" w:rsidP="00B91B58">
      <w:pPr>
        <w:pBdr>
          <w:top w:val="nil"/>
          <w:left w:val="nil"/>
          <w:bottom w:val="nil"/>
          <w:right w:val="nil"/>
          <w:between w:val="nil"/>
          <w:bar w:val="nil"/>
        </w:pBdr>
        <w:spacing w:before="0" w:after="240"/>
        <w:rPr>
          <w:noProof/>
        </w:rPr>
      </w:pPr>
      <w:r w:rsidRPr="00F7372C">
        <w:rPr>
          <w:noProof/>
        </w:rPr>
        <w:t>Comitetul director regional a fost înființat prin articolul 24 din TCT. El este responsabil cu administrarea TCT și cu asigurarea punerii în aplicare corespunzătoare a acestuia. În acest scop, Comitetul formulează recomandări și ia decizii în cazurile prevăzute de TCT. În particular, comitetul director regional:</w:t>
      </w:r>
    </w:p>
    <w:p w:rsidR="00B91B58" w:rsidRPr="00F7372C" w:rsidRDefault="00B91B58" w:rsidP="00B91B58">
      <w:pPr>
        <w:spacing w:before="0" w:after="200" w:line="276" w:lineRule="auto"/>
        <w:jc w:val="left"/>
        <w:rPr>
          <w:noProof/>
        </w:rPr>
      </w:pPr>
      <w:r w:rsidRPr="00F7372C">
        <w:rPr>
          <w:noProof/>
        </w:rPr>
        <w:t>(a) pregătește lucrările Consiliului ministerial;</w:t>
      </w:r>
    </w:p>
    <w:p w:rsidR="00B91B58" w:rsidRPr="00F7372C" w:rsidRDefault="00B91B58" w:rsidP="00B91B58">
      <w:pPr>
        <w:spacing w:before="0" w:after="200" w:line="276" w:lineRule="auto"/>
        <w:jc w:val="left"/>
        <w:rPr>
          <w:noProof/>
        </w:rPr>
      </w:pPr>
      <w:r w:rsidRPr="00F7372C">
        <w:rPr>
          <w:noProof/>
        </w:rPr>
        <w:t>(b) hotărăște înființarea de comisii tehnice;</w:t>
      </w:r>
    </w:p>
    <w:p w:rsidR="00B91B58" w:rsidRPr="00F7372C" w:rsidRDefault="00B91B58" w:rsidP="00B91B58">
      <w:pPr>
        <w:spacing w:before="0" w:after="200" w:line="276" w:lineRule="auto"/>
        <w:jc w:val="left"/>
        <w:rPr>
          <w:noProof/>
        </w:rPr>
      </w:pPr>
      <w:r w:rsidRPr="00F7372C">
        <w:rPr>
          <w:noProof/>
        </w:rPr>
        <w:t>(c) formulează recomandări și ia decizii în conformitate cu TCT;</w:t>
      </w:r>
    </w:p>
    <w:p w:rsidR="00B91B58" w:rsidRPr="00F7372C" w:rsidRDefault="00B91B58" w:rsidP="00B91B58">
      <w:pPr>
        <w:spacing w:before="0" w:after="200" w:line="276" w:lineRule="auto"/>
        <w:jc w:val="left"/>
        <w:rPr>
          <w:noProof/>
        </w:rPr>
      </w:pPr>
      <w:r w:rsidRPr="00F7372C">
        <w:rPr>
          <w:noProof/>
        </w:rPr>
        <w:t>(d) în ceea ce privește actele legislative ale UE adoptate recent, ia măsurile corespunzătoare, în special prin revizuirea anexei I la TCT;</w:t>
      </w:r>
    </w:p>
    <w:p w:rsidR="00B91B58" w:rsidRPr="00F7372C" w:rsidRDefault="00B91B58" w:rsidP="00B91B58">
      <w:pPr>
        <w:spacing w:before="0" w:after="200" w:line="276" w:lineRule="auto"/>
        <w:jc w:val="left"/>
        <w:rPr>
          <w:noProof/>
        </w:rPr>
      </w:pPr>
      <w:r w:rsidRPr="00F7372C">
        <w:rPr>
          <w:noProof/>
        </w:rPr>
        <w:t>(e) numește directorul Secretariatului permanent, după consultarea Consiliului ministerial;</w:t>
      </w:r>
    </w:p>
    <w:p w:rsidR="00B91B58" w:rsidRPr="00F7372C" w:rsidRDefault="00B91B58" w:rsidP="00B91B58">
      <w:pPr>
        <w:spacing w:before="0" w:after="200" w:line="276" w:lineRule="auto"/>
        <w:jc w:val="left"/>
        <w:rPr>
          <w:noProof/>
        </w:rPr>
      </w:pPr>
      <w:r w:rsidRPr="00F7372C">
        <w:rPr>
          <w:noProof/>
        </w:rPr>
        <w:t>(f) poate numi unul sau mai mulți directori adjuncți ai Secretariatului permanent;</w:t>
      </w:r>
    </w:p>
    <w:p w:rsidR="00B91B58" w:rsidRPr="00F7372C" w:rsidRDefault="00B91B58" w:rsidP="00B91B58">
      <w:pPr>
        <w:spacing w:before="0" w:after="200" w:line="276" w:lineRule="auto"/>
        <w:jc w:val="left"/>
        <w:rPr>
          <w:noProof/>
        </w:rPr>
      </w:pPr>
      <w:r w:rsidRPr="00F7372C">
        <w:rPr>
          <w:noProof/>
        </w:rPr>
        <w:t>(g) stabilește normele Secretariatului permanent;</w:t>
      </w:r>
    </w:p>
    <w:p w:rsidR="00B91B58" w:rsidRPr="00F7372C" w:rsidRDefault="00B91B58" w:rsidP="00B91B58">
      <w:pPr>
        <w:spacing w:before="0" w:after="200" w:line="276" w:lineRule="auto"/>
        <w:jc w:val="left"/>
        <w:rPr>
          <w:noProof/>
        </w:rPr>
      </w:pPr>
      <w:r w:rsidRPr="00F7372C">
        <w:rPr>
          <w:noProof/>
        </w:rPr>
        <w:t>(h) poate revizui, printr-o decizie, nivelul contribuțiilor la buget;</w:t>
      </w:r>
    </w:p>
    <w:p w:rsidR="00B91B58" w:rsidRPr="00F7372C" w:rsidRDefault="00B91B58" w:rsidP="00B91B58">
      <w:pPr>
        <w:spacing w:before="0" w:after="200" w:line="276" w:lineRule="auto"/>
        <w:jc w:val="left"/>
        <w:rPr>
          <w:noProof/>
        </w:rPr>
      </w:pPr>
      <w:r w:rsidRPr="00F7372C">
        <w:rPr>
          <w:noProof/>
        </w:rPr>
        <w:t>(i) adoptă bugetul anual al TCT;</w:t>
      </w:r>
    </w:p>
    <w:p w:rsidR="00B91B58" w:rsidRPr="00F7372C" w:rsidRDefault="00B91B58" w:rsidP="00B91B58">
      <w:pPr>
        <w:spacing w:before="0" w:after="200" w:line="276" w:lineRule="auto"/>
        <w:jc w:val="left"/>
        <w:rPr>
          <w:noProof/>
        </w:rPr>
      </w:pPr>
      <w:r w:rsidRPr="00F7372C">
        <w:rPr>
          <w:noProof/>
        </w:rPr>
        <w:t>(j) adoptă decizii precizând procedurile de execuție a bugetului, prezentarea și auditarea conturilor, precum și pentru desfășurarea de inspecții;</w:t>
      </w:r>
    </w:p>
    <w:p w:rsidR="00B91B58" w:rsidRPr="00F7372C" w:rsidRDefault="00B91B58" w:rsidP="00B91B58">
      <w:pPr>
        <w:spacing w:before="0" w:after="200" w:line="276" w:lineRule="auto"/>
        <w:jc w:val="left"/>
        <w:rPr>
          <w:noProof/>
        </w:rPr>
      </w:pPr>
      <w:r w:rsidRPr="00F7372C">
        <w:rPr>
          <w:noProof/>
        </w:rPr>
        <w:t>(k) ia decizii cu privire la litigiile inițiate de către părțile contractante;</w:t>
      </w:r>
    </w:p>
    <w:p w:rsidR="00B91B58" w:rsidRPr="00F7372C" w:rsidRDefault="00B91B58" w:rsidP="00B91B58">
      <w:pPr>
        <w:spacing w:before="0" w:after="200" w:line="276" w:lineRule="auto"/>
        <w:jc w:val="left"/>
        <w:rPr>
          <w:noProof/>
        </w:rPr>
      </w:pPr>
      <w:r w:rsidRPr="00F7372C">
        <w:rPr>
          <w:noProof/>
        </w:rPr>
        <w:t>(l) adoptă principiile generale în domeniul accesului la documentele deținute de organele instituite prin, sau în temeiul, TCT;</w:t>
      </w:r>
    </w:p>
    <w:p w:rsidR="00B91B58" w:rsidRPr="00F7372C" w:rsidRDefault="00B91B58" w:rsidP="00B91B58">
      <w:pPr>
        <w:rPr>
          <w:noProof/>
        </w:rPr>
      </w:pPr>
      <w:r w:rsidRPr="00F7372C">
        <w:rPr>
          <w:noProof/>
        </w:rPr>
        <w:t xml:space="preserve">(m) adoptă rapoarte anuale privind punerea în aplicare a rețelei globale în atenția Consiliului ministerial; </w:t>
      </w:r>
    </w:p>
    <w:p w:rsidR="00B91B58" w:rsidRPr="00F7372C" w:rsidRDefault="00B91B58" w:rsidP="00B91B58">
      <w:pPr>
        <w:rPr>
          <w:noProof/>
        </w:rPr>
      </w:pPr>
      <w:r w:rsidRPr="00F7372C">
        <w:rPr>
          <w:noProof/>
        </w:rPr>
        <w:t>(n) stabilește termene și modalități prin care părțile din Europa de Sud-Est pot transpune anumite acte ale Uniunii.</w:t>
      </w:r>
    </w:p>
    <w:p w:rsidR="00B91B58" w:rsidRPr="00F7372C" w:rsidRDefault="00B91B58" w:rsidP="00736AA9">
      <w:pPr>
        <w:rPr>
          <w:rFonts w:eastAsia="Arial Unicode MS"/>
          <w:noProof/>
        </w:rPr>
      </w:pPr>
      <w:r w:rsidRPr="00F7372C">
        <w:rPr>
          <w:noProof/>
        </w:rPr>
        <w:t>Comitetul director regional este format dintr-un reprezentant și un reprezentant supleant al fiecărei părți contractante. Orice stat membru al UE poate participa în calitate de observator. Comitetul director regional hotărăște în unanimitate.</w:t>
      </w:r>
    </w:p>
    <w:p w:rsidR="00B91B58" w:rsidRPr="00F7372C" w:rsidRDefault="003159DC" w:rsidP="003159DC">
      <w:pPr>
        <w:pStyle w:val="ManualHeading2"/>
        <w:rPr>
          <w:noProof/>
        </w:rPr>
      </w:pPr>
      <w:r w:rsidRPr="003159DC">
        <w:rPr>
          <w:noProof/>
        </w:rPr>
        <w:t>2.3.</w:t>
      </w:r>
      <w:r w:rsidRPr="003159DC">
        <w:rPr>
          <w:noProof/>
        </w:rPr>
        <w:tab/>
      </w:r>
      <w:r w:rsidR="00B91B58" w:rsidRPr="00F7372C">
        <w:rPr>
          <w:noProof/>
        </w:rPr>
        <w:t>Actul planificat al Comitetului director regional</w:t>
      </w:r>
    </w:p>
    <w:p w:rsidR="00B91B58" w:rsidRPr="00F7372C" w:rsidRDefault="00AF1AFF" w:rsidP="00B91B58">
      <w:pPr>
        <w:rPr>
          <w:rFonts w:eastAsia="Arial Unicode MS"/>
          <w:noProof/>
        </w:rPr>
      </w:pPr>
      <w:r w:rsidRPr="00F7372C">
        <w:rPr>
          <w:noProof/>
        </w:rPr>
        <w:t>Prin intermediul unei proceduri scrise de adoptare planificate pentru ianuarie 2026, Comitetul director regional urmează să adopte o decizie de modificare a normelor privind salariile personalului Secretariatului permanent al Comunității transporturilor („actul planificat”). Aceste norme sunt prevăzute în Statutul personalului Comunității transporturilor</w:t>
      </w:r>
      <w:r w:rsidRPr="00F7372C">
        <w:rPr>
          <w:rStyle w:val="FootnoteReference"/>
          <w:rFonts w:eastAsia="Arial Unicode MS"/>
          <w:noProof/>
        </w:rPr>
        <w:footnoteReference w:id="3"/>
      </w:r>
      <w:r w:rsidRPr="00F7372C">
        <w:rPr>
          <w:noProof/>
        </w:rPr>
        <w:t>.</w:t>
      </w:r>
    </w:p>
    <w:p w:rsidR="00B91B58" w:rsidRPr="00F7372C" w:rsidRDefault="00B91B58" w:rsidP="00DD044E">
      <w:pPr>
        <w:rPr>
          <w:rFonts w:eastAsia="Arial Unicode MS"/>
          <w:noProof/>
        </w:rPr>
      </w:pPr>
      <w:r w:rsidRPr="00F7372C">
        <w:rPr>
          <w:noProof/>
        </w:rPr>
        <w:t>Scopul actului planificat este de a aplica o ajustare salarială unică de + 20 % grilei salariale pentru personalul Secretariatului permanent la data aplicării deciziei. Grila este prevăzută în anexa II la Decizia nr. 2019/3 a Comitetului director regional din 5 iunie 2019, care stabilește Statutul personalului Comunității transporturilor. În plus, actul planificat vizează actualizarea în consecință a salariilor personalului Secretariatului permanent, care se bazează pe grila de salarizare. Aceasta urmărește, de asemenea, să introducă, începând cu 1 ianuarie 2027, un mecanism de indexare anuală a salariilor personalului Secretariatului permanent, în conformitate cu indicele anual al prețurilor de consum (IPC), astfel cum a fost publicat de autoritatea statistică relevantă din Republica Serbia.</w:t>
      </w:r>
    </w:p>
    <w:p w:rsidR="002D0C5E" w:rsidRPr="00F7372C" w:rsidRDefault="002D0C5E" w:rsidP="00736AA9">
      <w:pPr>
        <w:rPr>
          <w:rFonts w:eastAsia="Arial Unicode MS"/>
          <w:noProof/>
        </w:rPr>
      </w:pPr>
      <w:r w:rsidRPr="00F7372C">
        <w:rPr>
          <w:noProof/>
        </w:rPr>
        <w:t>Discuțiile preliminare dintre părțile contractante cu privire la actul planificat au prevăzut ca indexarea salariilor să se aplice de la 1 ianuarie 2026. Cu toate acestea, întârzierile în ajungerea la un acord cu privire la o propunere care urmează să fie prezentată în vederea unei eventuale adoptări înseamnă că procedura scrisă de adoptare a Comitetului director regional poate fi lansată abia în ianuarie 2026. Pentru a rămâne însă în concordanță cu discuțiile preliminare și pentru a se asigura că indexarea anuală a salariilor se aliniază la ciclul anual de adoptare a bugetului Comunității transporturilor, este oportun să se prevadă aplicarea retroactivă a deciziei avute în vedere începând cu 1 ianuarie 2026.</w:t>
      </w:r>
    </w:p>
    <w:p w:rsidR="00B91B58" w:rsidRPr="00F7372C" w:rsidRDefault="00B91B58" w:rsidP="00736AA9">
      <w:pPr>
        <w:rPr>
          <w:rFonts w:eastAsia="Arial Unicode MS"/>
          <w:noProof/>
        </w:rPr>
      </w:pPr>
      <w:r w:rsidRPr="00F7372C">
        <w:rPr>
          <w:noProof/>
        </w:rPr>
        <w:t>Actul planificat va deveni obligatoriu pentru părți în conformitate cu articolul 25 alineatul (1) din TCT, care prevede următoarele: „O decizie a comitetului director regional are caracter obligatoriu pentru părțile contractante (...).”</w:t>
      </w:r>
    </w:p>
    <w:p w:rsidR="00B91B58" w:rsidRPr="00F7372C" w:rsidRDefault="003159DC" w:rsidP="003159DC">
      <w:pPr>
        <w:pStyle w:val="ManualHeading1"/>
        <w:rPr>
          <w:rFonts w:eastAsia="Arial Unicode MS"/>
          <w:noProof/>
        </w:rPr>
      </w:pPr>
      <w:r w:rsidRPr="003159DC">
        <w:rPr>
          <w:noProof/>
        </w:rPr>
        <w:t>3.</w:t>
      </w:r>
      <w:r w:rsidRPr="003159DC">
        <w:rPr>
          <w:noProof/>
        </w:rPr>
        <w:tab/>
      </w:r>
      <w:r w:rsidR="00B91B58" w:rsidRPr="00F7372C">
        <w:rPr>
          <w:noProof/>
        </w:rPr>
        <w:t>Poziția care urmează să fie luată în numele Uniunii Europene</w:t>
      </w:r>
    </w:p>
    <w:p w:rsidR="009F7B31" w:rsidRPr="00F7372C" w:rsidRDefault="00CD74EA" w:rsidP="00D054AA">
      <w:pPr>
        <w:rPr>
          <w:noProof/>
        </w:rPr>
      </w:pPr>
      <w:r w:rsidRPr="00F7372C">
        <w:rPr>
          <w:noProof/>
        </w:rPr>
        <w:t>Anexa II la Decizia nr. 2019/3 a Comitetului director regional stabilește Statutul personalului Comunității transporturilor. Aceasta prevede în secțiunea 9.1 că grila de salarizare corespunzătoare clasificării posturilor în cadrul Secretariatului permanent, care este prevăzută în apendicele la statutul menționat, este revizuită periodic de Comitetul director regional. Scopul este de a se asigura că salariile rămân competitive și în conformitate cu cerințele Secretariatului. Cu toate acestea, Statutul funcționarilor nu stabilește un mecanism de ajustare anuală a salariilor personalului în funcție de inflație. Grila salarială a rămas așadar neschimbată de la adoptarea sa în iunie 2019. Acest lucru a erodat în mod substanțial puterea de cumpărare a personalului Secretariatului permanent.</w:t>
      </w:r>
    </w:p>
    <w:p w:rsidR="00E254D0" w:rsidRPr="00F7372C" w:rsidRDefault="005521DF" w:rsidP="00D054AA">
      <w:pPr>
        <w:rPr>
          <w:noProof/>
        </w:rPr>
      </w:pPr>
      <w:r w:rsidRPr="00F7372C">
        <w:rPr>
          <w:noProof/>
        </w:rPr>
        <w:t>Prin urmare, Secretariatul permanent a subliniat că competitivitatea grilei de salarizare a scăzut în mod semnificativ. Acest lucru a contribuit deja la o scădere semnificativă a numărului de candidaturi pentru posturi deschise, precum și la creșterea ratei de rotație a personalului.</w:t>
      </w:r>
    </w:p>
    <w:p w:rsidR="00B91B58" w:rsidRPr="00F7372C" w:rsidRDefault="009378E9" w:rsidP="00373FA5">
      <w:pPr>
        <w:rPr>
          <w:noProof/>
        </w:rPr>
      </w:pPr>
      <w:r w:rsidRPr="00F7372C">
        <w:rPr>
          <w:noProof/>
        </w:rPr>
        <w:t>Prin urmare, Comitetul director regional trebuie să adopte actul planificat pentru a se asigura că grila de salarizare a Secretariatului permanent rămâne competitivă și, astfel, pentru a asigura buna funcționare a Secretariatului permanent. Întrucât Uniunea este parte la TCT, este necesar să se stabilească o poziție a Uniunii cu privire la actul planificat.</w:t>
      </w:r>
    </w:p>
    <w:p w:rsidR="00B91B58" w:rsidRPr="00F7372C" w:rsidRDefault="003159DC" w:rsidP="003159DC">
      <w:pPr>
        <w:pStyle w:val="ManualHeading1"/>
        <w:rPr>
          <w:noProof/>
        </w:rPr>
      </w:pPr>
      <w:r w:rsidRPr="003159DC">
        <w:rPr>
          <w:noProof/>
        </w:rPr>
        <w:t>4.</w:t>
      </w:r>
      <w:r w:rsidRPr="003159DC">
        <w:rPr>
          <w:noProof/>
        </w:rPr>
        <w:tab/>
      </w:r>
      <w:r w:rsidR="00B91B58" w:rsidRPr="00F7372C">
        <w:rPr>
          <w:noProof/>
        </w:rPr>
        <w:t>Temei juridic</w:t>
      </w:r>
    </w:p>
    <w:p w:rsidR="00B91B58" w:rsidRPr="00F7372C" w:rsidRDefault="003159DC" w:rsidP="003159DC">
      <w:pPr>
        <w:pStyle w:val="ManualHeading2"/>
        <w:rPr>
          <w:noProof/>
        </w:rPr>
      </w:pPr>
      <w:r w:rsidRPr="003159DC">
        <w:rPr>
          <w:noProof/>
        </w:rPr>
        <w:t>4.1.</w:t>
      </w:r>
      <w:r w:rsidRPr="003159DC">
        <w:rPr>
          <w:noProof/>
        </w:rPr>
        <w:tab/>
      </w:r>
      <w:r w:rsidR="00B91B58" w:rsidRPr="00F7372C">
        <w:rPr>
          <w:noProof/>
        </w:rPr>
        <w:t>Temei juridic procedural</w:t>
      </w:r>
    </w:p>
    <w:p w:rsidR="00B91B58" w:rsidRPr="00F7372C" w:rsidRDefault="003159DC" w:rsidP="003159DC">
      <w:pPr>
        <w:pStyle w:val="ManualHeading3"/>
        <w:rPr>
          <w:noProof/>
        </w:rPr>
      </w:pPr>
      <w:r w:rsidRPr="003159DC">
        <w:rPr>
          <w:noProof/>
        </w:rPr>
        <w:t>4.1.1.</w:t>
      </w:r>
      <w:r w:rsidRPr="003159DC">
        <w:rPr>
          <w:noProof/>
        </w:rPr>
        <w:tab/>
      </w:r>
      <w:r w:rsidR="00B91B58" w:rsidRPr="00F7372C">
        <w:rPr>
          <w:noProof/>
        </w:rPr>
        <w:t>Principii</w:t>
      </w:r>
    </w:p>
    <w:p w:rsidR="00B91B58" w:rsidRPr="00F7372C" w:rsidRDefault="00B91B58" w:rsidP="00736AA9">
      <w:pPr>
        <w:rPr>
          <w:noProof/>
        </w:rPr>
      </w:pPr>
      <w:r w:rsidRPr="00F7372C">
        <w:rPr>
          <w:noProof/>
        </w:rPr>
        <w:t>Articolul 218 alineatul (9) din Tratatul privind funcționarea Uniunii Europene (TFUE) prevede posibilitatea adoptării unor decizii ale Consiliului de stabilire „</w:t>
      </w:r>
      <w:r w:rsidRPr="00F7372C">
        <w:rPr>
          <w:i/>
          <w:iCs/>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F7372C">
        <w:rPr>
          <w:noProof/>
        </w:rPr>
        <w:t>”.</w:t>
      </w:r>
    </w:p>
    <w:p w:rsidR="00B91B58" w:rsidRPr="00F7372C" w:rsidRDefault="00B91B58" w:rsidP="00736AA9">
      <w:pPr>
        <w:rPr>
          <w:noProof/>
        </w:rPr>
      </w:pPr>
      <w:r w:rsidRPr="00F7372C">
        <w:rPr>
          <w:noProof/>
        </w:rPr>
        <w:t>Conceptul de „</w:t>
      </w:r>
      <w:r w:rsidRPr="00F7372C">
        <w:rPr>
          <w:i/>
          <w:iCs/>
          <w:noProof/>
        </w:rPr>
        <w:t>acte cu efecte juridic</w:t>
      </w:r>
      <w:r w:rsidRPr="00F7372C">
        <w:rPr>
          <w:noProof/>
        </w:rPr>
        <w:t>e” include actele care au efecte juridice în temeiul normelor de drept internațional aplicabile organismului în cauză. Sunt, de asemenea, incluse instrumente care nu au efect obligatoriu în temeiul dreptului internațional, dar care „</w:t>
      </w:r>
      <w:r w:rsidRPr="00F7372C">
        <w:rPr>
          <w:i/>
          <w:iCs/>
          <w:noProof/>
        </w:rPr>
        <w:t>au vocația de a influența în mod decisiv conținutul reglementării adoptate de legiuitorul Uniunii</w:t>
      </w:r>
      <w:r w:rsidRPr="00F7372C">
        <w:rPr>
          <w:noProof/>
        </w:rPr>
        <w:t>”</w:t>
      </w:r>
      <w:r w:rsidRPr="00F7372C">
        <w:rPr>
          <w:rStyle w:val="FootnoteReference"/>
          <w:noProof/>
        </w:rPr>
        <w:footnoteReference w:id="4"/>
      </w:r>
      <w:r w:rsidRPr="00F7372C">
        <w:rPr>
          <w:noProof/>
        </w:rPr>
        <w:t>.</w:t>
      </w:r>
    </w:p>
    <w:p w:rsidR="00B91B58" w:rsidRPr="00F7372C" w:rsidRDefault="003159DC" w:rsidP="003159DC">
      <w:pPr>
        <w:pStyle w:val="ManualHeading3"/>
        <w:rPr>
          <w:noProof/>
        </w:rPr>
      </w:pPr>
      <w:r w:rsidRPr="003159DC">
        <w:rPr>
          <w:noProof/>
        </w:rPr>
        <w:t>4.1.2.</w:t>
      </w:r>
      <w:r w:rsidRPr="003159DC">
        <w:rPr>
          <w:noProof/>
        </w:rPr>
        <w:tab/>
      </w:r>
      <w:r w:rsidR="00B91B58" w:rsidRPr="00F7372C">
        <w:rPr>
          <w:noProof/>
        </w:rPr>
        <w:t>Aplicarea la cazul în discuție</w:t>
      </w:r>
    </w:p>
    <w:p w:rsidR="00403048" w:rsidRPr="00F7372C" w:rsidRDefault="00403048" w:rsidP="00403048">
      <w:pPr>
        <w:rPr>
          <w:noProof/>
        </w:rPr>
      </w:pPr>
      <w:r w:rsidRPr="00F7372C">
        <w:rPr>
          <w:noProof/>
        </w:rPr>
        <w:t>Comitetul director regional este un organism înființat printr-un acord, și anume TCT.</w:t>
      </w:r>
    </w:p>
    <w:p w:rsidR="007614DB" w:rsidRPr="00F7372C" w:rsidRDefault="00403048" w:rsidP="00403048">
      <w:pPr>
        <w:rPr>
          <w:noProof/>
        </w:rPr>
      </w:pPr>
      <w:r w:rsidRPr="00F7372C">
        <w:rPr>
          <w:noProof/>
        </w:rPr>
        <w:t>Comitetul director regional este împuternicit să stabilească normele aplicabile Secretariatului permanent în conformitate cu articolul 30 din TCT. În plus, în temeiul articolului 24 alineatul (1) din TCT, Comitetul director regional este însărcinat cu administrarea tratatului și cu asigurarea punerii sale corespunzătoare în aplicare. În fine, în temeiul articolului 35 din TCT, Comitetul director regional este împuternicit să adopte bugetul și normele de reglementare financiară aferente. În temeiul articolului 25 alineatul (1) din TCT, deciziile Comitetului director regional sunt obligatorii pentru părțile contractante. În consecință, actul pe care Comitetul director regional este invitat să îl adopte constituie un act cu efecte juridice.</w:t>
      </w:r>
    </w:p>
    <w:p w:rsidR="00B91B58" w:rsidRPr="00F7372C" w:rsidRDefault="00B91B58" w:rsidP="00736AA9">
      <w:pPr>
        <w:rPr>
          <w:noProof/>
        </w:rPr>
      </w:pPr>
      <w:r w:rsidRPr="00F7372C">
        <w:rPr>
          <w:noProof/>
        </w:rPr>
        <w:t>Actul planificat nu completează și nu modifică cadrul instituțional al TCT.</w:t>
      </w:r>
    </w:p>
    <w:p w:rsidR="00B91B58" w:rsidRPr="00F7372C" w:rsidRDefault="00B91B58" w:rsidP="00736AA9">
      <w:pPr>
        <w:rPr>
          <w:noProof/>
        </w:rPr>
      </w:pPr>
      <w:r w:rsidRPr="00F7372C">
        <w:rPr>
          <w:noProof/>
        </w:rPr>
        <w:t>În consecință, temeiul juridic procedural al propunerii de decizie este articolul 218 alineatul</w:t>
      </w:r>
      <w:r w:rsidR="000325D0" w:rsidRPr="00F7372C">
        <w:rPr>
          <w:noProof/>
        </w:rPr>
        <w:t> </w:t>
      </w:r>
      <w:r w:rsidRPr="00F7372C">
        <w:rPr>
          <w:noProof/>
        </w:rPr>
        <w:t>(9) din TFUE.</w:t>
      </w:r>
    </w:p>
    <w:p w:rsidR="00B91B58" w:rsidRPr="00F7372C" w:rsidRDefault="003159DC" w:rsidP="003159DC">
      <w:pPr>
        <w:pStyle w:val="ManualHeading2"/>
        <w:rPr>
          <w:noProof/>
        </w:rPr>
      </w:pPr>
      <w:r w:rsidRPr="003159DC">
        <w:rPr>
          <w:noProof/>
        </w:rPr>
        <w:t>4.2.</w:t>
      </w:r>
      <w:r w:rsidRPr="003159DC">
        <w:rPr>
          <w:noProof/>
        </w:rPr>
        <w:tab/>
      </w:r>
      <w:r w:rsidR="00B91B58" w:rsidRPr="00F7372C">
        <w:rPr>
          <w:noProof/>
        </w:rPr>
        <w:t>Temei juridic material</w:t>
      </w:r>
    </w:p>
    <w:p w:rsidR="00B91B58" w:rsidRPr="00F7372C" w:rsidRDefault="003159DC" w:rsidP="003159DC">
      <w:pPr>
        <w:pStyle w:val="ManualHeading3"/>
        <w:rPr>
          <w:noProof/>
        </w:rPr>
      </w:pPr>
      <w:r w:rsidRPr="003159DC">
        <w:rPr>
          <w:noProof/>
        </w:rPr>
        <w:t>4.2.1.</w:t>
      </w:r>
      <w:r w:rsidRPr="003159DC">
        <w:rPr>
          <w:noProof/>
        </w:rPr>
        <w:tab/>
      </w:r>
      <w:r w:rsidR="00B91B58" w:rsidRPr="00F7372C">
        <w:rPr>
          <w:noProof/>
        </w:rPr>
        <w:t>Principii</w:t>
      </w:r>
    </w:p>
    <w:p w:rsidR="00B91B58" w:rsidRPr="00F7372C" w:rsidRDefault="00B91B58" w:rsidP="00736AA9">
      <w:pPr>
        <w:rPr>
          <w:noProof/>
        </w:rPr>
      </w:pPr>
      <w:r w:rsidRPr="00F7372C">
        <w:rPr>
          <w:noProof/>
        </w:rPr>
        <w:t>Temeiul juridic material al unei decizii adoptate în temeiul articolului 218 alineatul (9) din TFUE depinde în primul rând de obiectivul și de conținutul actului planificat, cu privire la care se adoptă o poziție în numele Uniunii. În cazul în care actul planificat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pe cel impus de obiectivul sau de elementul principal sau predominant.</w:t>
      </w:r>
    </w:p>
    <w:p w:rsidR="00B91B58" w:rsidRPr="00F7372C" w:rsidRDefault="00B91B58" w:rsidP="00736AA9">
      <w:pPr>
        <w:rPr>
          <w:noProof/>
        </w:rPr>
      </w:pPr>
      <w:r w:rsidRPr="00F7372C">
        <w:rPr>
          <w:noProof/>
        </w:rPr>
        <w:t>În ceea ce privește un act planificat care urmărește simultan mai multe obiective sau care include mai multe elemente care sunt legate între ele în mod inextricabil, fără ca vreunul să fie accesoriu în raport cu un altul, temeiul juridic material al unei decizii adoptate în temeiul articolului 218 alineatul (9) din TFUE va trebui să includă, în mod excepțional, diferitele temeiuri juridice relevante.</w:t>
      </w:r>
    </w:p>
    <w:p w:rsidR="00B91B58" w:rsidRPr="00F7372C" w:rsidRDefault="003159DC" w:rsidP="003159DC">
      <w:pPr>
        <w:pStyle w:val="ManualHeading3"/>
        <w:rPr>
          <w:noProof/>
        </w:rPr>
      </w:pPr>
      <w:r w:rsidRPr="003159DC">
        <w:rPr>
          <w:noProof/>
        </w:rPr>
        <w:t>4.2.2.</w:t>
      </w:r>
      <w:r w:rsidRPr="003159DC">
        <w:rPr>
          <w:noProof/>
        </w:rPr>
        <w:tab/>
      </w:r>
      <w:r w:rsidR="00B91B58" w:rsidRPr="00F7372C">
        <w:rPr>
          <w:noProof/>
        </w:rPr>
        <w:t>Aplicarea la cazul în discuție</w:t>
      </w:r>
    </w:p>
    <w:p w:rsidR="00251930" w:rsidRPr="00F7372C" w:rsidRDefault="00251930" w:rsidP="00251930">
      <w:pPr>
        <w:rPr>
          <w:noProof/>
        </w:rPr>
      </w:pPr>
      <w:r w:rsidRPr="00F7372C">
        <w:rPr>
          <w:noProof/>
        </w:rPr>
        <w:t>Actul planificat este necesar pentru buna funcționare a TCT. TCT urmărește obiective și include elemente din domeniul transportului rutier, feroviar și pe căi navigabile interioare, moduri de transport care intră sub incidența articolului 91 din TFUE, precum și din domeniul transportului maritim, mod de transport care face obiectul articolului 100 alineatul (2) din TFUE. Datorită caracterului său orizontal, actul planificat se referă la toate aceste aspecte,</w:t>
      </w:r>
    </w:p>
    <w:p w:rsidR="00B91B58" w:rsidRPr="00F7372C" w:rsidRDefault="00251930" w:rsidP="00736AA9">
      <w:pPr>
        <w:rPr>
          <w:noProof/>
        </w:rPr>
      </w:pPr>
      <w:r w:rsidRPr="00F7372C">
        <w:rPr>
          <w:noProof/>
        </w:rPr>
        <w:t>Prin urmare, temeiul juridic material al deciziei propuse cuprinde următoarele dispoziții: articolul 91 și articolul 100 alineatul (2) din TFUE.</w:t>
      </w:r>
    </w:p>
    <w:p w:rsidR="00B91B58" w:rsidRPr="00F7372C" w:rsidRDefault="003159DC" w:rsidP="003159DC">
      <w:pPr>
        <w:pStyle w:val="ManualHeading2"/>
        <w:rPr>
          <w:noProof/>
        </w:rPr>
      </w:pPr>
      <w:r w:rsidRPr="003159DC">
        <w:rPr>
          <w:noProof/>
        </w:rPr>
        <w:t>4.3.</w:t>
      </w:r>
      <w:r w:rsidRPr="003159DC">
        <w:rPr>
          <w:noProof/>
        </w:rPr>
        <w:tab/>
      </w:r>
      <w:r w:rsidR="00B91B58" w:rsidRPr="00F7372C">
        <w:rPr>
          <w:noProof/>
        </w:rPr>
        <w:t>Concluzie</w:t>
      </w:r>
    </w:p>
    <w:p w:rsidR="00B91B58" w:rsidRPr="00F7372C" w:rsidRDefault="00B91B58" w:rsidP="00736AA9">
      <w:pPr>
        <w:rPr>
          <w:noProof/>
        </w:rPr>
      </w:pPr>
      <w:r w:rsidRPr="00F7372C">
        <w:rPr>
          <w:noProof/>
        </w:rPr>
        <w:t>Temeiul juridic al deciziei propuse ar trebui să fie articolul 91 și articolul 100 alineatul (2) din TFUE, coroborate cu articolul 218 alineatul (9) din TFUE.</w:t>
      </w:r>
    </w:p>
    <w:p w:rsidR="00326414" w:rsidRPr="00F7372C" w:rsidRDefault="00326414" w:rsidP="00FD40BA">
      <w:pPr>
        <w:rPr>
          <w:noProof/>
        </w:rPr>
      </w:pPr>
    </w:p>
    <w:p w:rsidR="00326414" w:rsidRPr="00F7372C" w:rsidRDefault="00326414" w:rsidP="00326414">
      <w:pPr>
        <w:pStyle w:val="ManualHeading1"/>
        <w:rPr>
          <w:noProof/>
        </w:rPr>
      </w:pPr>
      <w:r w:rsidRPr="00F7372C">
        <w:rPr>
          <w:noProof/>
        </w:rPr>
        <w:t>5.</w:t>
      </w:r>
      <w:r w:rsidRPr="00F7372C">
        <w:rPr>
          <w:noProof/>
        </w:rPr>
        <w:tab/>
        <w:t>Publicarea actului planificat</w:t>
      </w:r>
    </w:p>
    <w:p w:rsidR="00326414" w:rsidRPr="00F7372C" w:rsidRDefault="00326414" w:rsidP="00326414">
      <w:pPr>
        <w:pStyle w:val="Body"/>
        <w:rPr>
          <w:noProof/>
          <w:lang w:val="ro-RO"/>
        </w:rPr>
      </w:pPr>
      <w:r w:rsidRPr="00F7372C">
        <w:rPr>
          <w:noProof/>
          <w:lang w:val="ro-RO"/>
        </w:rPr>
        <w:t xml:space="preserve">În conformitate cu articolul 25 alineatul (2) din TCT, deciziile Comitetului director regional se publică în </w:t>
      </w:r>
      <w:r w:rsidRPr="00F7372C">
        <w:rPr>
          <w:i/>
          <w:iCs/>
          <w:noProof/>
          <w:lang w:val="ro-RO"/>
        </w:rPr>
        <w:t>Jurnalul Oficial al Uniunii Europene</w:t>
      </w:r>
      <w:r w:rsidRPr="00F7372C">
        <w:rPr>
          <w:noProof/>
          <w:lang w:val="ro-RO"/>
        </w:rPr>
        <w:t>.</w:t>
      </w:r>
    </w:p>
    <w:p w:rsidR="00326414" w:rsidRPr="00F7372C" w:rsidRDefault="00326414" w:rsidP="00FD40BA">
      <w:pPr>
        <w:rPr>
          <w:noProof/>
        </w:rPr>
        <w:sectPr w:rsidR="00326414" w:rsidRPr="00F7372C" w:rsidSect="00527A36">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8D27A7" w:rsidRDefault="00D5601A">
      <w:pPr>
        <w:pStyle w:val="Rfrenceinterinstitutionnelle"/>
        <w:rPr>
          <w:noProof/>
        </w:rPr>
      </w:pPr>
      <w:r>
        <w:rPr>
          <w:noProof/>
        </w:rPr>
        <w:t>2026/0003 (NLE)</w:t>
      </w:r>
    </w:p>
    <w:p w:rsidR="00B91B58" w:rsidRPr="00F7372C" w:rsidRDefault="001D2B2B" w:rsidP="001D2B2B">
      <w:pPr>
        <w:pStyle w:val="Statut"/>
        <w:rPr>
          <w:noProof/>
        </w:rPr>
      </w:pPr>
      <w:r w:rsidRPr="00F7372C">
        <w:rPr>
          <w:noProof/>
        </w:rPr>
        <w:t>Propunere de</w:t>
      </w:r>
    </w:p>
    <w:p w:rsidR="00B91B58" w:rsidRPr="00F7372C" w:rsidRDefault="001D2B2B" w:rsidP="001D2B2B">
      <w:pPr>
        <w:pStyle w:val="Typedudocument"/>
        <w:rPr>
          <w:noProof/>
        </w:rPr>
      </w:pPr>
      <w:r w:rsidRPr="00F7372C">
        <w:rPr>
          <w:noProof/>
        </w:rPr>
        <w:t>DECIZIE A CONSILIULUI</w:t>
      </w:r>
    </w:p>
    <w:p w:rsidR="00B91B58" w:rsidRPr="00F7372C" w:rsidRDefault="001D2B2B" w:rsidP="001D2B2B">
      <w:pPr>
        <w:pStyle w:val="Titreobjet"/>
        <w:rPr>
          <w:noProof/>
        </w:rPr>
      </w:pPr>
      <w:r w:rsidRPr="00F7372C">
        <w:rPr>
          <w:noProof/>
        </w:rPr>
        <w:t>privind poziția care trebuie adoptată în numele Uniunii Europene în cadrul Comitetului director regional al Comunității transporturilor în ceea ce privește anumite modificări ale normelor privind salariile personalului Secretariatului permanent al Comunității transporturilor</w:t>
      </w:r>
    </w:p>
    <w:p w:rsidR="00B91B58" w:rsidRPr="00F7372C" w:rsidRDefault="00B91B58" w:rsidP="00BE7CB9">
      <w:pPr>
        <w:pStyle w:val="Institutionquiagit"/>
        <w:rPr>
          <w:noProof/>
        </w:rPr>
      </w:pPr>
      <w:r w:rsidRPr="00F7372C">
        <w:rPr>
          <w:noProof/>
        </w:rPr>
        <w:t>CONSILIUL UNIUNII EUROPENE,</w:t>
      </w:r>
    </w:p>
    <w:p w:rsidR="00B91B58" w:rsidRPr="00F7372C" w:rsidRDefault="00B91B58" w:rsidP="00BE7CB9">
      <w:pPr>
        <w:rPr>
          <w:noProof/>
        </w:rPr>
      </w:pPr>
      <w:r w:rsidRPr="00F7372C">
        <w:rPr>
          <w:noProof/>
        </w:rPr>
        <w:t>având în vedere Tratatul privind funcționarea Uniunii Europene, în special articolul 91 și articolul 100 alineatul (2), coroborate cu articolul 218 alineatul (9),</w:t>
      </w:r>
    </w:p>
    <w:p w:rsidR="00B91B58" w:rsidRPr="00F7372C" w:rsidRDefault="00B91B58" w:rsidP="00BE7CB9">
      <w:pPr>
        <w:rPr>
          <w:noProof/>
        </w:rPr>
      </w:pPr>
      <w:r w:rsidRPr="00F7372C">
        <w:rPr>
          <w:noProof/>
        </w:rPr>
        <w:t>având în vedere propunerea Comisiei Europene,</w:t>
      </w:r>
    </w:p>
    <w:p w:rsidR="00B91B58" w:rsidRPr="00F7372C" w:rsidRDefault="00B91B58" w:rsidP="00BE7CB9">
      <w:pPr>
        <w:rPr>
          <w:noProof/>
        </w:rPr>
      </w:pPr>
      <w:r w:rsidRPr="00F7372C">
        <w:rPr>
          <w:noProof/>
        </w:rPr>
        <w:t>întrucât:</w:t>
      </w:r>
    </w:p>
    <w:p w:rsidR="0035313F" w:rsidRPr="00F7372C" w:rsidRDefault="003159DC" w:rsidP="003159DC">
      <w:pPr>
        <w:pStyle w:val="ManualConsidrant"/>
        <w:rPr>
          <w:noProof/>
        </w:rPr>
      </w:pPr>
      <w:r w:rsidRPr="003159DC">
        <w:rPr>
          <w:noProof/>
        </w:rPr>
        <w:t>(1)</w:t>
      </w:r>
      <w:r w:rsidRPr="003159DC">
        <w:rPr>
          <w:noProof/>
        </w:rPr>
        <w:tab/>
      </w:r>
      <w:r w:rsidR="0035313F" w:rsidRPr="00F7372C">
        <w:rPr>
          <w:noProof/>
        </w:rPr>
        <w:t>Tratatul de instituire a Comunității transporturilor („TCT”) a fost aprobat în numele Uniunii prin Decizia (UE) 2019/392 a Consiliului</w:t>
      </w:r>
      <w:r w:rsidR="0035313F" w:rsidRPr="00F7372C">
        <w:rPr>
          <w:rStyle w:val="FootnoteReference"/>
          <w:noProof/>
        </w:rPr>
        <w:footnoteReference w:id="5"/>
      </w:r>
      <w:r w:rsidR="0035313F" w:rsidRPr="00F7372C">
        <w:rPr>
          <w:noProof/>
        </w:rPr>
        <w:t xml:space="preserve"> și a intrat în vigoare la 1 mai 2019.</w:t>
      </w:r>
    </w:p>
    <w:p w:rsidR="008F4DA7" w:rsidRPr="00F7372C" w:rsidRDefault="003159DC" w:rsidP="003159DC">
      <w:pPr>
        <w:pStyle w:val="ManualConsidrant"/>
        <w:rPr>
          <w:noProof/>
        </w:rPr>
      </w:pPr>
      <w:r w:rsidRPr="003159DC">
        <w:rPr>
          <w:noProof/>
        </w:rPr>
        <w:t>(2)</w:t>
      </w:r>
      <w:r w:rsidRPr="003159DC">
        <w:rPr>
          <w:noProof/>
        </w:rPr>
        <w:tab/>
      </w:r>
      <w:r w:rsidR="00DA718B" w:rsidRPr="00F7372C">
        <w:rPr>
          <w:noProof/>
        </w:rPr>
        <w:t>Comitetul director regional a fost constituit în temeiul TCT pentru a administra și a pune corespunzător în aplicare TCT.</w:t>
      </w:r>
    </w:p>
    <w:p w:rsidR="00DA718B" w:rsidRPr="00F7372C" w:rsidRDefault="003159DC" w:rsidP="003159DC">
      <w:pPr>
        <w:pStyle w:val="ManualConsidrant"/>
        <w:rPr>
          <w:noProof/>
        </w:rPr>
      </w:pPr>
      <w:r w:rsidRPr="003159DC">
        <w:rPr>
          <w:noProof/>
        </w:rPr>
        <w:t>(3)</w:t>
      </w:r>
      <w:r w:rsidRPr="003159DC">
        <w:rPr>
          <w:noProof/>
        </w:rPr>
        <w:tab/>
      </w:r>
      <w:r w:rsidR="00853030" w:rsidRPr="00F7372C">
        <w:rPr>
          <w:noProof/>
        </w:rPr>
        <w:t>În temeiul articolului 30 din TCT, Comitetul director regional este împuternicit să adopte decizii privind normele aplicabile Secretariatului permanent. Mai mult, în temeiul articolului 24 alineatul (1) din TCT, Comitetul director regional este însărcinat cu administrarea tratatului și cu asigurarea punerii în aplicare corespunzătoare a acestuia. În fine, în temeiul articolului 35 din TCT, Comitetul director regional este împuternicit să adopte bugetul și normele de reglementare financiară aferente.</w:t>
      </w:r>
    </w:p>
    <w:p w:rsidR="00853030" w:rsidRPr="00F7372C" w:rsidRDefault="003159DC" w:rsidP="003159DC">
      <w:pPr>
        <w:pStyle w:val="ManualConsidrant"/>
        <w:rPr>
          <w:noProof/>
        </w:rPr>
      </w:pPr>
      <w:r w:rsidRPr="003159DC">
        <w:rPr>
          <w:noProof/>
        </w:rPr>
        <w:t>(4)</w:t>
      </w:r>
      <w:r w:rsidRPr="003159DC">
        <w:rPr>
          <w:noProof/>
        </w:rPr>
        <w:tab/>
      </w:r>
      <w:r w:rsidR="001356D0" w:rsidRPr="00F7372C">
        <w:rPr>
          <w:noProof/>
        </w:rPr>
        <w:t>Comitetul director regional, printr-o procedură de adoptare scrisă planificată pentru ianuarie 2026, intenționează să adopte o decizie de modificare a normelor privind salariile personalului Secretariatului permanent al Comunității transporturilor, care sunt prevăzute în Statutul personalului Comunității transporturilor.</w:t>
      </w:r>
    </w:p>
    <w:p w:rsidR="000258D2" w:rsidRPr="00F7372C" w:rsidRDefault="003159DC" w:rsidP="003159DC">
      <w:pPr>
        <w:pStyle w:val="ManualConsidrant"/>
        <w:rPr>
          <w:noProof/>
        </w:rPr>
      </w:pPr>
      <w:r w:rsidRPr="003159DC">
        <w:rPr>
          <w:noProof/>
        </w:rPr>
        <w:t>(5)</w:t>
      </w:r>
      <w:r w:rsidRPr="003159DC">
        <w:rPr>
          <w:noProof/>
        </w:rPr>
        <w:tab/>
      </w:r>
      <w:r w:rsidR="000258D2" w:rsidRPr="00F7372C">
        <w:rPr>
          <w:noProof/>
        </w:rPr>
        <w:t>Pentru a rămâne în concordanță cu discuțiile preliminare dintre părțile contractante cu privire la actul planificat, precum și pentru a se asigura că indexarea anuală a salariilor se aliniază la ciclul anual de adoptare a bugetului Comunității transporturilor, este oportun să se prevadă aplicarea retroactivă a deciziei avute în vedere începând cu 1 ianuarie 2026.</w:t>
      </w:r>
    </w:p>
    <w:p w:rsidR="00331FE6" w:rsidRPr="00F7372C" w:rsidRDefault="003159DC" w:rsidP="003159DC">
      <w:pPr>
        <w:pStyle w:val="ManualConsidrant"/>
        <w:rPr>
          <w:noProof/>
        </w:rPr>
      </w:pPr>
      <w:r w:rsidRPr="003159DC">
        <w:rPr>
          <w:noProof/>
        </w:rPr>
        <w:t>(6)</w:t>
      </w:r>
      <w:r w:rsidRPr="003159DC">
        <w:rPr>
          <w:noProof/>
        </w:rPr>
        <w:tab/>
      </w:r>
      <w:r w:rsidR="00331FE6" w:rsidRPr="00F7372C">
        <w:rPr>
          <w:noProof/>
        </w:rPr>
        <w:t>Actul planificat al Comitetului director regional va avea efecte juridice.</w:t>
      </w:r>
    </w:p>
    <w:p w:rsidR="00B91B58" w:rsidRPr="00F7372C" w:rsidRDefault="003159DC" w:rsidP="003159DC">
      <w:pPr>
        <w:pStyle w:val="ManualConsidrant"/>
        <w:rPr>
          <w:noProof/>
        </w:rPr>
      </w:pPr>
      <w:r w:rsidRPr="003159DC">
        <w:rPr>
          <w:noProof/>
        </w:rPr>
        <w:t>(7)</w:t>
      </w:r>
      <w:r w:rsidRPr="003159DC">
        <w:rPr>
          <w:noProof/>
        </w:rPr>
        <w:tab/>
      </w:r>
      <w:r w:rsidR="00E9661A" w:rsidRPr="00F7372C">
        <w:rPr>
          <w:noProof/>
        </w:rPr>
        <w:t>Este deci necesar să se stabilească poziția care trebuie să fie adoptată în numele Uniunii în cadrul Comitetului director regional în ceea ce privește adoptarea deciziei de mai sus.</w:t>
      </w:r>
    </w:p>
    <w:p w:rsidR="00E9661A" w:rsidRPr="00F7372C" w:rsidRDefault="003159DC" w:rsidP="003159DC">
      <w:pPr>
        <w:pStyle w:val="ManualConsidrant"/>
        <w:rPr>
          <w:noProof/>
        </w:rPr>
      </w:pPr>
      <w:r w:rsidRPr="003159DC">
        <w:rPr>
          <w:noProof/>
        </w:rPr>
        <w:t>(8)</w:t>
      </w:r>
      <w:r w:rsidRPr="003159DC">
        <w:rPr>
          <w:noProof/>
        </w:rPr>
        <w:tab/>
      </w:r>
      <w:r w:rsidR="00E9661A" w:rsidRPr="00F7372C">
        <w:rPr>
          <w:noProof/>
        </w:rPr>
        <w:t>Sprijinul pentru adoptarea proiectului de decizie anexat prezentei decizii este justificat, deoarece el va garanta că salariile membrilor personalului Secretariatului permanent rămân competitive, fapt necesar pentru buna funcționare continuă a Secretariatului permanent,</w:t>
      </w:r>
    </w:p>
    <w:p w:rsidR="00B91B58" w:rsidRPr="00F7372C" w:rsidRDefault="00B91B58" w:rsidP="00BE7CB9">
      <w:pPr>
        <w:pStyle w:val="Formuledadoption"/>
        <w:rPr>
          <w:noProof/>
        </w:rPr>
      </w:pPr>
      <w:r w:rsidRPr="00F7372C">
        <w:rPr>
          <w:noProof/>
        </w:rPr>
        <w:t>ADOPTĂ PREZENTA DECIZIE:</w:t>
      </w:r>
    </w:p>
    <w:p w:rsidR="00B91B58" w:rsidRPr="00F7372C" w:rsidRDefault="00B91B58" w:rsidP="00BE7CB9">
      <w:pPr>
        <w:pStyle w:val="Titrearticle"/>
        <w:rPr>
          <w:noProof/>
        </w:rPr>
      </w:pPr>
      <w:r w:rsidRPr="00F7372C">
        <w:rPr>
          <w:noProof/>
        </w:rPr>
        <w:t>Articolul 1</w:t>
      </w:r>
    </w:p>
    <w:p w:rsidR="001A359B" w:rsidRPr="00F7372C" w:rsidRDefault="00B91B58" w:rsidP="001A359B">
      <w:pPr>
        <w:rPr>
          <w:noProof/>
        </w:rPr>
      </w:pPr>
      <w:r w:rsidRPr="00F7372C">
        <w:rPr>
          <w:noProof/>
        </w:rPr>
        <w:t>Poziția care urmează să fie adoptată în numele Uniunii în cadrul procedurii scrise de adoptare a Comitetului director regional al Comunității transporturilor, planificată pentru ianuarie</w:t>
      </w:r>
      <w:r w:rsidR="000325D0" w:rsidRPr="00F7372C">
        <w:rPr>
          <w:noProof/>
        </w:rPr>
        <w:t> </w:t>
      </w:r>
      <w:r w:rsidRPr="00F7372C">
        <w:rPr>
          <w:noProof/>
        </w:rPr>
        <w:t>2026, în ceea ce privește modificarea normelor privind salariile personalului Secretariatului permanent al Comunității transporturilor, prevăzute în Statutul personalului Comunității transporturilor, se bazează pe proiectul de decizie a Comitetului director regional anexat la prezenta decizie.</w:t>
      </w:r>
    </w:p>
    <w:p w:rsidR="007933A1" w:rsidRPr="00F7372C" w:rsidRDefault="007933A1" w:rsidP="007933A1">
      <w:pPr>
        <w:pStyle w:val="Titrearticle"/>
        <w:rPr>
          <w:noProof/>
        </w:rPr>
      </w:pPr>
      <w:r w:rsidRPr="00F7372C">
        <w:rPr>
          <w:noProof/>
        </w:rPr>
        <w:t>Articolul 2</w:t>
      </w:r>
    </w:p>
    <w:p w:rsidR="007933A1" w:rsidRPr="00F7372C" w:rsidRDefault="007933A1" w:rsidP="007933A1">
      <w:pPr>
        <w:rPr>
          <w:i/>
          <w:noProof/>
        </w:rPr>
      </w:pPr>
      <w:r w:rsidRPr="00F7372C">
        <w:rPr>
          <w:noProof/>
        </w:rPr>
        <w:t>Se poate conveni asupra unor modificări tehnice minore ale poziției menționate la articolul 1 fără a mai fi necesară o nouă decizie a Consiliului.</w:t>
      </w:r>
    </w:p>
    <w:p w:rsidR="007933A1" w:rsidRPr="00F7372C" w:rsidRDefault="007933A1" w:rsidP="00EB3620">
      <w:pPr>
        <w:pStyle w:val="Titrearticle"/>
        <w:rPr>
          <w:noProof/>
        </w:rPr>
      </w:pPr>
      <w:r w:rsidRPr="00F7372C">
        <w:rPr>
          <w:noProof/>
        </w:rPr>
        <w:t>Articolul 3</w:t>
      </w:r>
    </w:p>
    <w:p w:rsidR="00B91B58" w:rsidRPr="00F7372C" w:rsidRDefault="007933A1" w:rsidP="007933A1">
      <w:pPr>
        <w:rPr>
          <w:noProof/>
        </w:rPr>
      </w:pPr>
      <w:r w:rsidRPr="00F7372C">
        <w:rPr>
          <w:noProof/>
        </w:rPr>
        <w:t>Prezenta decizie intră în vigoare la data adoptării.</w:t>
      </w:r>
    </w:p>
    <w:p w:rsidR="00B91B58" w:rsidRPr="00F7372C" w:rsidRDefault="001D2B2B" w:rsidP="00EB3620">
      <w:pPr>
        <w:pStyle w:val="Fait"/>
        <w:rPr>
          <w:noProof/>
        </w:rPr>
      </w:pPr>
      <w:r>
        <w:rPr>
          <w:noProof/>
        </w:rPr>
        <w:t>Adoptată la Bruxelles,</w:t>
      </w:r>
    </w:p>
    <w:p w:rsidR="00B91B58" w:rsidRPr="00F7372C" w:rsidRDefault="00B91B58" w:rsidP="00EB3620">
      <w:pPr>
        <w:pStyle w:val="Institutionquisigne"/>
        <w:rPr>
          <w:noProof/>
        </w:rPr>
      </w:pPr>
      <w:r w:rsidRPr="00F7372C">
        <w:rPr>
          <w:noProof/>
        </w:rPr>
        <w:tab/>
        <w:t>Pentru Consiliu,</w:t>
      </w:r>
    </w:p>
    <w:p w:rsidR="00B91B58" w:rsidRPr="00F7372C" w:rsidRDefault="00B91B58" w:rsidP="00B91B58">
      <w:pPr>
        <w:pStyle w:val="Personnequisigne"/>
        <w:rPr>
          <w:noProof/>
        </w:rPr>
      </w:pPr>
      <w:r w:rsidRPr="00F7372C">
        <w:rPr>
          <w:noProof/>
        </w:rPr>
        <w:tab/>
        <w:t>Președintele</w:t>
      </w:r>
      <w:bookmarkEnd w:id="0"/>
    </w:p>
    <w:sectPr w:rsidR="00B91B58" w:rsidRPr="00F7372C" w:rsidSect="00527A3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191" w:rsidRPr="00590EA6" w:rsidRDefault="00152191" w:rsidP="00B91B58">
      <w:pPr>
        <w:spacing w:before="0" w:after="0"/>
      </w:pPr>
      <w:r>
        <w:separator/>
      </w:r>
    </w:p>
  </w:endnote>
  <w:endnote w:type="continuationSeparator" w:id="0">
    <w:p w:rsidR="00152191" w:rsidRPr="00590EA6" w:rsidRDefault="00152191" w:rsidP="00B91B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36" w:rsidRPr="00527A36" w:rsidRDefault="00527A36" w:rsidP="00527A36">
    <w:pPr>
      <w:pStyle w:val="Footer"/>
      <w:rPr>
        <w:rFonts w:ascii="Arial" w:hAnsi="Arial" w:cs="Arial"/>
        <w:b/>
        <w:sz w:val="48"/>
      </w:rPr>
    </w:pPr>
    <w:r w:rsidRPr="00527A36">
      <w:rPr>
        <w:rFonts w:ascii="Arial" w:hAnsi="Arial" w:cs="Arial"/>
        <w:b/>
        <w:sz w:val="48"/>
      </w:rPr>
      <w:t>RO</w:t>
    </w:r>
    <w:r w:rsidRPr="00527A36">
      <w:rPr>
        <w:rFonts w:ascii="Arial" w:hAnsi="Arial" w:cs="Arial"/>
        <w:b/>
        <w:sz w:val="48"/>
      </w:rPr>
      <w:tab/>
    </w:r>
    <w:r w:rsidRPr="00527A36">
      <w:rPr>
        <w:rFonts w:ascii="Arial" w:hAnsi="Arial" w:cs="Arial"/>
        <w:b/>
        <w:sz w:val="48"/>
      </w:rPr>
      <w:tab/>
    </w:r>
    <w:r w:rsidRPr="00527A36">
      <w:tab/>
    </w:r>
    <w:r w:rsidRPr="00527A3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36" w:rsidRPr="00527A36" w:rsidRDefault="00527A36" w:rsidP="00527A36">
    <w:pPr>
      <w:pStyle w:val="Footer"/>
      <w:rPr>
        <w:rFonts w:ascii="Arial" w:hAnsi="Arial" w:cs="Arial"/>
        <w:b/>
        <w:sz w:val="48"/>
      </w:rPr>
    </w:pPr>
    <w:r w:rsidRPr="00527A36">
      <w:rPr>
        <w:rFonts w:ascii="Arial" w:hAnsi="Arial" w:cs="Arial"/>
        <w:b/>
        <w:sz w:val="48"/>
      </w:rPr>
      <w:t>RO</w:t>
    </w:r>
    <w:r w:rsidRPr="00527A36">
      <w:rPr>
        <w:rFonts w:ascii="Arial" w:hAnsi="Arial" w:cs="Arial"/>
        <w:b/>
        <w:sz w:val="48"/>
      </w:rPr>
      <w:tab/>
    </w:r>
    <w:r w:rsidRPr="00527A36">
      <w:rPr>
        <w:rFonts w:ascii="Arial" w:hAnsi="Arial" w:cs="Arial"/>
        <w:b/>
        <w:sz w:val="48"/>
      </w:rPr>
      <w:tab/>
    </w:r>
    <w:r w:rsidRPr="00527A36">
      <w:tab/>
    </w:r>
    <w:r w:rsidRPr="00527A3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36" w:rsidRDefault="00527A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36" w:rsidRPr="00527A36" w:rsidRDefault="00527A36" w:rsidP="00527A36">
    <w:pPr>
      <w:pStyle w:val="Footer"/>
      <w:rPr>
        <w:rFonts w:ascii="Arial" w:hAnsi="Arial" w:cs="Arial"/>
        <w:b/>
        <w:sz w:val="48"/>
      </w:rPr>
    </w:pPr>
    <w:r w:rsidRPr="00527A36">
      <w:rPr>
        <w:rFonts w:ascii="Arial" w:hAnsi="Arial" w:cs="Arial"/>
        <w:b/>
        <w:sz w:val="48"/>
      </w:rPr>
      <w:t>RO</w:t>
    </w:r>
    <w:r w:rsidRPr="00527A36">
      <w:rPr>
        <w:rFonts w:ascii="Arial" w:hAnsi="Arial" w:cs="Arial"/>
        <w:b/>
        <w:sz w:val="48"/>
      </w:rPr>
      <w:tab/>
    </w:r>
    <w:r>
      <w:fldChar w:fldCharType="begin"/>
    </w:r>
    <w:r>
      <w:instrText xml:space="preserve"> PAGE  \* MERGEFORMAT </w:instrText>
    </w:r>
    <w:r>
      <w:fldChar w:fldCharType="separate"/>
    </w:r>
    <w:r w:rsidR="00EB3620">
      <w:rPr>
        <w:noProof/>
      </w:rPr>
      <w:t>6</w:t>
    </w:r>
    <w:r>
      <w:fldChar w:fldCharType="end"/>
    </w:r>
    <w:r>
      <w:tab/>
    </w:r>
    <w:r w:rsidRPr="00527A36">
      <w:tab/>
    </w:r>
    <w:r w:rsidRPr="00527A3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36" w:rsidRDefault="00527A36" w:rsidP="00527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191" w:rsidRPr="00590EA6" w:rsidRDefault="00152191" w:rsidP="00B91B58">
      <w:pPr>
        <w:spacing w:before="0" w:after="0"/>
      </w:pPr>
      <w:r>
        <w:separator/>
      </w:r>
    </w:p>
  </w:footnote>
  <w:footnote w:type="continuationSeparator" w:id="0">
    <w:p w:rsidR="00152191" w:rsidRPr="00590EA6" w:rsidRDefault="00152191" w:rsidP="00B91B58">
      <w:pPr>
        <w:spacing w:before="0" w:after="0"/>
      </w:pPr>
      <w:r>
        <w:continuationSeparator/>
      </w:r>
    </w:p>
  </w:footnote>
  <w:footnote w:id="1">
    <w:p w:rsidR="00A33BBF" w:rsidRPr="00590EA6" w:rsidRDefault="00A33BBF">
      <w:pPr>
        <w:pStyle w:val="FootnoteText"/>
      </w:pPr>
      <w:r>
        <w:rPr>
          <w:rStyle w:val="FootnoteReference"/>
        </w:rPr>
        <w:t>*</w:t>
      </w:r>
      <w:r>
        <w:tab/>
        <w:t xml:space="preserve">Această denumire nu aduce atingere pozițiilor privind statutul și este conformă cu RCSONU </w:t>
      </w:r>
      <w:r w:rsidRPr="000325D0">
        <w:t>1244</w:t>
      </w:r>
      <w:r>
        <w:t>/</w:t>
      </w:r>
      <w:r w:rsidRPr="000325D0">
        <w:t>1999</w:t>
      </w:r>
      <w:r>
        <w:t>, precum și cu Avizul CIJ privind Declarația de independență a Kosovo.</w:t>
      </w:r>
    </w:p>
  </w:footnote>
  <w:footnote w:id="2">
    <w:p w:rsidR="00580E41" w:rsidRPr="00590EA6" w:rsidRDefault="00580E41">
      <w:pPr>
        <w:pStyle w:val="FootnoteText"/>
      </w:pPr>
      <w:r>
        <w:rPr>
          <w:rStyle w:val="FootnoteReference"/>
        </w:rPr>
        <w:footnoteRef/>
      </w:r>
      <w:r>
        <w:tab/>
        <w:t>Decizia (UE) </w:t>
      </w:r>
      <w:r w:rsidRPr="000325D0">
        <w:t>2019</w:t>
      </w:r>
      <w:r>
        <w:t>/</w:t>
      </w:r>
      <w:r w:rsidRPr="000325D0">
        <w:t>392</w:t>
      </w:r>
      <w:r>
        <w:t xml:space="preserve"> a Consiliului din </w:t>
      </w:r>
      <w:r w:rsidRPr="000325D0">
        <w:t>4</w:t>
      </w:r>
      <w:r>
        <w:t xml:space="preserve"> martie </w:t>
      </w:r>
      <w:r w:rsidRPr="000325D0">
        <w:t>2019</w:t>
      </w:r>
      <w:r>
        <w:t xml:space="preserve"> privind încheierea, în numele Uniunii Europene, a Tratatului de instituire a Comunității transporturilor (JO L </w:t>
      </w:r>
      <w:r w:rsidRPr="000325D0">
        <w:t>71</w:t>
      </w:r>
      <w:r>
        <w:t xml:space="preserve">, </w:t>
      </w:r>
      <w:r w:rsidRPr="000325D0">
        <w:t>13</w:t>
      </w:r>
      <w:r>
        <w:t>.</w:t>
      </w:r>
      <w:r w:rsidRPr="000325D0">
        <w:t>3</w:t>
      </w:r>
      <w:r>
        <w:t>.</w:t>
      </w:r>
      <w:r w:rsidRPr="000325D0">
        <w:t>2019</w:t>
      </w:r>
      <w:r>
        <w:t xml:space="preserve">, p. </w:t>
      </w:r>
      <w:r w:rsidRPr="000325D0">
        <w:t>1</w:t>
      </w:r>
      <w:r>
        <w:t>), ELI: </w:t>
      </w:r>
      <w:hyperlink r:id="rId1" w:tooltip="Oferă acces la acest document prin identificatorul său uniform de resurse ELI." w:history="1">
        <w:r>
          <w:rPr>
            <w:rStyle w:val="Hyperlink"/>
          </w:rPr>
          <w:t>http://data.europa.eu/eli/dec/</w:t>
        </w:r>
        <w:r w:rsidRPr="000325D0">
          <w:rPr>
            <w:rStyle w:val="Hyperlink"/>
          </w:rPr>
          <w:t>2019</w:t>
        </w:r>
        <w:r>
          <w:rPr>
            <w:rStyle w:val="Hyperlink"/>
          </w:rPr>
          <w:t>/</w:t>
        </w:r>
        <w:r w:rsidRPr="000325D0">
          <w:rPr>
            <w:rStyle w:val="Hyperlink"/>
          </w:rPr>
          <w:t>392</w:t>
        </w:r>
        <w:r>
          <w:rPr>
            <w:rStyle w:val="Hyperlink"/>
          </w:rPr>
          <w:t>/oj</w:t>
        </w:r>
      </w:hyperlink>
      <w:r>
        <w:t>).</w:t>
      </w:r>
    </w:p>
  </w:footnote>
  <w:footnote w:id="3">
    <w:p w:rsidR="007F5627" w:rsidRPr="00590EA6" w:rsidRDefault="007F5627">
      <w:pPr>
        <w:pStyle w:val="FootnoteText"/>
      </w:pPr>
      <w:r>
        <w:rPr>
          <w:rStyle w:val="FootnoteReference"/>
        </w:rPr>
        <w:footnoteRef/>
      </w:r>
      <w:r>
        <w:tab/>
        <w:t xml:space="preserve">Adoptate în temeiul anexei II la Decizia nr. </w:t>
      </w:r>
      <w:r w:rsidRPr="000325D0">
        <w:t>2019</w:t>
      </w:r>
      <w:r>
        <w:t>/</w:t>
      </w:r>
      <w:r w:rsidRPr="000325D0">
        <w:t>3</w:t>
      </w:r>
      <w:r>
        <w:t xml:space="preserve"> a Comitetului director regional al Comunității transporturilor din </w:t>
      </w:r>
      <w:r w:rsidRPr="000325D0">
        <w:t>5</w:t>
      </w:r>
      <w:r>
        <w:t> iunie </w:t>
      </w:r>
      <w:r w:rsidRPr="000325D0">
        <w:t>2019</w:t>
      </w:r>
      <w:r>
        <w:t>.</w:t>
      </w:r>
    </w:p>
  </w:footnote>
  <w:footnote w:id="4">
    <w:p w:rsidR="00B91B58" w:rsidRPr="00590EA6" w:rsidRDefault="00B91B58" w:rsidP="00736AA9">
      <w:pPr>
        <w:pStyle w:val="FootnoteText"/>
      </w:pPr>
      <w:r>
        <w:rPr>
          <w:rStyle w:val="FootnoteReference"/>
        </w:rPr>
        <w:footnoteRef/>
      </w:r>
      <w:r>
        <w:tab/>
        <w:t xml:space="preserve">Hotărârea Curții de Justiție din </w:t>
      </w:r>
      <w:r w:rsidRPr="000325D0">
        <w:t>7</w:t>
      </w:r>
      <w:r>
        <w:t xml:space="preserve"> octombrie </w:t>
      </w:r>
      <w:r w:rsidRPr="000325D0">
        <w:t>2014</w:t>
      </w:r>
      <w:r>
        <w:t xml:space="preserve">, </w:t>
      </w:r>
      <w:r>
        <w:rPr>
          <w:i/>
          <w:iCs/>
        </w:rPr>
        <w:t>Germania/Consiliu</w:t>
      </w:r>
      <w:r>
        <w:t>, C-</w:t>
      </w:r>
      <w:r w:rsidRPr="000325D0">
        <w:t>399</w:t>
      </w:r>
      <w:r>
        <w:t>/</w:t>
      </w:r>
      <w:r w:rsidRPr="000325D0">
        <w:t>12</w:t>
      </w:r>
      <w:r>
        <w:t>, ECLI:EU:C:</w:t>
      </w:r>
      <w:r w:rsidRPr="000325D0">
        <w:t>2014</w:t>
      </w:r>
      <w:r>
        <w:t>:</w:t>
      </w:r>
      <w:r w:rsidRPr="000325D0">
        <w:t>2258</w:t>
      </w:r>
      <w:r>
        <w:t xml:space="preserve">, punctele </w:t>
      </w:r>
      <w:r w:rsidRPr="000325D0">
        <w:t>61</w:t>
      </w:r>
      <w:r>
        <w:t>-</w:t>
      </w:r>
      <w:r w:rsidRPr="000325D0">
        <w:t>64</w:t>
      </w:r>
      <w:r>
        <w:t>.</w:t>
      </w:r>
    </w:p>
  </w:footnote>
  <w:footnote w:id="5">
    <w:p w:rsidR="008F4DA7" w:rsidRPr="00590EA6" w:rsidRDefault="008F4DA7" w:rsidP="008F4DA7">
      <w:pPr>
        <w:pStyle w:val="FootnoteText"/>
      </w:pPr>
      <w:r>
        <w:rPr>
          <w:rStyle w:val="FootnoteReference"/>
        </w:rPr>
        <w:footnoteRef/>
      </w:r>
      <w:r>
        <w:tab/>
        <w:t>Decizia (UE) </w:t>
      </w:r>
      <w:r w:rsidRPr="000325D0">
        <w:t>2019</w:t>
      </w:r>
      <w:r>
        <w:t>/</w:t>
      </w:r>
      <w:r w:rsidRPr="000325D0">
        <w:t>392</w:t>
      </w:r>
      <w:r>
        <w:t xml:space="preserve"> a Consiliului din </w:t>
      </w:r>
      <w:r w:rsidRPr="000325D0">
        <w:t>4</w:t>
      </w:r>
      <w:r>
        <w:t xml:space="preserve"> martie </w:t>
      </w:r>
      <w:r w:rsidRPr="000325D0">
        <w:t>2019</w:t>
      </w:r>
      <w:r>
        <w:t xml:space="preserve"> privind încheierea, în numele Uniunii Europene, a Tratatului de instituire a Comunității transporturilor (JO L </w:t>
      </w:r>
      <w:r w:rsidRPr="000325D0">
        <w:t>71</w:t>
      </w:r>
      <w:r>
        <w:t xml:space="preserve">, </w:t>
      </w:r>
      <w:r w:rsidRPr="000325D0">
        <w:t>13</w:t>
      </w:r>
      <w:r>
        <w:t>.</w:t>
      </w:r>
      <w:r w:rsidRPr="000325D0">
        <w:t>3</w:t>
      </w:r>
      <w:r>
        <w:t>.</w:t>
      </w:r>
      <w:r w:rsidRPr="000325D0">
        <w:t>2019</w:t>
      </w:r>
      <w:r>
        <w:t xml:space="preserve">, p. </w:t>
      </w:r>
      <w:r w:rsidRPr="000325D0">
        <w:t>1</w:t>
      </w:r>
      <w:r>
        <w:t>, ELI: </w:t>
      </w:r>
      <w:hyperlink r:id="rId2" w:tooltip="Oferă acces la acest document prin identificatorul său uniform de resurse ELI." w:history="1">
        <w:r>
          <w:rPr>
            <w:rStyle w:val="Hyperlink"/>
          </w:rPr>
          <w:t>http://data.europa.eu/eli/dec/</w:t>
        </w:r>
        <w:r w:rsidRPr="000325D0">
          <w:rPr>
            <w:rStyle w:val="Hyperlink"/>
          </w:rPr>
          <w:t>2019</w:t>
        </w:r>
        <w:r>
          <w:rPr>
            <w:rStyle w:val="Hyperlink"/>
          </w:rPr>
          <w:t>/</w:t>
        </w:r>
        <w:r w:rsidRPr="000325D0">
          <w:rPr>
            <w:rStyle w:val="Hyperlink"/>
          </w:rPr>
          <w:t>392</w:t>
        </w:r>
        <w:r>
          <w:rPr>
            <w:rStyle w:val="Hyperlink"/>
          </w:rPr>
          <w:t>/oj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36" w:rsidRDefault="00527A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36" w:rsidRDefault="00527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5DC571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0C0DB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340D0B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AE6323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0:14: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A961722-07C8-41F4-9DCF-6FDDBD78A491"/>
    <w:docVar w:name="LW_COVERPAGE_TYPE" w:val="1"/>
    <w:docVar w:name="LW_CreatedUtc" w:val="2025-07-02T08:06:30.4299734Z"/>
    <w:docVar w:name="LW_CROSSREFERENCE" w:val="&lt;UNUSED&gt;"/>
    <w:docVar w:name="LW_DocType" w:val="COM"/>
    <w:docVar w:name="LW_EMISSION" w:val="15.1.2026"/>
    <w:docVar w:name="LW_EMISSION_ISODATE" w:val="2026-01-15"/>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03"/>
    <w:docVar w:name="LW_REF.II.NEW.CP_YEAR" w:val="2026"/>
    <w:docVar w:name="LW_REF.INST.NEW" w:val="COM"/>
    <w:docVar w:name="LW_REF.INST.NEW_ADOPTED" w:val="final"/>
    <w:docVar w:name="LW_REF.INST.NEW_TEXT" w:val="(2026) 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Comitetului director regional al Comunit\u259?\u539?ii transporturilor în ceea ce prive\u537?te anumite modific\u259?ri ale normelor privind salariile personalului Secretariatului permanent al Comunit\u259?\u539?ii transporturilor"/>
    <w:docVar w:name="LW_TYPE.DOC.CP" w:val="DECIZIE A CONSILIULUI"/>
    <w:docVar w:name="LwApiVersions" w:val="LW4CoDe 1.24.5.0; LW 9.2, Build 20251112"/>
  </w:docVars>
  <w:rsids>
    <w:rsidRoot w:val="00B91B58"/>
    <w:rsid w:val="00003F1C"/>
    <w:rsid w:val="000068A5"/>
    <w:rsid w:val="00012157"/>
    <w:rsid w:val="00024428"/>
    <w:rsid w:val="000258D2"/>
    <w:rsid w:val="000325D0"/>
    <w:rsid w:val="00033191"/>
    <w:rsid w:val="00037B31"/>
    <w:rsid w:val="00043093"/>
    <w:rsid w:val="000432CE"/>
    <w:rsid w:val="00064FAC"/>
    <w:rsid w:val="00073D06"/>
    <w:rsid w:val="00091175"/>
    <w:rsid w:val="00093D21"/>
    <w:rsid w:val="000979CF"/>
    <w:rsid w:val="000A19DE"/>
    <w:rsid w:val="000C0A9A"/>
    <w:rsid w:val="000C714D"/>
    <w:rsid w:val="000E3502"/>
    <w:rsid w:val="000E471C"/>
    <w:rsid w:val="000E60DF"/>
    <w:rsid w:val="001065F5"/>
    <w:rsid w:val="00121FCF"/>
    <w:rsid w:val="001238EF"/>
    <w:rsid w:val="00132A31"/>
    <w:rsid w:val="00133873"/>
    <w:rsid w:val="001356D0"/>
    <w:rsid w:val="00152191"/>
    <w:rsid w:val="0015249B"/>
    <w:rsid w:val="00153958"/>
    <w:rsid w:val="00155001"/>
    <w:rsid w:val="00155B6C"/>
    <w:rsid w:val="001570E2"/>
    <w:rsid w:val="001621FB"/>
    <w:rsid w:val="00164BA2"/>
    <w:rsid w:val="001806C2"/>
    <w:rsid w:val="001864EA"/>
    <w:rsid w:val="0019105B"/>
    <w:rsid w:val="00197613"/>
    <w:rsid w:val="001A359B"/>
    <w:rsid w:val="001A5B19"/>
    <w:rsid w:val="001B26AA"/>
    <w:rsid w:val="001C492A"/>
    <w:rsid w:val="001D2B2B"/>
    <w:rsid w:val="001F202D"/>
    <w:rsid w:val="001F2753"/>
    <w:rsid w:val="001F754A"/>
    <w:rsid w:val="00233DC7"/>
    <w:rsid w:val="00246FCE"/>
    <w:rsid w:val="00247779"/>
    <w:rsid w:val="00247DEA"/>
    <w:rsid w:val="00250677"/>
    <w:rsid w:val="00251930"/>
    <w:rsid w:val="00255D80"/>
    <w:rsid w:val="002564DA"/>
    <w:rsid w:val="00256628"/>
    <w:rsid w:val="00261427"/>
    <w:rsid w:val="002743B4"/>
    <w:rsid w:val="00280A14"/>
    <w:rsid w:val="0028442C"/>
    <w:rsid w:val="00285BEE"/>
    <w:rsid w:val="00287109"/>
    <w:rsid w:val="0029533F"/>
    <w:rsid w:val="002B28D7"/>
    <w:rsid w:val="002B2F17"/>
    <w:rsid w:val="002B30AF"/>
    <w:rsid w:val="002C471E"/>
    <w:rsid w:val="002D0C5E"/>
    <w:rsid w:val="002E2825"/>
    <w:rsid w:val="002E6E60"/>
    <w:rsid w:val="002F3D9B"/>
    <w:rsid w:val="002F7E2B"/>
    <w:rsid w:val="00305010"/>
    <w:rsid w:val="0030588F"/>
    <w:rsid w:val="003159DC"/>
    <w:rsid w:val="00315A9A"/>
    <w:rsid w:val="00324178"/>
    <w:rsid w:val="00326414"/>
    <w:rsid w:val="00330992"/>
    <w:rsid w:val="003309E6"/>
    <w:rsid w:val="00331FE6"/>
    <w:rsid w:val="003333D1"/>
    <w:rsid w:val="0033344A"/>
    <w:rsid w:val="00342BCA"/>
    <w:rsid w:val="0035313F"/>
    <w:rsid w:val="00372588"/>
    <w:rsid w:val="00373FA5"/>
    <w:rsid w:val="00384429"/>
    <w:rsid w:val="00391399"/>
    <w:rsid w:val="003D20AC"/>
    <w:rsid w:val="003D20E3"/>
    <w:rsid w:val="003D4304"/>
    <w:rsid w:val="003D5931"/>
    <w:rsid w:val="003F0446"/>
    <w:rsid w:val="00402DE1"/>
    <w:rsid w:val="00403048"/>
    <w:rsid w:val="00404AD2"/>
    <w:rsid w:val="00412264"/>
    <w:rsid w:val="00417534"/>
    <w:rsid w:val="00425B98"/>
    <w:rsid w:val="0042648E"/>
    <w:rsid w:val="00426637"/>
    <w:rsid w:val="00436F6E"/>
    <w:rsid w:val="00437C2D"/>
    <w:rsid w:val="00437C9C"/>
    <w:rsid w:val="00445AC7"/>
    <w:rsid w:val="004503BC"/>
    <w:rsid w:val="0045790B"/>
    <w:rsid w:val="00466C42"/>
    <w:rsid w:val="0047038E"/>
    <w:rsid w:val="00475336"/>
    <w:rsid w:val="0047554F"/>
    <w:rsid w:val="004916C1"/>
    <w:rsid w:val="004936D2"/>
    <w:rsid w:val="00497574"/>
    <w:rsid w:val="004A1578"/>
    <w:rsid w:val="004A3D4C"/>
    <w:rsid w:val="004B5DC7"/>
    <w:rsid w:val="004C636C"/>
    <w:rsid w:val="004D0909"/>
    <w:rsid w:val="004D094B"/>
    <w:rsid w:val="004D4C40"/>
    <w:rsid w:val="004D51A1"/>
    <w:rsid w:val="004D748D"/>
    <w:rsid w:val="004E0878"/>
    <w:rsid w:val="004E50E3"/>
    <w:rsid w:val="005113DD"/>
    <w:rsid w:val="00516ED7"/>
    <w:rsid w:val="00523601"/>
    <w:rsid w:val="00527A36"/>
    <w:rsid w:val="00537AB1"/>
    <w:rsid w:val="00551311"/>
    <w:rsid w:val="005521DF"/>
    <w:rsid w:val="005543E8"/>
    <w:rsid w:val="005552DF"/>
    <w:rsid w:val="005611D6"/>
    <w:rsid w:val="00564793"/>
    <w:rsid w:val="00580E41"/>
    <w:rsid w:val="00581785"/>
    <w:rsid w:val="00590919"/>
    <w:rsid w:val="00590EA6"/>
    <w:rsid w:val="00595BCE"/>
    <w:rsid w:val="005A0A45"/>
    <w:rsid w:val="005A3BEF"/>
    <w:rsid w:val="005B1EB6"/>
    <w:rsid w:val="005B2AB8"/>
    <w:rsid w:val="005D00D8"/>
    <w:rsid w:val="005D6AC9"/>
    <w:rsid w:val="005E3948"/>
    <w:rsid w:val="005F79C2"/>
    <w:rsid w:val="006070D3"/>
    <w:rsid w:val="00614582"/>
    <w:rsid w:val="00617DC1"/>
    <w:rsid w:val="006203B5"/>
    <w:rsid w:val="006207FE"/>
    <w:rsid w:val="00636EAE"/>
    <w:rsid w:val="006373C8"/>
    <w:rsid w:val="00644E82"/>
    <w:rsid w:val="0065544E"/>
    <w:rsid w:val="00666127"/>
    <w:rsid w:val="00671309"/>
    <w:rsid w:val="0068485C"/>
    <w:rsid w:val="006975E7"/>
    <w:rsid w:val="00697EC6"/>
    <w:rsid w:val="006A71DC"/>
    <w:rsid w:val="006B0F04"/>
    <w:rsid w:val="006C5792"/>
    <w:rsid w:val="006E08F1"/>
    <w:rsid w:val="006E3FA5"/>
    <w:rsid w:val="006E5D0E"/>
    <w:rsid w:val="006F1D05"/>
    <w:rsid w:val="006F5795"/>
    <w:rsid w:val="006F5EBF"/>
    <w:rsid w:val="006F79DB"/>
    <w:rsid w:val="0070109F"/>
    <w:rsid w:val="00701A55"/>
    <w:rsid w:val="00712AA1"/>
    <w:rsid w:val="00734006"/>
    <w:rsid w:val="00736838"/>
    <w:rsid w:val="00741885"/>
    <w:rsid w:val="00751949"/>
    <w:rsid w:val="00757F1C"/>
    <w:rsid w:val="007614DB"/>
    <w:rsid w:val="007625A8"/>
    <w:rsid w:val="007669A6"/>
    <w:rsid w:val="00767653"/>
    <w:rsid w:val="00773331"/>
    <w:rsid w:val="00775071"/>
    <w:rsid w:val="00781B88"/>
    <w:rsid w:val="007857C6"/>
    <w:rsid w:val="007932EF"/>
    <w:rsid w:val="007933A1"/>
    <w:rsid w:val="0079499B"/>
    <w:rsid w:val="00796D22"/>
    <w:rsid w:val="007A6A4E"/>
    <w:rsid w:val="007B1F08"/>
    <w:rsid w:val="007B7679"/>
    <w:rsid w:val="007C5606"/>
    <w:rsid w:val="007D5C2E"/>
    <w:rsid w:val="007E05B0"/>
    <w:rsid w:val="007E0941"/>
    <w:rsid w:val="007E572F"/>
    <w:rsid w:val="007F14EA"/>
    <w:rsid w:val="007F5627"/>
    <w:rsid w:val="007F75BF"/>
    <w:rsid w:val="007F7EBC"/>
    <w:rsid w:val="008110C8"/>
    <w:rsid w:val="008203D2"/>
    <w:rsid w:val="008340BD"/>
    <w:rsid w:val="008360D2"/>
    <w:rsid w:val="00836CB8"/>
    <w:rsid w:val="00837B73"/>
    <w:rsid w:val="00841DDE"/>
    <w:rsid w:val="008450F9"/>
    <w:rsid w:val="00847BA2"/>
    <w:rsid w:val="00853030"/>
    <w:rsid w:val="00853807"/>
    <w:rsid w:val="00874D22"/>
    <w:rsid w:val="00877A3D"/>
    <w:rsid w:val="00883DD1"/>
    <w:rsid w:val="00896819"/>
    <w:rsid w:val="008A2914"/>
    <w:rsid w:val="008A4F94"/>
    <w:rsid w:val="008A764E"/>
    <w:rsid w:val="008B289F"/>
    <w:rsid w:val="008B7A10"/>
    <w:rsid w:val="008C049A"/>
    <w:rsid w:val="008C1A19"/>
    <w:rsid w:val="008D27A7"/>
    <w:rsid w:val="008E058F"/>
    <w:rsid w:val="008E4D8E"/>
    <w:rsid w:val="008F4DA7"/>
    <w:rsid w:val="00905446"/>
    <w:rsid w:val="009123A5"/>
    <w:rsid w:val="0093429D"/>
    <w:rsid w:val="00935D7D"/>
    <w:rsid w:val="009378E9"/>
    <w:rsid w:val="00963717"/>
    <w:rsid w:val="00966526"/>
    <w:rsid w:val="00976213"/>
    <w:rsid w:val="00985A8C"/>
    <w:rsid w:val="009A74CE"/>
    <w:rsid w:val="009C2BED"/>
    <w:rsid w:val="009D37B5"/>
    <w:rsid w:val="009D49D8"/>
    <w:rsid w:val="009E01AA"/>
    <w:rsid w:val="009E1845"/>
    <w:rsid w:val="009E5CBC"/>
    <w:rsid w:val="009E7625"/>
    <w:rsid w:val="009F7B31"/>
    <w:rsid w:val="00A00C0D"/>
    <w:rsid w:val="00A1683B"/>
    <w:rsid w:val="00A334F3"/>
    <w:rsid w:val="00A33BBF"/>
    <w:rsid w:val="00A345D8"/>
    <w:rsid w:val="00A540EE"/>
    <w:rsid w:val="00A60808"/>
    <w:rsid w:val="00A709A9"/>
    <w:rsid w:val="00A73A79"/>
    <w:rsid w:val="00A76A65"/>
    <w:rsid w:val="00A94645"/>
    <w:rsid w:val="00AB24B2"/>
    <w:rsid w:val="00AD5944"/>
    <w:rsid w:val="00AD697D"/>
    <w:rsid w:val="00AD7CA6"/>
    <w:rsid w:val="00AE73ED"/>
    <w:rsid w:val="00AF0E47"/>
    <w:rsid w:val="00AF1AFF"/>
    <w:rsid w:val="00B03FEE"/>
    <w:rsid w:val="00B15850"/>
    <w:rsid w:val="00B228F3"/>
    <w:rsid w:val="00B27A77"/>
    <w:rsid w:val="00B27B22"/>
    <w:rsid w:val="00B30D6F"/>
    <w:rsid w:val="00B358B6"/>
    <w:rsid w:val="00B4028E"/>
    <w:rsid w:val="00B47445"/>
    <w:rsid w:val="00B65229"/>
    <w:rsid w:val="00B7587B"/>
    <w:rsid w:val="00B91B58"/>
    <w:rsid w:val="00B94F01"/>
    <w:rsid w:val="00B94F7E"/>
    <w:rsid w:val="00BA17AB"/>
    <w:rsid w:val="00BA5254"/>
    <w:rsid w:val="00BA5D3A"/>
    <w:rsid w:val="00BB78C0"/>
    <w:rsid w:val="00BC313F"/>
    <w:rsid w:val="00BC339C"/>
    <w:rsid w:val="00BC5809"/>
    <w:rsid w:val="00BD05D6"/>
    <w:rsid w:val="00BF4CD6"/>
    <w:rsid w:val="00BF7751"/>
    <w:rsid w:val="00C12301"/>
    <w:rsid w:val="00C127BC"/>
    <w:rsid w:val="00C219D2"/>
    <w:rsid w:val="00C25A94"/>
    <w:rsid w:val="00C326A2"/>
    <w:rsid w:val="00C33641"/>
    <w:rsid w:val="00C42687"/>
    <w:rsid w:val="00C507A0"/>
    <w:rsid w:val="00C536AD"/>
    <w:rsid w:val="00C54B3D"/>
    <w:rsid w:val="00C70D00"/>
    <w:rsid w:val="00C75E14"/>
    <w:rsid w:val="00CA31B3"/>
    <w:rsid w:val="00CB79A8"/>
    <w:rsid w:val="00CC2FF1"/>
    <w:rsid w:val="00CD052F"/>
    <w:rsid w:val="00CD74EA"/>
    <w:rsid w:val="00CE05CE"/>
    <w:rsid w:val="00CE326A"/>
    <w:rsid w:val="00CE3F9C"/>
    <w:rsid w:val="00CE5DAC"/>
    <w:rsid w:val="00CF6E74"/>
    <w:rsid w:val="00D01509"/>
    <w:rsid w:val="00D054AA"/>
    <w:rsid w:val="00D061F1"/>
    <w:rsid w:val="00D07A2E"/>
    <w:rsid w:val="00D20381"/>
    <w:rsid w:val="00D219A9"/>
    <w:rsid w:val="00D229A3"/>
    <w:rsid w:val="00D23C60"/>
    <w:rsid w:val="00D37F9B"/>
    <w:rsid w:val="00D56259"/>
    <w:rsid w:val="00D620A9"/>
    <w:rsid w:val="00D665D1"/>
    <w:rsid w:val="00D81BBD"/>
    <w:rsid w:val="00D86842"/>
    <w:rsid w:val="00D870F2"/>
    <w:rsid w:val="00D9268E"/>
    <w:rsid w:val="00DA07F5"/>
    <w:rsid w:val="00DA718B"/>
    <w:rsid w:val="00DB21AB"/>
    <w:rsid w:val="00DC1451"/>
    <w:rsid w:val="00DD044E"/>
    <w:rsid w:val="00DF58D6"/>
    <w:rsid w:val="00E0529F"/>
    <w:rsid w:val="00E1154B"/>
    <w:rsid w:val="00E13313"/>
    <w:rsid w:val="00E163B6"/>
    <w:rsid w:val="00E254D0"/>
    <w:rsid w:val="00E25A13"/>
    <w:rsid w:val="00E43865"/>
    <w:rsid w:val="00E6043F"/>
    <w:rsid w:val="00E637B5"/>
    <w:rsid w:val="00E72A11"/>
    <w:rsid w:val="00E8618E"/>
    <w:rsid w:val="00E9510E"/>
    <w:rsid w:val="00E9661A"/>
    <w:rsid w:val="00E97264"/>
    <w:rsid w:val="00EA506B"/>
    <w:rsid w:val="00EB1DDD"/>
    <w:rsid w:val="00EB3620"/>
    <w:rsid w:val="00EB42EB"/>
    <w:rsid w:val="00EC2559"/>
    <w:rsid w:val="00EC65CB"/>
    <w:rsid w:val="00EE3307"/>
    <w:rsid w:val="00EE4A5D"/>
    <w:rsid w:val="00EF2794"/>
    <w:rsid w:val="00F10054"/>
    <w:rsid w:val="00F1126C"/>
    <w:rsid w:val="00F17E2D"/>
    <w:rsid w:val="00F242DD"/>
    <w:rsid w:val="00F37B57"/>
    <w:rsid w:val="00F4049B"/>
    <w:rsid w:val="00F40814"/>
    <w:rsid w:val="00F50780"/>
    <w:rsid w:val="00F64F82"/>
    <w:rsid w:val="00F7372C"/>
    <w:rsid w:val="00F75B34"/>
    <w:rsid w:val="00F82CC2"/>
    <w:rsid w:val="00F96EAA"/>
    <w:rsid w:val="00F97C02"/>
    <w:rsid w:val="00FA6866"/>
    <w:rsid w:val="00FC0AC4"/>
    <w:rsid w:val="00FC17BD"/>
    <w:rsid w:val="00FC38F8"/>
    <w:rsid w:val="00FC6D40"/>
    <w:rsid w:val="00FE0244"/>
    <w:rsid w:val="00FE43AC"/>
    <w:rsid w:val="00FE445D"/>
    <w:rsid w:val="00FF5B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91B58"/>
    <w:rPr>
      <w:color w:val="0000FF"/>
      <w:u w:val="single"/>
      <w:shd w:val="clear" w:color="auto" w:fill="auto"/>
    </w:rPr>
  </w:style>
  <w:style w:type="character" w:customStyle="1" w:styleId="UnresolvedMention">
    <w:name w:val="Unresolved Mention"/>
    <w:basedOn w:val="DefaultParagraphFont"/>
    <w:uiPriority w:val="99"/>
    <w:semiHidden/>
    <w:unhideWhenUsed/>
    <w:rsid w:val="00B94F7E"/>
    <w:rPr>
      <w:color w:val="605E5C"/>
      <w:shd w:val="clear" w:color="auto" w:fill="E1DFDD"/>
    </w:rPr>
  </w:style>
  <w:style w:type="paragraph" w:styleId="ListBullet">
    <w:name w:val="List Bullet"/>
    <w:basedOn w:val="Normal"/>
    <w:uiPriority w:val="99"/>
    <w:semiHidden/>
    <w:unhideWhenUsed/>
    <w:rsid w:val="00537AB1"/>
    <w:pPr>
      <w:numPr>
        <w:numId w:val="1"/>
      </w:numPr>
      <w:contextualSpacing/>
    </w:pPr>
  </w:style>
  <w:style w:type="paragraph" w:styleId="ListBullet2">
    <w:name w:val="List Bullet 2"/>
    <w:basedOn w:val="Normal"/>
    <w:uiPriority w:val="99"/>
    <w:semiHidden/>
    <w:unhideWhenUsed/>
    <w:rsid w:val="00537AB1"/>
    <w:pPr>
      <w:numPr>
        <w:numId w:val="2"/>
      </w:numPr>
      <w:contextualSpacing/>
    </w:pPr>
  </w:style>
  <w:style w:type="paragraph" w:styleId="ListBullet3">
    <w:name w:val="List Bullet 3"/>
    <w:basedOn w:val="Normal"/>
    <w:uiPriority w:val="99"/>
    <w:semiHidden/>
    <w:unhideWhenUsed/>
    <w:rsid w:val="00537AB1"/>
    <w:pPr>
      <w:numPr>
        <w:numId w:val="3"/>
      </w:numPr>
      <w:contextualSpacing/>
    </w:pPr>
  </w:style>
  <w:style w:type="paragraph" w:styleId="ListBullet4">
    <w:name w:val="List Bullet 4"/>
    <w:basedOn w:val="Normal"/>
    <w:uiPriority w:val="99"/>
    <w:semiHidden/>
    <w:unhideWhenUsed/>
    <w:rsid w:val="00537AB1"/>
    <w:pPr>
      <w:numPr>
        <w:numId w:val="4"/>
      </w:numPr>
      <w:contextualSpacing/>
    </w:pPr>
  </w:style>
  <w:style w:type="paragraph" w:styleId="Revision">
    <w:name w:val="Revision"/>
    <w:hidden/>
    <w:uiPriority w:val="99"/>
    <w:semiHidden/>
    <w:rsid w:val="00580E41"/>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976213"/>
    <w:rPr>
      <w:sz w:val="16"/>
      <w:szCs w:val="16"/>
    </w:rPr>
  </w:style>
  <w:style w:type="paragraph" w:styleId="CommentText">
    <w:name w:val="annotation text"/>
    <w:basedOn w:val="Normal"/>
    <w:link w:val="CommentTextChar"/>
    <w:uiPriority w:val="99"/>
    <w:unhideWhenUsed/>
    <w:rsid w:val="00976213"/>
    <w:rPr>
      <w:sz w:val="20"/>
      <w:szCs w:val="20"/>
    </w:rPr>
  </w:style>
  <w:style w:type="character" w:customStyle="1" w:styleId="CommentTextChar">
    <w:name w:val="Comment Text Char"/>
    <w:basedOn w:val="DefaultParagraphFont"/>
    <w:link w:val="CommentText"/>
    <w:uiPriority w:val="99"/>
    <w:rsid w:val="00976213"/>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76213"/>
    <w:rPr>
      <w:b/>
      <w:bCs/>
    </w:rPr>
  </w:style>
  <w:style w:type="character" w:customStyle="1" w:styleId="CommentSubjectChar">
    <w:name w:val="Comment Subject Char"/>
    <w:basedOn w:val="CommentTextChar"/>
    <w:link w:val="CommentSubject"/>
    <w:uiPriority w:val="99"/>
    <w:semiHidden/>
    <w:rsid w:val="00976213"/>
    <w:rPr>
      <w:rFonts w:ascii="Times New Roman" w:hAnsi="Times New Roman" w:cs="Times New Roman"/>
      <w:b/>
      <w:bCs/>
      <w:sz w:val="20"/>
      <w:szCs w:val="20"/>
      <w:lang w:val="ro-RO"/>
    </w:rPr>
  </w:style>
  <w:style w:type="paragraph" w:customStyle="1" w:styleId="Body">
    <w:name w:val="Body"/>
    <w:rsid w:val="00326414"/>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eastAsia="fr-BE"/>
    </w:rPr>
  </w:style>
  <w:style w:type="character" w:customStyle="1" w:styleId="HeaderChar">
    <w:name w:val="Header Char"/>
    <w:basedOn w:val="DefaultParagraphFont"/>
    <w:link w:val="Header"/>
    <w:uiPriority w:val="99"/>
    <w:rsid w:val="00527A36"/>
    <w:rPr>
      <w:rFonts w:ascii="Times New Roman" w:hAnsi="Times New Roman" w:cs="Times New Roman"/>
      <w:sz w:val="24"/>
      <w:lang w:val="ro-RO"/>
    </w:rPr>
  </w:style>
  <w:style w:type="character" w:customStyle="1" w:styleId="FooterChar">
    <w:name w:val="Footer Char"/>
    <w:basedOn w:val="DefaultParagraphFont"/>
    <w:link w:val="Footer"/>
    <w:uiPriority w:val="99"/>
    <w:rsid w:val="00527A3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27A3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27A36"/>
    <w:pPr>
      <w:spacing w:before="0"/>
      <w:jc w:val="right"/>
    </w:pPr>
    <w:rPr>
      <w:sz w:val="28"/>
    </w:rPr>
  </w:style>
  <w:style w:type="paragraph" w:customStyle="1" w:styleId="FooterSensitivity">
    <w:name w:val="Footer Sensitivity"/>
    <w:basedOn w:val="Normal"/>
    <w:rsid w:val="00527A3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27A36"/>
    <w:pPr>
      <w:tabs>
        <w:tab w:val="center" w:pos="4535"/>
        <w:tab w:val="right" w:pos="9071"/>
      </w:tabs>
      <w:spacing w:before="0"/>
    </w:pPr>
  </w:style>
  <w:style w:type="paragraph" w:customStyle="1" w:styleId="HeaderLandscape">
    <w:name w:val="HeaderLandscape"/>
    <w:basedOn w:val="Normal"/>
    <w:rsid w:val="00527A36"/>
    <w:pPr>
      <w:tabs>
        <w:tab w:val="center" w:pos="7285"/>
        <w:tab w:val="right" w:pos="14003"/>
      </w:tabs>
      <w:spacing w:before="0"/>
    </w:pPr>
  </w:style>
  <w:style w:type="paragraph" w:styleId="Footer">
    <w:name w:val="footer"/>
    <w:basedOn w:val="Normal"/>
    <w:link w:val="FooterChar"/>
    <w:uiPriority w:val="99"/>
    <w:unhideWhenUsed/>
    <w:rsid w:val="00527A3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27A3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19/392/oj" TargetMode="External"/><Relationship Id="rId1" Type="http://schemas.openxmlformats.org/officeDocument/2006/relationships/hyperlink" Target="http://data.europa.eu/eli/dec/2019/3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0</TotalTime>
  <Pages>7</Pages>
  <Words>2072</Words>
  <Characters>11815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2025-11-21T13:52:00Z</dcterms:created>
  <dcterms:modified xsi:type="dcterms:W3CDTF">2026-01-15T09:14:00Z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2025-11-19T14:45:51Z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9acfa36c-c386-43c6-894f-211cf4612438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ies>
</file>