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74EE0F" w14:textId="1AB50ACA" w:rsidR="00912B8C" w:rsidRPr="009C6AFF" w:rsidRDefault="00B35E52" w:rsidP="00B35E52">
      <w:pPr>
        <w:pStyle w:val="Pagedecouverture"/>
        <w:rPr>
          <w:noProof/>
        </w:rPr>
      </w:pPr>
      <w:bookmarkStart w:id="0" w:name="_Hlk214448434"/>
      <w:r>
        <w:rPr>
          <w:noProof/>
        </w:rPr>
        <w:pict w14:anchorId="0084CC7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441E9BCD-7B16-4D95-918F-5865939E9782" style="width:455.25pt;height:381.75pt">
            <v:imagedata r:id="rId7" o:title=""/>
          </v:shape>
        </w:pict>
      </w:r>
    </w:p>
    <w:p w14:paraId="24DD8699" w14:textId="77777777" w:rsidR="00912B8C" w:rsidRPr="009C6AFF" w:rsidRDefault="00912B8C" w:rsidP="00912B8C">
      <w:pPr>
        <w:rPr>
          <w:noProof/>
        </w:rPr>
        <w:sectPr w:rsidR="00912B8C" w:rsidRPr="009C6AFF" w:rsidSect="00B35E52">
          <w:headerReference w:type="even" r:id="rId8"/>
          <w:headerReference w:type="default" r:id="rId9"/>
          <w:footerReference w:type="even" r:id="rId10"/>
          <w:footerReference w:type="default" r:id="rId11"/>
          <w:headerReference w:type="first" r:id="rId12"/>
          <w:footerReference w:type="first" r:id="rId13"/>
          <w:pgSz w:w="11907" w:h="16839"/>
          <w:pgMar w:top="1134" w:right="1417" w:bottom="1134" w:left="1417" w:header="709" w:footer="709" w:gutter="0"/>
          <w:pgNumType w:start="0"/>
          <w:cols w:space="720"/>
          <w:docGrid w:linePitch="360"/>
        </w:sectPr>
      </w:pPr>
    </w:p>
    <w:p w14:paraId="08C0260C" w14:textId="6A9AA2FD" w:rsidR="00F5524A" w:rsidRPr="009C6AFF" w:rsidRDefault="00F5524A" w:rsidP="00F5524A">
      <w:pPr>
        <w:pStyle w:val="Annexetitre"/>
        <w:rPr>
          <w:rStyle w:val="Marker"/>
          <w:noProof/>
        </w:rPr>
      </w:pPr>
      <w:bookmarkStart w:id="1" w:name="_GoBack"/>
      <w:bookmarkEnd w:id="1"/>
      <w:r w:rsidRPr="009C6AFF">
        <w:rPr>
          <w:noProof/>
        </w:rPr>
        <w:lastRenderedPageBreak/>
        <w:t>ANEXĂ</w:t>
      </w:r>
    </w:p>
    <w:p w14:paraId="79FD2394" w14:textId="2D678CCD" w:rsidR="00081CEA" w:rsidRPr="009C6AFF" w:rsidRDefault="00081CEA" w:rsidP="00081CEA">
      <w:pPr>
        <w:pStyle w:val="NormalWeb"/>
        <w:jc w:val="center"/>
        <w:rPr>
          <w:noProof/>
        </w:rPr>
      </w:pPr>
      <w:r w:rsidRPr="009C6AFF">
        <w:rPr>
          <w:rStyle w:val="Strong"/>
          <w:noProof/>
        </w:rPr>
        <w:t>PROIECT DE DECIZIE NR. 2026/ ...</w:t>
      </w:r>
    </w:p>
    <w:p w14:paraId="7F4AD514" w14:textId="386EDCF2" w:rsidR="00081CEA" w:rsidRPr="009C6AFF" w:rsidRDefault="00081CEA" w:rsidP="00081CEA">
      <w:pPr>
        <w:pStyle w:val="NormalWeb"/>
        <w:jc w:val="center"/>
        <w:rPr>
          <w:rStyle w:val="Strong"/>
          <w:rFonts w:eastAsiaTheme="majorEastAsia"/>
          <w:noProof/>
        </w:rPr>
      </w:pPr>
      <w:r w:rsidRPr="009C6AFF">
        <w:rPr>
          <w:rStyle w:val="Strong"/>
          <w:noProof/>
        </w:rPr>
        <w:t>A COMITETULUI DIRECTOR REGIONAL</w:t>
      </w:r>
    </w:p>
    <w:p w14:paraId="74DD6B41" w14:textId="77777777" w:rsidR="00081CEA" w:rsidRPr="009C6AFF" w:rsidRDefault="00081CEA" w:rsidP="00081CEA">
      <w:pPr>
        <w:pStyle w:val="NormalWeb"/>
        <w:jc w:val="center"/>
        <w:rPr>
          <w:noProof/>
        </w:rPr>
      </w:pPr>
      <w:r w:rsidRPr="009C6AFF">
        <w:rPr>
          <w:rStyle w:val="Strong"/>
          <w:noProof/>
        </w:rPr>
        <w:t>AL COMUNITĂȚII TRANSPORTURILOR</w:t>
      </w:r>
    </w:p>
    <w:p w14:paraId="6D689AB7" w14:textId="6A1CFC22" w:rsidR="00081CEA" w:rsidRPr="009C6AFF" w:rsidRDefault="00081CEA" w:rsidP="00081CEA">
      <w:pPr>
        <w:pStyle w:val="NormalWeb"/>
        <w:jc w:val="center"/>
        <w:rPr>
          <w:b/>
          <w:bCs/>
          <w:noProof/>
        </w:rPr>
      </w:pPr>
      <w:r w:rsidRPr="009C6AFF">
        <w:rPr>
          <w:b/>
          <w:noProof/>
        </w:rPr>
        <w:t>din …</w:t>
      </w:r>
    </w:p>
    <w:p w14:paraId="6104534B" w14:textId="0119EB26" w:rsidR="00081CEA" w:rsidRPr="009C6AFF" w:rsidRDefault="00081CEA" w:rsidP="00081CEA">
      <w:pPr>
        <w:pStyle w:val="NormalWeb"/>
        <w:jc w:val="center"/>
        <w:rPr>
          <w:noProof/>
        </w:rPr>
      </w:pPr>
      <w:r w:rsidRPr="009C6AFF">
        <w:rPr>
          <w:b/>
          <w:bCs/>
          <w:noProof/>
        </w:rPr>
        <w:t>d</w:t>
      </w:r>
      <w:r w:rsidRPr="009C6AFF">
        <w:rPr>
          <w:rStyle w:val="Strong"/>
          <w:noProof/>
        </w:rPr>
        <w:t>e modificare a</w:t>
      </w:r>
      <w:r w:rsidR="009C6AFF" w:rsidRPr="009C6AFF">
        <w:rPr>
          <w:rStyle w:val="Strong"/>
          <w:noProof/>
        </w:rPr>
        <w:t xml:space="preserve"> </w:t>
      </w:r>
      <w:r w:rsidRPr="009C6AFF">
        <w:rPr>
          <w:b/>
          <w:noProof/>
        </w:rPr>
        <w:t>Deciziei nr. 2019/3</w:t>
      </w:r>
      <w:r w:rsidRPr="009C6AFF">
        <w:rPr>
          <w:rStyle w:val="Strong"/>
          <w:noProof/>
        </w:rPr>
        <w:t xml:space="preserve"> a Comitetului director regional al </w:t>
      </w:r>
      <w:r w:rsidRPr="009C6AFF">
        <w:rPr>
          <w:b/>
          <w:noProof/>
        </w:rPr>
        <w:t>Comunității transporturilor din 5 iunie 2019</w:t>
      </w:r>
    </w:p>
    <w:p w14:paraId="7DFC44FA" w14:textId="77777777" w:rsidR="00081CEA" w:rsidRPr="009C6AFF" w:rsidRDefault="00081CEA" w:rsidP="00081CEA">
      <w:pPr>
        <w:pStyle w:val="NormalWeb"/>
        <w:jc w:val="both"/>
        <w:rPr>
          <w:noProof/>
        </w:rPr>
      </w:pPr>
      <w:r w:rsidRPr="009C6AFF">
        <w:rPr>
          <w:noProof/>
        </w:rPr>
        <w:t>COMITETUL DIRECTOR REGIONAL AL COMUNITĂȚII TRANSPORTURILOR,</w:t>
      </w:r>
    </w:p>
    <w:p w14:paraId="51EF17C4" w14:textId="3D4C3B7D" w:rsidR="00081CEA" w:rsidRPr="009C6AFF" w:rsidRDefault="00081CEA" w:rsidP="00081CEA">
      <w:pPr>
        <w:pStyle w:val="NormalWeb"/>
        <w:jc w:val="both"/>
        <w:rPr>
          <w:noProof/>
        </w:rPr>
      </w:pPr>
      <w:r w:rsidRPr="009C6AFF">
        <w:rPr>
          <w:noProof/>
        </w:rPr>
        <w:t>având în vedere Tratatul de instituire a Comunității transporturilor, în special articolul 24 alineatul (1) și articolul 30,</w:t>
      </w:r>
    </w:p>
    <w:p w14:paraId="5C6F983D" w14:textId="77777777" w:rsidR="00081CEA" w:rsidRPr="009C6AFF" w:rsidRDefault="00081CEA" w:rsidP="00081CEA">
      <w:pPr>
        <w:pStyle w:val="NormalWeb"/>
        <w:jc w:val="both"/>
        <w:rPr>
          <w:noProof/>
        </w:rPr>
      </w:pPr>
      <w:r w:rsidRPr="009C6AFF">
        <w:rPr>
          <w:noProof/>
        </w:rPr>
        <w:t>întrucât:</w:t>
      </w:r>
    </w:p>
    <w:p w14:paraId="4111E581" w14:textId="7983A69B" w:rsidR="00AD5FA3" w:rsidRPr="009C6AFF" w:rsidRDefault="00AD5FA3" w:rsidP="00AD5FA3">
      <w:pPr>
        <w:pStyle w:val="NormalWeb"/>
        <w:jc w:val="both"/>
        <w:rPr>
          <w:noProof/>
        </w:rPr>
      </w:pPr>
      <w:r w:rsidRPr="009C6AFF">
        <w:rPr>
          <w:noProof/>
        </w:rPr>
        <w:t>(1) Anexa II la Decizia nr. 2019/3 a Comitetului director regional stabilește Statutul personalului Comunității transporturilor. Grila de salarizare corespunzătoare clasificării posturilor din cadrul Secretariatului General este prevăzută în apendicele la Statutul funcționarilor.</w:t>
      </w:r>
    </w:p>
    <w:p w14:paraId="37882CBD" w14:textId="5D9399BE" w:rsidR="00AD5FA3" w:rsidRPr="009C6AFF" w:rsidRDefault="00AD5FA3" w:rsidP="00AD5FA3">
      <w:pPr>
        <w:pStyle w:val="NormalWeb"/>
        <w:jc w:val="both"/>
        <w:rPr>
          <w:noProof/>
        </w:rPr>
      </w:pPr>
      <w:r w:rsidRPr="009C6AFF">
        <w:rPr>
          <w:noProof/>
        </w:rPr>
        <w:t>(2) Secțiunea 9.1 din anexa II la Decizia nr. 2019/3 prevede că grila de salarizare corespunzătoare clasificării posturilor în cadrul secretariatului ar trebui să fie revizuită periodic de Comitetul director pentru a se asigura că rămâne competitivă și în conformitate cu cerințele secretariatului.</w:t>
      </w:r>
    </w:p>
    <w:p w14:paraId="5E8F06DD" w14:textId="102FED31" w:rsidR="002D7C90" w:rsidRPr="009C6AFF" w:rsidRDefault="00AD5FA3" w:rsidP="00AD5FA3">
      <w:pPr>
        <w:pStyle w:val="NormalWeb"/>
        <w:jc w:val="both"/>
        <w:rPr>
          <w:noProof/>
        </w:rPr>
      </w:pPr>
      <w:r w:rsidRPr="009C6AFF">
        <w:rPr>
          <w:noProof/>
        </w:rPr>
        <w:t xml:space="preserve">(3) Grila de salarizare prevăzută în anexa la Statutul funcționarilor a rămas neschimbată de la adoptarea sa în iunie 2019. Prin urmare, salariile tuturor membrilor personalului ar trebui majorate cu 20 % la 1 ianuarie 2026. Această majorare ar trebui să se reflecte, de asemenea, în tabelul „Salarii lunare orientative ale membrilor personalului secretariatului” din apendicele la anexa II la Decizia nr. 2019/3 a Comitetului director regional. Pentru perioada de după 2026, ar trebui să existe o indexare anuală a salariilor, care să aibă loc pentru prima dată la 1 ianuarie 2027. </w:t>
      </w:r>
    </w:p>
    <w:p w14:paraId="6CC5DD28" w14:textId="580B09CE" w:rsidR="00AD5FA3" w:rsidRPr="009C6AFF" w:rsidRDefault="00AD5FA3" w:rsidP="00AD5FA3">
      <w:pPr>
        <w:pStyle w:val="NormalWeb"/>
        <w:jc w:val="both"/>
        <w:rPr>
          <w:noProof/>
        </w:rPr>
      </w:pPr>
      <w:r w:rsidRPr="009C6AFF">
        <w:rPr>
          <w:noProof/>
        </w:rPr>
        <w:t>(4) Pentru a rămâne însă în concordanță cu discuțiile preliminare și pentru a se asigura că indexarea anuală a salariilor se aliniază la ciclul anual de adoptare a bugetului Comunității transporturilor, este oportun să se prevadă aplicarea retroactivă a deciziei avute în vedere începând cu 1 ianuarie 2026</w:t>
      </w:r>
      <w:r w:rsidR="009C6AFF" w:rsidRPr="009C6AFF">
        <w:rPr>
          <w:noProof/>
        </w:rPr>
        <w:t>,</w:t>
      </w:r>
    </w:p>
    <w:p w14:paraId="11C6432C" w14:textId="77777777" w:rsidR="00081CEA" w:rsidRPr="009C6AFF" w:rsidRDefault="00081CEA" w:rsidP="00081CEA">
      <w:pPr>
        <w:pStyle w:val="NormalWeb"/>
        <w:jc w:val="both"/>
        <w:rPr>
          <w:noProof/>
        </w:rPr>
      </w:pPr>
      <w:r w:rsidRPr="009C6AFF">
        <w:rPr>
          <w:noProof/>
        </w:rPr>
        <w:t>ADOPTĂ PREZENTA DECIZIE:</w:t>
      </w:r>
    </w:p>
    <w:p w14:paraId="7E0BB557" w14:textId="3751C742" w:rsidR="00081CEA" w:rsidRPr="009C6AFF" w:rsidRDefault="00081CEA" w:rsidP="00081CEA">
      <w:pPr>
        <w:pStyle w:val="NormalWeb"/>
        <w:jc w:val="center"/>
        <w:rPr>
          <w:noProof/>
        </w:rPr>
      </w:pPr>
      <w:r w:rsidRPr="009C6AFF">
        <w:rPr>
          <w:rStyle w:val="Strong"/>
          <w:noProof/>
        </w:rPr>
        <w:t>Articolul 1</w:t>
      </w:r>
    </w:p>
    <w:p w14:paraId="2238B9F3" w14:textId="7ED28D15" w:rsidR="00081CEA" w:rsidRPr="009C6AFF" w:rsidRDefault="00081CEA" w:rsidP="00081CEA">
      <w:pPr>
        <w:pStyle w:val="NormalWeb"/>
        <w:jc w:val="both"/>
        <w:rPr>
          <w:noProof/>
        </w:rPr>
      </w:pPr>
      <w:r w:rsidRPr="009C6AFF">
        <w:rPr>
          <w:noProof/>
        </w:rPr>
        <w:t>În secțiunea 9.1 din anexa II la Decizia nr. 2019/3 a Comitetului director regional se adaugă următoarele puncte:</w:t>
      </w:r>
    </w:p>
    <w:p w14:paraId="7542761E" w14:textId="4656E3D9" w:rsidR="00081CEA" w:rsidRPr="009C6AFF" w:rsidRDefault="00291986" w:rsidP="00081CEA">
      <w:pPr>
        <w:pStyle w:val="NormalWeb"/>
        <w:ind w:left="720"/>
        <w:jc w:val="both"/>
        <w:rPr>
          <w:noProof/>
        </w:rPr>
      </w:pPr>
      <w:r w:rsidRPr="009C6AFF">
        <w:rPr>
          <w:noProof/>
        </w:rPr>
        <w:t xml:space="preserve">„(c) La 1 ianuarie 2027 și, ulterior, anual, grila salarială din apendicele la anexa II la Decizia nr. 2019/3 se ajustează în conformitate cu indicele oficial anual al prețurilor </w:t>
      </w:r>
      <w:r w:rsidRPr="009C6AFF">
        <w:rPr>
          <w:noProof/>
        </w:rPr>
        <w:lastRenderedPageBreak/>
        <w:t xml:space="preserve">de consum (IPC), astfel cum a fost publicat de autoritatea statistică competentă din Republica Serbia pentru anul precedent. Salariile tuturor membrilor personalului se revizuiesc automat utilizând procentul corespunzător. </w:t>
      </w:r>
      <w:bookmarkStart w:id="2" w:name="_Hlk215063253"/>
      <w:r w:rsidRPr="009C6AFF">
        <w:rPr>
          <w:noProof/>
        </w:rPr>
        <w:t>Indexarea anuală a salariilor</w:t>
      </w:r>
      <w:bookmarkEnd w:id="2"/>
      <w:r w:rsidRPr="009C6AFF">
        <w:rPr>
          <w:noProof/>
        </w:rPr>
        <w:t xml:space="preserve"> se pune în aplicare în mod automat, cu excepția cazului în care Comitetul director stabilește altfel pe baza unor circumstanțe economice excepționale.”</w:t>
      </w:r>
    </w:p>
    <w:p w14:paraId="11BA4ABF" w14:textId="1E0A7834" w:rsidR="00081CEA" w:rsidRPr="009C6AFF" w:rsidRDefault="00081CEA" w:rsidP="00081CEA">
      <w:pPr>
        <w:pStyle w:val="NormalWeb"/>
        <w:jc w:val="center"/>
        <w:rPr>
          <w:rStyle w:val="Strong"/>
          <w:rFonts w:eastAsiaTheme="majorEastAsia"/>
          <w:noProof/>
        </w:rPr>
      </w:pPr>
      <w:r w:rsidRPr="009C6AFF">
        <w:rPr>
          <w:rStyle w:val="Strong"/>
          <w:noProof/>
        </w:rPr>
        <w:t>Articolul 2</w:t>
      </w:r>
    </w:p>
    <w:p w14:paraId="32D23FF4" w14:textId="3FE50E8F" w:rsidR="00081CEA" w:rsidRPr="009C6AFF" w:rsidRDefault="00081CEA" w:rsidP="00081CEA">
      <w:pPr>
        <w:pStyle w:val="NormalWeb"/>
        <w:rPr>
          <w:noProof/>
        </w:rPr>
      </w:pPr>
      <w:bookmarkStart w:id="3" w:name="_Hlk215063392"/>
      <w:r w:rsidRPr="009C6AFF">
        <w:rPr>
          <w:noProof/>
        </w:rPr>
        <w:t>Apendicele la anexa II la Decizia nr. 2019/3 a Comitetului director regional al Comunității transporturilor</w:t>
      </w:r>
      <w:bookmarkEnd w:id="3"/>
      <w:r w:rsidRPr="009C6AFF">
        <w:rPr>
          <w:noProof/>
        </w:rPr>
        <w:t xml:space="preserve"> se înlocuiește cu următorul text:</w:t>
      </w:r>
    </w:p>
    <w:p w14:paraId="46EC40D1" w14:textId="186A0822" w:rsidR="00081CEA" w:rsidRPr="009C6AFF" w:rsidRDefault="00291986" w:rsidP="00081CEA">
      <w:pPr>
        <w:spacing w:line="360" w:lineRule="auto"/>
        <w:jc w:val="center"/>
        <w:rPr>
          <w:rFonts w:eastAsia="Aptos"/>
          <w:noProof/>
          <w:szCs w:val="24"/>
        </w:rPr>
      </w:pPr>
      <w:r w:rsidRPr="009C6AFF">
        <w:rPr>
          <w:noProof/>
        </w:rPr>
        <w:t>„</w:t>
      </w:r>
      <w:bookmarkStart w:id="4" w:name="_Hlk215063365"/>
      <w:r w:rsidRPr="009C6AFF">
        <w:rPr>
          <w:noProof/>
        </w:rPr>
        <w:t>Salariul lunar orientativ al membrilor personalului secretariatului</w:t>
      </w:r>
      <w:bookmarkEnd w:id="4"/>
    </w:p>
    <w:tbl>
      <w:tblPr>
        <w:tblStyle w:val="TableGrid"/>
        <w:tblW w:w="0" w:type="auto"/>
        <w:tblLook w:val="04A0" w:firstRow="1" w:lastRow="0" w:firstColumn="1" w:lastColumn="0" w:noHBand="0" w:noVBand="1"/>
      </w:tblPr>
      <w:tblGrid>
        <w:gridCol w:w="4666"/>
        <w:gridCol w:w="4623"/>
      </w:tblGrid>
      <w:tr w:rsidR="00081CEA" w:rsidRPr="009C6AFF" w14:paraId="2F1DDFC2" w14:textId="77777777" w:rsidTr="00F52DF2">
        <w:tc>
          <w:tcPr>
            <w:tcW w:w="4814" w:type="dxa"/>
            <w:tcBorders>
              <w:top w:val="single" w:sz="4" w:space="0" w:color="auto"/>
              <w:left w:val="single" w:sz="4" w:space="0" w:color="auto"/>
              <w:bottom w:val="single" w:sz="4" w:space="0" w:color="auto"/>
              <w:right w:val="single" w:sz="4" w:space="0" w:color="auto"/>
            </w:tcBorders>
            <w:vAlign w:val="center"/>
            <w:hideMark/>
          </w:tcPr>
          <w:p w14:paraId="707F6F35" w14:textId="77777777" w:rsidR="00081CEA" w:rsidRPr="009C6AFF" w:rsidRDefault="00081CEA" w:rsidP="00F52DF2">
            <w:pPr>
              <w:spacing w:before="60" w:after="60"/>
              <w:jc w:val="center"/>
              <w:rPr>
                <w:noProof/>
                <w:szCs w:val="24"/>
              </w:rPr>
            </w:pPr>
            <w:r w:rsidRPr="009C6AFF">
              <w:rPr>
                <w:noProof/>
              </w:rPr>
              <w:t>Funcție</w:t>
            </w:r>
          </w:p>
        </w:tc>
        <w:tc>
          <w:tcPr>
            <w:tcW w:w="4815" w:type="dxa"/>
            <w:tcBorders>
              <w:top w:val="single" w:sz="4" w:space="0" w:color="auto"/>
              <w:left w:val="single" w:sz="4" w:space="0" w:color="auto"/>
              <w:bottom w:val="single" w:sz="4" w:space="0" w:color="auto"/>
              <w:right w:val="single" w:sz="4" w:space="0" w:color="auto"/>
            </w:tcBorders>
            <w:vAlign w:val="center"/>
            <w:hideMark/>
          </w:tcPr>
          <w:p w14:paraId="63DA49ED" w14:textId="637407F8" w:rsidR="00081CEA" w:rsidRPr="009C6AFF" w:rsidRDefault="00081CEA" w:rsidP="00F52DF2">
            <w:pPr>
              <w:spacing w:before="60" w:after="60"/>
              <w:jc w:val="center"/>
              <w:rPr>
                <w:noProof/>
                <w:szCs w:val="24"/>
              </w:rPr>
            </w:pPr>
            <w:r w:rsidRPr="009C6AFF">
              <w:rPr>
                <w:noProof/>
              </w:rPr>
              <w:t xml:space="preserve">Salariul lunar în euro </w:t>
            </w:r>
          </w:p>
          <w:p w14:paraId="4852E4BC" w14:textId="321758DA" w:rsidR="00081CEA" w:rsidRPr="009C6AFF" w:rsidRDefault="00081CEA" w:rsidP="00F52DF2">
            <w:pPr>
              <w:spacing w:before="60" w:after="60"/>
              <w:jc w:val="center"/>
              <w:rPr>
                <w:noProof/>
                <w:szCs w:val="24"/>
              </w:rPr>
            </w:pPr>
            <w:r w:rsidRPr="009C6AFF">
              <w:rPr>
                <w:noProof/>
              </w:rPr>
              <w:t>(min./max.)</w:t>
            </w:r>
          </w:p>
        </w:tc>
      </w:tr>
      <w:tr w:rsidR="00081CEA" w:rsidRPr="009C6AFF" w14:paraId="7A62557D" w14:textId="77777777" w:rsidTr="00F52DF2">
        <w:tc>
          <w:tcPr>
            <w:tcW w:w="4814" w:type="dxa"/>
            <w:tcBorders>
              <w:top w:val="single" w:sz="4" w:space="0" w:color="auto"/>
              <w:left w:val="single" w:sz="4" w:space="0" w:color="auto"/>
              <w:bottom w:val="single" w:sz="4" w:space="0" w:color="auto"/>
              <w:right w:val="single" w:sz="4" w:space="0" w:color="auto"/>
            </w:tcBorders>
            <w:vAlign w:val="center"/>
            <w:hideMark/>
          </w:tcPr>
          <w:p w14:paraId="281DD8B0" w14:textId="77777777" w:rsidR="00081CEA" w:rsidRPr="009C6AFF" w:rsidRDefault="00081CEA" w:rsidP="00F1740A">
            <w:pPr>
              <w:numPr>
                <w:ilvl w:val="0"/>
                <w:numId w:val="9"/>
              </w:numPr>
              <w:spacing w:before="60" w:after="60"/>
              <w:contextualSpacing/>
              <w:jc w:val="left"/>
              <w:rPr>
                <w:noProof/>
                <w:szCs w:val="24"/>
              </w:rPr>
            </w:pPr>
            <w:r w:rsidRPr="009C6AFF">
              <w:rPr>
                <w:noProof/>
              </w:rPr>
              <w:t>Director</w:t>
            </w:r>
          </w:p>
        </w:tc>
        <w:tc>
          <w:tcPr>
            <w:tcW w:w="4815" w:type="dxa"/>
            <w:tcBorders>
              <w:top w:val="single" w:sz="4" w:space="0" w:color="auto"/>
              <w:left w:val="single" w:sz="4" w:space="0" w:color="auto"/>
              <w:bottom w:val="single" w:sz="4" w:space="0" w:color="auto"/>
              <w:right w:val="single" w:sz="4" w:space="0" w:color="auto"/>
            </w:tcBorders>
            <w:vAlign w:val="center"/>
            <w:hideMark/>
          </w:tcPr>
          <w:p w14:paraId="1C0EAF28" w14:textId="679EEB40" w:rsidR="00081CEA" w:rsidRPr="009C6AFF" w:rsidRDefault="00081CEA" w:rsidP="00F52DF2">
            <w:pPr>
              <w:spacing w:before="60" w:after="60"/>
              <w:jc w:val="center"/>
              <w:rPr>
                <w:noProof/>
                <w:szCs w:val="24"/>
              </w:rPr>
            </w:pPr>
            <w:r w:rsidRPr="009C6AFF">
              <w:rPr>
                <w:noProof/>
              </w:rPr>
              <w:t>9 600 - 12 000</w:t>
            </w:r>
          </w:p>
        </w:tc>
      </w:tr>
      <w:tr w:rsidR="00081CEA" w:rsidRPr="009C6AFF" w14:paraId="4E42D0FD" w14:textId="77777777" w:rsidTr="00F52DF2">
        <w:tc>
          <w:tcPr>
            <w:tcW w:w="4814" w:type="dxa"/>
            <w:tcBorders>
              <w:top w:val="single" w:sz="4" w:space="0" w:color="auto"/>
              <w:left w:val="single" w:sz="4" w:space="0" w:color="auto"/>
              <w:bottom w:val="single" w:sz="4" w:space="0" w:color="auto"/>
              <w:right w:val="single" w:sz="4" w:space="0" w:color="auto"/>
            </w:tcBorders>
            <w:vAlign w:val="center"/>
            <w:hideMark/>
          </w:tcPr>
          <w:p w14:paraId="297692F3" w14:textId="77777777" w:rsidR="00081CEA" w:rsidRPr="009C6AFF" w:rsidRDefault="00081CEA" w:rsidP="00F1740A">
            <w:pPr>
              <w:numPr>
                <w:ilvl w:val="0"/>
                <w:numId w:val="9"/>
              </w:numPr>
              <w:spacing w:before="60" w:after="60"/>
              <w:contextualSpacing/>
              <w:jc w:val="left"/>
              <w:rPr>
                <w:noProof/>
                <w:szCs w:val="24"/>
              </w:rPr>
            </w:pPr>
            <w:r w:rsidRPr="009C6AFF">
              <w:rPr>
                <w:noProof/>
              </w:rPr>
              <w:t>Director adjunct</w:t>
            </w:r>
          </w:p>
        </w:tc>
        <w:tc>
          <w:tcPr>
            <w:tcW w:w="4815" w:type="dxa"/>
            <w:tcBorders>
              <w:top w:val="single" w:sz="4" w:space="0" w:color="auto"/>
              <w:left w:val="single" w:sz="4" w:space="0" w:color="auto"/>
              <w:bottom w:val="single" w:sz="4" w:space="0" w:color="auto"/>
              <w:right w:val="single" w:sz="4" w:space="0" w:color="auto"/>
            </w:tcBorders>
            <w:vAlign w:val="center"/>
            <w:hideMark/>
          </w:tcPr>
          <w:p w14:paraId="44F0358A" w14:textId="168281F7" w:rsidR="00081CEA" w:rsidRPr="009C6AFF" w:rsidRDefault="00081CEA" w:rsidP="00F52DF2">
            <w:pPr>
              <w:spacing w:before="60" w:after="60"/>
              <w:jc w:val="center"/>
              <w:rPr>
                <w:noProof/>
                <w:szCs w:val="24"/>
              </w:rPr>
            </w:pPr>
            <w:r w:rsidRPr="009C6AFF">
              <w:rPr>
                <w:noProof/>
              </w:rPr>
              <w:t>7 200 - 8 400</w:t>
            </w:r>
          </w:p>
        </w:tc>
      </w:tr>
      <w:tr w:rsidR="00081CEA" w:rsidRPr="009C6AFF" w14:paraId="3C9E3629" w14:textId="77777777" w:rsidTr="00F52DF2">
        <w:tc>
          <w:tcPr>
            <w:tcW w:w="4814" w:type="dxa"/>
            <w:tcBorders>
              <w:top w:val="single" w:sz="4" w:space="0" w:color="auto"/>
              <w:left w:val="single" w:sz="4" w:space="0" w:color="auto"/>
              <w:bottom w:val="single" w:sz="4" w:space="0" w:color="auto"/>
              <w:right w:val="single" w:sz="4" w:space="0" w:color="auto"/>
            </w:tcBorders>
            <w:vAlign w:val="center"/>
            <w:hideMark/>
          </w:tcPr>
          <w:p w14:paraId="74585C4A" w14:textId="77777777" w:rsidR="00081CEA" w:rsidRPr="009C6AFF" w:rsidRDefault="00081CEA" w:rsidP="00F1740A">
            <w:pPr>
              <w:numPr>
                <w:ilvl w:val="0"/>
                <w:numId w:val="9"/>
              </w:numPr>
              <w:spacing w:before="60" w:after="60"/>
              <w:contextualSpacing/>
              <w:jc w:val="left"/>
              <w:rPr>
                <w:noProof/>
                <w:szCs w:val="24"/>
              </w:rPr>
            </w:pPr>
            <w:r w:rsidRPr="009C6AFF">
              <w:rPr>
                <w:noProof/>
              </w:rPr>
              <w:t>Șef de divizie</w:t>
            </w:r>
          </w:p>
        </w:tc>
        <w:tc>
          <w:tcPr>
            <w:tcW w:w="4815" w:type="dxa"/>
            <w:tcBorders>
              <w:top w:val="single" w:sz="4" w:space="0" w:color="auto"/>
              <w:left w:val="single" w:sz="4" w:space="0" w:color="auto"/>
              <w:bottom w:val="single" w:sz="4" w:space="0" w:color="auto"/>
              <w:right w:val="single" w:sz="4" w:space="0" w:color="auto"/>
            </w:tcBorders>
            <w:vAlign w:val="center"/>
            <w:hideMark/>
          </w:tcPr>
          <w:p w14:paraId="7CD96FAD" w14:textId="72A335EB" w:rsidR="00081CEA" w:rsidRPr="009C6AFF" w:rsidRDefault="00081CEA" w:rsidP="00F52DF2">
            <w:pPr>
              <w:spacing w:before="60" w:after="60"/>
              <w:jc w:val="center"/>
              <w:rPr>
                <w:noProof/>
                <w:szCs w:val="24"/>
              </w:rPr>
            </w:pPr>
            <w:r w:rsidRPr="009C6AFF">
              <w:rPr>
                <w:noProof/>
              </w:rPr>
              <w:t>6 600 - 7 440</w:t>
            </w:r>
          </w:p>
        </w:tc>
      </w:tr>
      <w:tr w:rsidR="00081CEA" w:rsidRPr="009C6AFF" w14:paraId="21C917E2" w14:textId="77777777" w:rsidTr="00F52DF2">
        <w:tc>
          <w:tcPr>
            <w:tcW w:w="4814" w:type="dxa"/>
            <w:tcBorders>
              <w:top w:val="single" w:sz="4" w:space="0" w:color="auto"/>
              <w:left w:val="single" w:sz="4" w:space="0" w:color="auto"/>
              <w:bottom w:val="single" w:sz="4" w:space="0" w:color="auto"/>
              <w:right w:val="single" w:sz="4" w:space="0" w:color="auto"/>
            </w:tcBorders>
            <w:vAlign w:val="center"/>
            <w:hideMark/>
          </w:tcPr>
          <w:p w14:paraId="1C90958B" w14:textId="77777777" w:rsidR="00081CEA" w:rsidRPr="009C6AFF" w:rsidRDefault="00081CEA" w:rsidP="00F1740A">
            <w:pPr>
              <w:numPr>
                <w:ilvl w:val="0"/>
                <w:numId w:val="9"/>
              </w:numPr>
              <w:spacing w:before="60" w:after="60"/>
              <w:contextualSpacing/>
              <w:jc w:val="left"/>
              <w:rPr>
                <w:noProof/>
                <w:szCs w:val="24"/>
              </w:rPr>
            </w:pPr>
            <w:r w:rsidRPr="009C6AFF">
              <w:rPr>
                <w:noProof/>
              </w:rPr>
              <w:t>Experți (coordonatori, ofițeri de birou, ofițeri)</w:t>
            </w:r>
          </w:p>
        </w:tc>
        <w:tc>
          <w:tcPr>
            <w:tcW w:w="4815" w:type="dxa"/>
            <w:tcBorders>
              <w:top w:val="single" w:sz="4" w:space="0" w:color="auto"/>
              <w:left w:val="single" w:sz="4" w:space="0" w:color="auto"/>
              <w:bottom w:val="single" w:sz="4" w:space="0" w:color="auto"/>
              <w:right w:val="single" w:sz="4" w:space="0" w:color="auto"/>
            </w:tcBorders>
            <w:vAlign w:val="center"/>
          </w:tcPr>
          <w:p w14:paraId="71C5B662" w14:textId="2E065AE0" w:rsidR="00081CEA" w:rsidRPr="009C6AFF" w:rsidRDefault="00081CEA" w:rsidP="00F52DF2">
            <w:pPr>
              <w:spacing w:before="60" w:after="60"/>
              <w:jc w:val="center"/>
              <w:rPr>
                <w:noProof/>
                <w:szCs w:val="24"/>
              </w:rPr>
            </w:pPr>
            <w:r w:rsidRPr="009C6AFF">
              <w:rPr>
                <w:noProof/>
              </w:rPr>
              <w:t>5 400 - 6 000</w:t>
            </w:r>
          </w:p>
          <w:p w14:paraId="48F2B2FB" w14:textId="77777777" w:rsidR="00081CEA" w:rsidRPr="009C6AFF" w:rsidRDefault="00081CEA" w:rsidP="00F52DF2">
            <w:pPr>
              <w:spacing w:before="60" w:after="60"/>
              <w:jc w:val="center"/>
              <w:rPr>
                <w:noProof/>
                <w:szCs w:val="24"/>
              </w:rPr>
            </w:pPr>
          </w:p>
        </w:tc>
      </w:tr>
      <w:tr w:rsidR="00081CEA" w:rsidRPr="009C6AFF" w14:paraId="0E7B57FC" w14:textId="77777777" w:rsidTr="00F52DF2">
        <w:tc>
          <w:tcPr>
            <w:tcW w:w="4814" w:type="dxa"/>
            <w:tcBorders>
              <w:top w:val="single" w:sz="4" w:space="0" w:color="auto"/>
              <w:left w:val="single" w:sz="4" w:space="0" w:color="auto"/>
              <w:bottom w:val="single" w:sz="4" w:space="0" w:color="auto"/>
              <w:right w:val="single" w:sz="4" w:space="0" w:color="auto"/>
            </w:tcBorders>
            <w:vAlign w:val="center"/>
            <w:hideMark/>
          </w:tcPr>
          <w:p w14:paraId="3AA604A1" w14:textId="77777777" w:rsidR="00081CEA" w:rsidRPr="009C6AFF" w:rsidRDefault="00081CEA" w:rsidP="00F1740A">
            <w:pPr>
              <w:numPr>
                <w:ilvl w:val="0"/>
                <w:numId w:val="9"/>
              </w:numPr>
              <w:spacing w:before="60" w:after="60"/>
              <w:contextualSpacing/>
              <w:jc w:val="left"/>
              <w:rPr>
                <w:noProof/>
                <w:szCs w:val="24"/>
              </w:rPr>
            </w:pPr>
            <w:r w:rsidRPr="009C6AFF">
              <w:rPr>
                <w:noProof/>
              </w:rPr>
              <w:t xml:space="preserve">Asistenți </w:t>
            </w:r>
          </w:p>
        </w:tc>
        <w:tc>
          <w:tcPr>
            <w:tcW w:w="4815" w:type="dxa"/>
            <w:tcBorders>
              <w:top w:val="single" w:sz="4" w:space="0" w:color="auto"/>
              <w:left w:val="single" w:sz="4" w:space="0" w:color="auto"/>
              <w:bottom w:val="single" w:sz="4" w:space="0" w:color="auto"/>
              <w:right w:val="single" w:sz="4" w:space="0" w:color="auto"/>
            </w:tcBorders>
            <w:vAlign w:val="center"/>
            <w:hideMark/>
          </w:tcPr>
          <w:p w14:paraId="0E0C71ED" w14:textId="6D3A56C8" w:rsidR="00081CEA" w:rsidRPr="009C6AFF" w:rsidRDefault="00081CEA" w:rsidP="00F52DF2">
            <w:pPr>
              <w:spacing w:before="60" w:after="60"/>
              <w:jc w:val="center"/>
              <w:rPr>
                <w:noProof/>
                <w:szCs w:val="24"/>
              </w:rPr>
            </w:pPr>
            <w:r w:rsidRPr="009C6AFF">
              <w:rPr>
                <w:noProof/>
              </w:rPr>
              <w:t>2 400 - 3 000</w:t>
            </w:r>
          </w:p>
        </w:tc>
      </w:tr>
    </w:tbl>
    <w:p w14:paraId="1FB1EADC" w14:textId="06428C64" w:rsidR="00B159BC" w:rsidRPr="009C6AFF" w:rsidRDefault="00291986" w:rsidP="00081CEA">
      <w:pPr>
        <w:spacing w:line="360" w:lineRule="auto"/>
        <w:rPr>
          <w:rFonts w:eastAsia="Aptos"/>
          <w:noProof/>
        </w:rPr>
      </w:pPr>
      <w:r w:rsidRPr="009C6AFF">
        <w:rPr>
          <w:noProof/>
        </w:rPr>
        <w:t>”</w:t>
      </w:r>
    </w:p>
    <w:p w14:paraId="5EAF1597" w14:textId="4F41157E" w:rsidR="00B159BC" w:rsidRPr="009C6AFF" w:rsidRDefault="00B159BC" w:rsidP="00B159BC">
      <w:pPr>
        <w:pStyle w:val="NormalWeb"/>
        <w:jc w:val="center"/>
        <w:rPr>
          <w:rStyle w:val="Strong"/>
          <w:rFonts w:eastAsiaTheme="majorEastAsia"/>
          <w:noProof/>
        </w:rPr>
      </w:pPr>
      <w:r w:rsidRPr="009C6AFF">
        <w:rPr>
          <w:rStyle w:val="Strong"/>
          <w:noProof/>
        </w:rPr>
        <w:t>Articolul 3</w:t>
      </w:r>
    </w:p>
    <w:p w14:paraId="118B2A8B" w14:textId="2EC2091E" w:rsidR="00B159BC" w:rsidRPr="009C6AFF" w:rsidRDefault="00C73E06" w:rsidP="00B159BC">
      <w:pPr>
        <w:spacing w:line="360" w:lineRule="auto"/>
        <w:rPr>
          <w:noProof/>
        </w:rPr>
      </w:pPr>
      <w:r w:rsidRPr="009C6AFF">
        <w:rPr>
          <w:noProof/>
        </w:rPr>
        <w:t xml:space="preserve">La 1 ianuarie 2026, </w:t>
      </w:r>
      <w:bookmarkStart w:id="5" w:name="_Hlk215063184"/>
      <w:r w:rsidRPr="009C6AFF">
        <w:rPr>
          <w:noProof/>
        </w:rPr>
        <w:t>salariile tuturor membrilor personalului ar trebui majorate cu 20 %</w:t>
      </w:r>
      <w:bookmarkEnd w:id="5"/>
      <w:r w:rsidRPr="009C6AFF">
        <w:rPr>
          <w:noProof/>
        </w:rPr>
        <w:t>.</w:t>
      </w:r>
    </w:p>
    <w:p w14:paraId="40ACF8A5" w14:textId="77777777" w:rsidR="00B159BC" w:rsidRPr="009C6AFF" w:rsidRDefault="00B159BC" w:rsidP="00B159BC">
      <w:pPr>
        <w:spacing w:line="360" w:lineRule="auto"/>
        <w:rPr>
          <w:rStyle w:val="Strong"/>
          <w:rFonts w:eastAsia="Aptos"/>
          <w:noProof/>
        </w:rPr>
      </w:pPr>
    </w:p>
    <w:p w14:paraId="50280CF9" w14:textId="48139996" w:rsidR="00081CEA" w:rsidRPr="009C6AFF" w:rsidRDefault="00081CEA" w:rsidP="00081CEA">
      <w:pPr>
        <w:pStyle w:val="NormalWeb"/>
        <w:jc w:val="center"/>
        <w:rPr>
          <w:noProof/>
        </w:rPr>
      </w:pPr>
      <w:r w:rsidRPr="009C6AFF">
        <w:rPr>
          <w:rStyle w:val="Strong"/>
          <w:noProof/>
        </w:rPr>
        <w:t>Articolul 4</w:t>
      </w:r>
    </w:p>
    <w:p w14:paraId="2B868EFD" w14:textId="48E489B8" w:rsidR="00081CEA" w:rsidRPr="009C6AFF" w:rsidRDefault="00081CEA" w:rsidP="00081CEA">
      <w:pPr>
        <w:pStyle w:val="NormalWeb"/>
        <w:jc w:val="both"/>
        <w:rPr>
          <w:noProof/>
        </w:rPr>
      </w:pPr>
      <w:r w:rsidRPr="009C6AFF">
        <w:rPr>
          <w:noProof/>
        </w:rPr>
        <w:t>Prezenta decizie intră în vigoare în ziua următoare datei adoptării. Acesta se aplică de la 1 ianuarie 2026.</w:t>
      </w:r>
    </w:p>
    <w:p w14:paraId="64285447" w14:textId="69093C80" w:rsidR="00081CEA" w:rsidRPr="009C6AFF" w:rsidRDefault="00081CEA" w:rsidP="00081CEA">
      <w:pPr>
        <w:pStyle w:val="NormalWeb"/>
        <w:jc w:val="both"/>
        <w:rPr>
          <w:noProof/>
        </w:rPr>
      </w:pPr>
      <w:r w:rsidRPr="009C6AFF">
        <w:rPr>
          <w:noProof/>
        </w:rPr>
        <w:t>Adoptată la [.......], la [.......] 2026</w:t>
      </w:r>
    </w:p>
    <w:p w14:paraId="7A3615DC" w14:textId="77777777" w:rsidR="00081CEA" w:rsidRPr="009C6AFF" w:rsidRDefault="00081CEA" w:rsidP="00081CEA">
      <w:pPr>
        <w:pStyle w:val="NormalWeb"/>
        <w:jc w:val="right"/>
        <w:rPr>
          <w:i/>
          <w:iCs/>
          <w:noProof/>
        </w:rPr>
      </w:pPr>
      <w:r w:rsidRPr="009C6AFF">
        <w:rPr>
          <w:i/>
          <w:noProof/>
        </w:rPr>
        <w:t>Pentru Comitetul director regional</w:t>
      </w:r>
    </w:p>
    <w:p w14:paraId="3F3388B5" w14:textId="72BDBAA0" w:rsidR="009F6C76" w:rsidRPr="009C6AFF" w:rsidRDefault="00081CEA" w:rsidP="001A0ADD">
      <w:pPr>
        <w:pStyle w:val="NormalWeb"/>
        <w:jc w:val="right"/>
        <w:rPr>
          <w:i/>
          <w:iCs/>
          <w:noProof/>
        </w:rPr>
      </w:pPr>
      <w:r w:rsidRPr="009C6AFF">
        <w:rPr>
          <w:i/>
          <w:noProof/>
        </w:rPr>
        <w:t>Președintele</w:t>
      </w:r>
    </w:p>
    <w:bookmarkEnd w:id="0"/>
    <w:p w14:paraId="2FF5C54F" w14:textId="506B4B45" w:rsidR="00905D22" w:rsidRPr="009C6AFF" w:rsidRDefault="00905D22" w:rsidP="009F6C76">
      <w:pPr>
        <w:rPr>
          <w:noProof/>
        </w:rPr>
      </w:pPr>
    </w:p>
    <w:sectPr w:rsidR="00905D22" w:rsidRPr="009C6AFF" w:rsidSect="00B35E52">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35CFB8" w14:textId="77777777" w:rsidR="00437871" w:rsidRPr="00291986" w:rsidRDefault="00437871" w:rsidP="00912B8C">
      <w:pPr>
        <w:spacing w:before="0" w:after="0"/>
      </w:pPr>
      <w:r>
        <w:separator/>
      </w:r>
    </w:p>
  </w:endnote>
  <w:endnote w:type="continuationSeparator" w:id="0">
    <w:p w14:paraId="0E3F444F" w14:textId="77777777" w:rsidR="00437871" w:rsidRPr="00291986" w:rsidRDefault="00437871" w:rsidP="00912B8C">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C56CB0" w14:textId="084AA85E" w:rsidR="00B35E52" w:rsidRPr="00B35E52" w:rsidRDefault="00B35E52" w:rsidP="00B35E52">
    <w:pPr>
      <w:pStyle w:val="Footer"/>
      <w:rPr>
        <w:rFonts w:ascii="Arial" w:hAnsi="Arial" w:cs="Arial"/>
        <w:b/>
        <w:sz w:val="48"/>
      </w:rPr>
    </w:pPr>
    <w:r w:rsidRPr="00B35E52">
      <w:rPr>
        <w:rFonts w:ascii="Arial" w:hAnsi="Arial" w:cs="Arial"/>
        <w:b/>
        <w:sz w:val="48"/>
      </w:rPr>
      <w:t>RO</w:t>
    </w:r>
    <w:r w:rsidRPr="00B35E52">
      <w:rPr>
        <w:rFonts w:ascii="Arial" w:hAnsi="Arial" w:cs="Arial"/>
        <w:b/>
        <w:sz w:val="48"/>
      </w:rPr>
      <w:tab/>
    </w:r>
    <w:r w:rsidRPr="00B35E52">
      <w:rPr>
        <w:rFonts w:ascii="Arial" w:hAnsi="Arial" w:cs="Arial"/>
        <w:b/>
        <w:sz w:val="48"/>
      </w:rPr>
      <w:tab/>
    </w:r>
    <w:r w:rsidRPr="00B35E52">
      <w:tab/>
    </w:r>
    <w:r w:rsidRPr="00B35E52">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DFEAF8" w14:textId="7E68F8FC" w:rsidR="00B35E52" w:rsidRPr="00B35E52" w:rsidRDefault="00B35E52" w:rsidP="00B35E52">
    <w:pPr>
      <w:pStyle w:val="Footer"/>
      <w:rPr>
        <w:rFonts w:ascii="Arial" w:hAnsi="Arial" w:cs="Arial"/>
        <w:b/>
        <w:sz w:val="48"/>
      </w:rPr>
    </w:pPr>
    <w:r w:rsidRPr="00B35E52">
      <w:rPr>
        <w:rFonts w:ascii="Arial" w:hAnsi="Arial" w:cs="Arial"/>
        <w:b/>
        <w:sz w:val="48"/>
      </w:rPr>
      <w:t>RO</w:t>
    </w:r>
    <w:r w:rsidRPr="00B35E52">
      <w:rPr>
        <w:rFonts w:ascii="Arial" w:hAnsi="Arial" w:cs="Arial"/>
        <w:b/>
        <w:sz w:val="48"/>
      </w:rPr>
      <w:tab/>
    </w:r>
    <w:r w:rsidRPr="00B35E52">
      <w:rPr>
        <w:rFonts w:ascii="Arial" w:hAnsi="Arial" w:cs="Arial"/>
        <w:b/>
        <w:sz w:val="48"/>
      </w:rPr>
      <w:tab/>
    </w:r>
    <w:r w:rsidRPr="00B35E52">
      <w:tab/>
    </w:r>
    <w:r w:rsidRPr="00B35E52">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AEAA6F" w14:textId="77777777" w:rsidR="00B35E52" w:rsidRPr="00B35E52" w:rsidRDefault="00B35E52" w:rsidP="00B35E5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272F02" w14:textId="77777777" w:rsidR="00B35E52" w:rsidRDefault="00B35E5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CBA09F" w14:textId="7BE84554" w:rsidR="00B35E52" w:rsidRPr="00B35E52" w:rsidRDefault="00B35E52" w:rsidP="00B35E52">
    <w:pPr>
      <w:pStyle w:val="Footer"/>
      <w:rPr>
        <w:rFonts w:ascii="Arial" w:hAnsi="Arial" w:cs="Arial"/>
        <w:b/>
        <w:sz w:val="48"/>
      </w:rPr>
    </w:pPr>
    <w:r w:rsidRPr="00B35E52">
      <w:rPr>
        <w:rFonts w:ascii="Arial" w:hAnsi="Arial" w:cs="Arial"/>
        <w:b/>
        <w:sz w:val="48"/>
      </w:rPr>
      <w:t>RO</w:t>
    </w:r>
    <w:r w:rsidRPr="00B35E52">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B35E52">
      <w:tab/>
    </w:r>
    <w:r w:rsidRPr="00B35E52">
      <w:rPr>
        <w:rFonts w:ascii="Arial" w:hAnsi="Arial" w:cs="Arial"/>
        <w:b/>
        <w:sz w:val="48"/>
      </w:rPr>
      <w:t>RO</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7CED58" w14:textId="77777777" w:rsidR="00B35E52" w:rsidRDefault="00B35E52" w:rsidP="00B35E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4E2995" w14:textId="77777777" w:rsidR="00437871" w:rsidRPr="00291986" w:rsidRDefault="00437871" w:rsidP="00912B8C">
      <w:pPr>
        <w:spacing w:before="0" w:after="0"/>
      </w:pPr>
      <w:r>
        <w:separator/>
      </w:r>
    </w:p>
  </w:footnote>
  <w:footnote w:type="continuationSeparator" w:id="0">
    <w:p w14:paraId="0A4163A1" w14:textId="77777777" w:rsidR="00437871" w:rsidRPr="00291986" w:rsidRDefault="00437871" w:rsidP="00912B8C">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8A68C4" w14:textId="77777777" w:rsidR="00B35E52" w:rsidRPr="00B35E52" w:rsidRDefault="00B35E52" w:rsidP="00B35E5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BE41BC" w14:textId="77777777" w:rsidR="00B35E52" w:rsidRPr="00B35E52" w:rsidRDefault="00B35E52" w:rsidP="00B35E5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A5F93F" w14:textId="77777777" w:rsidR="00B35E52" w:rsidRPr="00B35E52" w:rsidRDefault="00B35E52" w:rsidP="00B35E5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AC6EC2" w14:textId="77777777" w:rsidR="00B35E52" w:rsidRDefault="00B35E5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3CA526" w14:textId="77777777" w:rsidR="00B35E52" w:rsidRDefault="00B35E5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6F3A98AC"/>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4DC01FC0"/>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40D0E5A4"/>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4A5C1298"/>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E1C00FA8"/>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08341E3A"/>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409645E6"/>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2B34DE9A"/>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A2A6ED1"/>
    <w:multiLevelType w:val="hybridMultilevel"/>
    <w:tmpl w:val="7B3E6C3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9"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0"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2"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3"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4"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5"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6"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7"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8"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9"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0"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1"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3"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0"/>
  </w:num>
  <w:num w:numId="11">
    <w:abstractNumId w:val="13"/>
  </w:num>
  <w:num w:numId="12">
    <w:abstractNumId w:val="22"/>
  </w:num>
  <w:num w:numId="13">
    <w:abstractNumId w:val="12"/>
  </w:num>
  <w:num w:numId="14">
    <w:abstractNumId w:val="14"/>
  </w:num>
  <w:num w:numId="15">
    <w:abstractNumId w:val="15"/>
  </w:num>
  <w:num w:numId="16">
    <w:abstractNumId w:val="10"/>
  </w:num>
  <w:num w:numId="17">
    <w:abstractNumId w:val="21"/>
  </w:num>
  <w:num w:numId="18">
    <w:abstractNumId w:val="9"/>
  </w:num>
  <w:num w:numId="19">
    <w:abstractNumId w:val="16"/>
  </w:num>
  <w:num w:numId="20">
    <w:abstractNumId w:val="18"/>
  </w:num>
  <w:num w:numId="21">
    <w:abstractNumId w:val="19"/>
  </w:num>
  <w:num w:numId="22">
    <w:abstractNumId w:val="11"/>
  </w:num>
  <w:num w:numId="23">
    <w:abstractNumId w:val="17"/>
  </w:num>
  <w:num w:numId="24">
    <w:abstractNumId w:val="23"/>
  </w:num>
  <w:num w:numId="25">
    <w:abstractNumId w:val="20"/>
  </w:num>
  <w:num w:numId="26">
    <w:abstractNumId w:val="13"/>
  </w:num>
  <w:num w:numId="27">
    <w:abstractNumId w:val="22"/>
  </w:num>
  <w:num w:numId="28">
    <w:abstractNumId w:val="12"/>
  </w:num>
  <w:num w:numId="29">
    <w:abstractNumId w:val="14"/>
  </w:num>
  <w:num w:numId="30">
    <w:abstractNumId w:val="15"/>
  </w:num>
  <w:num w:numId="31">
    <w:abstractNumId w:val="10"/>
  </w:num>
  <w:num w:numId="32">
    <w:abstractNumId w:val="21"/>
  </w:num>
  <w:num w:numId="33">
    <w:abstractNumId w:val="9"/>
  </w:num>
  <w:num w:numId="34">
    <w:abstractNumId w:val="16"/>
  </w:num>
  <w:num w:numId="35">
    <w:abstractNumId w:val="18"/>
  </w:num>
  <w:num w:numId="36">
    <w:abstractNumId w:val="19"/>
  </w:num>
  <w:num w:numId="37">
    <w:abstractNumId w:val="11"/>
  </w:num>
  <w:num w:numId="38">
    <w:abstractNumId w:val="17"/>
  </w:num>
  <w:num w:numId="39">
    <w:abstractNumId w:val="23"/>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1-15 10:14:37"/>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la"/>
    <w:docVar w:name="LW_ACCOMPAGNANT.CP" w:val="la"/>
    <w:docVar w:name="LW_ANNEX_NBR_FIRST" w:val="1"/>
    <w:docVar w:name="LW_ANNEX_NBR_LAST" w:val="1"/>
    <w:docVar w:name="LW_ANNEX_UNIQUE" w:val="1"/>
    <w:docVar w:name="LW_CORRIGENDUM" w:val="&lt;UNUSED&gt;"/>
    <w:docVar w:name="LW_COVERPAGE_EXISTS" w:val="True"/>
    <w:docVar w:name="LW_COVERPAGE_GUID" w:val="441E9BCD-7B16-4D95-918F-5865939E9782"/>
    <w:docVar w:name="LW_COVERPAGE_TYPE" w:val="1"/>
    <w:docVar w:name="LW_CROSSREFERENCE" w:val="&lt;UNUSED&gt;"/>
    <w:docVar w:name="LW_DocType" w:val="ANNEX"/>
    <w:docVar w:name="LW_EMISSION" w:val="15.1.2026"/>
    <w:docVar w:name="LW_EMISSION_ISODATE" w:val="2026-01-15"/>
    <w:docVar w:name="LW_EMISSION_LOCATION" w:val="BRX"/>
    <w:docVar w:name="LW_EMISSION_PREFIX" w:val="Bruxelles, "/>
    <w:docVar w:name="LW_EMISSION_SUFFIX" w:val=" "/>
    <w:docVar w:name="LW_ID_DOCSTRUCTURE" w:val="COM/ANNEX"/>
    <w:docVar w:name="LW_ID_DOCTYPE" w:val="SG-017"/>
    <w:docVar w:name="LW_LANGUE" w:val="RO"/>
    <w:docVar w:name="LW_LEVEL_OF_SENSITIVITY" w:val="Standard treatment"/>
    <w:docVar w:name="LW_NOM.INST" w:val="COMISIA EUROPEAN\u258?"/>
    <w:docVar w:name="LW_NOM.INST_JOINTDOC" w:val="&lt;EMPTY&gt;"/>
    <w:docVar w:name="LW_OBJETACTEPRINCIPAL" w:val="privind pozi\u539?ia care trebuie adoptat\u259? în numele Uniunii Europene în cadrul Comitetului director regional al Comunit\u259?\u539?ii transporturilor în ceea ce prive\u537?te anumite modific\u259?ri ale normelor privind salariile personalului Secretariatului permanent al Comunit\u259?\u539?ii transporturilor"/>
    <w:docVar w:name="LW_OBJETACTEPRINCIPAL.CP" w:val="privind pozi\u539?ia care trebuie adoptat\u259? în numele Uniunii Europene în cadrul Comitetului director regional al Comunit\u259?\u539?ii transporturilor în ceea ce prive\u537?te anumite modific\u259?ri ale normelor privind salariile personalului Secretariatului permanent al Comunit\u259?\u539?ii transporturilor"/>
    <w:docVar w:name="LW_PART_NBR" w:val="1"/>
    <w:docVar w:name="LW_PART_NBR_TOTAL" w:val="1"/>
    <w:docVar w:name="LW_REF.INST.NEW" w:val="COM"/>
    <w:docVar w:name="LW_REF.INST.NEW_ADOPTED" w:val="final"/>
    <w:docVar w:name="LW_REF.INST.NEW_TEXT" w:val="(2026) 7"/>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EX\u258?"/>
    <w:docVar w:name="LW_TYPE.DOC.CP" w:val="ANEX\u258?"/>
    <w:docVar w:name="LW_TYPEACTEPRINCIPAL" w:val="Propunerea de decizie a Consiliului"/>
    <w:docVar w:name="LW_TYPEACTEPRINCIPAL.CP" w:val="Propunerea de decizie a Consiliului"/>
    <w:docVar w:name="LwApiVersions" w:val="LW4CoDe 1.24.5.0; LW 9.2, Build 20251112"/>
  </w:docVars>
  <w:rsids>
    <w:rsidRoot w:val="00912B8C"/>
    <w:rsid w:val="00012157"/>
    <w:rsid w:val="0002325D"/>
    <w:rsid w:val="00070205"/>
    <w:rsid w:val="00076E5D"/>
    <w:rsid w:val="00081CEA"/>
    <w:rsid w:val="000A24AD"/>
    <w:rsid w:val="000A3E89"/>
    <w:rsid w:val="000B3D09"/>
    <w:rsid w:val="000B526D"/>
    <w:rsid w:val="000C6CA4"/>
    <w:rsid w:val="000D76A5"/>
    <w:rsid w:val="000F4E2D"/>
    <w:rsid w:val="000F761A"/>
    <w:rsid w:val="00123E58"/>
    <w:rsid w:val="00130A36"/>
    <w:rsid w:val="001365D0"/>
    <w:rsid w:val="00160D88"/>
    <w:rsid w:val="001614E5"/>
    <w:rsid w:val="00165C4F"/>
    <w:rsid w:val="00173771"/>
    <w:rsid w:val="00175DBA"/>
    <w:rsid w:val="00191527"/>
    <w:rsid w:val="0019528B"/>
    <w:rsid w:val="001A0ADD"/>
    <w:rsid w:val="001E0E08"/>
    <w:rsid w:val="001F154D"/>
    <w:rsid w:val="001F343E"/>
    <w:rsid w:val="00200B3A"/>
    <w:rsid w:val="00207E0F"/>
    <w:rsid w:val="00225D24"/>
    <w:rsid w:val="00244D51"/>
    <w:rsid w:val="00244D95"/>
    <w:rsid w:val="002622A4"/>
    <w:rsid w:val="00262573"/>
    <w:rsid w:val="0026492D"/>
    <w:rsid w:val="00272650"/>
    <w:rsid w:val="00277554"/>
    <w:rsid w:val="00291986"/>
    <w:rsid w:val="00293DFB"/>
    <w:rsid w:val="002C0785"/>
    <w:rsid w:val="002C4D75"/>
    <w:rsid w:val="002D7C90"/>
    <w:rsid w:val="002E2CAD"/>
    <w:rsid w:val="002F3452"/>
    <w:rsid w:val="00303691"/>
    <w:rsid w:val="003352F6"/>
    <w:rsid w:val="00342C91"/>
    <w:rsid w:val="00353B24"/>
    <w:rsid w:val="00383236"/>
    <w:rsid w:val="003B30D7"/>
    <w:rsid w:val="003B4BA4"/>
    <w:rsid w:val="003D20E3"/>
    <w:rsid w:val="003D5E60"/>
    <w:rsid w:val="003E07E3"/>
    <w:rsid w:val="003E4EC7"/>
    <w:rsid w:val="003E5283"/>
    <w:rsid w:val="003F1EDF"/>
    <w:rsid w:val="00415075"/>
    <w:rsid w:val="00421A73"/>
    <w:rsid w:val="004223A8"/>
    <w:rsid w:val="00437871"/>
    <w:rsid w:val="00440A20"/>
    <w:rsid w:val="00486F5E"/>
    <w:rsid w:val="00492EB7"/>
    <w:rsid w:val="004C094C"/>
    <w:rsid w:val="004C0CF9"/>
    <w:rsid w:val="004C43D4"/>
    <w:rsid w:val="00504E45"/>
    <w:rsid w:val="005158BA"/>
    <w:rsid w:val="005253E5"/>
    <w:rsid w:val="0053275E"/>
    <w:rsid w:val="00542FFE"/>
    <w:rsid w:val="00545A94"/>
    <w:rsid w:val="00566DA6"/>
    <w:rsid w:val="00587B39"/>
    <w:rsid w:val="00590ED8"/>
    <w:rsid w:val="005C5139"/>
    <w:rsid w:val="005C53AC"/>
    <w:rsid w:val="005D2FEC"/>
    <w:rsid w:val="005D4080"/>
    <w:rsid w:val="005E078A"/>
    <w:rsid w:val="005F4FCE"/>
    <w:rsid w:val="005F58FB"/>
    <w:rsid w:val="00614582"/>
    <w:rsid w:val="00626E37"/>
    <w:rsid w:val="00635EB0"/>
    <w:rsid w:val="006451BA"/>
    <w:rsid w:val="00646B1D"/>
    <w:rsid w:val="00661A80"/>
    <w:rsid w:val="006657A5"/>
    <w:rsid w:val="006844D0"/>
    <w:rsid w:val="006918F2"/>
    <w:rsid w:val="006A30D7"/>
    <w:rsid w:val="006A6BCB"/>
    <w:rsid w:val="006B0F04"/>
    <w:rsid w:val="006B26E7"/>
    <w:rsid w:val="006C2DF8"/>
    <w:rsid w:val="006E2055"/>
    <w:rsid w:val="006E44BE"/>
    <w:rsid w:val="006F4CB8"/>
    <w:rsid w:val="006F76DF"/>
    <w:rsid w:val="00712CE0"/>
    <w:rsid w:val="00714B67"/>
    <w:rsid w:val="007314CA"/>
    <w:rsid w:val="007501F8"/>
    <w:rsid w:val="00757F1C"/>
    <w:rsid w:val="00760908"/>
    <w:rsid w:val="00767520"/>
    <w:rsid w:val="007906B8"/>
    <w:rsid w:val="00792B87"/>
    <w:rsid w:val="007A11C1"/>
    <w:rsid w:val="007E4316"/>
    <w:rsid w:val="007F4A5F"/>
    <w:rsid w:val="00811A5F"/>
    <w:rsid w:val="00831721"/>
    <w:rsid w:val="00831FCD"/>
    <w:rsid w:val="00833A6F"/>
    <w:rsid w:val="00876108"/>
    <w:rsid w:val="00877A3D"/>
    <w:rsid w:val="00892524"/>
    <w:rsid w:val="008B29AA"/>
    <w:rsid w:val="008C320E"/>
    <w:rsid w:val="008C45E3"/>
    <w:rsid w:val="008D6398"/>
    <w:rsid w:val="008E1AF5"/>
    <w:rsid w:val="008F7B03"/>
    <w:rsid w:val="0090026F"/>
    <w:rsid w:val="00905D22"/>
    <w:rsid w:val="00906FF3"/>
    <w:rsid w:val="00910CD8"/>
    <w:rsid w:val="00911701"/>
    <w:rsid w:val="00912B8C"/>
    <w:rsid w:val="009138AC"/>
    <w:rsid w:val="009249D3"/>
    <w:rsid w:val="00940F13"/>
    <w:rsid w:val="00953DEF"/>
    <w:rsid w:val="00976B41"/>
    <w:rsid w:val="00985303"/>
    <w:rsid w:val="00987D82"/>
    <w:rsid w:val="009A5A03"/>
    <w:rsid w:val="009A74CE"/>
    <w:rsid w:val="009C6AFF"/>
    <w:rsid w:val="009C725C"/>
    <w:rsid w:val="009E270D"/>
    <w:rsid w:val="009F6C76"/>
    <w:rsid w:val="00A06157"/>
    <w:rsid w:val="00A06488"/>
    <w:rsid w:val="00A14D48"/>
    <w:rsid w:val="00A21A0A"/>
    <w:rsid w:val="00A4693A"/>
    <w:rsid w:val="00A5772D"/>
    <w:rsid w:val="00A6243B"/>
    <w:rsid w:val="00A64AFF"/>
    <w:rsid w:val="00A71F6D"/>
    <w:rsid w:val="00A720B4"/>
    <w:rsid w:val="00A779BD"/>
    <w:rsid w:val="00A84798"/>
    <w:rsid w:val="00AA5857"/>
    <w:rsid w:val="00AB4F85"/>
    <w:rsid w:val="00AD5FA3"/>
    <w:rsid w:val="00AE66E2"/>
    <w:rsid w:val="00AE7CA2"/>
    <w:rsid w:val="00B1281D"/>
    <w:rsid w:val="00B13CB2"/>
    <w:rsid w:val="00B140F0"/>
    <w:rsid w:val="00B159BC"/>
    <w:rsid w:val="00B35E52"/>
    <w:rsid w:val="00B47C14"/>
    <w:rsid w:val="00B66C0A"/>
    <w:rsid w:val="00B75F7D"/>
    <w:rsid w:val="00B8137F"/>
    <w:rsid w:val="00B977D0"/>
    <w:rsid w:val="00BA2B39"/>
    <w:rsid w:val="00BA4F3C"/>
    <w:rsid w:val="00BB088B"/>
    <w:rsid w:val="00BB30BC"/>
    <w:rsid w:val="00BE72E5"/>
    <w:rsid w:val="00BF19B4"/>
    <w:rsid w:val="00BF3C1D"/>
    <w:rsid w:val="00BF6560"/>
    <w:rsid w:val="00C1609C"/>
    <w:rsid w:val="00C3639C"/>
    <w:rsid w:val="00C509E9"/>
    <w:rsid w:val="00C5324E"/>
    <w:rsid w:val="00C66234"/>
    <w:rsid w:val="00C73E06"/>
    <w:rsid w:val="00C810FE"/>
    <w:rsid w:val="00C83275"/>
    <w:rsid w:val="00C86004"/>
    <w:rsid w:val="00C953CA"/>
    <w:rsid w:val="00CA31BB"/>
    <w:rsid w:val="00CB5217"/>
    <w:rsid w:val="00D05CE9"/>
    <w:rsid w:val="00D06067"/>
    <w:rsid w:val="00D22A60"/>
    <w:rsid w:val="00D328C4"/>
    <w:rsid w:val="00D33986"/>
    <w:rsid w:val="00D36F80"/>
    <w:rsid w:val="00D415F6"/>
    <w:rsid w:val="00D672B0"/>
    <w:rsid w:val="00D76211"/>
    <w:rsid w:val="00D8245D"/>
    <w:rsid w:val="00D958F5"/>
    <w:rsid w:val="00DB495A"/>
    <w:rsid w:val="00DE08F3"/>
    <w:rsid w:val="00DE36D2"/>
    <w:rsid w:val="00DE5FA9"/>
    <w:rsid w:val="00DE65BE"/>
    <w:rsid w:val="00E016DF"/>
    <w:rsid w:val="00E25EAA"/>
    <w:rsid w:val="00E43865"/>
    <w:rsid w:val="00E46FFF"/>
    <w:rsid w:val="00E505BC"/>
    <w:rsid w:val="00E61092"/>
    <w:rsid w:val="00E67E96"/>
    <w:rsid w:val="00E806DA"/>
    <w:rsid w:val="00E9427D"/>
    <w:rsid w:val="00E97264"/>
    <w:rsid w:val="00E97B73"/>
    <w:rsid w:val="00EB1E85"/>
    <w:rsid w:val="00EB4446"/>
    <w:rsid w:val="00EC7F3C"/>
    <w:rsid w:val="00ED5F2D"/>
    <w:rsid w:val="00ED6B0C"/>
    <w:rsid w:val="00F05863"/>
    <w:rsid w:val="00F05DE4"/>
    <w:rsid w:val="00F14BE3"/>
    <w:rsid w:val="00F1740A"/>
    <w:rsid w:val="00F54635"/>
    <w:rsid w:val="00F5524A"/>
    <w:rsid w:val="00F5689C"/>
    <w:rsid w:val="00F7024E"/>
    <w:rsid w:val="00F76DD2"/>
    <w:rsid w:val="00F80FD5"/>
    <w:rsid w:val="00F82260"/>
    <w:rsid w:val="00FB0C4C"/>
    <w:rsid w:val="00FC2E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A5A27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3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2"/>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2"/>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2"/>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2"/>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ED5F2D"/>
    <w:pPr>
      <w:numPr>
        <w:numId w:val="1"/>
      </w:numPr>
      <w:contextualSpacing/>
    </w:pPr>
  </w:style>
  <w:style w:type="paragraph" w:styleId="ListBullet2">
    <w:name w:val="List Bullet 2"/>
    <w:basedOn w:val="Normal"/>
    <w:uiPriority w:val="99"/>
    <w:semiHidden/>
    <w:unhideWhenUsed/>
    <w:rsid w:val="00ED5F2D"/>
    <w:pPr>
      <w:numPr>
        <w:numId w:val="2"/>
      </w:numPr>
      <w:contextualSpacing/>
    </w:pPr>
  </w:style>
  <w:style w:type="paragraph" w:styleId="ListBullet3">
    <w:name w:val="List Bullet 3"/>
    <w:basedOn w:val="Normal"/>
    <w:uiPriority w:val="99"/>
    <w:semiHidden/>
    <w:unhideWhenUsed/>
    <w:rsid w:val="00ED5F2D"/>
    <w:pPr>
      <w:numPr>
        <w:numId w:val="3"/>
      </w:numPr>
      <w:contextualSpacing/>
    </w:pPr>
  </w:style>
  <w:style w:type="paragraph" w:styleId="ListBullet4">
    <w:name w:val="List Bullet 4"/>
    <w:basedOn w:val="Normal"/>
    <w:uiPriority w:val="99"/>
    <w:semiHidden/>
    <w:unhideWhenUsed/>
    <w:rsid w:val="00ED5F2D"/>
    <w:pPr>
      <w:numPr>
        <w:numId w:val="4"/>
      </w:numPr>
      <w:contextualSpacing/>
    </w:pPr>
  </w:style>
  <w:style w:type="paragraph" w:styleId="Caption">
    <w:name w:val="caption"/>
    <w:basedOn w:val="Normal"/>
    <w:next w:val="Normal"/>
    <w:uiPriority w:val="35"/>
    <w:semiHidden/>
    <w:unhideWhenUsed/>
    <w:qFormat/>
    <w:rsid w:val="00646B1D"/>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646B1D"/>
    <w:pPr>
      <w:spacing w:after="0"/>
    </w:pPr>
  </w:style>
  <w:style w:type="paragraph" w:styleId="ListNumber">
    <w:name w:val="List Number"/>
    <w:basedOn w:val="Normal"/>
    <w:uiPriority w:val="99"/>
    <w:semiHidden/>
    <w:unhideWhenUsed/>
    <w:rsid w:val="00646B1D"/>
    <w:pPr>
      <w:numPr>
        <w:numId w:val="5"/>
      </w:numPr>
      <w:contextualSpacing/>
    </w:pPr>
  </w:style>
  <w:style w:type="paragraph" w:styleId="ListNumber2">
    <w:name w:val="List Number 2"/>
    <w:basedOn w:val="Normal"/>
    <w:uiPriority w:val="99"/>
    <w:semiHidden/>
    <w:unhideWhenUsed/>
    <w:rsid w:val="00646B1D"/>
    <w:pPr>
      <w:numPr>
        <w:numId w:val="6"/>
      </w:numPr>
      <w:contextualSpacing/>
    </w:pPr>
  </w:style>
  <w:style w:type="paragraph" w:styleId="ListNumber3">
    <w:name w:val="List Number 3"/>
    <w:basedOn w:val="Normal"/>
    <w:uiPriority w:val="99"/>
    <w:semiHidden/>
    <w:unhideWhenUsed/>
    <w:rsid w:val="00646B1D"/>
    <w:pPr>
      <w:numPr>
        <w:numId w:val="7"/>
      </w:numPr>
      <w:contextualSpacing/>
    </w:pPr>
  </w:style>
  <w:style w:type="paragraph" w:styleId="ListNumber4">
    <w:name w:val="List Number 4"/>
    <w:basedOn w:val="Normal"/>
    <w:uiPriority w:val="99"/>
    <w:semiHidden/>
    <w:unhideWhenUsed/>
    <w:rsid w:val="00646B1D"/>
    <w:pPr>
      <w:numPr>
        <w:numId w:val="8"/>
      </w:numPr>
      <w:contextualSpacing/>
    </w:pPr>
  </w:style>
  <w:style w:type="character" w:styleId="Hyperlink">
    <w:name w:val="Hyperlink"/>
    <w:basedOn w:val="DefaultParagraphFont"/>
    <w:uiPriority w:val="99"/>
    <w:unhideWhenUsed/>
    <w:rsid w:val="00130A36"/>
    <w:rPr>
      <w:color w:val="0000FF" w:themeColor="hyperlink"/>
      <w:u w:val="single"/>
    </w:rPr>
  </w:style>
  <w:style w:type="character" w:styleId="CommentReference">
    <w:name w:val="annotation reference"/>
    <w:basedOn w:val="DefaultParagraphFont"/>
    <w:uiPriority w:val="99"/>
    <w:semiHidden/>
    <w:unhideWhenUsed/>
    <w:rsid w:val="00130A36"/>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760908"/>
    <w:rPr>
      <w:b/>
      <w:bCs/>
    </w:rPr>
  </w:style>
  <w:style w:type="character" w:customStyle="1" w:styleId="CommentSubjectChar">
    <w:name w:val="Comment Subject Char"/>
    <w:basedOn w:val="CommentTextChar"/>
    <w:link w:val="CommentSubject"/>
    <w:uiPriority w:val="99"/>
    <w:semiHidden/>
    <w:rsid w:val="00760908"/>
    <w:rPr>
      <w:rFonts w:ascii="Times New Roman" w:hAnsi="Times New Roman" w:cs="Times New Roman"/>
      <w:b/>
      <w:bCs/>
      <w:sz w:val="20"/>
      <w:szCs w:val="20"/>
      <w:lang w:val="ro-RO"/>
    </w:rPr>
  </w:style>
  <w:style w:type="character" w:customStyle="1" w:styleId="UnresolvedMention">
    <w:name w:val="Unresolved Mention"/>
    <w:basedOn w:val="DefaultParagraphFont"/>
    <w:uiPriority w:val="99"/>
    <w:semiHidden/>
    <w:unhideWhenUsed/>
    <w:rsid w:val="00760908"/>
    <w:rPr>
      <w:color w:val="605E5C"/>
      <w:shd w:val="clear" w:color="auto" w:fill="E1DFDD"/>
    </w:rPr>
  </w:style>
  <w:style w:type="paragraph" w:styleId="Revision">
    <w:name w:val="Revision"/>
    <w:hidden/>
    <w:uiPriority w:val="99"/>
    <w:semiHidden/>
    <w:rsid w:val="00760908"/>
    <w:pPr>
      <w:spacing w:after="0" w:line="240" w:lineRule="auto"/>
    </w:pPr>
    <w:rPr>
      <w:rFonts w:ascii="Times New Roman" w:hAnsi="Times New Roman" w:cs="Times New Roman"/>
      <w:sz w:val="24"/>
    </w:rPr>
  </w:style>
  <w:style w:type="paragraph" w:styleId="NormalWeb">
    <w:name w:val="Normal (Web)"/>
    <w:basedOn w:val="Normal"/>
    <w:uiPriority w:val="99"/>
    <w:unhideWhenUsed/>
    <w:rsid w:val="00911701"/>
    <w:pPr>
      <w:spacing w:before="100" w:beforeAutospacing="1" w:after="100" w:afterAutospacing="1"/>
      <w:jc w:val="left"/>
    </w:pPr>
    <w:rPr>
      <w:rFonts w:eastAsia="Times New Roman"/>
      <w:szCs w:val="24"/>
    </w:rPr>
  </w:style>
  <w:style w:type="character" w:styleId="Strong">
    <w:name w:val="Strong"/>
    <w:basedOn w:val="DefaultParagraphFont"/>
    <w:uiPriority w:val="22"/>
    <w:qFormat/>
    <w:rsid w:val="00911701"/>
    <w:rPr>
      <w:b/>
      <w:bCs/>
    </w:rPr>
  </w:style>
  <w:style w:type="table" w:styleId="TableGrid">
    <w:name w:val="Table Grid"/>
    <w:basedOn w:val="TableNormal"/>
    <w:uiPriority w:val="39"/>
    <w:rsid w:val="00081CEA"/>
    <w:pPr>
      <w:spacing w:after="0" w:line="240" w:lineRule="auto"/>
    </w:pPr>
    <w:rPr>
      <w:rFonts w:ascii="Arial" w:eastAsia="Aptos" w:hAnsi="Arial" w:cs="Arial"/>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B35E52"/>
    <w:rPr>
      <w:rFonts w:ascii="Times New Roman" w:hAnsi="Times New Roman" w:cs="Times New Roman"/>
      <w:sz w:val="24"/>
      <w:lang w:val="ro-RO"/>
    </w:rPr>
  </w:style>
  <w:style w:type="character" w:customStyle="1" w:styleId="FooterChar">
    <w:name w:val="Footer Char"/>
    <w:basedOn w:val="DefaultParagraphFont"/>
    <w:link w:val="Footer"/>
    <w:uiPriority w:val="99"/>
    <w:rsid w:val="00B35E52"/>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B35E52"/>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B35E52"/>
    <w:pPr>
      <w:spacing w:before="0"/>
      <w:jc w:val="right"/>
    </w:pPr>
    <w:rPr>
      <w:sz w:val="28"/>
    </w:rPr>
  </w:style>
  <w:style w:type="paragraph" w:customStyle="1" w:styleId="FooterSensitivity">
    <w:name w:val="Footer Sensitivity"/>
    <w:basedOn w:val="Normal"/>
    <w:rsid w:val="00B35E52"/>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5"/>
      </w:numPr>
    </w:pPr>
  </w:style>
  <w:style w:type="paragraph" w:customStyle="1" w:styleId="Tiret1">
    <w:name w:val="Tiret 1"/>
    <w:basedOn w:val="Point1"/>
    <w:pPr>
      <w:numPr>
        <w:numId w:val="26"/>
      </w:numPr>
    </w:pPr>
  </w:style>
  <w:style w:type="paragraph" w:customStyle="1" w:styleId="Tiret2">
    <w:name w:val="Tiret 2"/>
    <w:basedOn w:val="Point2"/>
    <w:pPr>
      <w:numPr>
        <w:numId w:val="27"/>
      </w:numPr>
    </w:pPr>
  </w:style>
  <w:style w:type="paragraph" w:customStyle="1" w:styleId="Tiret3">
    <w:name w:val="Tiret 3"/>
    <w:basedOn w:val="Point3"/>
    <w:pPr>
      <w:numPr>
        <w:numId w:val="28"/>
      </w:numPr>
    </w:pPr>
  </w:style>
  <w:style w:type="paragraph" w:customStyle="1" w:styleId="Tiret4">
    <w:name w:val="Tiret 4"/>
    <w:basedOn w:val="Point4"/>
    <w:pPr>
      <w:numPr>
        <w:numId w:val="29"/>
      </w:numPr>
    </w:pPr>
  </w:style>
  <w:style w:type="paragraph" w:customStyle="1" w:styleId="Tiret5">
    <w:name w:val="Tiret 5"/>
    <w:basedOn w:val="Point5"/>
    <w:pPr>
      <w:numPr>
        <w:numId w:val="3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1"/>
      </w:numPr>
    </w:pPr>
  </w:style>
  <w:style w:type="paragraph" w:customStyle="1" w:styleId="NumPar2">
    <w:name w:val="NumPar 2"/>
    <w:basedOn w:val="Normal"/>
    <w:next w:val="Text1"/>
    <w:pPr>
      <w:numPr>
        <w:ilvl w:val="1"/>
        <w:numId w:val="31"/>
      </w:numPr>
    </w:pPr>
  </w:style>
  <w:style w:type="paragraph" w:customStyle="1" w:styleId="NumPar3">
    <w:name w:val="NumPar 3"/>
    <w:basedOn w:val="Normal"/>
    <w:next w:val="Text1"/>
    <w:pPr>
      <w:numPr>
        <w:ilvl w:val="2"/>
        <w:numId w:val="31"/>
      </w:numPr>
    </w:pPr>
  </w:style>
  <w:style w:type="paragraph" w:customStyle="1" w:styleId="NumPar4">
    <w:name w:val="NumPar 4"/>
    <w:basedOn w:val="Normal"/>
    <w:next w:val="Text1"/>
    <w:pPr>
      <w:numPr>
        <w:ilvl w:val="3"/>
        <w:numId w:val="31"/>
      </w:numPr>
    </w:pPr>
  </w:style>
  <w:style w:type="paragraph" w:customStyle="1" w:styleId="NumPar5">
    <w:name w:val="NumPar 5"/>
    <w:basedOn w:val="Normal"/>
    <w:next w:val="Text2"/>
    <w:pPr>
      <w:numPr>
        <w:ilvl w:val="4"/>
        <w:numId w:val="31"/>
      </w:numPr>
    </w:pPr>
  </w:style>
  <w:style w:type="paragraph" w:customStyle="1" w:styleId="NumPar6">
    <w:name w:val="NumPar 6"/>
    <w:basedOn w:val="Normal"/>
    <w:next w:val="Text2"/>
    <w:pPr>
      <w:numPr>
        <w:ilvl w:val="5"/>
        <w:numId w:val="31"/>
      </w:numPr>
    </w:pPr>
  </w:style>
  <w:style w:type="paragraph" w:customStyle="1" w:styleId="NumPar7">
    <w:name w:val="NumPar 7"/>
    <w:basedOn w:val="Normal"/>
    <w:next w:val="Text2"/>
    <w:pPr>
      <w:numPr>
        <w:ilvl w:val="6"/>
        <w:numId w:val="3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3"/>
      </w:numPr>
    </w:pPr>
  </w:style>
  <w:style w:type="paragraph" w:customStyle="1" w:styleId="Point1number">
    <w:name w:val="Point 1 (number)"/>
    <w:basedOn w:val="Normal"/>
    <w:pPr>
      <w:numPr>
        <w:ilvl w:val="2"/>
        <w:numId w:val="33"/>
      </w:numPr>
    </w:pPr>
  </w:style>
  <w:style w:type="paragraph" w:customStyle="1" w:styleId="Point2number">
    <w:name w:val="Point 2 (number)"/>
    <w:basedOn w:val="Normal"/>
    <w:pPr>
      <w:numPr>
        <w:ilvl w:val="4"/>
        <w:numId w:val="33"/>
      </w:numPr>
    </w:pPr>
  </w:style>
  <w:style w:type="paragraph" w:customStyle="1" w:styleId="Point3number">
    <w:name w:val="Point 3 (number)"/>
    <w:basedOn w:val="Normal"/>
    <w:pPr>
      <w:numPr>
        <w:ilvl w:val="6"/>
        <w:numId w:val="33"/>
      </w:numPr>
    </w:pPr>
  </w:style>
  <w:style w:type="paragraph" w:customStyle="1" w:styleId="Point0letter">
    <w:name w:val="Point 0 (letter)"/>
    <w:basedOn w:val="Normal"/>
    <w:pPr>
      <w:numPr>
        <w:ilvl w:val="1"/>
        <w:numId w:val="33"/>
      </w:numPr>
    </w:pPr>
  </w:style>
  <w:style w:type="paragraph" w:customStyle="1" w:styleId="Point1letter">
    <w:name w:val="Point 1 (letter)"/>
    <w:basedOn w:val="Normal"/>
    <w:pPr>
      <w:numPr>
        <w:ilvl w:val="3"/>
        <w:numId w:val="33"/>
      </w:numPr>
    </w:pPr>
  </w:style>
  <w:style w:type="paragraph" w:customStyle="1" w:styleId="Point2letter">
    <w:name w:val="Point 2 (letter)"/>
    <w:basedOn w:val="Normal"/>
    <w:pPr>
      <w:numPr>
        <w:ilvl w:val="5"/>
        <w:numId w:val="33"/>
      </w:numPr>
    </w:pPr>
  </w:style>
  <w:style w:type="paragraph" w:customStyle="1" w:styleId="Point3letter">
    <w:name w:val="Point 3 (letter)"/>
    <w:basedOn w:val="Normal"/>
    <w:pPr>
      <w:numPr>
        <w:ilvl w:val="7"/>
        <w:numId w:val="33"/>
      </w:numPr>
    </w:pPr>
  </w:style>
  <w:style w:type="paragraph" w:customStyle="1" w:styleId="Point4letter">
    <w:name w:val="Point 4 (letter)"/>
    <w:basedOn w:val="Normal"/>
    <w:pPr>
      <w:numPr>
        <w:ilvl w:val="8"/>
        <w:numId w:val="33"/>
      </w:numPr>
    </w:pPr>
  </w:style>
  <w:style w:type="paragraph" w:customStyle="1" w:styleId="Bullet0">
    <w:name w:val="Bullet 0"/>
    <w:basedOn w:val="Normal"/>
    <w:pPr>
      <w:numPr>
        <w:numId w:val="34"/>
      </w:numPr>
    </w:pPr>
  </w:style>
  <w:style w:type="paragraph" w:customStyle="1" w:styleId="Bullet1">
    <w:name w:val="Bullet 1"/>
    <w:basedOn w:val="Normal"/>
    <w:pPr>
      <w:numPr>
        <w:numId w:val="35"/>
      </w:numPr>
    </w:pPr>
  </w:style>
  <w:style w:type="paragraph" w:customStyle="1" w:styleId="Bullet2">
    <w:name w:val="Bullet 2"/>
    <w:basedOn w:val="Normal"/>
    <w:pPr>
      <w:numPr>
        <w:numId w:val="36"/>
      </w:numPr>
    </w:pPr>
  </w:style>
  <w:style w:type="paragraph" w:customStyle="1" w:styleId="Bullet3">
    <w:name w:val="Bullet 3"/>
    <w:basedOn w:val="Normal"/>
    <w:pPr>
      <w:numPr>
        <w:numId w:val="37"/>
      </w:numPr>
    </w:pPr>
  </w:style>
  <w:style w:type="paragraph" w:customStyle="1" w:styleId="Bullet4">
    <w:name w:val="Bullet 4"/>
    <w:basedOn w:val="Normal"/>
    <w:pPr>
      <w:numPr>
        <w:numId w:val="3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B35E52"/>
    <w:pPr>
      <w:tabs>
        <w:tab w:val="center" w:pos="4535"/>
        <w:tab w:val="right" w:pos="9071"/>
      </w:tabs>
      <w:spacing w:before="0"/>
    </w:pPr>
  </w:style>
  <w:style w:type="paragraph" w:customStyle="1" w:styleId="HeaderLandscape">
    <w:name w:val="HeaderLandscape"/>
    <w:basedOn w:val="Normal"/>
    <w:rsid w:val="00B35E52"/>
    <w:pPr>
      <w:tabs>
        <w:tab w:val="center" w:pos="7285"/>
        <w:tab w:val="right" w:pos="14003"/>
      </w:tabs>
      <w:spacing w:before="0"/>
    </w:pPr>
  </w:style>
  <w:style w:type="paragraph" w:styleId="Footer">
    <w:name w:val="footer"/>
    <w:basedOn w:val="Normal"/>
    <w:link w:val="FooterChar"/>
    <w:uiPriority w:val="99"/>
    <w:unhideWhenUsed/>
    <w:rsid w:val="00B35E52"/>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B35E52"/>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eader" Target="header3.xml"/><Relationship Id="rId17" Type="http://schemas.openxmlformats.org/officeDocument/2006/relationships/header" Target="header5.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ANNEX.dotm</Template>
  <TotalTime>0</TotalTime>
  <Pages>3</Pages>
  <Words>506</Words>
  <Characters>2885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2025-11-28T07:22:00Z</dcterms:created>
  <dcterms:modified xsi:type="dcterms:W3CDTF">2026-01-15T09:14:00Z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2025-11-19T14:20:03Z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635a9be0-afd8-44a0-9a21-d0f9ac349244</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ast edited using">
    <vt:lpwstr>LW 9.2, Build 20250828</vt:lpwstr>
  </property>
  <property fmtid="{D5CDD505-2E9C-101B-9397-08002B2CF9AE}" pid="11" name="Category">
    <vt:lpwstr>COM/ANNEX</vt:lpwstr>
  </property>
  <property fmtid="{D5CDD505-2E9C-101B-9397-08002B2CF9AE}" pid="12" name="Level of sensitivity">
    <vt:lpwstr>Standard treatment</vt:lpwstr>
  </property>
  <property fmtid="{D5CDD505-2E9C-101B-9397-08002B2CF9AE}" pid="13" name="First annex">
    <vt:lpwstr>1</vt:lpwstr>
  </property>
  <property fmtid="{D5CDD505-2E9C-101B-9397-08002B2CF9AE}" pid="14" name="Last annex">
    <vt:lpwstr>1</vt:lpwstr>
  </property>
  <property fmtid="{D5CDD505-2E9C-101B-9397-08002B2CF9AE}" pid="15" name="Unique annex">
    <vt:lpwstr>1</vt:lpwstr>
  </property>
  <property fmtid="{D5CDD505-2E9C-101B-9397-08002B2CF9AE}" pid="16" name="Part">
    <vt:lpwstr>1</vt:lpwstr>
  </property>
  <property fmtid="{D5CDD505-2E9C-101B-9397-08002B2CF9AE}" pid="17" name="Total parts">
    <vt:lpwstr>1</vt:lpwstr>
  </property>
  <property fmtid="{D5CDD505-2E9C-101B-9397-08002B2CF9AE}" pid="18" name="LWTemplateID">
    <vt:lpwstr>SG-017</vt:lpwstr>
  </property>
  <property fmtid="{D5CDD505-2E9C-101B-9397-08002B2CF9AE}" pid="19" name="DQCStatus">
    <vt:lpwstr>Green (DQC version 03)</vt:lpwstr>
  </property>
</Properties>
</file>